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C795" w14:textId="53E79294" w:rsidR="00871BDF" w:rsidRDefault="005C5088">
      <w:pPr>
        <w:jc w:val="center"/>
      </w:pPr>
      <w:r>
        <w:rPr>
          <w:rFonts w:ascii="Times New Roman" w:eastAsia="宋体" w:hAnsi="Times New Roman"/>
          <w:b/>
          <w:bCs/>
          <w:color w:val="000000"/>
          <w:sz w:val="32"/>
          <w:szCs w:val="32"/>
        </w:rPr>
        <w:t xml:space="preserve"> </w:t>
      </w:r>
      <w:r>
        <w:rPr>
          <w:rFonts w:ascii="Times New Roman" w:eastAsia="宋体" w:hAnsi="Times New Roman"/>
          <w:b/>
          <w:bCs/>
          <w:color w:val="000000"/>
          <w:sz w:val="32"/>
          <w:szCs w:val="32"/>
        </w:rPr>
        <w:t>UNITED STATES SECURITIES AND EXCHANGE COMMISSION</w:t>
      </w:r>
    </w:p>
    <w:p w14:paraId="00BAC796" w14:textId="77777777" w:rsidR="00871BDF" w:rsidRDefault="005C5088">
      <w:pPr>
        <w:jc w:val="center"/>
      </w:pPr>
      <w:r>
        <w:rPr>
          <w:rFonts w:ascii="Times New Roman" w:eastAsia="宋体" w:hAnsi="Times New Roman"/>
          <w:b/>
          <w:bCs/>
          <w:color w:val="000000"/>
        </w:rPr>
        <w:t>Washington, DC 20549</w:t>
      </w:r>
    </w:p>
    <w:p w14:paraId="00BAC797" w14:textId="77777777" w:rsidR="00871BDF" w:rsidRDefault="005C5088">
      <w:pPr>
        <w:jc w:val="center"/>
      </w:pPr>
      <w:r>
        <w:rPr>
          <w:rFonts w:ascii="Times New Roman" w:eastAsia="宋体" w:hAnsi="Times New Roman"/>
          <w:b/>
          <w:bCs/>
          <w:color w:val="000000"/>
          <w:sz w:val="36"/>
          <w:szCs w:val="36"/>
        </w:rPr>
        <w:t xml:space="preserve">Form 10-K </w:t>
      </w:r>
    </w:p>
    <w:p w14:paraId="00BAC798" w14:textId="77777777" w:rsidR="00871BDF" w:rsidRDefault="005C5088">
      <w:pPr>
        <w:jc w:val="center"/>
      </w:pPr>
      <w:r>
        <w:rPr>
          <w:rFonts w:ascii="Arial Unicode MS" w:eastAsia="Arial Unicode MS" w:hAnsi="Arial Unicode MS" w:cs="Arial Unicode MS"/>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ANNUAL REPORT PURSUANT TO SECTION 13 OR 15(d) OF THE SECURITIES EXCHANGE ACT OF 1934</w:t>
      </w:r>
    </w:p>
    <w:p w14:paraId="00BAC799" w14:textId="77777777" w:rsidR="00871BDF" w:rsidRDefault="005C5088">
      <w:pPr>
        <w:jc w:val="center"/>
      </w:pPr>
      <w:r>
        <w:rPr>
          <w:rFonts w:ascii="Times New Roman" w:eastAsia="宋体" w:hAnsi="Times New Roman"/>
          <w:b/>
          <w:bCs/>
          <w:color w:val="000000"/>
          <w:sz w:val="20"/>
          <w:szCs w:val="20"/>
        </w:rPr>
        <w:t xml:space="preserve">For the Fiscal Year Ended September 27, 2020 </w:t>
      </w:r>
    </w:p>
    <w:p w14:paraId="00BAC79A" w14:textId="77777777" w:rsidR="00871BDF" w:rsidRDefault="005C5088">
      <w:pPr>
        <w:jc w:val="center"/>
      </w:pPr>
      <w:r>
        <w:rPr>
          <w:rFonts w:ascii="Times New Roman" w:eastAsia="宋体" w:hAnsi="Times New Roman"/>
          <w:b/>
          <w:bCs/>
          <w:color w:val="000000"/>
          <w:sz w:val="20"/>
          <w:szCs w:val="20"/>
        </w:rPr>
        <w:t>or</w:t>
      </w:r>
    </w:p>
    <w:p w14:paraId="00BAC79B" w14:textId="77777777" w:rsidR="00871BDF" w:rsidRDefault="005C5088">
      <w:pPr>
        <w:jc w:val="center"/>
      </w:pPr>
      <w:r>
        <w:rPr>
          <w:rFonts w:ascii="Arial Unicode MS" w:eastAsia="Arial Unicode MS" w:hAnsi="Arial Unicode MS" w:cs="Arial Unicode MS" w:hint="eastAsia"/>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TRANSITION REPORT PURSUANT TO SECTION 13 OR 15(d) OF THE SECURITIES EXCHANGE ACT OF 1934</w:t>
      </w:r>
    </w:p>
    <w:p w14:paraId="00BAC79C" w14:textId="77777777" w:rsidR="00871BDF" w:rsidRDefault="005C5088">
      <w:pPr>
        <w:jc w:val="center"/>
      </w:pPr>
      <w:r>
        <w:rPr>
          <w:rFonts w:ascii="Times New Roman" w:eastAsia="宋体" w:hAnsi="Times New Roman"/>
          <w:b/>
          <w:bCs/>
          <w:color w:val="000000"/>
          <w:sz w:val="20"/>
          <w:szCs w:val="20"/>
        </w:rPr>
        <w:t>For the transition period from            to            .</w:t>
      </w:r>
    </w:p>
    <w:p w14:paraId="00BAC79D" w14:textId="77777777" w:rsidR="00871BDF" w:rsidRDefault="005C5088">
      <w:pPr>
        <w:jc w:val="center"/>
      </w:pPr>
      <w:r>
        <w:rPr>
          <w:rFonts w:ascii="Times New Roman" w:eastAsia="宋体" w:hAnsi="Times New Roman"/>
          <w:b/>
          <w:bCs/>
          <w:color w:val="000000"/>
          <w:sz w:val="20"/>
          <w:szCs w:val="20"/>
        </w:rPr>
        <w:t xml:space="preserve">Commission File Number: 0-20322 </w:t>
      </w:r>
    </w:p>
    <w:p w14:paraId="00BAC79E" w14:textId="77777777" w:rsidR="00871BDF" w:rsidRDefault="005C5088">
      <w:pPr>
        <w:jc w:val="center"/>
      </w:pPr>
      <w:r>
        <w:rPr>
          <w:rFonts w:ascii="Times New Roman" w:eastAsia="宋体" w:hAnsi="Times New Roman"/>
          <w:b/>
          <w:bCs/>
          <w:color w:val="00704A"/>
          <w:sz w:val="44"/>
          <w:szCs w:val="44"/>
        </w:rPr>
        <w:t>Starbucks Corporation</w:t>
      </w:r>
    </w:p>
    <w:p w14:paraId="00BAC79F" w14:textId="77777777" w:rsidR="00871BDF" w:rsidRDefault="005C5088">
      <w:pPr>
        <w:jc w:val="center"/>
      </w:pPr>
      <w:r>
        <w:rPr>
          <w:rFonts w:ascii="Times New Roman" w:eastAsia="宋体" w:hAnsi="Times New Roman"/>
          <w:b/>
          <w:bCs/>
          <w:color w:val="000000"/>
          <w:sz w:val="20"/>
          <w:szCs w:val="20"/>
        </w:rPr>
        <w:t>(Ex</w:t>
      </w:r>
      <w:r>
        <w:rPr>
          <w:rFonts w:ascii="Times New Roman" w:eastAsia="宋体" w:hAnsi="Times New Roman"/>
          <w:b/>
          <w:bCs/>
          <w:color w:val="000000"/>
          <w:sz w:val="20"/>
          <w:szCs w:val="20"/>
        </w:rPr>
        <w:t>act Name of Registrant as Specified in its Charter)</w:t>
      </w:r>
    </w:p>
    <w:p w14:paraId="00BAC7A0" w14:textId="77777777" w:rsidR="00871BDF" w:rsidRDefault="005C508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/STARBUCKS/./Inline XBRL Viewer9_files/sbux-20200927_g1.jpg"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0BB145F" wp14:editId="00BB1460">
            <wp:extent cx="304800" cy="304800"/>
            <wp:effectExtent l="0" t="0" r="0" b="0"/>
            <wp:docPr id="26"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4062"/>
        <w:gridCol w:w="36"/>
        <w:gridCol w:w="70"/>
        <w:gridCol w:w="4063"/>
        <w:gridCol w:w="36"/>
      </w:tblGrid>
      <w:tr w:rsidR="00871BDF" w14:paraId="00BAC7A7" w14:textId="77777777">
        <w:tc>
          <w:tcPr>
            <w:tcW w:w="50" w:type="pct"/>
            <w:shd w:val="clear" w:color="auto" w:fill="auto"/>
          </w:tcPr>
          <w:p w14:paraId="00BAC7A1" w14:textId="77777777" w:rsidR="00871BDF" w:rsidRDefault="00871BDF">
            <w:pPr>
              <w:rPr>
                <w:rFonts w:ascii="宋体"/>
              </w:rPr>
            </w:pPr>
          </w:p>
        </w:tc>
        <w:tc>
          <w:tcPr>
            <w:tcW w:w="2445" w:type="pct"/>
            <w:shd w:val="clear" w:color="auto" w:fill="auto"/>
          </w:tcPr>
          <w:p w14:paraId="00BAC7A2" w14:textId="77777777" w:rsidR="00871BDF" w:rsidRDefault="00871BDF">
            <w:pPr>
              <w:rPr>
                <w:rFonts w:ascii="宋体"/>
              </w:rPr>
            </w:pPr>
          </w:p>
        </w:tc>
        <w:tc>
          <w:tcPr>
            <w:tcW w:w="5" w:type="pct"/>
            <w:shd w:val="clear" w:color="auto" w:fill="auto"/>
          </w:tcPr>
          <w:p w14:paraId="00BAC7A3" w14:textId="77777777" w:rsidR="00871BDF" w:rsidRDefault="00871BDF">
            <w:pPr>
              <w:rPr>
                <w:rFonts w:ascii="宋体"/>
              </w:rPr>
            </w:pPr>
          </w:p>
        </w:tc>
        <w:tc>
          <w:tcPr>
            <w:tcW w:w="50" w:type="pct"/>
            <w:shd w:val="clear" w:color="auto" w:fill="auto"/>
          </w:tcPr>
          <w:p w14:paraId="00BAC7A4" w14:textId="77777777" w:rsidR="00871BDF" w:rsidRDefault="00871BDF">
            <w:pPr>
              <w:rPr>
                <w:rFonts w:ascii="宋体"/>
              </w:rPr>
            </w:pPr>
          </w:p>
        </w:tc>
        <w:tc>
          <w:tcPr>
            <w:tcW w:w="2445" w:type="pct"/>
            <w:shd w:val="clear" w:color="auto" w:fill="auto"/>
          </w:tcPr>
          <w:p w14:paraId="00BAC7A5" w14:textId="77777777" w:rsidR="00871BDF" w:rsidRDefault="00871BDF">
            <w:pPr>
              <w:rPr>
                <w:rFonts w:ascii="宋体"/>
              </w:rPr>
            </w:pPr>
          </w:p>
        </w:tc>
        <w:tc>
          <w:tcPr>
            <w:tcW w:w="5" w:type="pct"/>
            <w:shd w:val="clear" w:color="auto" w:fill="auto"/>
          </w:tcPr>
          <w:p w14:paraId="00BAC7A6" w14:textId="77777777" w:rsidR="00871BDF" w:rsidRDefault="00871BDF">
            <w:pPr>
              <w:rPr>
                <w:rFonts w:ascii="宋体"/>
              </w:rPr>
            </w:pPr>
          </w:p>
        </w:tc>
      </w:tr>
      <w:tr w:rsidR="00871BDF" w14:paraId="00BAC7AA" w14:textId="77777777">
        <w:tc>
          <w:tcPr>
            <w:tcW w:w="0" w:type="auto"/>
            <w:gridSpan w:val="3"/>
            <w:shd w:val="clear" w:color="auto" w:fill="auto"/>
            <w:tcMar>
              <w:top w:w="40" w:type="dxa"/>
              <w:left w:w="20" w:type="dxa"/>
              <w:bottom w:w="40" w:type="dxa"/>
              <w:right w:w="20" w:type="dxa"/>
            </w:tcMar>
          </w:tcPr>
          <w:p w14:paraId="00BAC7A8" w14:textId="77777777" w:rsidR="00871BDF" w:rsidRDefault="005C5088">
            <w:pPr>
              <w:jc w:val="center"/>
              <w:textAlignment w:val="top"/>
            </w:pPr>
            <w:r>
              <w:rPr>
                <w:rFonts w:ascii="Times New Roman" w:eastAsia="宋体" w:hAnsi="Times New Roman"/>
                <w:b/>
                <w:bCs/>
                <w:color w:val="000000"/>
                <w:sz w:val="20"/>
                <w:szCs w:val="20"/>
              </w:rPr>
              <w:t>Washington</w:t>
            </w:r>
          </w:p>
        </w:tc>
        <w:tc>
          <w:tcPr>
            <w:tcW w:w="0" w:type="auto"/>
            <w:gridSpan w:val="3"/>
            <w:shd w:val="clear" w:color="auto" w:fill="auto"/>
            <w:tcMar>
              <w:top w:w="40" w:type="dxa"/>
              <w:left w:w="20" w:type="dxa"/>
              <w:bottom w:w="40" w:type="dxa"/>
              <w:right w:w="20" w:type="dxa"/>
            </w:tcMar>
          </w:tcPr>
          <w:p w14:paraId="00BAC7A9" w14:textId="77777777" w:rsidR="00871BDF" w:rsidRDefault="005C5088">
            <w:pPr>
              <w:jc w:val="center"/>
              <w:textAlignment w:val="top"/>
            </w:pPr>
            <w:r>
              <w:rPr>
                <w:rFonts w:ascii="Times New Roman" w:eastAsia="宋体" w:hAnsi="Times New Roman"/>
                <w:b/>
                <w:bCs/>
                <w:color w:val="000000"/>
                <w:sz w:val="20"/>
                <w:szCs w:val="20"/>
              </w:rPr>
              <w:t>91-1325671</w:t>
            </w:r>
          </w:p>
        </w:tc>
      </w:tr>
      <w:tr w:rsidR="00871BDF" w14:paraId="00BAC7AD" w14:textId="77777777">
        <w:tc>
          <w:tcPr>
            <w:tcW w:w="0" w:type="auto"/>
            <w:gridSpan w:val="3"/>
            <w:shd w:val="clear" w:color="auto" w:fill="auto"/>
            <w:tcMar>
              <w:top w:w="40" w:type="dxa"/>
              <w:left w:w="20" w:type="dxa"/>
              <w:bottom w:w="40" w:type="dxa"/>
              <w:right w:w="20" w:type="dxa"/>
            </w:tcMar>
          </w:tcPr>
          <w:p w14:paraId="00BAC7AB" w14:textId="77777777" w:rsidR="00871BDF" w:rsidRDefault="005C5088">
            <w:pPr>
              <w:jc w:val="center"/>
              <w:textAlignment w:val="top"/>
            </w:pPr>
            <w:r>
              <w:rPr>
                <w:rFonts w:ascii="Times New Roman" w:eastAsia="宋体" w:hAnsi="Times New Roman"/>
                <w:i/>
                <w:iCs/>
                <w:color w:val="000000"/>
                <w:sz w:val="16"/>
                <w:szCs w:val="16"/>
              </w:rPr>
              <w:t xml:space="preserve">(State of </w:t>
            </w:r>
            <w:r>
              <w:rPr>
                <w:rFonts w:ascii="Times New Roman" w:eastAsia="宋体" w:hAnsi="Times New Roman"/>
                <w:i/>
                <w:iCs/>
                <w:color w:val="000000"/>
                <w:sz w:val="16"/>
                <w:szCs w:val="16"/>
              </w:rPr>
              <w:t>Incorporation)</w:t>
            </w:r>
          </w:p>
        </w:tc>
        <w:tc>
          <w:tcPr>
            <w:tcW w:w="0" w:type="auto"/>
            <w:gridSpan w:val="3"/>
            <w:shd w:val="clear" w:color="auto" w:fill="auto"/>
            <w:tcMar>
              <w:top w:w="40" w:type="dxa"/>
              <w:left w:w="20" w:type="dxa"/>
              <w:bottom w:w="40" w:type="dxa"/>
              <w:right w:w="20" w:type="dxa"/>
            </w:tcMar>
          </w:tcPr>
          <w:p w14:paraId="00BAC7AC" w14:textId="77777777" w:rsidR="00871BDF" w:rsidRDefault="005C5088">
            <w:pPr>
              <w:jc w:val="center"/>
              <w:textAlignment w:val="top"/>
            </w:pPr>
            <w:r>
              <w:rPr>
                <w:rFonts w:ascii="Times New Roman" w:eastAsia="宋体" w:hAnsi="Times New Roman"/>
                <w:i/>
                <w:iCs/>
                <w:color w:val="000000"/>
                <w:sz w:val="16"/>
                <w:szCs w:val="16"/>
              </w:rPr>
              <w:t>(IRS Employer ID)</w:t>
            </w:r>
          </w:p>
        </w:tc>
      </w:tr>
    </w:tbl>
    <w:p w14:paraId="00BAC7AE" w14:textId="77777777" w:rsidR="00871BDF" w:rsidRDefault="005C5088">
      <w:pPr>
        <w:jc w:val="center"/>
      </w:pPr>
      <w:r>
        <w:rPr>
          <w:rFonts w:ascii="Times New Roman" w:eastAsia="宋体" w:hAnsi="Times New Roman"/>
          <w:b/>
          <w:bCs/>
          <w:color w:val="000000"/>
          <w:sz w:val="16"/>
          <w:szCs w:val="16"/>
        </w:rPr>
        <w:t xml:space="preserve">2401 Utah Avenue South, Seattle, Washington 98134 </w:t>
      </w:r>
    </w:p>
    <w:p w14:paraId="00BAC7AF" w14:textId="77777777" w:rsidR="00871BDF" w:rsidRDefault="005C5088">
      <w:pPr>
        <w:jc w:val="center"/>
      </w:pPr>
      <w:r>
        <w:rPr>
          <w:rFonts w:ascii="Times New Roman" w:eastAsia="宋体" w:hAnsi="Times New Roman"/>
          <w:b/>
          <w:bCs/>
          <w:color w:val="000000"/>
          <w:sz w:val="16"/>
          <w:szCs w:val="16"/>
        </w:rPr>
        <w:t xml:space="preserve">(206) 447-1575 </w:t>
      </w:r>
    </w:p>
    <w:p w14:paraId="00BAC7B0" w14:textId="77777777" w:rsidR="00871BDF" w:rsidRDefault="005C5088">
      <w:pPr>
        <w:jc w:val="center"/>
      </w:pPr>
      <w:r>
        <w:rPr>
          <w:rFonts w:ascii="Times New Roman" w:eastAsia="宋体" w:hAnsi="Times New Roman"/>
          <w:i/>
          <w:iCs/>
          <w:color w:val="000000"/>
          <w:sz w:val="16"/>
          <w:szCs w:val="16"/>
        </w:rPr>
        <w:t>(Address of principal executive office, zip code, telephone number)</w:t>
      </w:r>
    </w:p>
    <w:p w14:paraId="00BAC7B1" w14:textId="77777777" w:rsidR="00871BDF" w:rsidRDefault="005C5088">
      <w:pPr>
        <w:jc w:val="center"/>
      </w:pPr>
      <w:r>
        <w:rPr>
          <w:rFonts w:ascii="Times New Roman" w:eastAsia="宋体" w:hAnsi="Times New Roman"/>
          <w:b/>
          <w:bCs/>
          <w:color w:val="000000"/>
          <w:sz w:val="20"/>
          <w:szCs w:val="20"/>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8"/>
        <w:gridCol w:w="2674"/>
        <w:gridCol w:w="37"/>
        <w:gridCol w:w="69"/>
        <w:gridCol w:w="2413"/>
        <w:gridCol w:w="36"/>
        <w:gridCol w:w="69"/>
        <w:gridCol w:w="2934"/>
        <w:gridCol w:w="36"/>
      </w:tblGrid>
      <w:tr w:rsidR="00871BDF" w14:paraId="00BAC7BB" w14:textId="77777777">
        <w:tc>
          <w:tcPr>
            <w:tcW w:w="50" w:type="pct"/>
            <w:shd w:val="clear" w:color="auto" w:fill="auto"/>
          </w:tcPr>
          <w:p w14:paraId="00BAC7B2" w14:textId="77777777" w:rsidR="00871BDF" w:rsidRDefault="00871BDF">
            <w:pPr>
              <w:rPr>
                <w:rFonts w:ascii="宋体"/>
              </w:rPr>
            </w:pPr>
          </w:p>
        </w:tc>
        <w:tc>
          <w:tcPr>
            <w:tcW w:w="1611" w:type="pct"/>
            <w:shd w:val="clear" w:color="auto" w:fill="auto"/>
          </w:tcPr>
          <w:p w14:paraId="00BAC7B3" w14:textId="77777777" w:rsidR="00871BDF" w:rsidRDefault="00871BDF">
            <w:pPr>
              <w:rPr>
                <w:rFonts w:ascii="宋体"/>
              </w:rPr>
            </w:pPr>
          </w:p>
        </w:tc>
        <w:tc>
          <w:tcPr>
            <w:tcW w:w="5" w:type="pct"/>
            <w:shd w:val="clear" w:color="auto" w:fill="auto"/>
          </w:tcPr>
          <w:p w14:paraId="00BAC7B4" w14:textId="77777777" w:rsidR="00871BDF" w:rsidRDefault="00871BDF">
            <w:pPr>
              <w:rPr>
                <w:rFonts w:ascii="宋体"/>
              </w:rPr>
            </w:pPr>
          </w:p>
        </w:tc>
        <w:tc>
          <w:tcPr>
            <w:tcW w:w="50" w:type="pct"/>
            <w:shd w:val="clear" w:color="auto" w:fill="auto"/>
          </w:tcPr>
          <w:p w14:paraId="00BAC7B5" w14:textId="77777777" w:rsidR="00871BDF" w:rsidRDefault="00871BDF">
            <w:pPr>
              <w:rPr>
                <w:rFonts w:ascii="宋体"/>
              </w:rPr>
            </w:pPr>
          </w:p>
        </w:tc>
        <w:tc>
          <w:tcPr>
            <w:tcW w:w="1455" w:type="pct"/>
            <w:shd w:val="clear" w:color="auto" w:fill="auto"/>
          </w:tcPr>
          <w:p w14:paraId="00BAC7B6" w14:textId="77777777" w:rsidR="00871BDF" w:rsidRDefault="00871BDF">
            <w:pPr>
              <w:rPr>
                <w:rFonts w:ascii="宋体"/>
              </w:rPr>
            </w:pPr>
          </w:p>
        </w:tc>
        <w:tc>
          <w:tcPr>
            <w:tcW w:w="5" w:type="pct"/>
            <w:shd w:val="clear" w:color="auto" w:fill="auto"/>
          </w:tcPr>
          <w:p w14:paraId="00BAC7B7" w14:textId="77777777" w:rsidR="00871BDF" w:rsidRDefault="00871BDF">
            <w:pPr>
              <w:rPr>
                <w:rFonts w:ascii="宋体"/>
              </w:rPr>
            </w:pPr>
          </w:p>
        </w:tc>
        <w:tc>
          <w:tcPr>
            <w:tcW w:w="50" w:type="pct"/>
            <w:shd w:val="clear" w:color="auto" w:fill="auto"/>
          </w:tcPr>
          <w:p w14:paraId="00BAC7B8" w14:textId="77777777" w:rsidR="00871BDF" w:rsidRDefault="00871BDF">
            <w:pPr>
              <w:rPr>
                <w:rFonts w:ascii="宋体"/>
              </w:rPr>
            </w:pPr>
          </w:p>
        </w:tc>
        <w:tc>
          <w:tcPr>
            <w:tcW w:w="1767" w:type="pct"/>
            <w:shd w:val="clear" w:color="auto" w:fill="auto"/>
          </w:tcPr>
          <w:p w14:paraId="00BAC7B9" w14:textId="77777777" w:rsidR="00871BDF" w:rsidRDefault="00871BDF">
            <w:pPr>
              <w:rPr>
                <w:rFonts w:ascii="宋体"/>
              </w:rPr>
            </w:pPr>
          </w:p>
        </w:tc>
        <w:tc>
          <w:tcPr>
            <w:tcW w:w="5" w:type="pct"/>
            <w:shd w:val="clear" w:color="auto" w:fill="auto"/>
          </w:tcPr>
          <w:p w14:paraId="00BAC7BA" w14:textId="77777777" w:rsidR="00871BDF" w:rsidRDefault="00871BDF">
            <w:pPr>
              <w:rPr>
                <w:rFonts w:ascii="宋体"/>
              </w:rPr>
            </w:pPr>
          </w:p>
        </w:tc>
      </w:tr>
      <w:tr w:rsidR="00871BDF" w14:paraId="00BAC7BF" w14:textId="77777777">
        <w:tc>
          <w:tcPr>
            <w:tcW w:w="0" w:type="auto"/>
            <w:gridSpan w:val="3"/>
            <w:shd w:val="clear" w:color="auto" w:fill="auto"/>
            <w:tcMar>
              <w:top w:w="40" w:type="dxa"/>
              <w:left w:w="20" w:type="dxa"/>
              <w:bottom w:w="40" w:type="dxa"/>
              <w:right w:w="20" w:type="dxa"/>
            </w:tcMar>
          </w:tcPr>
          <w:p w14:paraId="00BAC7BC" w14:textId="77777777" w:rsidR="00871BDF" w:rsidRDefault="005C5088">
            <w:pPr>
              <w:jc w:val="center"/>
              <w:textAlignment w:val="top"/>
            </w:pPr>
            <w:r>
              <w:rPr>
                <w:rFonts w:ascii="Times New Roman" w:eastAsia="宋体" w:hAnsi="Times New Roman"/>
                <w:b/>
                <w:bCs/>
                <w:color w:val="000000"/>
                <w:sz w:val="20"/>
                <w:szCs w:val="20"/>
                <w:u w:val="single"/>
              </w:rPr>
              <w:t xml:space="preserve">Title of Each </w:t>
            </w:r>
            <w:r>
              <w:rPr>
                <w:rFonts w:ascii="Times New Roman" w:eastAsia="宋体" w:hAnsi="Times New Roman"/>
                <w:b/>
                <w:bCs/>
                <w:color w:val="000000"/>
                <w:sz w:val="20"/>
                <w:szCs w:val="20"/>
                <w:u w:val="single"/>
              </w:rPr>
              <w:t>Class</w:t>
            </w:r>
          </w:p>
        </w:tc>
        <w:tc>
          <w:tcPr>
            <w:tcW w:w="0" w:type="auto"/>
            <w:gridSpan w:val="3"/>
            <w:shd w:val="clear" w:color="auto" w:fill="auto"/>
            <w:tcMar>
              <w:top w:w="40" w:type="dxa"/>
              <w:left w:w="20" w:type="dxa"/>
              <w:bottom w:w="40" w:type="dxa"/>
              <w:right w:w="20" w:type="dxa"/>
            </w:tcMar>
            <w:vAlign w:val="bottom"/>
          </w:tcPr>
          <w:p w14:paraId="00BAC7BD" w14:textId="77777777" w:rsidR="00871BDF" w:rsidRDefault="005C5088">
            <w:pPr>
              <w:jc w:val="center"/>
              <w:textAlignment w:val="bottom"/>
            </w:pPr>
            <w:r>
              <w:rPr>
                <w:rFonts w:ascii="Times New Roman" w:eastAsia="宋体" w:hAnsi="Times New Roman"/>
                <w:b/>
                <w:bCs/>
                <w:color w:val="000000"/>
                <w:sz w:val="16"/>
                <w:szCs w:val="16"/>
                <w:u w:val="single"/>
              </w:rPr>
              <w:t>Trading Symbol</w:t>
            </w:r>
          </w:p>
        </w:tc>
        <w:tc>
          <w:tcPr>
            <w:tcW w:w="0" w:type="auto"/>
            <w:gridSpan w:val="3"/>
            <w:shd w:val="clear" w:color="auto" w:fill="auto"/>
            <w:tcMar>
              <w:top w:w="40" w:type="dxa"/>
              <w:left w:w="20" w:type="dxa"/>
              <w:bottom w:w="40" w:type="dxa"/>
              <w:right w:w="20" w:type="dxa"/>
            </w:tcMar>
          </w:tcPr>
          <w:p w14:paraId="00BAC7BE" w14:textId="77777777" w:rsidR="00871BDF" w:rsidRDefault="005C5088">
            <w:pPr>
              <w:jc w:val="center"/>
              <w:textAlignment w:val="top"/>
            </w:pPr>
            <w:r>
              <w:rPr>
                <w:rFonts w:ascii="Times New Roman" w:eastAsia="宋体" w:hAnsi="Times New Roman"/>
                <w:b/>
                <w:bCs/>
                <w:color w:val="000000"/>
                <w:sz w:val="20"/>
                <w:szCs w:val="20"/>
                <w:u w:val="single"/>
              </w:rPr>
              <w:t>Name of Each Exchange on Which Registered</w:t>
            </w:r>
          </w:p>
        </w:tc>
      </w:tr>
      <w:tr w:rsidR="00871BDF" w14:paraId="00BAC7C3" w14:textId="77777777">
        <w:tc>
          <w:tcPr>
            <w:tcW w:w="0" w:type="auto"/>
            <w:gridSpan w:val="3"/>
            <w:shd w:val="clear" w:color="auto" w:fill="auto"/>
            <w:tcMar>
              <w:top w:w="40" w:type="dxa"/>
              <w:left w:w="20" w:type="dxa"/>
              <w:bottom w:w="40" w:type="dxa"/>
              <w:right w:w="20" w:type="dxa"/>
            </w:tcMar>
          </w:tcPr>
          <w:p w14:paraId="00BAC7C0" w14:textId="77777777" w:rsidR="00871BDF" w:rsidRDefault="005C5088">
            <w:pPr>
              <w:jc w:val="center"/>
              <w:textAlignment w:val="top"/>
            </w:pPr>
            <w:r>
              <w:rPr>
                <w:rFonts w:ascii="Times New Roman" w:eastAsia="宋体" w:hAnsi="Times New Roman"/>
                <w:color w:val="000000"/>
                <w:sz w:val="20"/>
                <w:szCs w:val="20"/>
              </w:rPr>
              <w:t>Common Stock, $0.001 par value per share</w:t>
            </w:r>
          </w:p>
        </w:tc>
        <w:tc>
          <w:tcPr>
            <w:tcW w:w="0" w:type="auto"/>
            <w:gridSpan w:val="3"/>
            <w:shd w:val="clear" w:color="auto" w:fill="auto"/>
            <w:tcMar>
              <w:top w:w="40" w:type="dxa"/>
              <w:left w:w="20" w:type="dxa"/>
              <w:bottom w:w="40" w:type="dxa"/>
              <w:right w:w="20" w:type="dxa"/>
            </w:tcMar>
          </w:tcPr>
          <w:p w14:paraId="00BAC7C1" w14:textId="77777777" w:rsidR="00871BDF" w:rsidRDefault="005C5088">
            <w:pPr>
              <w:jc w:val="center"/>
              <w:textAlignment w:val="top"/>
            </w:pPr>
            <w:r>
              <w:rPr>
                <w:rFonts w:ascii="Times New Roman" w:eastAsia="宋体" w:hAnsi="Times New Roman"/>
                <w:color w:val="000000"/>
                <w:sz w:val="20"/>
                <w:szCs w:val="20"/>
              </w:rPr>
              <w:t>SBUX</w:t>
            </w:r>
          </w:p>
        </w:tc>
        <w:tc>
          <w:tcPr>
            <w:tcW w:w="0" w:type="auto"/>
            <w:gridSpan w:val="3"/>
            <w:shd w:val="clear" w:color="auto" w:fill="auto"/>
            <w:tcMar>
              <w:top w:w="40" w:type="dxa"/>
              <w:left w:w="20" w:type="dxa"/>
              <w:bottom w:w="40" w:type="dxa"/>
              <w:right w:w="20" w:type="dxa"/>
            </w:tcMar>
          </w:tcPr>
          <w:p w14:paraId="00BAC7C2" w14:textId="77777777" w:rsidR="00871BDF" w:rsidRDefault="005C5088">
            <w:pPr>
              <w:jc w:val="center"/>
              <w:textAlignment w:val="top"/>
            </w:pPr>
            <w:r>
              <w:rPr>
                <w:rFonts w:ascii="Times New Roman" w:eastAsia="宋体" w:hAnsi="Times New Roman"/>
                <w:color w:val="000000"/>
                <w:sz w:val="20"/>
                <w:szCs w:val="20"/>
              </w:rPr>
              <w:t>Nasdaq Global Select Market</w:t>
            </w:r>
          </w:p>
        </w:tc>
      </w:tr>
    </w:tbl>
    <w:p w14:paraId="00BAC7C4" w14:textId="77777777" w:rsidR="00871BDF" w:rsidRDefault="005C5088">
      <w:pPr>
        <w:jc w:val="center"/>
      </w:pPr>
      <w:r>
        <w:rPr>
          <w:rFonts w:ascii="Times New Roman" w:eastAsia="宋体" w:hAnsi="Times New Roman"/>
          <w:b/>
          <w:bCs/>
          <w:color w:val="000000"/>
          <w:sz w:val="20"/>
          <w:szCs w:val="20"/>
        </w:rPr>
        <w:t>Securities Registered Pursuant to Section 12(g) of the Act: None</w:t>
      </w:r>
    </w:p>
    <w:p w14:paraId="00BAC7C5" w14:textId="77777777" w:rsidR="00871BDF" w:rsidRDefault="005C5088">
      <w:r>
        <w:rPr>
          <w:rFonts w:ascii="Times New Roman" w:eastAsia="宋体" w:hAnsi="Times New Roman"/>
          <w:color w:val="000000"/>
          <w:sz w:val="20"/>
          <w:szCs w:val="20"/>
        </w:rPr>
        <w:t xml:space="preserve">Indicate by check mark if the registrant is a </w:t>
      </w:r>
      <w:r>
        <w:rPr>
          <w:rFonts w:ascii="Times New Roman" w:eastAsia="宋体" w:hAnsi="Times New Roman"/>
          <w:color w:val="000000"/>
          <w:sz w:val="20"/>
          <w:szCs w:val="20"/>
        </w:rPr>
        <w:t>well-known seasoned issuer, as defined in Rule 405 of the Securities Act.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00BAC7C6" w14:textId="77777777" w:rsidR="00871BDF" w:rsidRDefault="005C5088">
      <w:r>
        <w:rPr>
          <w:rFonts w:ascii="Times New Roman" w:eastAsia="宋体" w:hAnsi="Times New Roman"/>
          <w:color w:val="000000"/>
          <w:sz w:val="20"/>
          <w:szCs w:val="20"/>
        </w:rPr>
        <w:t>Indicate by check mark if the registrant is not required to file reports pursuant to Section 13 or Section 15(d) of the Act.     Yes  </w:t>
      </w:r>
      <w:r>
        <w:rPr>
          <w:rFonts w:ascii="Wingdings" w:eastAsia="宋体" w:hAnsi="Wingdings" w:cs="Wingdings"/>
          <w:color w:val="000000"/>
          <w:sz w:val="20"/>
          <w:szCs w:val="20"/>
        </w:rPr>
        <w:t xml:space="preserve">¨ </w:t>
      </w:r>
      <w:r>
        <w:rPr>
          <w:rFonts w:ascii="Times New Roman" w:eastAsia="宋体" w:hAnsi="Times New Roman"/>
          <w:color w:val="000000"/>
          <w:sz w:val="20"/>
          <w:szCs w:val="20"/>
        </w:rPr>
        <w:t>No  </w:t>
      </w:r>
      <w:r>
        <w:rPr>
          <w:rFonts w:ascii="Wingdings" w:eastAsia="宋体" w:hAnsi="Wingdings" w:cs="Wingdings"/>
          <w:color w:val="000000"/>
          <w:sz w:val="20"/>
          <w:szCs w:val="20"/>
        </w:rPr>
        <w:t>x</w:t>
      </w:r>
    </w:p>
    <w:p w14:paraId="00BAC7C7" w14:textId="77777777" w:rsidR="00871BDF" w:rsidRDefault="005C5088">
      <w:r>
        <w:rPr>
          <w:rFonts w:ascii="Times New Roman" w:eastAsia="宋体" w:hAnsi="Times New Roman"/>
          <w:color w:val="000000"/>
          <w:sz w:val="20"/>
          <w:szCs w:val="20"/>
        </w:rPr>
        <w:t xml:space="preserve">Indicate by check </w:t>
      </w:r>
      <w:r>
        <w:rPr>
          <w:rFonts w:ascii="Times New Roman" w:eastAsia="宋体" w:hAnsi="Times New Roman"/>
          <w:color w:val="000000"/>
          <w:sz w:val="20"/>
          <w:szCs w:val="20"/>
        </w:rPr>
        <w:t>mark whether the registrant: (1) has filed all reports required to be filed by Section 13 or 15(d) of the Securities Exchange Act of 1934 during the preceding 12 months (or for such shorter period that the registrant was required to file such reports), and</w:t>
      </w:r>
      <w:r>
        <w:rPr>
          <w:rFonts w:ascii="Times New Roman" w:eastAsia="宋体" w:hAnsi="Times New Roman"/>
          <w:color w:val="000000"/>
          <w:sz w:val="20"/>
          <w:szCs w:val="20"/>
        </w:rPr>
        <w:t xml:space="preserve"> (2) has been subject to such filing requirements for the past 90 days.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00BAC7C8" w14:textId="77777777" w:rsidR="00871BDF" w:rsidRDefault="005C5088">
      <w:r>
        <w:rPr>
          <w:rFonts w:ascii="Times New Roman" w:eastAsia="宋体" w:hAnsi="Times New Roman"/>
          <w:color w:val="000000"/>
          <w:sz w:val="20"/>
          <w:szCs w:val="20"/>
        </w:rPr>
        <w:t>Indicate by check mark whether the registrant has submitted electronically every Interactive Data File required to be submitted pursuant to Rule 405 of Regulation S-</w:t>
      </w:r>
      <w:r>
        <w:rPr>
          <w:rFonts w:ascii="Times New Roman" w:eastAsia="宋体" w:hAnsi="Times New Roman"/>
          <w:color w:val="000000"/>
          <w:sz w:val="20"/>
          <w:szCs w:val="20"/>
        </w:rPr>
        <w:t>T (§ 232.405 of this chapter) during the preceding 12 months (or for such shorter period that the registrant was required to submit such files).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00BAC7C9" w14:textId="77777777" w:rsidR="00871BDF" w:rsidRDefault="005C5088">
      <w:r>
        <w:rPr>
          <w:rFonts w:ascii="Times New Roman" w:eastAsia="宋体" w:hAnsi="Times New Roman"/>
          <w:color w:val="000000"/>
          <w:sz w:val="20"/>
          <w:szCs w:val="20"/>
        </w:rPr>
        <w:t>Indicate by check mark whether the registrant is a large accelerated filer, an accelerated filer, a non-accelerated filer, a smaller reporting company, or an emerging growth company. See the definitions of “large accelerated filer,” “accelerated filer,” “s</w:t>
      </w:r>
      <w:r>
        <w:rPr>
          <w:rFonts w:ascii="Times New Roman" w:eastAsia="宋体" w:hAnsi="Times New Roman"/>
          <w:color w:val="000000"/>
          <w:sz w:val="20"/>
          <w:szCs w:val="20"/>
        </w:rPr>
        <w:t xml:space="preserve">maller reporting company” and “emerging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45"/>
        <w:gridCol w:w="1612"/>
        <w:gridCol w:w="36"/>
        <w:gridCol w:w="68"/>
        <w:gridCol w:w="179"/>
        <w:gridCol w:w="36"/>
        <w:gridCol w:w="66"/>
        <w:gridCol w:w="1552"/>
        <w:gridCol w:w="36"/>
        <w:gridCol w:w="55"/>
        <w:gridCol w:w="172"/>
        <w:gridCol w:w="36"/>
        <w:gridCol w:w="64"/>
        <w:gridCol w:w="1594"/>
        <w:gridCol w:w="36"/>
        <w:gridCol w:w="59"/>
        <w:gridCol w:w="155"/>
        <w:gridCol w:w="36"/>
        <w:gridCol w:w="106"/>
        <w:gridCol w:w="2113"/>
        <w:gridCol w:w="36"/>
        <w:gridCol w:w="57"/>
        <w:gridCol w:w="151"/>
        <w:gridCol w:w="36"/>
      </w:tblGrid>
      <w:tr w:rsidR="00871BDF" w14:paraId="00BAC7E2" w14:textId="77777777">
        <w:tc>
          <w:tcPr>
            <w:tcW w:w="50" w:type="pct"/>
            <w:shd w:val="clear" w:color="auto" w:fill="auto"/>
          </w:tcPr>
          <w:p w14:paraId="00BAC7CA" w14:textId="77777777" w:rsidR="00871BDF" w:rsidRDefault="00871BDF">
            <w:pPr>
              <w:rPr>
                <w:rFonts w:ascii="宋体"/>
              </w:rPr>
            </w:pPr>
          </w:p>
        </w:tc>
        <w:tc>
          <w:tcPr>
            <w:tcW w:w="1003" w:type="pct"/>
            <w:shd w:val="clear" w:color="auto" w:fill="auto"/>
          </w:tcPr>
          <w:p w14:paraId="00BAC7CB" w14:textId="77777777" w:rsidR="00871BDF" w:rsidRDefault="00871BDF">
            <w:pPr>
              <w:rPr>
                <w:rFonts w:ascii="宋体"/>
              </w:rPr>
            </w:pPr>
          </w:p>
        </w:tc>
        <w:tc>
          <w:tcPr>
            <w:tcW w:w="5" w:type="pct"/>
            <w:shd w:val="clear" w:color="auto" w:fill="auto"/>
          </w:tcPr>
          <w:p w14:paraId="00BAC7CC" w14:textId="77777777" w:rsidR="00871BDF" w:rsidRDefault="00871BDF">
            <w:pPr>
              <w:rPr>
                <w:rFonts w:ascii="宋体"/>
              </w:rPr>
            </w:pPr>
          </w:p>
        </w:tc>
        <w:tc>
          <w:tcPr>
            <w:tcW w:w="50" w:type="pct"/>
            <w:shd w:val="clear" w:color="auto" w:fill="auto"/>
          </w:tcPr>
          <w:p w14:paraId="00BAC7CD" w14:textId="77777777" w:rsidR="00871BDF" w:rsidRDefault="00871BDF">
            <w:pPr>
              <w:rPr>
                <w:rFonts w:ascii="宋体"/>
              </w:rPr>
            </w:pPr>
          </w:p>
        </w:tc>
        <w:tc>
          <w:tcPr>
            <w:tcW w:w="133" w:type="pct"/>
            <w:shd w:val="clear" w:color="auto" w:fill="auto"/>
          </w:tcPr>
          <w:p w14:paraId="00BAC7CE" w14:textId="77777777" w:rsidR="00871BDF" w:rsidRDefault="00871BDF">
            <w:pPr>
              <w:rPr>
                <w:rFonts w:ascii="宋体"/>
              </w:rPr>
            </w:pPr>
          </w:p>
        </w:tc>
        <w:tc>
          <w:tcPr>
            <w:tcW w:w="5" w:type="pct"/>
            <w:shd w:val="clear" w:color="auto" w:fill="auto"/>
          </w:tcPr>
          <w:p w14:paraId="00BAC7CF" w14:textId="77777777" w:rsidR="00871BDF" w:rsidRDefault="00871BDF">
            <w:pPr>
              <w:rPr>
                <w:rFonts w:ascii="宋体"/>
              </w:rPr>
            </w:pPr>
          </w:p>
        </w:tc>
        <w:tc>
          <w:tcPr>
            <w:tcW w:w="50" w:type="pct"/>
            <w:shd w:val="clear" w:color="auto" w:fill="auto"/>
          </w:tcPr>
          <w:p w14:paraId="00BAC7D0" w14:textId="77777777" w:rsidR="00871BDF" w:rsidRDefault="00871BDF">
            <w:pPr>
              <w:rPr>
                <w:rFonts w:ascii="宋体"/>
              </w:rPr>
            </w:pPr>
          </w:p>
        </w:tc>
        <w:tc>
          <w:tcPr>
            <w:tcW w:w="1003" w:type="pct"/>
            <w:shd w:val="clear" w:color="auto" w:fill="auto"/>
          </w:tcPr>
          <w:p w14:paraId="00BAC7D1" w14:textId="77777777" w:rsidR="00871BDF" w:rsidRDefault="00871BDF">
            <w:pPr>
              <w:rPr>
                <w:rFonts w:ascii="宋体"/>
              </w:rPr>
            </w:pPr>
          </w:p>
        </w:tc>
        <w:tc>
          <w:tcPr>
            <w:tcW w:w="5" w:type="pct"/>
            <w:shd w:val="clear" w:color="auto" w:fill="auto"/>
          </w:tcPr>
          <w:p w14:paraId="00BAC7D2" w14:textId="77777777" w:rsidR="00871BDF" w:rsidRDefault="00871BDF">
            <w:pPr>
              <w:rPr>
                <w:rFonts w:ascii="宋体"/>
              </w:rPr>
            </w:pPr>
          </w:p>
        </w:tc>
        <w:tc>
          <w:tcPr>
            <w:tcW w:w="50" w:type="pct"/>
            <w:shd w:val="clear" w:color="auto" w:fill="auto"/>
          </w:tcPr>
          <w:p w14:paraId="00BAC7D3" w14:textId="77777777" w:rsidR="00871BDF" w:rsidRDefault="00871BDF">
            <w:pPr>
              <w:rPr>
                <w:rFonts w:ascii="宋体"/>
              </w:rPr>
            </w:pPr>
          </w:p>
        </w:tc>
        <w:tc>
          <w:tcPr>
            <w:tcW w:w="146" w:type="pct"/>
            <w:shd w:val="clear" w:color="auto" w:fill="auto"/>
          </w:tcPr>
          <w:p w14:paraId="00BAC7D4" w14:textId="77777777" w:rsidR="00871BDF" w:rsidRDefault="00871BDF">
            <w:pPr>
              <w:rPr>
                <w:rFonts w:ascii="宋体"/>
              </w:rPr>
            </w:pPr>
          </w:p>
        </w:tc>
        <w:tc>
          <w:tcPr>
            <w:tcW w:w="5" w:type="pct"/>
            <w:shd w:val="clear" w:color="auto" w:fill="auto"/>
          </w:tcPr>
          <w:p w14:paraId="00BAC7D5" w14:textId="77777777" w:rsidR="00871BDF" w:rsidRDefault="00871BDF">
            <w:pPr>
              <w:rPr>
                <w:rFonts w:ascii="宋体"/>
              </w:rPr>
            </w:pPr>
          </w:p>
        </w:tc>
        <w:tc>
          <w:tcPr>
            <w:tcW w:w="50" w:type="pct"/>
            <w:shd w:val="clear" w:color="auto" w:fill="auto"/>
          </w:tcPr>
          <w:p w14:paraId="00BAC7D6" w14:textId="77777777" w:rsidR="00871BDF" w:rsidRDefault="00871BDF">
            <w:pPr>
              <w:rPr>
                <w:rFonts w:ascii="宋体"/>
              </w:rPr>
            </w:pPr>
          </w:p>
        </w:tc>
        <w:tc>
          <w:tcPr>
            <w:tcW w:w="1003" w:type="pct"/>
            <w:shd w:val="clear" w:color="auto" w:fill="auto"/>
          </w:tcPr>
          <w:p w14:paraId="00BAC7D7" w14:textId="77777777" w:rsidR="00871BDF" w:rsidRDefault="00871BDF">
            <w:pPr>
              <w:rPr>
                <w:rFonts w:ascii="宋体"/>
              </w:rPr>
            </w:pPr>
          </w:p>
        </w:tc>
        <w:tc>
          <w:tcPr>
            <w:tcW w:w="5" w:type="pct"/>
            <w:shd w:val="clear" w:color="auto" w:fill="auto"/>
          </w:tcPr>
          <w:p w14:paraId="00BAC7D8" w14:textId="77777777" w:rsidR="00871BDF" w:rsidRDefault="00871BDF">
            <w:pPr>
              <w:rPr>
                <w:rFonts w:ascii="宋体"/>
              </w:rPr>
            </w:pPr>
          </w:p>
        </w:tc>
        <w:tc>
          <w:tcPr>
            <w:tcW w:w="50" w:type="pct"/>
            <w:shd w:val="clear" w:color="auto" w:fill="auto"/>
          </w:tcPr>
          <w:p w14:paraId="00BAC7D9" w14:textId="77777777" w:rsidR="00871BDF" w:rsidRDefault="00871BDF">
            <w:pPr>
              <w:rPr>
                <w:rFonts w:ascii="宋体"/>
              </w:rPr>
            </w:pPr>
          </w:p>
        </w:tc>
        <w:tc>
          <w:tcPr>
            <w:tcW w:w="133" w:type="pct"/>
            <w:shd w:val="clear" w:color="auto" w:fill="auto"/>
          </w:tcPr>
          <w:p w14:paraId="00BAC7DA" w14:textId="77777777" w:rsidR="00871BDF" w:rsidRDefault="00871BDF">
            <w:pPr>
              <w:rPr>
                <w:rFonts w:ascii="宋体"/>
              </w:rPr>
            </w:pPr>
          </w:p>
        </w:tc>
        <w:tc>
          <w:tcPr>
            <w:tcW w:w="5" w:type="pct"/>
            <w:shd w:val="clear" w:color="auto" w:fill="auto"/>
          </w:tcPr>
          <w:p w14:paraId="00BAC7DB" w14:textId="77777777" w:rsidR="00871BDF" w:rsidRDefault="00871BDF">
            <w:pPr>
              <w:rPr>
                <w:rFonts w:ascii="宋体"/>
              </w:rPr>
            </w:pPr>
          </w:p>
        </w:tc>
        <w:tc>
          <w:tcPr>
            <w:tcW w:w="50" w:type="pct"/>
            <w:shd w:val="clear" w:color="auto" w:fill="auto"/>
          </w:tcPr>
          <w:p w14:paraId="00BAC7DC" w14:textId="77777777" w:rsidR="00871BDF" w:rsidRDefault="00871BDF">
            <w:pPr>
              <w:rPr>
                <w:rFonts w:ascii="宋体"/>
              </w:rPr>
            </w:pPr>
          </w:p>
        </w:tc>
        <w:tc>
          <w:tcPr>
            <w:tcW w:w="1003" w:type="pct"/>
            <w:shd w:val="clear" w:color="auto" w:fill="auto"/>
          </w:tcPr>
          <w:p w14:paraId="00BAC7DD" w14:textId="77777777" w:rsidR="00871BDF" w:rsidRDefault="00871BDF">
            <w:pPr>
              <w:rPr>
                <w:rFonts w:ascii="宋体"/>
              </w:rPr>
            </w:pPr>
          </w:p>
        </w:tc>
        <w:tc>
          <w:tcPr>
            <w:tcW w:w="5" w:type="pct"/>
            <w:shd w:val="clear" w:color="auto" w:fill="auto"/>
          </w:tcPr>
          <w:p w14:paraId="00BAC7DE" w14:textId="77777777" w:rsidR="00871BDF" w:rsidRDefault="00871BDF">
            <w:pPr>
              <w:rPr>
                <w:rFonts w:ascii="宋体"/>
              </w:rPr>
            </w:pPr>
          </w:p>
        </w:tc>
        <w:tc>
          <w:tcPr>
            <w:tcW w:w="50" w:type="pct"/>
            <w:shd w:val="clear" w:color="auto" w:fill="auto"/>
          </w:tcPr>
          <w:p w14:paraId="00BAC7DF" w14:textId="77777777" w:rsidR="00871BDF" w:rsidRDefault="00871BDF">
            <w:pPr>
              <w:rPr>
                <w:rFonts w:ascii="宋体"/>
              </w:rPr>
            </w:pPr>
          </w:p>
        </w:tc>
        <w:tc>
          <w:tcPr>
            <w:tcW w:w="133" w:type="pct"/>
            <w:shd w:val="clear" w:color="auto" w:fill="auto"/>
          </w:tcPr>
          <w:p w14:paraId="00BAC7E0" w14:textId="77777777" w:rsidR="00871BDF" w:rsidRDefault="00871BDF">
            <w:pPr>
              <w:rPr>
                <w:rFonts w:ascii="宋体"/>
              </w:rPr>
            </w:pPr>
          </w:p>
        </w:tc>
        <w:tc>
          <w:tcPr>
            <w:tcW w:w="5" w:type="pct"/>
            <w:shd w:val="clear" w:color="auto" w:fill="auto"/>
          </w:tcPr>
          <w:p w14:paraId="00BAC7E1" w14:textId="77777777" w:rsidR="00871BDF" w:rsidRDefault="00871BDF">
            <w:pPr>
              <w:rPr>
                <w:rFonts w:ascii="宋体"/>
              </w:rPr>
            </w:pPr>
          </w:p>
        </w:tc>
      </w:tr>
      <w:tr w:rsidR="00871BDF" w14:paraId="00BAC7ED" w14:textId="77777777">
        <w:tc>
          <w:tcPr>
            <w:tcW w:w="0" w:type="auto"/>
            <w:gridSpan w:val="3"/>
            <w:shd w:val="clear" w:color="auto" w:fill="auto"/>
            <w:tcMar>
              <w:top w:w="40" w:type="dxa"/>
              <w:left w:w="20" w:type="dxa"/>
              <w:bottom w:w="40" w:type="dxa"/>
              <w:right w:w="20" w:type="dxa"/>
            </w:tcMar>
            <w:vAlign w:val="center"/>
          </w:tcPr>
          <w:p w14:paraId="00BAC7E3" w14:textId="77777777" w:rsidR="00871BDF" w:rsidRDefault="005C5088">
            <w:pPr>
              <w:textAlignment w:val="center"/>
            </w:pPr>
            <w:r>
              <w:rPr>
                <w:rFonts w:ascii="Times New Roman" w:eastAsia="宋体" w:hAnsi="Times New Roman"/>
                <w:color w:val="000000"/>
                <w:sz w:val="20"/>
                <w:szCs w:val="20"/>
              </w:rPr>
              <w:t>Large accelerated filer</w:t>
            </w:r>
          </w:p>
        </w:tc>
        <w:tc>
          <w:tcPr>
            <w:tcW w:w="0" w:type="auto"/>
            <w:gridSpan w:val="3"/>
            <w:shd w:val="clear" w:color="auto" w:fill="auto"/>
            <w:tcMar>
              <w:top w:w="40" w:type="dxa"/>
              <w:left w:w="20" w:type="dxa"/>
              <w:bottom w:w="40" w:type="dxa"/>
              <w:right w:w="20" w:type="dxa"/>
            </w:tcMar>
            <w:vAlign w:val="center"/>
          </w:tcPr>
          <w:p w14:paraId="00BAC7E4" w14:textId="77777777" w:rsidR="00871BDF" w:rsidRDefault="005C5088">
            <w:pPr>
              <w:textAlignment w:val="center"/>
            </w:pPr>
            <w:r>
              <w:rPr>
                <w:rFonts w:ascii="Wingdings" w:eastAsia="宋体" w:hAnsi="Wingdings" w:cs="Wingdings"/>
                <w:color w:val="000000"/>
                <w:sz w:val="20"/>
                <w:szCs w:val="20"/>
              </w:rPr>
              <w:t>x</w:t>
            </w:r>
          </w:p>
        </w:tc>
        <w:tc>
          <w:tcPr>
            <w:tcW w:w="0" w:type="auto"/>
            <w:gridSpan w:val="3"/>
            <w:shd w:val="clear" w:color="auto" w:fill="auto"/>
            <w:tcMar>
              <w:top w:w="40" w:type="dxa"/>
              <w:left w:w="20" w:type="dxa"/>
              <w:bottom w:w="40" w:type="dxa"/>
              <w:right w:w="20" w:type="dxa"/>
            </w:tcMar>
            <w:vAlign w:val="center"/>
          </w:tcPr>
          <w:p w14:paraId="00BAC7E5" w14:textId="77777777" w:rsidR="00871BDF" w:rsidRDefault="005C5088">
            <w:pPr>
              <w:textAlignment w:val="center"/>
            </w:pPr>
            <w:r>
              <w:rPr>
                <w:rFonts w:ascii="Times New Roman" w:eastAsia="宋体" w:hAnsi="Times New Roman"/>
                <w:color w:val="000000"/>
                <w:sz w:val="20"/>
                <w:szCs w:val="20"/>
              </w:rPr>
              <w:t>Accelerated filer</w:t>
            </w:r>
          </w:p>
        </w:tc>
        <w:tc>
          <w:tcPr>
            <w:tcW w:w="0" w:type="auto"/>
            <w:gridSpan w:val="3"/>
            <w:shd w:val="clear" w:color="auto" w:fill="auto"/>
            <w:tcMar>
              <w:top w:w="40" w:type="dxa"/>
              <w:left w:w="20" w:type="dxa"/>
              <w:bottom w:w="40" w:type="dxa"/>
              <w:right w:w="20" w:type="dxa"/>
            </w:tcMar>
            <w:vAlign w:val="center"/>
          </w:tcPr>
          <w:p w14:paraId="00BAC7E6" w14:textId="77777777" w:rsidR="00871BDF" w:rsidRDefault="005C5088">
            <w:pPr>
              <w:textAlignment w:val="center"/>
            </w:pPr>
            <w:r>
              <w:rPr>
                <w:rFonts w:ascii="Wingdings" w:eastAsia="宋体" w:hAnsi="Wingdings" w:cs="Wingdings"/>
                <w:color w:val="000000"/>
                <w:sz w:val="20"/>
                <w:szCs w:val="20"/>
              </w:rPr>
              <w:t>¨</w:t>
            </w:r>
          </w:p>
          <w:p w14:paraId="00BAC7E7" w14:textId="77777777" w:rsidR="00871BDF" w:rsidRDefault="00871BDF">
            <w:pPr>
              <w:textAlignment w:val="center"/>
            </w:pPr>
          </w:p>
        </w:tc>
        <w:tc>
          <w:tcPr>
            <w:tcW w:w="0" w:type="auto"/>
            <w:gridSpan w:val="3"/>
            <w:shd w:val="clear" w:color="auto" w:fill="auto"/>
            <w:tcMar>
              <w:top w:w="40" w:type="dxa"/>
              <w:left w:w="20" w:type="dxa"/>
              <w:bottom w:w="40" w:type="dxa"/>
              <w:right w:w="20" w:type="dxa"/>
            </w:tcMar>
            <w:vAlign w:val="center"/>
          </w:tcPr>
          <w:p w14:paraId="00BAC7E8" w14:textId="77777777" w:rsidR="00871BDF" w:rsidRDefault="005C5088">
            <w:pPr>
              <w:textAlignment w:val="center"/>
            </w:pPr>
            <w:r>
              <w:rPr>
                <w:rFonts w:ascii="Times New Roman" w:eastAsia="宋体" w:hAnsi="Times New Roman"/>
                <w:color w:val="000000"/>
                <w:sz w:val="20"/>
                <w:szCs w:val="20"/>
              </w:rPr>
              <w:t>Non-accelerated filer</w:t>
            </w:r>
          </w:p>
        </w:tc>
        <w:tc>
          <w:tcPr>
            <w:tcW w:w="0" w:type="auto"/>
            <w:gridSpan w:val="3"/>
            <w:shd w:val="clear" w:color="auto" w:fill="auto"/>
            <w:tcMar>
              <w:top w:w="40" w:type="dxa"/>
              <w:left w:w="20" w:type="dxa"/>
              <w:bottom w:w="40" w:type="dxa"/>
              <w:right w:w="20" w:type="dxa"/>
            </w:tcMar>
            <w:vAlign w:val="center"/>
          </w:tcPr>
          <w:p w14:paraId="00BAC7E9" w14:textId="77777777" w:rsidR="00871BDF" w:rsidRDefault="005C5088">
            <w:pPr>
              <w:textAlignment w:val="center"/>
            </w:pPr>
            <w:r>
              <w:rPr>
                <w:rFonts w:ascii="Wingdings" w:eastAsia="宋体" w:hAnsi="Wingdings" w:cs="Wingdings"/>
                <w:color w:val="000000"/>
                <w:sz w:val="20"/>
                <w:szCs w:val="20"/>
              </w:rPr>
              <w:t>¨</w:t>
            </w:r>
          </w:p>
          <w:p w14:paraId="00BAC7EA" w14:textId="77777777" w:rsidR="00871BDF" w:rsidRDefault="00871BDF">
            <w:pPr>
              <w:textAlignment w:val="center"/>
            </w:pPr>
          </w:p>
        </w:tc>
        <w:tc>
          <w:tcPr>
            <w:tcW w:w="0" w:type="auto"/>
            <w:gridSpan w:val="3"/>
            <w:shd w:val="clear" w:color="auto" w:fill="auto"/>
            <w:tcMar>
              <w:top w:w="40" w:type="dxa"/>
              <w:left w:w="20" w:type="dxa"/>
              <w:bottom w:w="40" w:type="dxa"/>
              <w:right w:w="20" w:type="dxa"/>
            </w:tcMar>
            <w:vAlign w:val="center"/>
          </w:tcPr>
          <w:p w14:paraId="00BAC7EB" w14:textId="77777777" w:rsidR="00871BDF" w:rsidRDefault="005C5088">
            <w:pPr>
              <w:textAlignment w:val="center"/>
            </w:pPr>
            <w:r>
              <w:rPr>
                <w:rFonts w:ascii="Times New Roman" w:eastAsia="宋体" w:hAnsi="Times New Roman"/>
                <w:color w:val="000000"/>
                <w:sz w:val="20"/>
                <w:szCs w:val="20"/>
              </w:rPr>
              <w:t>Smaller reporting company</w:t>
            </w:r>
          </w:p>
        </w:tc>
        <w:tc>
          <w:tcPr>
            <w:tcW w:w="0" w:type="auto"/>
            <w:gridSpan w:val="3"/>
            <w:shd w:val="clear" w:color="auto" w:fill="auto"/>
            <w:tcMar>
              <w:top w:w="40" w:type="dxa"/>
              <w:left w:w="20" w:type="dxa"/>
              <w:bottom w:w="40" w:type="dxa"/>
              <w:right w:w="20" w:type="dxa"/>
            </w:tcMar>
            <w:vAlign w:val="center"/>
          </w:tcPr>
          <w:p w14:paraId="00BAC7EC" w14:textId="77777777" w:rsidR="00871BDF" w:rsidRDefault="005C5088">
            <w:pPr>
              <w:textAlignment w:val="center"/>
            </w:pPr>
            <w:r>
              <w:rPr>
                <w:rFonts w:ascii="Arial Unicode MS" w:eastAsia="Arial Unicode MS" w:hAnsi="Arial Unicode MS" w:cs="Arial Unicode MS" w:hint="eastAsia"/>
                <w:color w:val="000000"/>
                <w:sz w:val="20"/>
                <w:szCs w:val="20"/>
              </w:rPr>
              <w:t>☐</w:t>
            </w:r>
          </w:p>
        </w:tc>
      </w:tr>
      <w:tr w:rsidR="00871BDF" w14:paraId="00BAC7F6" w14:textId="77777777">
        <w:trPr>
          <w:trHeight w:val="60"/>
        </w:trPr>
        <w:tc>
          <w:tcPr>
            <w:tcW w:w="0" w:type="auto"/>
            <w:gridSpan w:val="3"/>
            <w:shd w:val="clear" w:color="auto" w:fill="auto"/>
            <w:tcMar>
              <w:top w:w="0" w:type="dxa"/>
              <w:left w:w="20" w:type="dxa"/>
              <w:bottom w:w="0" w:type="dxa"/>
              <w:right w:w="20" w:type="dxa"/>
            </w:tcMar>
          </w:tcPr>
          <w:p w14:paraId="00BAC7EE"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7EF"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7F0"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7F1"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7F2"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7F3"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7F4"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7F5" w14:textId="77777777" w:rsidR="00871BDF" w:rsidRDefault="00871BDF">
            <w:pPr>
              <w:rPr>
                <w:rFonts w:ascii="宋体"/>
              </w:rPr>
            </w:pPr>
          </w:p>
        </w:tc>
      </w:tr>
      <w:tr w:rsidR="00871BDF" w14:paraId="00BAC7FF" w14:textId="77777777">
        <w:tc>
          <w:tcPr>
            <w:tcW w:w="0" w:type="auto"/>
            <w:gridSpan w:val="3"/>
            <w:shd w:val="clear" w:color="auto" w:fill="auto"/>
            <w:tcMar>
              <w:top w:w="40" w:type="dxa"/>
              <w:left w:w="20" w:type="dxa"/>
              <w:bottom w:w="40" w:type="dxa"/>
              <w:right w:w="20" w:type="dxa"/>
            </w:tcMar>
            <w:vAlign w:val="center"/>
          </w:tcPr>
          <w:p w14:paraId="00BAC7F7" w14:textId="77777777" w:rsidR="00871BDF" w:rsidRDefault="005C5088">
            <w:pPr>
              <w:textAlignment w:val="center"/>
            </w:pPr>
            <w:r>
              <w:rPr>
                <w:rFonts w:ascii="Times New Roman" w:eastAsia="宋体" w:hAnsi="Times New Roman"/>
                <w:color w:val="000000"/>
                <w:sz w:val="20"/>
                <w:szCs w:val="20"/>
              </w:rPr>
              <w:t>Emerging growth company</w:t>
            </w:r>
          </w:p>
        </w:tc>
        <w:tc>
          <w:tcPr>
            <w:tcW w:w="0" w:type="auto"/>
            <w:gridSpan w:val="3"/>
            <w:shd w:val="clear" w:color="auto" w:fill="auto"/>
            <w:tcMar>
              <w:top w:w="40" w:type="dxa"/>
              <w:left w:w="20" w:type="dxa"/>
              <w:bottom w:w="40" w:type="dxa"/>
              <w:right w:w="20" w:type="dxa"/>
            </w:tcMar>
            <w:vAlign w:val="center"/>
          </w:tcPr>
          <w:p w14:paraId="00BAC7F8" w14:textId="77777777" w:rsidR="00871BDF" w:rsidRDefault="005C5088">
            <w:pPr>
              <w:textAlignment w:val="center"/>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tcPr>
          <w:p w14:paraId="00BAC7F9"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7FA"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7FB"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7FC"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7FD"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7FE" w14:textId="77777777" w:rsidR="00871BDF" w:rsidRDefault="00871BDF">
            <w:pPr>
              <w:rPr>
                <w:rFonts w:ascii="宋体"/>
              </w:rPr>
            </w:pPr>
          </w:p>
        </w:tc>
      </w:tr>
    </w:tbl>
    <w:p w14:paraId="00BAC800" w14:textId="77777777" w:rsidR="00871BDF" w:rsidRDefault="00871BDF"/>
    <w:p w14:paraId="00BAC801" w14:textId="77777777" w:rsidR="00871BDF" w:rsidRDefault="005C5088">
      <w:r>
        <w:rPr>
          <w:rFonts w:ascii="Times New Roman" w:eastAsia="宋体" w:hAnsi="Times New Roman"/>
          <w:color w:val="000000"/>
          <w:sz w:val="20"/>
          <w:szCs w:val="20"/>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20"/>
          <w:szCs w:val="20"/>
        </w:rPr>
        <w:t>¨</w:t>
      </w:r>
    </w:p>
    <w:p w14:paraId="00BAC802" w14:textId="77777777" w:rsidR="00871BDF" w:rsidRDefault="005C5088">
      <w:pPr>
        <w:spacing w:before="120"/>
      </w:pPr>
      <w:r>
        <w:rPr>
          <w:rFonts w:ascii="Times New Roman" w:eastAsia="宋体" w:hAnsi="Times New Roman"/>
          <w:color w:val="000000"/>
          <w:sz w:val="20"/>
          <w:szCs w:val="20"/>
        </w:rPr>
        <w:t>Ind</w:t>
      </w:r>
      <w:r>
        <w:rPr>
          <w:rFonts w:ascii="Times New Roman" w:eastAsia="宋体" w:hAnsi="Times New Roman"/>
          <w:color w:val="000000"/>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Times New Roman" w:eastAsia="宋体" w:hAnsi="Times New Roman"/>
          <w:color w:val="000000"/>
          <w:sz w:val="20"/>
          <w:szCs w:val="20"/>
        </w:rPr>
        <w:t>registered public accounting firm that prepared or issued its audit report.  </w:t>
      </w:r>
      <w:r>
        <w:rPr>
          <w:rFonts w:ascii="Wingdings" w:eastAsia="宋体" w:hAnsi="Wingdings" w:cs="Wingdings"/>
          <w:color w:val="000000"/>
          <w:sz w:val="20"/>
          <w:szCs w:val="20"/>
        </w:rPr>
        <w:t>x</w:t>
      </w:r>
    </w:p>
    <w:p w14:paraId="00BAC803" w14:textId="77777777" w:rsidR="00871BDF" w:rsidRDefault="005C5088">
      <w:pPr>
        <w:spacing w:before="120"/>
      </w:pPr>
      <w:r>
        <w:rPr>
          <w:rFonts w:ascii="Times New Roman" w:eastAsia="宋体" w:hAnsi="Times New Roman"/>
          <w:color w:val="000000"/>
          <w:sz w:val="20"/>
          <w:szCs w:val="20"/>
        </w:rPr>
        <w:t>Indicate by check mark whether the registrant is a shell company (as defined in Rule 12b-2 of the Act).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20"/>
          <w:szCs w:val="20"/>
        </w:rPr>
        <w:t>    No  </w:t>
      </w:r>
      <w:r>
        <w:rPr>
          <w:rFonts w:ascii="Wingdings" w:eastAsia="宋体" w:hAnsi="Wingdings" w:cs="Wingdings"/>
          <w:color w:val="000000"/>
          <w:sz w:val="20"/>
          <w:szCs w:val="20"/>
        </w:rPr>
        <w:t>x</w:t>
      </w:r>
    </w:p>
    <w:p w14:paraId="00BAC804" w14:textId="77777777" w:rsidR="00871BDF" w:rsidRDefault="00871BDF"/>
    <w:p w14:paraId="00BAC805" w14:textId="77777777" w:rsidR="00871BDF" w:rsidRDefault="005C5088">
      <w:r>
        <w:rPr>
          <w:rFonts w:ascii="Times New Roman" w:eastAsia="宋体" w:hAnsi="Times New Roman"/>
          <w:color w:val="000000"/>
          <w:sz w:val="20"/>
          <w:szCs w:val="20"/>
        </w:rPr>
        <w:t xml:space="preserve">The aggregate market value of the voting stock held </w:t>
      </w:r>
      <w:r>
        <w:rPr>
          <w:rFonts w:ascii="Times New Roman" w:eastAsia="宋体" w:hAnsi="Times New Roman"/>
          <w:color w:val="000000"/>
          <w:sz w:val="20"/>
          <w:szCs w:val="20"/>
        </w:rPr>
        <w:t xml:space="preserve">by non-affiliates of the registrant as of the last business day of the registrant’s most recently completed second fiscal quarter, based upon the closing sale price of the registrant’s common stock on March 29, 2020 as reported on the NASDAQ Global Select </w:t>
      </w:r>
      <w:r>
        <w:rPr>
          <w:rFonts w:ascii="Times New Roman" w:eastAsia="宋体" w:hAnsi="Times New Roman"/>
          <w:color w:val="000000"/>
          <w:sz w:val="20"/>
          <w:szCs w:val="20"/>
        </w:rPr>
        <w:t>Market was $77.4 billion. As of November 6, 2020, there were 1,173.7 million shares of the registrant’s Common Stock outstanding.</w:t>
      </w:r>
    </w:p>
    <w:p w14:paraId="00BAC806" w14:textId="77777777" w:rsidR="00871BDF" w:rsidRDefault="00871BDF"/>
    <w:p w14:paraId="00BAC807" w14:textId="77777777" w:rsidR="00871BDF" w:rsidRDefault="005C5088">
      <w:r>
        <w:pict w14:anchorId="00BB1461">
          <v:rect id="_x0000_i1025" style="width:415.3pt;height:1.5pt" o:hralign="center" o:hrstd="t" o:hr="t" fillcolor="#a0a0a0" stroked="f"/>
        </w:pict>
      </w:r>
    </w:p>
    <w:p w14:paraId="00BAC808" w14:textId="77777777" w:rsidR="00871BDF" w:rsidRDefault="005C5088">
      <w:hyperlink r:id="rId7" w:anchor="i54ccc64cb5384be5a4849ef1cdef4dde_7" w:history="1">
        <w:r>
          <w:rPr>
            <w:rStyle w:val="a5"/>
            <w:rFonts w:ascii="Times New Roman" w:eastAsia="宋体" w:hAnsi="Times New Roman"/>
            <w:sz w:val="20"/>
            <w:szCs w:val="20"/>
          </w:rPr>
          <w:t>Table of Contents</w:t>
        </w:r>
      </w:hyperlink>
    </w:p>
    <w:p w14:paraId="00BAC809" w14:textId="77777777" w:rsidR="00871BDF" w:rsidRDefault="00871BDF">
      <w:pPr>
        <w:spacing w:before="60"/>
        <w:jc w:val="center"/>
      </w:pPr>
    </w:p>
    <w:p w14:paraId="00BAC80A" w14:textId="77777777" w:rsidR="00871BDF" w:rsidRDefault="005C5088">
      <w:pPr>
        <w:spacing w:before="60"/>
        <w:jc w:val="center"/>
      </w:pPr>
      <w:r>
        <w:rPr>
          <w:rFonts w:ascii="Times New Roman" w:eastAsia="宋体" w:hAnsi="Times New Roman"/>
          <w:b/>
          <w:bCs/>
          <w:color w:val="000000"/>
          <w:sz w:val="20"/>
          <w:szCs w:val="20"/>
        </w:rPr>
        <w:t>DOCUMENTS INCORPORATED BY REFERENCE</w:t>
      </w:r>
    </w:p>
    <w:p w14:paraId="00BAC80B" w14:textId="77777777" w:rsidR="00871BDF" w:rsidRDefault="005C5088">
      <w:pPr>
        <w:spacing w:before="120"/>
      </w:pPr>
      <w:r>
        <w:rPr>
          <w:rFonts w:ascii="Times New Roman" w:eastAsia="宋体" w:hAnsi="Times New Roman"/>
          <w:color w:val="000000"/>
          <w:sz w:val="20"/>
          <w:szCs w:val="20"/>
        </w:rPr>
        <w:t>Portions of the definitive Proxy Statement for t</w:t>
      </w:r>
      <w:r>
        <w:rPr>
          <w:rFonts w:ascii="Times New Roman" w:eastAsia="宋体" w:hAnsi="Times New Roman"/>
          <w:color w:val="000000"/>
          <w:sz w:val="20"/>
          <w:szCs w:val="20"/>
        </w:rPr>
        <w:t>he registrant’s Annual Meeting of Shareholders to be held on March 17, 2021 have been incorporated by reference into Part III of this Annual Report on Form 10-K.</w:t>
      </w:r>
    </w:p>
    <w:p w14:paraId="00BAC80C" w14:textId="77777777" w:rsidR="00871BDF" w:rsidRDefault="00871BDF"/>
    <w:p w14:paraId="00BAC80D" w14:textId="77777777" w:rsidR="00871BDF" w:rsidRDefault="005C5088">
      <w:r>
        <w:pict w14:anchorId="00BB1462">
          <v:rect id="_x0000_i1026" style="width:415.3pt;height:1.5pt" o:hralign="center" o:hrstd="t" o:hr="t" fillcolor="#a0a0a0" stroked="f"/>
        </w:pict>
      </w:r>
    </w:p>
    <w:p w14:paraId="00BAC80E" w14:textId="77777777" w:rsidR="00871BDF" w:rsidRDefault="005C5088">
      <w:hyperlink r:id="rId8" w:anchor="i54ccc64cb5384be5a4849ef1cdef4dde_7" w:history="1">
        <w:r>
          <w:rPr>
            <w:rStyle w:val="a5"/>
            <w:rFonts w:ascii="Times New Roman" w:eastAsia="宋体" w:hAnsi="Times New Roman"/>
            <w:sz w:val="20"/>
            <w:szCs w:val="20"/>
          </w:rPr>
          <w:t>Table of Contents</w:t>
        </w:r>
      </w:hyperlink>
    </w:p>
    <w:p w14:paraId="00BAC80F" w14:textId="77777777" w:rsidR="00871BDF" w:rsidRDefault="005C5088">
      <w:pPr>
        <w:jc w:val="center"/>
      </w:pPr>
      <w:r>
        <w:rPr>
          <w:rFonts w:ascii="Times New Roman" w:eastAsia="宋体" w:hAnsi="Times New Roman"/>
          <w:b/>
          <w:bCs/>
          <w:color w:val="00704A"/>
          <w:sz w:val="20"/>
          <w:szCs w:val="20"/>
        </w:rPr>
        <w:t>STARBUCKS CORPORATION</w:t>
      </w:r>
    </w:p>
    <w:p w14:paraId="00BAC810" w14:textId="77777777" w:rsidR="00871BDF" w:rsidRDefault="005C5088">
      <w:pPr>
        <w:spacing w:before="60"/>
        <w:jc w:val="center"/>
      </w:pPr>
      <w:r>
        <w:rPr>
          <w:rFonts w:ascii="Times New Roman" w:eastAsia="宋体" w:hAnsi="Times New Roman"/>
          <w:b/>
          <w:bCs/>
          <w:color w:val="000000"/>
          <w:sz w:val="20"/>
          <w:szCs w:val="20"/>
        </w:rPr>
        <w:t>Form 10-K</w:t>
      </w:r>
    </w:p>
    <w:p w14:paraId="00BAC811" w14:textId="77777777" w:rsidR="00871BDF" w:rsidRDefault="005C5088">
      <w:pPr>
        <w:spacing w:before="60"/>
        <w:jc w:val="center"/>
      </w:pPr>
      <w:r>
        <w:rPr>
          <w:rFonts w:ascii="Times New Roman" w:eastAsia="宋体" w:hAnsi="Times New Roman"/>
          <w:b/>
          <w:bCs/>
          <w:color w:val="000000"/>
          <w:sz w:val="20"/>
          <w:szCs w:val="20"/>
        </w:rPr>
        <w:t xml:space="preserve">For the Fiscal Year Ended September 27, 2020 </w:t>
      </w:r>
    </w:p>
    <w:p w14:paraId="00BAC812" w14:textId="77777777" w:rsidR="00871BDF" w:rsidRDefault="005C5088">
      <w:pPr>
        <w:spacing w:before="60"/>
        <w:jc w:val="center"/>
      </w:pPr>
      <w:r>
        <w:rPr>
          <w:rFonts w:ascii="Times New Roman" w:eastAsia="宋体" w:hAnsi="Times New Roman"/>
          <w:b/>
          <w:bCs/>
          <w:color w:val="000000"/>
          <w:sz w:val="20"/>
          <w:szCs w:val="20"/>
        </w:rPr>
        <w:t>TABLE O</w:t>
      </w:r>
      <w:r>
        <w:rPr>
          <w:rFonts w:ascii="Times New Roman" w:eastAsia="宋体" w:hAnsi="Times New Roman"/>
          <w:b/>
          <w:bCs/>
          <w:color w:val="000000"/>
          <w:sz w:val="20"/>
          <w:szCs w:val="20"/>
        </w:rPr>
        <w:t>F CONTENTS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71"/>
        <w:gridCol w:w="755"/>
        <w:gridCol w:w="37"/>
        <w:gridCol w:w="69"/>
        <w:gridCol w:w="6818"/>
        <w:gridCol w:w="38"/>
        <w:gridCol w:w="69"/>
        <w:gridCol w:w="431"/>
        <w:gridCol w:w="36"/>
      </w:tblGrid>
      <w:tr w:rsidR="00871BDF" w14:paraId="00BAC81C" w14:textId="77777777">
        <w:trPr>
          <w:jc w:val="center"/>
        </w:trPr>
        <w:tc>
          <w:tcPr>
            <w:tcW w:w="50" w:type="pct"/>
            <w:shd w:val="clear" w:color="auto" w:fill="auto"/>
          </w:tcPr>
          <w:p w14:paraId="00BAC813" w14:textId="77777777" w:rsidR="00871BDF" w:rsidRDefault="00871BDF">
            <w:pPr>
              <w:rPr>
                <w:rFonts w:ascii="宋体"/>
              </w:rPr>
            </w:pPr>
          </w:p>
        </w:tc>
        <w:tc>
          <w:tcPr>
            <w:tcW w:w="464" w:type="pct"/>
            <w:shd w:val="clear" w:color="auto" w:fill="auto"/>
          </w:tcPr>
          <w:p w14:paraId="00BAC814" w14:textId="77777777" w:rsidR="00871BDF" w:rsidRDefault="00871BDF">
            <w:pPr>
              <w:rPr>
                <w:rFonts w:ascii="宋体"/>
              </w:rPr>
            </w:pPr>
          </w:p>
        </w:tc>
        <w:tc>
          <w:tcPr>
            <w:tcW w:w="5" w:type="pct"/>
            <w:shd w:val="clear" w:color="auto" w:fill="auto"/>
          </w:tcPr>
          <w:p w14:paraId="00BAC815" w14:textId="77777777" w:rsidR="00871BDF" w:rsidRDefault="00871BDF">
            <w:pPr>
              <w:rPr>
                <w:rFonts w:ascii="宋体"/>
              </w:rPr>
            </w:pPr>
          </w:p>
        </w:tc>
        <w:tc>
          <w:tcPr>
            <w:tcW w:w="50" w:type="pct"/>
            <w:shd w:val="clear" w:color="auto" w:fill="auto"/>
          </w:tcPr>
          <w:p w14:paraId="00BAC816" w14:textId="77777777" w:rsidR="00871BDF" w:rsidRDefault="00871BDF">
            <w:pPr>
              <w:rPr>
                <w:rFonts w:ascii="宋体"/>
              </w:rPr>
            </w:pPr>
          </w:p>
        </w:tc>
        <w:tc>
          <w:tcPr>
            <w:tcW w:w="4103" w:type="pct"/>
            <w:shd w:val="clear" w:color="auto" w:fill="auto"/>
          </w:tcPr>
          <w:p w14:paraId="00BAC817" w14:textId="77777777" w:rsidR="00871BDF" w:rsidRDefault="00871BDF">
            <w:pPr>
              <w:rPr>
                <w:rFonts w:ascii="宋体"/>
              </w:rPr>
            </w:pPr>
          </w:p>
        </w:tc>
        <w:tc>
          <w:tcPr>
            <w:tcW w:w="5" w:type="pct"/>
            <w:shd w:val="clear" w:color="auto" w:fill="auto"/>
          </w:tcPr>
          <w:p w14:paraId="00BAC818" w14:textId="77777777" w:rsidR="00871BDF" w:rsidRDefault="00871BDF">
            <w:pPr>
              <w:rPr>
                <w:rFonts w:ascii="宋体"/>
              </w:rPr>
            </w:pPr>
          </w:p>
        </w:tc>
        <w:tc>
          <w:tcPr>
            <w:tcW w:w="50" w:type="pct"/>
            <w:shd w:val="clear" w:color="auto" w:fill="auto"/>
          </w:tcPr>
          <w:p w14:paraId="00BAC819" w14:textId="77777777" w:rsidR="00871BDF" w:rsidRDefault="00871BDF">
            <w:pPr>
              <w:rPr>
                <w:rFonts w:ascii="宋体"/>
              </w:rPr>
            </w:pPr>
          </w:p>
        </w:tc>
        <w:tc>
          <w:tcPr>
            <w:tcW w:w="267" w:type="pct"/>
            <w:shd w:val="clear" w:color="auto" w:fill="auto"/>
          </w:tcPr>
          <w:p w14:paraId="00BAC81A" w14:textId="77777777" w:rsidR="00871BDF" w:rsidRDefault="00871BDF">
            <w:pPr>
              <w:rPr>
                <w:rFonts w:ascii="宋体"/>
              </w:rPr>
            </w:pPr>
          </w:p>
        </w:tc>
        <w:tc>
          <w:tcPr>
            <w:tcW w:w="5" w:type="pct"/>
            <w:shd w:val="clear" w:color="auto" w:fill="auto"/>
          </w:tcPr>
          <w:p w14:paraId="00BAC81B" w14:textId="77777777" w:rsidR="00871BDF" w:rsidRDefault="00871BDF">
            <w:pPr>
              <w:rPr>
                <w:rFonts w:ascii="宋体"/>
              </w:rPr>
            </w:pPr>
          </w:p>
        </w:tc>
      </w:tr>
      <w:tr w:rsidR="00871BDF" w14:paraId="00BAC81E" w14:textId="77777777">
        <w:trPr>
          <w:jc w:val="center"/>
        </w:trPr>
        <w:tc>
          <w:tcPr>
            <w:tcW w:w="0" w:type="auto"/>
            <w:gridSpan w:val="9"/>
            <w:shd w:val="clear" w:color="auto" w:fill="auto"/>
            <w:tcMar>
              <w:top w:w="40" w:type="dxa"/>
              <w:left w:w="20" w:type="dxa"/>
              <w:bottom w:w="40" w:type="dxa"/>
              <w:right w:w="20" w:type="dxa"/>
            </w:tcMar>
          </w:tcPr>
          <w:p w14:paraId="00BAC81D" w14:textId="77777777" w:rsidR="00871BDF" w:rsidRDefault="005C5088">
            <w:pPr>
              <w:jc w:val="center"/>
              <w:textAlignment w:val="top"/>
            </w:pPr>
            <w:r>
              <w:rPr>
                <w:rFonts w:ascii="Times New Roman" w:eastAsia="宋体" w:hAnsi="Times New Roman"/>
                <w:b/>
                <w:bCs/>
                <w:color w:val="00704A"/>
                <w:sz w:val="20"/>
                <w:szCs w:val="20"/>
              </w:rPr>
              <w:t>PART I</w:t>
            </w:r>
          </w:p>
        </w:tc>
      </w:tr>
      <w:tr w:rsidR="00871BDF" w14:paraId="00BAC822" w14:textId="77777777">
        <w:trPr>
          <w:jc w:val="center"/>
        </w:trPr>
        <w:tc>
          <w:tcPr>
            <w:tcW w:w="0" w:type="auto"/>
            <w:gridSpan w:val="3"/>
            <w:shd w:val="clear" w:color="auto" w:fill="auto"/>
            <w:tcMar>
              <w:top w:w="40" w:type="dxa"/>
              <w:left w:w="20" w:type="dxa"/>
              <w:bottom w:w="40" w:type="dxa"/>
              <w:right w:w="20" w:type="dxa"/>
            </w:tcMar>
            <w:vAlign w:val="bottom"/>
          </w:tcPr>
          <w:p w14:paraId="00BAC81F" w14:textId="77777777" w:rsidR="00871BDF" w:rsidRDefault="005C5088">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00BAC820" w14:textId="77777777" w:rsidR="00871BDF" w:rsidRDefault="005C5088">
            <w:pPr>
              <w:textAlignment w:val="bottom"/>
            </w:pPr>
            <w:hyperlink r:id="rId9" w:anchor="i54ccc64cb5384be5a4849ef1cdef4dde_16" w:history="1">
              <w:r>
                <w:rPr>
                  <w:rStyle w:val="a5"/>
                  <w:rFonts w:ascii="Times New Roman" w:eastAsia="宋体" w:hAnsi="Times New Roman"/>
                  <w:sz w:val="20"/>
                  <w:szCs w:val="20"/>
                </w:rPr>
                <w:t>Business</w:t>
              </w:r>
            </w:hyperlink>
          </w:p>
        </w:tc>
        <w:tc>
          <w:tcPr>
            <w:tcW w:w="0" w:type="auto"/>
            <w:gridSpan w:val="3"/>
            <w:shd w:val="clear" w:color="auto" w:fill="auto"/>
            <w:tcMar>
              <w:top w:w="40" w:type="dxa"/>
              <w:left w:w="20" w:type="dxa"/>
              <w:bottom w:w="40" w:type="dxa"/>
              <w:right w:w="20" w:type="dxa"/>
            </w:tcMar>
            <w:vAlign w:val="bottom"/>
          </w:tcPr>
          <w:p w14:paraId="00BAC821" w14:textId="77777777" w:rsidR="00871BDF" w:rsidRDefault="005C5088">
            <w:pPr>
              <w:jc w:val="right"/>
              <w:textAlignment w:val="bottom"/>
            </w:pPr>
            <w:hyperlink r:id="rId10" w:anchor="i54ccc64cb5384be5a4849ef1cdef4dde_16" w:history="1">
              <w:r>
                <w:rPr>
                  <w:rStyle w:val="a5"/>
                  <w:rFonts w:ascii="Times New Roman" w:eastAsia="宋体" w:hAnsi="Times New Roman"/>
                  <w:sz w:val="20"/>
                  <w:szCs w:val="20"/>
                </w:rPr>
                <w:t>2</w:t>
              </w:r>
            </w:hyperlink>
          </w:p>
        </w:tc>
      </w:tr>
      <w:tr w:rsidR="00871BDF" w14:paraId="00BAC826" w14:textId="77777777">
        <w:trPr>
          <w:jc w:val="center"/>
        </w:trPr>
        <w:tc>
          <w:tcPr>
            <w:tcW w:w="0" w:type="auto"/>
            <w:gridSpan w:val="3"/>
            <w:shd w:val="clear" w:color="auto" w:fill="auto"/>
            <w:tcMar>
              <w:top w:w="40" w:type="dxa"/>
              <w:left w:w="20" w:type="dxa"/>
              <w:bottom w:w="40" w:type="dxa"/>
              <w:right w:w="20" w:type="dxa"/>
            </w:tcMar>
          </w:tcPr>
          <w:p w14:paraId="00BAC823" w14:textId="77777777" w:rsidR="00871BDF" w:rsidRDefault="005C5088">
            <w:pPr>
              <w:textAlignment w:val="top"/>
            </w:pPr>
            <w:r>
              <w:rPr>
                <w:rFonts w:ascii="Times New Roman" w:eastAsia="宋体" w:hAnsi="Times New Roman"/>
                <w:b/>
                <w:bCs/>
                <w:color w:val="00704A"/>
                <w:sz w:val="20"/>
                <w:szCs w:val="20"/>
              </w:rPr>
              <w:t>Item 1A</w:t>
            </w:r>
          </w:p>
        </w:tc>
        <w:tc>
          <w:tcPr>
            <w:tcW w:w="0" w:type="auto"/>
            <w:gridSpan w:val="3"/>
            <w:shd w:val="clear" w:color="auto" w:fill="auto"/>
            <w:tcMar>
              <w:top w:w="40" w:type="dxa"/>
              <w:left w:w="20" w:type="dxa"/>
              <w:bottom w:w="40" w:type="dxa"/>
              <w:right w:w="20" w:type="dxa"/>
            </w:tcMar>
            <w:vAlign w:val="bottom"/>
          </w:tcPr>
          <w:p w14:paraId="00BAC824" w14:textId="77777777" w:rsidR="00871BDF" w:rsidRDefault="005C5088">
            <w:pPr>
              <w:textAlignment w:val="bottom"/>
            </w:pPr>
            <w:hyperlink r:id="rId11" w:anchor="i54ccc64cb5384be5a4849ef1cdef4dde_19"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00BAC825" w14:textId="77777777" w:rsidR="00871BDF" w:rsidRDefault="005C5088">
            <w:pPr>
              <w:jc w:val="right"/>
              <w:textAlignment w:val="bottom"/>
            </w:pPr>
            <w:hyperlink r:id="rId12" w:anchor="i54ccc64cb5384be5a4849ef1cdef4dde_19" w:history="1">
              <w:r>
                <w:rPr>
                  <w:rStyle w:val="a5"/>
                  <w:rFonts w:ascii="Times New Roman" w:eastAsia="宋体" w:hAnsi="Times New Roman"/>
                  <w:sz w:val="20"/>
                  <w:szCs w:val="20"/>
                </w:rPr>
                <w:t>9</w:t>
              </w:r>
            </w:hyperlink>
          </w:p>
        </w:tc>
      </w:tr>
      <w:tr w:rsidR="00871BDF" w14:paraId="00BAC82A" w14:textId="77777777">
        <w:trPr>
          <w:jc w:val="center"/>
        </w:trPr>
        <w:tc>
          <w:tcPr>
            <w:tcW w:w="0" w:type="auto"/>
            <w:gridSpan w:val="3"/>
            <w:shd w:val="clear" w:color="auto" w:fill="auto"/>
            <w:tcMar>
              <w:top w:w="40" w:type="dxa"/>
              <w:left w:w="20" w:type="dxa"/>
              <w:bottom w:w="40" w:type="dxa"/>
              <w:right w:w="20" w:type="dxa"/>
            </w:tcMar>
          </w:tcPr>
          <w:p w14:paraId="00BAC827" w14:textId="77777777" w:rsidR="00871BDF" w:rsidRDefault="005C5088">
            <w:pPr>
              <w:textAlignment w:val="top"/>
            </w:pPr>
            <w:r>
              <w:rPr>
                <w:rFonts w:ascii="Times New Roman" w:eastAsia="宋体" w:hAnsi="Times New Roman"/>
                <w:b/>
                <w:bCs/>
                <w:color w:val="00704A"/>
                <w:sz w:val="20"/>
                <w:szCs w:val="20"/>
              </w:rPr>
              <w:t>Item 1B</w:t>
            </w:r>
          </w:p>
        </w:tc>
        <w:tc>
          <w:tcPr>
            <w:tcW w:w="0" w:type="auto"/>
            <w:gridSpan w:val="3"/>
            <w:shd w:val="clear" w:color="auto" w:fill="auto"/>
            <w:tcMar>
              <w:top w:w="40" w:type="dxa"/>
              <w:left w:w="20" w:type="dxa"/>
              <w:bottom w:w="40" w:type="dxa"/>
              <w:right w:w="20" w:type="dxa"/>
            </w:tcMar>
            <w:vAlign w:val="bottom"/>
          </w:tcPr>
          <w:p w14:paraId="00BAC828" w14:textId="77777777" w:rsidR="00871BDF" w:rsidRDefault="005C5088">
            <w:pPr>
              <w:textAlignment w:val="bottom"/>
            </w:pPr>
            <w:hyperlink r:id="rId13" w:anchor="i54ccc64cb5384be5a4849ef1cdef4dde_22" w:history="1">
              <w:r>
                <w:rPr>
                  <w:rStyle w:val="a5"/>
                  <w:rFonts w:ascii="Times New Roman" w:eastAsia="宋体" w:hAnsi="Times New Roman"/>
                  <w:sz w:val="20"/>
                  <w:szCs w:val="20"/>
                </w:rPr>
                <w:t>Unresolved Staff Comments</w:t>
              </w:r>
            </w:hyperlink>
          </w:p>
        </w:tc>
        <w:tc>
          <w:tcPr>
            <w:tcW w:w="0" w:type="auto"/>
            <w:gridSpan w:val="3"/>
            <w:shd w:val="clear" w:color="auto" w:fill="auto"/>
            <w:tcMar>
              <w:top w:w="40" w:type="dxa"/>
              <w:left w:w="20" w:type="dxa"/>
              <w:bottom w:w="40" w:type="dxa"/>
              <w:right w:w="20" w:type="dxa"/>
            </w:tcMar>
            <w:vAlign w:val="bottom"/>
          </w:tcPr>
          <w:p w14:paraId="00BAC829" w14:textId="77777777" w:rsidR="00871BDF" w:rsidRDefault="005C5088">
            <w:pPr>
              <w:jc w:val="right"/>
              <w:textAlignment w:val="bottom"/>
            </w:pPr>
            <w:hyperlink r:id="rId14" w:anchor="i54ccc64cb5384be5a4849ef1cdef4dde_22" w:history="1">
              <w:r>
                <w:rPr>
                  <w:rStyle w:val="a5"/>
                  <w:rFonts w:ascii="Times New Roman" w:eastAsia="宋体" w:hAnsi="Times New Roman"/>
                  <w:sz w:val="20"/>
                  <w:szCs w:val="20"/>
                </w:rPr>
                <w:t>19</w:t>
              </w:r>
            </w:hyperlink>
          </w:p>
        </w:tc>
      </w:tr>
      <w:tr w:rsidR="00871BDF" w14:paraId="00BAC82E" w14:textId="77777777">
        <w:trPr>
          <w:jc w:val="center"/>
        </w:trPr>
        <w:tc>
          <w:tcPr>
            <w:tcW w:w="0" w:type="auto"/>
            <w:gridSpan w:val="3"/>
            <w:shd w:val="clear" w:color="auto" w:fill="auto"/>
            <w:tcMar>
              <w:top w:w="40" w:type="dxa"/>
              <w:left w:w="20" w:type="dxa"/>
              <w:bottom w:w="40" w:type="dxa"/>
              <w:right w:w="20" w:type="dxa"/>
            </w:tcMar>
          </w:tcPr>
          <w:p w14:paraId="00BAC82B" w14:textId="77777777" w:rsidR="00871BDF" w:rsidRDefault="005C5088">
            <w:pPr>
              <w:textAlignment w:val="top"/>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00BAC82C" w14:textId="77777777" w:rsidR="00871BDF" w:rsidRDefault="005C5088">
            <w:pPr>
              <w:textAlignment w:val="bottom"/>
            </w:pPr>
            <w:hyperlink r:id="rId15" w:anchor="i54ccc64cb5384be5a4849ef1cdef4dde_25" w:history="1">
              <w:r>
                <w:rPr>
                  <w:rStyle w:val="a5"/>
                  <w:rFonts w:ascii="Times New Roman" w:eastAsia="宋体" w:hAnsi="Times New Roman"/>
                  <w:sz w:val="20"/>
                  <w:szCs w:val="20"/>
                </w:rPr>
                <w:t>Properties</w:t>
              </w:r>
            </w:hyperlink>
          </w:p>
        </w:tc>
        <w:tc>
          <w:tcPr>
            <w:tcW w:w="0" w:type="auto"/>
            <w:gridSpan w:val="3"/>
            <w:shd w:val="clear" w:color="auto" w:fill="auto"/>
            <w:tcMar>
              <w:top w:w="40" w:type="dxa"/>
              <w:left w:w="20" w:type="dxa"/>
              <w:bottom w:w="40" w:type="dxa"/>
              <w:right w:w="20" w:type="dxa"/>
            </w:tcMar>
            <w:vAlign w:val="bottom"/>
          </w:tcPr>
          <w:p w14:paraId="00BAC82D" w14:textId="77777777" w:rsidR="00871BDF" w:rsidRDefault="005C5088">
            <w:pPr>
              <w:jc w:val="right"/>
              <w:textAlignment w:val="bottom"/>
            </w:pPr>
            <w:hyperlink r:id="rId16" w:anchor="i54ccc64cb5384be5a4849ef1cdef4dde_25" w:history="1">
              <w:r>
                <w:rPr>
                  <w:rStyle w:val="a5"/>
                  <w:rFonts w:ascii="Times New Roman" w:eastAsia="宋体" w:hAnsi="Times New Roman"/>
                  <w:sz w:val="20"/>
                  <w:szCs w:val="20"/>
                </w:rPr>
                <w:t>19</w:t>
              </w:r>
            </w:hyperlink>
          </w:p>
        </w:tc>
      </w:tr>
      <w:tr w:rsidR="00871BDF" w14:paraId="00BAC832" w14:textId="77777777">
        <w:trPr>
          <w:jc w:val="center"/>
        </w:trPr>
        <w:tc>
          <w:tcPr>
            <w:tcW w:w="0" w:type="auto"/>
            <w:gridSpan w:val="3"/>
            <w:shd w:val="clear" w:color="auto" w:fill="auto"/>
            <w:tcMar>
              <w:top w:w="40" w:type="dxa"/>
              <w:left w:w="20" w:type="dxa"/>
              <w:bottom w:w="40" w:type="dxa"/>
              <w:right w:w="20" w:type="dxa"/>
            </w:tcMar>
          </w:tcPr>
          <w:p w14:paraId="00BAC82F" w14:textId="77777777" w:rsidR="00871BDF" w:rsidRDefault="005C5088">
            <w:pPr>
              <w:textAlignment w:val="top"/>
            </w:pPr>
            <w:r>
              <w:rPr>
                <w:rFonts w:ascii="Times New Roman" w:eastAsia="宋体" w:hAnsi="Times New Roman"/>
                <w:b/>
                <w:bCs/>
                <w:color w:val="00704A"/>
                <w:sz w:val="20"/>
                <w:szCs w:val="20"/>
              </w:rPr>
              <w:t>Item 3</w:t>
            </w:r>
          </w:p>
        </w:tc>
        <w:tc>
          <w:tcPr>
            <w:tcW w:w="0" w:type="auto"/>
            <w:gridSpan w:val="3"/>
            <w:shd w:val="clear" w:color="auto" w:fill="auto"/>
            <w:tcMar>
              <w:top w:w="40" w:type="dxa"/>
              <w:left w:w="20" w:type="dxa"/>
              <w:bottom w:w="40" w:type="dxa"/>
              <w:right w:w="20" w:type="dxa"/>
            </w:tcMar>
            <w:vAlign w:val="bottom"/>
          </w:tcPr>
          <w:p w14:paraId="00BAC830" w14:textId="77777777" w:rsidR="00871BDF" w:rsidRDefault="005C5088">
            <w:pPr>
              <w:textAlignment w:val="bottom"/>
            </w:pPr>
            <w:hyperlink r:id="rId17" w:anchor="i54ccc64cb5384be5a4849ef1cdef4dde_28"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00BAC831" w14:textId="77777777" w:rsidR="00871BDF" w:rsidRDefault="005C5088">
            <w:pPr>
              <w:jc w:val="right"/>
              <w:textAlignment w:val="bottom"/>
            </w:pPr>
            <w:hyperlink r:id="rId18" w:anchor="i54ccc64cb5384be5a4849ef1cdef4dde_28" w:history="1">
              <w:r>
                <w:rPr>
                  <w:rStyle w:val="a5"/>
                  <w:rFonts w:ascii="Times New Roman" w:eastAsia="宋体" w:hAnsi="Times New Roman"/>
                  <w:sz w:val="20"/>
                  <w:szCs w:val="20"/>
                </w:rPr>
                <w:t>19</w:t>
              </w:r>
            </w:hyperlink>
          </w:p>
        </w:tc>
      </w:tr>
      <w:tr w:rsidR="00871BDF" w14:paraId="00BAC836" w14:textId="77777777">
        <w:trPr>
          <w:jc w:val="center"/>
        </w:trPr>
        <w:tc>
          <w:tcPr>
            <w:tcW w:w="0" w:type="auto"/>
            <w:gridSpan w:val="3"/>
            <w:shd w:val="clear" w:color="auto" w:fill="auto"/>
            <w:tcMar>
              <w:top w:w="40" w:type="dxa"/>
              <w:left w:w="20" w:type="dxa"/>
              <w:bottom w:w="40" w:type="dxa"/>
              <w:right w:w="20" w:type="dxa"/>
            </w:tcMar>
          </w:tcPr>
          <w:p w14:paraId="00BAC833" w14:textId="77777777" w:rsidR="00871BDF" w:rsidRDefault="005C5088">
            <w:pPr>
              <w:textAlignment w:val="top"/>
            </w:pPr>
            <w:r>
              <w:rPr>
                <w:rFonts w:ascii="Times New Roman" w:eastAsia="宋体" w:hAnsi="Times New Roman"/>
                <w:b/>
                <w:bCs/>
                <w:color w:val="00704A"/>
                <w:sz w:val="20"/>
                <w:szCs w:val="20"/>
              </w:rPr>
              <w:t>Item 4</w:t>
            </w:r>
          </w:p>
        </w:tc>
        <w:tc>
          <w:tcPr>
            <w:tcW w:w="0" w:type="auto"/>
            <w:gridSpan w:val="3"/>
            <w:shd w:val="clear" w:color="auto" w:fill="auto"/>
            <w:tcMar>
              <w:top w:w="40" w:type="dxa"/>
              <w:left w:w="20" w:type="dxa"/>
              <w:bottom w:w="40" w:type="dxa"/>
              <w:right w:w="20" w:type="dxa"/>
            </w:tcMar>
            <w:vAlign w:val="bottom"/>
          </w:tcPr>
          <w:p w14:paraId="00BAC834" w14:textId="77777777" w:rsidR="00871BDF" w:rsidRDefault="005C5088">
            <w:pPr>
              <w:textAlignment w:val="bottom"/>
            </w:pPr>
            <w:hyperlink r:id="rId19" w:anchor="i54ccc64cb5384be5a4849ef1cdef4dde_31" w:history="1">
              <w:r>
                <w:rPr>
                  <w:rStyle w:val="a5"/>
                  <w:rFonts w:ascii="Times New Roman" w:eastAsia="宋体" w:hAnsi="Times New Roman"/>
                  <w:sz w:val="20"/>
                  <w:szCs w:val="20"/>
                </w:rPr>
                <w:t>Mine Safety Disclosures</w:t>
              </w:r>
            </w:hyperlink>
          </w:p>
        </w:tc>
        <w:tc>
          <w:tcPr>
            <w:tcW w:w="0" w:type="auto"/>
            <w:gridSpan w:val="3"/>
            <w:shd w:val="clear" w:color="auto" w:fill="auto"/>
            <w:tcMar>
              <w:top w:w="40" w:type="dxa"/>
              <w:left w:w="20" w:type="dxa"/>
              <w:bottom w:w="40" w:type="dxa"/>
              <w:right w:w="20" w:type="dxa"/>
            </w:tcMar>
            <w:vAlign w:val="bottom"/>
          </w:tcPr>
          <w:p w14:paraId="00BAC835" w14:textId="77777777" w:rsidR="00871BDF" w:rsidRDefault="005C5088">
            <w:pPr>
              <w:jc w:val="right"/>
              <w:textAlignment w:val="bottom"/>
            </w:pPr>
            <w:hyperlink r:id="rId20" w:anchor="i54ccc64cb5384be5a4849ef1cdef4dde_31" w:history="1">
              <w:r>
                <w:rPr>
                  <w:rStyle w:val="a5"/>
                  <w:rFonts w:ascii="Times New Roman" w:eastAsia="宋体" w:hAnsi="Times New Roman"/>
                  <w:sz w:val="20"/>
                  <w:szCs w:val="20"/>
                </w:rPr>
                <w:t>19</w:t>
              </w:r>
            </w:hyperlink>
          </w:p>
        </w:tc>
      </w:tr>
      <w:tr w:rsidR="00871BDF" w14:paraId="00BAC838" w14:textId="77777777">
        <w:trPr>
          <w:jc w:val="center"/>
        </w:trPr>
        <w:tc>
          <w:tcPr>
            <w:tcW w:w="0" w:type="auto"/>
            <w:gridSpan w:val="9"/>
            <w:shd w:val="clear" w:color="auto" w:fill="auto"/>
            <w:tcMar>
              <w:top w:w="40" w:type="dxa"/>
              <w:left w:w="20" w:type="dxa"/>
              <w:bottom w:w="40" w:type="dxa"/>
              <w:right w:w="20" w:type="dxa"/>
            </w:tcMar>
          </w:tcPr>
          <w:p w14:paraId="00BAC837" w14:textId="77777777" w:rsidR="00871BDF" w:rsidRDefault="005C5088">
            <w:pPr>
              <w:jc w:val="center"/>
              <w:textAlignment w:val="top"/>
            </w:pPr>
            <w:r>
              <w:rPr>
                <w:rFonts w:ascii="Times New Roman" w:eastAsia="宋体" w:hAnsi="Times New Roman"/>
                <w:b/>
                <w:bCs/>
                <w:color w:val="00704A"/>
                <w:sz w:val="20"/>
                <w:szCs w:val="20"/>
              </w:rPr>
              <w:t>PART II</w:t>
            </w:r>
          </w:p>
        </w:tc>
      </w:tr>
      <w:tr w:rsidR="00871BDF" w14:paraId="00BAC83C" w14:textId="77777777">
        <w:trPr>
          <w:jc w:val="center"/>
        </w:trPr>
        <w:tc>
          <w:tcPr>
            <w:tcW w:w="0" w:type="auto"/>
            <w:gridSpan w:val="3"/>
            <w:shd w:val="clear" w:color="auto" w:fill="auto"/>
            <w:tcMar>
              <w:top w:w="40" w:type="dxa"/>
              <w:left w:w="20" w:type="dxa"/>
              <w:bottom w:w="40" w:type="dxa"/>
              <w:right w:w="20" w:type="dxa"/>
            </w:tcMar>
          </w:tcPr>
          <w:p w14:paraId="00BAC839" w14:textId="77777777" w:rsidR="00871BDF" w:rsidRDefault="005C5088">
            <w:pPr>
              <w:textAlignment w:val="top"/>
            </w:pPr>
            <w:r>
              <w:rPr>
                <w:rFonts w:ascii="Times New Roman" w:eastAsia="宋体" w:hAnsi="Times New Roman"/>
                <w:b/>
                <w:bCs/>
                <w:color w:val="00704A"/>
                <w:sz w:val="20"/>
                <w:szCs w:val="20"/>
              </w:rPr>
              <w:t>Item 5</w:t>
            </w:r>
          </w:p>
        </w:tc>
        <w:tc>
          <w:tcPr>
            <w:tcW w:w="0" w:type="auto"/>
            <w:gridSpan w:val="3"/>
            <w:shd w:val="clear" w:color="auto" w:fill="auto"/>
            <w:tcMar>
              <w:top w:w="40" w:type="dxa"/>
              <w:left w:w="20" w:type="dxa"/>
              <w:bottom w:w="40" w:type="dxa"/>
              <w:right w:w="20" w:type="dxa"/>
            </w:tcMar>
            <w:vAlign w:val="bottom"/>
          </w:tcPr>
          <w:p w14:paraId="00BAC83A" w14:textId="77777777" w:rsidR="00871BDF" w:rsidRDefault="005C5088">
            <w:pPr>
              <w:textAlignment w:val="bottom"/>
            </w:pPr>
            <w:hyperlink r:id="rId21" w:anchor="i54ccc64cb5384be5a4849ef1cdef4dde_37" w:history="1">
              <w:r>
                <w:rPr>
                  <w:rStyle w:val="a5"/>
                  <w:rFonts w:ascii="Times New Roman" w:eastAsia="宋体" w:hAnsi="Times New Roman"/>
                  <w:sz w:val="20"/>
                  <w:szCs w:val="20"/>
                </w:rPr>
                <w:t>Market for the Registrant’s Common Equity, Related Shareholder Matters and Issuer Purchases of Equity Sec</w:t>
              </w:r>
              <w:r>
                <w:rPr>
                  <w:rStyle w:val="a5"/>
                  <w:rFonts w:ascii="Times New Roman" w:eastAsia="宋体" w:hAnsi="Times New Roman"/>
                  <w:sz w:val="20"/>
                  <w:szCs w:val="20"/>
                </w:rPr>
                <w:t>urities</w:t>
              </w:r>
            </w:hyperlink>
          </w:p>
        </w:tc>
        <w:tc>
          <w:tcPr>
            <w:tcW w:w="0" w:type="auto"/>
            <w:gridSpan w:val="3"/>
            <w:shd w:val="clear" w:color="auto" w:fill="auto"/>
            <w:tcMar>
              <w:top w:w="40" w:type="dxa"/>
              <w:left w:w="20" w:type="dxa"/>
              <w:bottom w:w="40" w:type="dxa"/>
              <w:right w:w="20" w:type="dxa"/>
            </w:tcMar>
            <w:vAlign w:val="bottom"/>
          </w:tcPr>
          <w:p w14:paraId="00BAC83B" w14:textId="77777777" w:rsidR="00871BDF" w:rsidRDefault="005C5088">
            <w:pPr>
              <w:jc w:val="right"/>
              <w:textAlignment w:val="bottom"/>
            </w:pPr>
            <w:hyperlink r:id="rId22" w:anchor="i54ccc64cb5384be5a4849ef1cdef4dde_37" w:history="1">
              <w:r>
                <w:rPr>
                  <w:rStyle w:val="a5"/>
                  <w:rFonts w:ascii="Times New Roman" w:eastAsia="宋体" w:hAnsi="Times New Roman"/>
                  <w:sz w:val="20"/>
                  <w:szCs w:val="20"/>
                </w:rPr>
                <w:t>20</w:t>
              </w:r>
            </w:hyperlink>
          </w:p>
        </w:tc>
      </w:tr>
      <w:tr w:rsidR="00871BDF" w14:paraId="00BAC840" w14:textId="77777777">
        <w:trPr>
          <w:jc w:val="center"/>
        </w:trPr>
        <w:tc>
          <w:tcPr>
            <w:tcW w:w="0" w:type="auto"/>
            <w:gridSpan w:val="3"/>
            <w:shd w:val="clear" w:color="auto" w:fill="auto"/>
            <w:tcMar>
              <w:top w:w="40" w:type="dxa"/>
              <w:left w:w="20" w:type="dxa"/>
              <w:bottom w:w="40" w:type="dxa"/>
              <w:right w:w="20" w:type="dxa"/>
            </w:tcMar>
            <w:vAlign w:val="bottom"/>
          </w:tcPr>
          <w:p w14:paraId="00BAC83D" w14:textId="77777777" w:rsidR="00871BDF" w:rsidRDefault="005C5088">
            <w:pPr>
              <w:textAlignment w:val="bottom"/>
            </w:pPr>
            <w:r>
              <w:rPr>
                <w:rFonts w:ascii="Times New Roman" w:eastAsia="宋体" w:hAnsi="Times New Roman"/>
                <w:b/>
                <w:bCs/>
                <w:color w:val="00704A"/>
                <w:sz w:val="20"/>
                <w:szCs w:val="20"/>
              </w:rPr>
              <w:t>Item 6</w:t>
            </w:r>
          </w:p>
        </w:tc>
        <w:tc>
          <w:tcPr>
            <w:tcW w:w="0" w:type="auto"/>
            <w:gridSpan w:val="3"/>
            <w:shd w:val="clear" w:color="auto" w:fill="auto"/>
            <w:tcMar>
              <w:top w:w="40" w:type="dxa"/>
              <w:left w:w="20" w:type="dxa"/>
              <w:bottom w:w="40" w:type="dxa"/>
              <w:right w:w="20" w:type="dxa"/>
            </w:tcMar>
            <w:vAlign w:val="bottom"/>
          </w:tcPr>
          <w:p w14:paraId="00BAC83E" w14:textId="77777777" w:rsidR="00871BDF" w:rsidRDefault="005C5088">
            <w:pPr>
              <w:textAlignment w:val="bottom"/>
            </w:pPr>
            <w:hyperlink r:id="rId23" w:anchor="i54ccc64cb5384be5a4849ef1cdef4dde_40" w:history="1">
              <w:r>
                <w:rPr>
                  <w:rStyle w:val="a5"/>
                  <w:rFonts w:ascii="Times New Roman" w:eastAsia="宋体" w:hAnsi="Times New Roman"/>
                  <w:sz w:val="20"/>
                  <w:szCs w:val="20"/>
                </w:rPr>
                <w:t>Selected Financial Data</w:t>
              </w:r>
            </w:hyperlink>
          </w:p>
        </w:tc>
        <w:tc>
          <w:tcPr>
            <w:tcW w:w="0" w:type="auto"/>
            <w:gridSpan w:val="3"/>
            <w:shd w:val="clear" w:color="auto" w:fill="auto"/>
            <w:tcMar>
              <w:top w:w="40" w:type="dxa"/>
              <w:left w:w="20" w:type="dxa"/>
              <w:bottom w:w="40" w:type="dxa"/>
              <w:right w:w="20" w:type="dxa"/>
            </w:tcMar>
            <w:vAlign w:val="bottom"/>
          </w:tcPr>
          <w:p w14:paraId="00BAC83F" w14:textId="77777777" w:rsidR="00871BDF" w:rsidRDefault="005C5088">
            <w:pPr>
              <w:jc w:val="right"/>
              <w:textAlignment w:val="bottom"/>
            </w:pPr>
            <w:hyperlink r:id="rId24" w:anchor="i54ccc64cb5384be5a4849ef1cdef4dde_40" w:history="1">
              <w:r>
                <w:rPr>
                  <w:rStyle w:val="a5"/>
                  <w:rFonts w:ascii="Times New Roman" w:eastAsia="宋体" w:hAnsi="Times New Roman"/>
                  <w:sz w:val="20"/>
                  <w:szCs w:val="20"/>
                </w:rPr>
                <w:t>22</w:t>
              </w:r>
            </w:hyperlink>
          </w:p>
        </w:tc>
      </w:tr>
      <w:tr w:rsidR="00871BDF" w14:paraId="00BAC844" w14:textId="77777777">
        <w:trPr>
          <w:jc w:val="center"/>
        </w:trPr>
        <w:tc>
          <w:tcPr>
            <w:tcW w:w="0" w:type="auto"/>
            <w:gridSpan w:val="3"/>
            <w:shd w:val="clear" w:color="auto" w:fill="auto"/>
            <w:tcMar>
              <w:top w:w="40" w:type="dxa"/>
              <w:left w:w="20" w:type="dxa"/>
              <w:bottom w:w="40" w:type="dxa"/>
              <w:right w:w="20" w:type="dxa"/>
            </w:tcMar>
            <w:vAlign w:val="bottom"/>
          </w:tcPr>
          <w:p w14:paraId="00BAC841" w14:textId="77777777" w:rsidR="00871BDF" w:rsidRDefault="005C5088">
            <w:pPr>
              <w:textAlignment w:val="bottom"/>
            </w:pPr>
            <w:r>
              <w:rPr>
                <w:rFonts w:ascii="Times New Roman" w:eastAsia="宋体" w:hAnsi="Times New Roman"/>
                <w:b/>
                <w:bCs/>
                <w:color w:val="00704A"/>
                <w:sz w:val="20"/>
                <w:szCs w:val="20"/>
              </w:rPr>
              <w:t>Item 7</w:t>
            </w:r>
          </w:p>
        </w:tc>
        <w:tc>
          <w:tcPr>
            <w:tcW w:w="0" w:type="auto"/>
            <w:gridSpan w:val="3"/>
            <w:shd w:val="clear" w:color="auto" w:fill="auto"/>
            <w:tcMar>
              <w:top w:w="40" w:type="dxa"/>
              <w:left w:w="20" w:type="dxa"/>
              <w:bottom w:w="40" w:type="dxa"/>
              <w:right w:w="20" w:type="dxa"/>
            </w:tcMar>
            <w:vAlign w:val="bottom"/>
          </w:tcPr>
          <w:p w14:paraId="00BAC842" w14:textId="77777777" w:rsidR="00871BDF" w:rsidRDefault="005C5088">
            <w:pPr>
              <w:textAlignment w:val="bottom"/>
            </w:pPr>
            <w:hyperlink r:id="rId25" w:anchor="i54ccc64cb5384be5a4849ef1cdef4dde_43"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00BAC843" w14:textId="77777777" w:rsidR="00871BDF" w:rsidRDefault="005C5088">
            <w:pPr>
              <w:jc w:val="right"/>
              <w:textAlignment w:val="bottom"/>
            </w:pPr>
            <w:hyperlink r:id="rId26" w:anchor="i54ccc64cb5384be5a4849ef1cdef4dde_43" w:history="1">
              <w:r>
                <w:rPr>
                  <w:rStyle w:val="a5"/>
                  <w:rFonts w:ascii="Times New Roman" w:eastAsia="宋体" w:hAnsi="Times New Roman"/>
                  <w:sz w:val="20"/>
                  <w:szCs w:val="20"/>
                </w:rPr>
                <w:t>25</w:t>
              </w:r>
            </w:hyperlink>
          </w:p>
        </w:tc>
      </w:tr>
      <w:tr w:rsidR="00871BDF" w14:paraId="00BAC848" w14:textId="77777777">
        <w:trPr>
          <w:jc w:val="center"/>
        </w:trPr>
        <w:tc>
          <w:tcPr>
            <w:tcW w:w="0" w:type="auto"/>
            <w:gridSpan w:val="3"/>
            <w:shd w:val="clear" w:color="auto" w:fill="auto"/>
            <w:tcMar>
              <w:top w:w="40" w:type="dxa"/>
              <w:left w:w="20" w:type="dxa"/>
              <w:bottom w:w="40" w:type="dxa"/>
              <w:right w:w="20" w:type="dxa"/>
            </w:tcMar>
            <w:vAlign w:val="bottom"/>
          </w:tcPr>
          <w:p w14:paraId="00BAC845" w14:textId="77777777" w:rsidR="00871BDF" w:rsidRDefault="005C5088">
            <w:pPr>
              <w:textAlignment w:val="bottom"/>
            </w:pPr>
            <w:r>
              <w:rPr>
                <w:rFonts w:ascii="Times New Roman" w:eastAsia="宋体" w:hAnsi="Times New Roman"/>
                <w:b/>
                <w:bCs/>
                <w:color w:val="00704A"/>
                <w:sz w:val="20"/>
                <w:szCs w:val="20"/>
              </w:rPr>
              <w:t>Item 7A</w:t>
            </w:r>
          </w:p>
        </w:tc>
        <w:tc>
          <w:tcPr>
            <w:tcW w:w="0" w:type="auto"/>
            <w:gridSpan w:val="3"/>
            <w:shd w:val="clear" w:color="auto" w:fill="auto"/>
            <w:tcMar>
              <w:top w:w="40" w:type="dxa"/>
              <w:left w:w="20" w:type="dxa"/>
              <w:bottom w:w="40" w:type="dxa"/>
              <w:right w:w="20" w:type="dxa"/>
            </w:tcMar>
            <w:vAlign w:val="bottom"/>
          </w:tcPr>
          <w:p w14:paraId="00BAC846" w14:textId="77777777" w:rsidR="00871BDF" w:rsidRDefault="005C5088">
            <w:pPr>
              <w:textAlignment w:val="bottom"/>
            </w:pPr>
            <w:hyperlink r:id="rId27" w:anchor="i54ccc64cb5384be5a4849ef1cdef4dde_97"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00BAC847" w14:textId="77777777" w:rsidR="00871BDF" w:rsidRDefault="005C5088">
            <w:pPr>
              <w:jc w:val="right"/>
              <w:textAlignment w:val="bottom"/>
            </w:pPr>
            <w:hyperlink r:id="rId28" w:anchor="i54ccc64cb5384be5a4849ef1cdef4dde_97" w:history="1">
              <w:r>
                <w:rPr>
                  <w:rStyle w:val="a5"/>
                  <w:rFonts w:ascii="Times New Roman" w:eastAsia="宋体" w:hAnsi="Times New Roman"/>
                  <w:sz w:val="20"/>
                  <w:szCs w:val="20"/>
                </w:rPr>
                <w:t>46</w:t>
              </w:r>
            </w:hyperlink>
          </w:p>
        </w:tc>
      </w:tr>
      <w:tr w:rsidR="00871BDF" w14:paraId="00BAC84C" w14:textId="77777777">
        <w:trPr>
          <w:jc w:val="center"/>
        </w:trPr>
        <w:tc>
          <w:tcPr>
            <w:tcW w:w="0" w:type="auto"/>
            <w:gridSpan w:val="3"/>
            <w:shd w:val="clear" w:color="auto" w:fill="auto"/>
            <w:tcMar>
              <w:top w:w="40" w:type="dxa"/>
              <w:left w:w="20" w:type="dxa"/>
              <w:bottom w:w="40" w:type="dxa"/>
              <w:right w:w="20" w:type="dxa"/>
            </w:tcMar>
            <w:vAlign w:val="bottom"/>
          </w:tcPr>
          <w:p w14:paraId="00BAC849" w14:textId="77777777" w:rsidR="00871BDF" w:rsidRDefault="005C5088">
            <w:pPr>
              <w:textAlignment w:val="bottom"/>
            </w:pPr>
            <w:r>
              <w:rPr>
                <w:rFonts w:ascii="Times New Roman" w:eastAsia="宋体" w:hAnsi="Times New Roman"/>
                <w:b/>
                <w:bCs/>
                <w:color w:val="00704A"/>
                <w:sz w:val="20"/>
                <w:szCs w:val="20"/>
              </w:rPr>
              <w:t>Item 8</w:t>
            </w:r>
          </w:p>
        </w:tc>
        <w:tc>
          <w:tcPr>
            <w:tcW w:w="0" w:type="auto"/>
            <w:gridSpan w:val="3"/>
            <w:shd w:val="clear" w:color="auto" w:fill="auto"/>
            <w:tcMar>
              <w:top w:w="40" w:type="dxa"/>
              <w:left w:w="20" w:type="dxa"/>
              <w:bottom w:w="40" w:type="dxa"/>
              <w:right w:w="20" w:type="dxa"/>
            </w:tcMar>
            <w:vAlign w:val="bottom"/>
          </w:tcPr>
          <w:p w14:paraId="00BAC84A" w14:textId="77777777" w:rsidR="00871BDF" w:rsidRDefault="005C5088">
            <w:pPr>
              <w:textAlignment w:val="bottom"/>
            </w:pPr>
            <w:hyperlink r:id="rId29" w:anchor="i54ccc64cb5384be5a4849ef1cdef4dde_100" w:history="1">
              <w:r>
                <w:rPr>
                  <w:rStyle w:val="a5"/>
                  <w:rFonts w:ascii="Times New Roman" w:eastAsia="宋体" w:hAnsi="Times New Roman"/>
                  <w:sz w:val="20"/>
                  <w:szCs w:val="20"/>
                </w:rPr>
                <w:t>Financial Statements and Supplementary Data</w:t>
              </w:r>
            </w:hyperlink>
          </w:p>
        </w:tc>
        <w:tc>
          <w:tcPr>
            <w:tcW w:w="0" w:type="auto"/>
            <w:gridSpan w:val="3"/>
            <w:shd w:val="clear" w:color="auto" w:fill="auto"/>
            <w:tcMar>
              <w:top w:w="40" w:type="dxa"/>
              <w:left w:w="20" w:type="dxa"/>
              <w:bottom w:w="40" w:type="dxa"/>
              <w:right w:w="20" w:type="dxa"/>
            </w:tcMar>
            <w:vAlign w:val="bottom"/>
          </w:tcPr>
          <w:p w14:paraId="00BAC84B" w14:textId="77777777" w:rsidR="00871BDF" w:rsidRDefault="005C5088">
            <w:pPr>
              <w:jc w:val="right"/>
              <w:textAlignment w:val="bottom"/>
            </w:pPr>
            <w:hyperlink r:id="rId30" w:anchor="i54ccc64cb5384be5a4849ef1cdef4dde_100" w:history="1">
              <w:r>
                <w:rPr>
                  <w:rStyle w:val="a5"/>
                  <w:rFonts w:ascii="Times New Roman" w:eastAsia="宋体" w:hAnsi="Times New Roman"/>
                  <w:sz w:val="20"/>
                  <w:szCs w:val="20"/>
                </w:rPr>
                <w:t>47</w:t>
              </w:r>
            </w:hyperlink>
          </w:p>
        </w:tc>
      </w:tr>
      <w:tr w:rsidR="00871BDF" w14:paraId="00BAC850" w14:textId="77777777">
        <w:trPr>
          <w:jc w:val="center"/>
        </w:trPr>
        <w:tc>
          <w:tcPr>
            <w:tcW w:w="0" w:type="auto"/>
            <w:gridSpan w:val="3"/>
            <w:shd w:val="clear" w:color="auto" w:fill="auto"/>
            <w:tcMar>
              <w:top w:w="0" w:type="dxa"/>
              <w:left w:w="20" w:type="dxa"/>
              <w:bottom w:w="0" w:type="dxa"/>
              <w:right w:w="20" w:type="dxa"/>
            </w:tcMar>
          </w:tcPr>
          <w:p w14:paraId="00BAC84D"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AC84E" w14:textId="77777777" w:rsidR="00871BDF" w:rsidRDefault="005C5088">
            <w:pPr>
              <w:textAlignment w:val="bottom"/>
            </w:pPr>
            <w:hyperlink r:id="rId31" w:anchor="i54ccc64cb5384be5a4849ef1cdef4dde_124" w:history="1">
              <w:r>
                <w:rPr>
                  <w:rStyle w:val="a5"/>
                  <w:rFonts w:ascii="Times New Roman" w:eastAsia="宋体" w:hAnsi="Times New Roman"/>
                  <w:sz w:val="20"/>
                  <w:szCs w:val="20"/>
                </w:rPr>
                <w:t>Index for 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00BAC84F" w14:textId="77777777" w:rsidR="00871BDF" w:rsidRDefault="005C5088">
            <w:pPr>
              <w:jc w:val="right"/>
              <w:textAlignment w:val="bottom"/>
            </w:pPr>
            <w:hyperlink r:id="rId32" w:anchor="i54ccc64cb5384be5a4849ef1cdef4dde_124" w:history="1">
              <w:r>
                <w:rPr>
                  <w:rStyle w:val="a5"/>
                  <w:rFonts w:ascii="Times New Roman" w:eastAsia="宋体" w:hAnsi="Times New Roman"/>
                  <w:sz w:val="20"/>
                  <w:szCs w:val="20"/>
                </w:rPr>
                <w:t>52</w:t>
              </w:r>
            </w:hyperlink>
          </w:p>
        </w:tc>
      </w:tr>
      <w:tr w:rsidR="00871BDF" w14:paraId="00BAC854" w14:textId="77777777">
        <w:trPr>
          <w:jc w:val="center"/>
        </w:trPr>
        <w:tc>
          <w:tcPr>
            <w:tcW w:w="0" w:type="auto"/>
            <w:gridSpan w:val="3"/>
            <w:shd w:val="clear" w:color="auto" w:fill="auto"/>
            <w:tcMar>
              <w:top w:w="0" w:type="dxa"/>
              <w:left w:w="20" w:type="dxa"/>
              <w:bottom w:w="0" w:type="dxa"/>
              <w:right w:w="20" w:type="dxa"/>
            </w:tcMar>
          </w:tcPr>
          <w:p w14:paraId="00BAC851"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AC852" w14:textId="77777777" w:rsidR="00871BDF" w:rsidRDefault="005C5088">
            <w:pPr>
              <w:textAlignment w:val="bottom"/>
            </w:pPr>
            <w:hyperlink r:id="rId33" w:anchor="i54ccc64cb5384be5a4849ef1cdef4dde_202" w:history="1">
              <w:r>
                <w:rPr>
                  <w:rStyle w:val="a5"/>
                  <w:rFonts w:ascii="Times New Roman" w:eastAsia="宋体" w:hAnsi="Times New Roman"/>
                  <w:sz w:val="20"/>
                  <w:szCs w:val="20"/>
                </w:rPr>
                <w:t>Report of Independent Registered Public Accounting Firm</w:t>
              </w:r>
            </w:hyperlink>
          </w:p>
        </w:tc>
        <w:tc>
          <w:tcPr>
            <w:tcW w:w="0" w:type="auto"/>
            <w:gridSpan w:val="3"/>
            <w:shd w:val="clear" w:color="auto" w:fill="auto"/>
            <w:tcMar>
              <w:top w:w="40" w:type="dxa"/>
              <w:left w:w="20" w:type="dxa"/>
              <w:bottom w:w="40" w:type="dxa"/>
              <w:right w:w="20" w:type="dxa"/>
            </w:tcMar>
            <w:vAlign w:val="bottom"/>
          </w:tcPr>
          <w:p w14:paraId="00BAC853" w14:textId="77777777" w:rsidR="00871BDF" w:rsidRDefault="005C5088">
            <w:pPr>
              <w:jc w:val="right"/>
              <w:textAlignment w:val="bottom"/>
            </w:pPr>
            <w:hyperlink r:id="rId34" w:anchor="i54ccc64cb5384be5a4849ef1cdef4dde_202" w:history="1">
              <w:r>
                <w:rPr>
                  <w:rStyle w:val="a5"/>
                  <w:rFonts w:ascii="Times New Roman" w:eastAsia="宋体" w:hAnsi="Times New Roman"/>
                  <w:sz w:val="20"/>
                  <w:szCs w:val="20"/>
                </w:rPr>
                <w:t>89</w:t>
              </w:r>
            </w:hyperlink>
          </w:p>
        </w:tc>
      </w:tr>
      <w:tr w:rsidR="00871BDF" w14:paraId="00BAC858" w14:textId="77777777">
        <w:trPr>
          <w:jc w:val="center"/>
        </w:trPr>
        <w:tc>
          <w:tcPr>
            <w:tcW w:w="0" w:type="auto"/>
            <w:gridSpan w:val="3"/>
            <w:shd w:val="clear" w:color="auto" w:fill="auto"/>
            <w:tcMar>
              <w:top w:w="40" w:type="dxa"/>
              <w:left w:w="20" w:type="dxa"/>
              <w:bottom w:w="40" w:type="dxa"/>
              <w:right w:w="20" w:type="dxa"/>
            </w:tcMar>
            <w:vAlign w:val="bottom"/>
          </w:tcPr>
          <w:p w14:paraId="00BAC855" w14:textId="77777777" w:rsidR="00871BDF" w:rsidRDefault="005C5088">
            <w:pPr>
              <w:textAlignment w:val="bottom"/>
            </w:pPr>
            <w:r>
              <w:rPr>
                <w:rFonts w:ascii="Times New Roman" w:eastAsia="宋体" w:hAnsi="Times New Roman"/>
                <w:b/>
                <w:bCs/>
                <w:color w:val="00704A"/>
                <w:sz w:val="20"/>
                <w:szCs w:val="20"/>
              </w:rPr>
              <w:lastRenderedPageBreak/>
              <w:t>Item 9</w:t>
            </w:r>
          </w:p>
        </w:tc>
        <w:tc>
          <w:tcPr>
            <w:tcW w:w="0" w:type="auto"/>
            <w:gridSpan w:val="3"/>
            <w:shd w:val="clear" w:color="auto" w:fill="auto"/>
            <w:tcMar>
              <w:top w:w="40" w:type="dxa"/>
              <w:left w:w="20" w:type="dxa"/>
              <w:bottom w:w="40" w:type="dxa"/>
              <w:right w:w="20" w:type="dxa"/>
            </w:tcMar>
            <w:vAlign w:val="bottom"/>
          </w:tcPr>
          <w:p w14:paraId="00BAC856" w14:textId="77777777" w:rsidR="00871BDF" w:rsidRDefault="005C5088">
            <w:pPr>
              <w:textAlignment w:val="bottom"/>
            </w:pPr>
            <w:hyperlink r:id="rId35" w:anchor="i54ccc64cb5384be5a4849ef1cdef4dde_205" w:history="1">
              <w:r>
                <w:rPr>
                  <w:rStyle w:val="a5"/>
                  <w:rFonts w:ascii="Times New Roman" w:eastAsia="宋体" w:hAnsi="Times New Roman"/>
                  <w:sz w:val="20"/>
                  <w:szCs w:val="20"/>
                </w:rPr>
                <w:t>Changes in and Disagreements with Accountants on Accounting and Financial Disclosure</w:t>
              </w:r>
            </w:hyperlink>
          </w:p>
        </w:tc>
        <w:tc>
          <w:tcPr>
            <w:tcW w:w="0" w:type="auto"/>
            <w:gridSpan w:val="3"/>
            <w:shd w:val="clear" w:color="auto" w:fill="auto"/>
            <w:tcMar>
              <w:top w:w="40" w:type="dxa"/>
              <w:left w:w="20" w:type="dxa"/>
              <w:bottom w:w="40" w:type="dxa"/>
              <w:right w:w="20" w:type="dxa"/>
            </w:tcMar>
            <w:vAlign w:val="bottom"/>
          </w:tcPr>
          <w:p w14:paraId="00BAC857" w14:textId="77777777" w:rsidR="00871BDF" w:rsidRDefault="005C5088">
            <w:pPr>
              <w:jc w:val="right"/>
              <w:textAlignment w:val="bottom"/>
            </w:pPr>
            <w:hyperlink r:id="rId36" w:anchor="i54ccc64cb5384be5a4849ef1cdef4dde_205" w:history="1">
              <w:r>
                <w:rPr>
                  <w:rStyle w:val="a5"/>
                  <w:rFonts w:ascii="Times New Roman" w:eastAsia="宋体" w:hAnsi="Times New Roman"/>
                  <w:sz w:val="20"/>
                  <w:szCs w:val="20"/>
                </w:rPr>
                <w:t>91</w:t>
              </w:r>
            </w:hyperlink>
          </w:p>
        </w:tc>
      </w:tr>
      <w:tr w:rsidR="00871BDF" w14:paraId="00BAC85C" w14:textId="77777777">
        <w:trPr>
          <w:jc w:val="center"/>
        </w:trPr>
        <w:tc>
          <w:tcPr>
            <w:tcW w:w="0" w:type="auto"/>
            <w:gridSpan w:val="3"/>
            <w:shd w:val="clear" w:color="auto" w:fill="auto"/>
            <w:tcMar>
              <w:top w:w="40" w:type="dxa"/>
              <w:left w:w="20" w:type="dxa"/>
              <w:bottom w:w="40" w:type="dxa"/>
              <w:right w:w="20" w:type="dxa"/>
            </w:tcMar>
            <w:vAlign w:val="bottom"/>
          </w:tcPr>
          <w:p w14:paraId="00BAC859" w14:textId="77777777" w:rsidR="00871BDF" w:rsidRDefault="005C5088">
            <w:pPr>
              <w:textAlignment w:val="bottom"/>
            </w:pPr>
            <w:r>
              <w:rPr>
                <w:rFonts w:ascii="Times New Roman" w:eastAsia="宋体" w:hAnsi="Times New Roman"/>
                <w:b/>
                <w:bCs/>
                <w:color w:val="00704A"/>
                <w:sz w:val="20"/>
                <w:szCs w:val="20"/>
              </w:rPr>
              <w:t>Item 9A</w:t>
            </w:r>
          </w:p>
        </w:tc>
        <w:tc>
          <w:tcPr>
            <w:tcW w:w="0" w:type="auto"/>
            <w:gridSpan w:val="3"/>
            <w:shd w:val="clear" w:color="auto" w:fill="auto"/>
            <w:tcMar>
              <w:top w:w="40" w:type="dxa"/>
              <w:left w:w="20" w:type="dxa"/>
              <w:bottom w:w="40" w:type="dxa"/>
              <w:right w:w="20" w:type="dxa"/>
            </w:tcMar>
            <w:vAlign w:val="bottom"/>
          </w:tcPr>
          <w:p w14:paraId="00BAC85A" w14:textId="77777777" w:rsidR="00871BDF" w:rsidRDefault="005C5088">
            <w:pPr>
              <w:textAlignment w:val="bottom"/>
            </w:pPr>
            <w:hyperlink r:id="rId37" w:anchor="i54ccc64cb5384be5a4849ef1cdef4dde_208"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00BAC85B" w14:textId="77777777" w:rsidR="00871BDF" w:rsidRDefault="005C5088">
            <w:pPr>
              <w:jc w:val="right"/>
              <w:textAlignment w:val="bottom"/>
            </w:pPr>
            <w:hyperlink r:id="rId38" w:anchor="i54ccc64cb5384be5a4849ef1cdef4dde_208" w:history="1">
              <w:r>
                <w:rPr>
                  <w:rStyle w:val="a5"/>
                  <w:rFonts w:ascii="Times New Roman" w:eastAsia="宋体" w:hAnsi="Times New Roman"/>
                  <w:sz w:val="20"/>
                  <w:szCs w:val="20"/>
                </w:rPr>
                <w:t>91</w:t>
              </w:r>
            </w:hyperlink>
          </w:p>
        </w:tc>
      </w:tr>
      <w:tr w:rsidR="00871BDF" w14:paraId="00BAC860" w14:textId="77777777">
        <w:trPr>
          <w:jc w:val="center"/>
        </w:trPr>
        <w:tc>
          <w:tcPr>
            <w:tcW w:w="0" w:type="auto"/>
            <w:gridSpan w:val="3"/>
            <w:shd w:val="clear" w:color="auto" w:fill="auto"/>
            <w:tcMar>
              <w:top w:w="40" w:type="dxa"/>
              <w:left w:w="20" w:type="dxa"/>
              <w:bottom w:w="40" w:type="dxa"/>
              <w:right w:w="20" w:type="dxa"/>
            </w:tcMar>
            <w:vAlign w:val="bottom"/>
          </w:tcPr>
          <w:p w14:paraId="00BAC85D" w14:textId="77777777" w:rsidR="00871BDF" w:rsidRDefault="005C5088">
            <w:pPr>
              <w:textAlignment w:val="bottom"/>
            </w:pPr>
            <w:r>
              <w:rPr>
                <w:rFonts w:ascii="Times New Roman" w:eastAsia="宋体" w:hAnsi="Times New Roman"/>
                <w:b/>
                <w:bCs/>
                <w:color w:val="00704A"/>
                <w:sz w:val="20"/>
                <w:szCs w:val="20"/>
              </w:rPr>
              <w:t>Item 9B</w:t>
            </w:r>
          </w:p>
        </w:tc>
        <w:tc>
          <w:tcPr>
            <w:tcW w:w="0" w:type="auto"/>
            <w:gridSpan w:val="3"/>
            <w:shd w:val="clear" w:color="auto" w:fill="auto"/>
            <w:tcMar>
              <w:top w:w="40" w:type="dxa"/>
              <w:left w:w="20" w:type="dxa"/>
              <w:bottom w:w="40" w:type="dxa"/>
              <w:right w:w="20" w:type="dxa"/>
            </w:tcMar>
            <w:vAlign w:val="bottom"/>
          </w:tcPr>
          <w:p w14:paraId="00BAC85E" w14:textId="77777777" w:rsidR="00871BDF" w:rsidRDefault="005C5088">
            <w:pPr>
              <w:textAlignment w:val="bottom"/>
            </w:pPr>
            <w:hyperlink r:id="rId39" w:anchor="i54ccc64cb5384be5a4849ef1cdef4dde_214" w:history="1">
              <w:r>
                <w:rPr>
                  <w:rStyle w:val="a5"/>
                  <w:rFonts w:ascii="Times New Roman" w:eastAsia="宋体" w:hAnsi="Times New Roman"/>
                  <w:sz w:val="20"/>
                  <w:szCs w:val="20"/>
                </w:rPr>
                <w:t>Other Information</w:t>
              </w:r>
            </w:hyperlink>
          </w:p>
        </w:tc>
        <w:tc>
          <w:tcPr>
            <w:tcW w:w="0" w:type="auto"/>
            <w:gridSpan w:val="3"/>
            <w:shd w:val="clear" w:color="auto" w:fill="auto"/>
            <w:tcMar>
              <w:top w:w="40" w:type="dxa"/>
              <w:left w:w="20" w:type="dxa"/>
              <w:bottom w:w="40" w:type="dxa"/>
              <w:right w:w="20" w:type="dxa"/>
            </w:tcMar>
            <w:vAlign w:val="bottom"/>
          </w:tcPr>
          <w:p w14:paraId="00BAC85F" w14:textId="77777777" w:rsidR="00871BDF" w:rsidRDefault="005C5088">
            <w:pPr>
              <w:jc w:val="right"/>
              <w:textAlignment w:val="bottom"/>
            </w:pPr>
            <w:hyperlink r:id="rId40" w:anchor="i54ccc64cb5384be5a4849ef1cdef4dde_214" w:history="1">
              <w:r>
                <w:rPr>
                  <w:rStyle w:val="a5"/>
                  <w:rFonts w:ascii="Times New Roman" w:eastAsia="宋体" w:hAnsi="Times New Roman"/>
                  <w:sz w:val="20"/>
                  <w:szCs w:val="20"/>
                </w:rPr>
                <w:t>93</w:t>
              </w:r>
            </w:hyperlink>
          </w:p>
        </w:tc>
      </w:tr>
      <w:tr w:rsidR="00871BDF" w14:paraId="00BAC862" w14:textId="77777777">
        <w:trPr>
          <w:jc w:val="center"/>
        </w:trPr>
        <w:tc>
          <w:tcPr>
            <w:tcW w:w="0" w:type="auto"/>
            <w:gridSpan w:val="9"/>
            <w:shd w:val="clear" w:color="auto" w:fill="auto"/>
            <w:tcMar>
              <w:top w:w="40" w:type="dxa"/>
              <w:left w:w="20" w:type="dxa"/>
              <w:bottom w:w="40" w:type="dxa"/>
              <w:right w:w="20" w:type="dxa"/>
            </w:tcMar>
          </w:tcPr>
          <w:p w14:paraId="00BAC861" w14:textId="77777777" w:rsidR="00871BDF" w:rsidRDefault="005C5088">
            <w:pPr>
              <w:jc w:val="center"/>
              <w:textAlignment w:val="top"/>
            </w:pPr>
            <w:r>
              <w:rPr>
                <w:rFonts w:ascii="Times New Roman" w:eastAsia="宋体" w:hAnsi="Times New Roman"/>
                <w:b/>
                <w:bCs/>
                <w:color w:val="00704A"/>
                <w:sz w:val="20"/>
                <w:szCs w:val="20"/>
              </w:rPr>
              <w:t>PART III</w:t>
            </w:r>
          </w:p>
        </w:tc>
      </w:tr>
      <w:tr w:rsidR="00871BDF" w14:paraId="00BAC866" w14:textId="77777777">
        <w:trPr>
          <w:jc w:val="center"/>
        </w:trPr>
        <w:tc>
          <w:tcPr>
            <w:tcW w:w="0" w:type="auto"/>
            <w:gridSpan w:val="3"/>
            <w:shd w:val="clear" w:color="auto" w:fill="auto"/>
            <w:tcMar>
              <w:top w:w="40" w:type="dxa"/>
              <w:left w:w="20" w:type="dxa"/>
              <w:bottom w:w="40" w:type="dxa"/>
              <w:right w:w="20" w:type="dxa"/>
            </w:tcMar>
            <w:vAlign w:val="bottom"/>
          </w:tcPr>
          <w:p w14:paraId="00BAC863" w14:textId="77777777" w:rsidR="00871BDF" w:rsidRDefault="005C5088">
            <w:pPr>
              <w:textAlignment w:val="bottom"/>
            </w:pPr>
            <w:r>
              <w:rPr>
                <w:rFonts w:ascii="Times New Roman" w:eastAsia="宋体" w:hAnsi="Times New Roman"/>
                <w:b/>
                <w:bCs/>
                <w:color w:val="00704A"/>
                <w:sz w:val="20"/>
                <w:szCs w:val="20"/>
              </w:rPr>
              <w:t>Item 10</w:t>
            </w:r>
          </w:p>
        </w:tc>
        <w:tc>
          <w:tcPr>
            <w:tcW w:w="0" w:type="auto"/>
            <w:gridSpan w:val="3"/>
            <w:shd w:val="clear" w:color="auto" w:fill="auto"/>
            <w:tcMar>
              <w:top w:w="40" w:type="dxa"/>
              <w:left w:w="20" w:type="dxa"/>
              <w:bottom w:w="40" w:type="dxa"/>
              <w:right w:w="20" w:type="dxa"/>
            </w:tcMar>
            <w:vAlign w:val="bottom"/>
          </w:tcPr>
          <w:p w14:paraId="00BAC864" w14:textId="77777777" w:rsidR="00871BDF" w:rsidRDefault="005C5088">
            <w:pPr>
              <w:textAlignment w:val="bottom"/>
            </w:pPr>
            <w:hyperlink r:id="rId41" w:anchor="i54ccc64cb5384be5a4849ef1cdef4dde_220" w:history="1">
              <w:r>
                <w:rPr>
                  <w:rStyle w:val="a5"/>
                  <w:rFonts w:ascii="Times New Roman" w:eastAsia="宋体" w:hAnsi="Times New Roman"/>
                  <w:sz w:val="20"/>
                  <w:szCs w:val="20"/>
                </w:rPr>
                <w:t>Directors, Executive Officers and Corporate Governance</w:t>
              </w:r>
            </w:hyperlink>
          </w:p>
        </w:tc>
        <w:tc>
          <w:tcPr>
            <w:tcW w:w="0" w:type="auto"/>
            <w:gridSpan w:val="3"/>
            <w:shd w:val="clear" w:color="auto" w:fill="auto"/>
            <w:tcMar>
              <w:top w:w="40" w:type="dxa"/>
              <w:left w:w="20" w:type="dxa"/>
              <w:bottom w:w="40" w:type="dxa"/>
              <w:right w:w="20" w:type="dxa"/>
            </w:tcMar>
            <w:vAlign w:val="bottom"/>
          </w:tcPr>
          <w:p w14:paraId="00BAC865" w14:textId="77777777" w:rsidR="00871BDF" w:rsidRDefault="005C5088">
            <w:pPr>
              <w:jc w:val="right"/>
              <w:textAlignment w:val="bottom"/>
            </w:pPr>
            <w:hyperlink r:id="rId42" w:anchor="i54ccc64cb5384be5a4849ef1cdef4dde_220" w:history="1">
              <w:r>
                <w:rPr>
                  <w:rStyle w:val="a5"/>
                  <w:rFonts w:ascii="Times New Roman" w:eastAsia="宋体" w:hAnsi="Times New Roman"/>
                  <w:sz w:val="20"/>
                  <w:szCs w:val="20"/>
                </w:rPr>
                <w:t>94</w:t>
              </w:r>
            </w:hyperlink>
          </w:p>
        </w:tc>
      </w:tr>
      <w:tr w:rsidR="00871BDF" w14:paraId="00BAC86A" w14:textId="77777777">
        <w:trPr>
          <w:jc w:val="center"/>
        </w:trPr>
        <w:tc>
          <w:tcPr>
            <w:tcW w:w="0" w:type="auto"/>
            <w:gridSpan w:val="3"/>
            <w:shd w:val="clear" w:color="auto" w:fill="auto"/>
            <w:tcMar>
              <w:top w:w="40" w:type="dxa"/>
              <w:left w:w="20" w:type="dxa"/>
              <w:bottom w:w="40" w:type="dxa"/>
              <w:right w:w="20" w:type="dxa"/>
            </w:tcMar>
            <w:vAlign w:val="bottom"/>
          </w:tcPr>
          <w:p w14:paraId="00BAC867" w14:textId="77777777" w:rsidR="00871BDF" w:rsidRDefault="005C5088">
            <w:pPr>
              <w:textAlignment w:val="bottom"/>
            </w:pPr>
            <w:r>
              <w:rPr>
                <w:rFonts w:ascii="Times New Roman" w:eastAsia="宋体" w:hAnsi="Times New Roman"/>
                <w:b/>
                <w:bCs/>
                <w:color w:val="00704A"/>
                <w:sz w:val="20"/>
                <w:szCs w:val="20"/>
              </w:rPr>
              <w:t>Item 11</w:t>
            </w:r>
          </w:p>
        </w:tc>
        <w:tc>
          <w:tcPr>
            <w:tcW w:w="0" w:type="auto"/>
            <w:gridSpan w:val="3"/>
            <w:shd w:val="clear" w:color="auto" w:fill="auto"/>
            <w:tcMar>
              <w:top w:w="40" w:type="dxa"/>
              <w:left w:w="20" w:type="dxa"/>
              <w:bottom w:w="40" w:type="dxa"/>
              <w:right w:w="20" w:type="dxa"/>
            </w:tcMar>
            <w:vAlign w:val="bottom"/>
          </w:tcPr>
          <w:p w14:paraId="00BAC868" w14:textId="77777777" w:rsidR="00871BDF" w:rsidRDefault="005C5088">
            <w:pPr>
              <w:textAlignment w:val="bottom"/>
            </w:pPr>
            <w:hyperlink r:id="rId43" w:anchor="i54ccc64cb5384be5a4849ef1cdef4dde_223" w:history="1">
              <w:r>
                <w:rPr>
                  <w:rStyle w:val="a5"/>
                  <w:rFonts w:ascii="Times New Roman" w:eastAsia="宋体" w:hAnsi="Times New Roman"/>
                  <w:sz w:val="20"/>
                  <w:szCs w:val="20"/>
                </w:rPr>
                <w:t>Executive Compensation</w:t>
              </w:r>
            </w:hyperlink>
          </w:p>
        </w:tc>
        <w:tc>
          <w:tcPr>
            <w:tcW w:w="0" w:type="auto"/>
            <w:gridSpan w:val="3"/>
            <w:shd w:val="clear" w:color="auto" w:fill="auto"/>
            <w:tcMar>
              <w:top w:w="40" w:type="dxa"/>
              <w:left w:w="20" w:type="dxa"/>
              <w:bottom w:w="40" w:type="dxa"/>
              <w:right w:w="20" w:type="dxa"/>
            </w:tcMar>
            <w:vAlign w:val="bottom"/>
          </w:tcPr>
          <w:p w14:paraId="00BAC869" w14:textId="77777777" w:rsidR="00871BDF" w:rsidRDefault="005C5088">
            <w:pPr>
              <w:jc w:val="right"/>
              <w:textAlignment w:val="bottom"/>
            </w:pPr>
            <w:hyperlink r:id="rId44" w:anchor="i54ccc64cb5384be5a4849ef1cdef4dde_223" w:history="1">
              <w:r>
                <w:rPr>
                  <w:rStyle w:val="a5"/>
                  <w:rFonts w:ascii="Times New Roman" w:eastAsia="宋体" w:hAnsi="Times New Roman"/>
                  <w:sz w:val="20"/>
                  <w:szCs w:val="20"/>
                </w:rPr>
                <w:t>94</w:t>
              </w:r>
            </w:hyperlink>
          </w:p>
        </w:tc>
      </w:tr>
      <w:tr w:rsidR="00871BDF" w14:paraId="00BAC86E" w14:textId="77777777">
        <w:trPr>
          <w:jc w:val="center"/>
        </w:trPr>
        <w:tc>
          <w:tcPr>
            <w:tcW w:w="0" w:type="auto"/>
            <w:gridSpan w:val="3"/>
            <w:shd w:val="clear" w:color="auto" w:fill="auto"/>
            <w:tcMar>
              <w:top w:w="40" w:type="dxa"/>
              <w:left w:w="20" w:type="dxa"/>
              <w:bottom w:w="40" w:type="dxa"/>
              <w:right w:w="20" w:type="dxa"/>
            </w:tcMar>
            <w:vAlign w:val="bottom"/>
          </w:tcPr>
          <w:p w14:paraId="00BAC86B" w14:textId="77777777" w:rsidR="00871BDF" w:rsidRDefault="005C5088">
            <w:pPr>
              <w:textAlignment w:val="bottom"/>
            </w:pPr>
            <w:r>
              <w:rPr>
                <w:rFonts w:ascii="Times New Roman" w:eastAsia="宋体" w:hAnsi="Times New Roman"/>
                <w:b/>
                <w:bCs/>
                <w:color w:val="00704A"/>
                <w:sz w:val="20"/>
                <w:szCs w:val="20"/>
              </w:rPr>
              <w:t>Item 12</w:t>
            </w:r>
          </w:p>
        </w:tc>
        <w:tc>
          <w:tcPr>
            <w:tcW w:w="0" w:type="auto"/>
            <w:gridSpan w:val="3"/>
            <w:shd w:val="clear" w:color="auto" w:fill="auto"/>
            <w:tcMar>
              <w:top w:w="40" w:type="dxa"/>
              <w:left w:w="20" w:type="dxa"/>
              <w:bottom w:w="40" w:type="dxa"/>
              <w:right w:w="20" w:type="dxa"/>
            </w:tcMar>
            <w:vAlign w:val="bottom"/>
          </w:tcPr>
          <w:p w14:paraId="00BAC86C" w14:textId="77777777" w:rsidR="00871BDF" w:rsidRDefault="005C5088">
            <w:pPr>
              <w:textAlignment w:val="bottom"/>
            </w:pPr>
            <w:hyperlink r:id="rId45" w:anchor="i54ccc64cb5384be5a4849ef1cdef4dde_226" w:history="1">
              <w:r>
                <w:rPr>
                  <w:rStyle w:val="a5"/>
                  <w:rFonts w:ascii="Times New Roman" w:eastAsia="宋体" w:hAnsi="Times New Roman"/>
                  <w:sz w:val="20"/>
                  <w:szCs w:val="20"/>
                </w:rPr>
                <w:t>Security Ownership of Certain Beneficial Owners and Management and Related Shareholder Matters</w:t>
              </w:r>
            </w:hyperlink>
          </w:p>
        </w:tc>
        <w:tc>
          <w:tcPr>
            <w:tcW w:w="0" w:type="auto"/>
            <w:gridSpan w:val="3"/>
            <w:shd w:val="clear" w:color="auto" w:fill="auto"/>
            <w:tcMar>
              <w:top w:w="40" w:type="dxa"/>
              <w:left w:w="20" w:type="dxa"/>
              <w:bottom w:w="40" w:type="dxa"/>
              <w:right w:w="20" w:type="dxa"/>
            </w:tcMar>
            <w:vAlign w:val="bottom"/>
          </w:tcPr>
          <w:p w14:paraId="00BAC86D" w14:textId="77777777" w:rsidR="00871BDF" w:rsidRDefault="005C5088">
            <w:pPr>
              <w:jc w:val="right"/>
              <w:textAlignment w:val="bottom"/>
            </w:pPr>
            <w:hyperlink r:id="rId46" w:anchor="i54ccc64cb5384be5a4849ef1cdef4dde_226" w:history="1">
              <w:r>
                <w:rPr>
                  <w:rStyle w:val="a5"/>
                  <w:rFonts w:ascii="Times New Roman" w:eastAsia="宋体" w:hAnsi="Times New Roman"/>
                  <w:sz w:val="20"/>
                  <w:szCs w:val="20"/>
                </w:rPr>
                <w:t>94</w:t>
              </w:r>
            </w:hyperlink>
          </w:p>
        </w:tc>
      </w:tr>
      <w:tr w:rsidR="00871BDF" w14:paraId="00BAC872" w14:textId="77777777">
        <w:trPr>
          <w:jc w:val="center"/>
        </w:trPr>
        <w:tc>
          <w:tcPr>
            <w:tcW w:w="0" w:type="auto"/>
            <w:gridSpan w:val="3"/>
            <w:shd w:val="clear" w:color="auto" w:fill="auto"/>
            <w:tcMar>
              <w:top w:w="40" w:type="dxa"/>
              <w:left w:w="20" w:type="dxa"/>
              <w:bottom w:w="40" w:type="dxa"/>
              <w:right w:w="20" w:type="dxa"/>
            </w:tcMar>
            <w:vAlign w:val="bottom"/>
          </w:tcPr>
          <w:p w14:paraId="00BAC86F" w14:textId="77777777" w:rsidR="00871BDF" w:rsidRDefault="005C5088">
            <w:pPr>
              <w:textAlignment w:val="bottom"/>
            </w:pPr>
            <w:r>
              <w:rPr>
                <w:rFonts w:ascii="Times New Roman" w:eastAsia="宋体" w:hAnsi="Times New Roman"/>
                <w:b/>
                <w:bCs/>
                <w:color w:val="00704A"/>
                <w:sz w:val="20"/>
                <w:szCs w:val="20"/>
              </w:rPr>
              <w:t>Item 13</w:t>
            </w:r>
          </w:p>
        </w:tc>
        <w:tc>
          <w:tcPr>
            <w:tcW w:w="0" w:type="auto"/>
            <w:gridSpan w:val="3"/>
            <w:shd w:val="clear" w:color="auto" w:fill="auto"/>
            <w:tcMar>
              <w:top w:w="40" w:type="dxa"/>
              <w:left w:w="20" w:type="dxa"/>
              <w:bottom w:w="40" w:type="dxa"/>
              <w:right w:w="20" w:type="dxa"/>
            </w:tcMar>
            <w:vAlign w:val="bottom"/>
          </w:tcPr>
          <w:p w14:paraId="00BAC870" w14:textId="77777777" w:rsidR="00871BDF" w:rsidRDefault="005C5088">
            <w:pPr>
              <w:textAlignment w:val="bottom"/>
            </w:pPr>
            <w:hyperlink r:id="rId47" w:anchor="i54ccc64cb5384be5a4849ef1cdef4dde_229" w:history="1">
              <w:r>
                <w:rPr>
                  <w:rStyle w:val="a5"/>
                  <w:rFonts w:ascii="Times New Roman" w:eastAsia="宋体" w:hAnsi="Times New Roman"/>
                  <w:sz w:val="20"/>
                  <w:szCs w:val="20"/>
                </w:rPr>
                <w:t>Certain Relationships</w:t>
              </w:r>
            </w:hyperlink>
            <w:hyperlink r:id="rId48" w:anchor="i54ccc64cb5384be5a4849ef1cdef4dde_229" w:history="1">
              <w:r>
                <w:rPr>
                  <w:rStyle w:val="a5"/>
                  <w:rFonts w:ascii="Times New Roman" w:eastAsia="宋体" w:hAnsi="Times New Roman"/>
                  <w:sz w:val="20"/>
                  <w:szCs w:val="20"/>
                </w:rPr>
                <w:t>,</w:t>
              </w:r>
            </w:hyperlink>
            <w:hyperlink r:id="rId49" w:anchor="i54ccc64cb5384be5a4849ef1cdef4dde_229" w:history="1">
              <w:r>
                <w:rPr>
                  <w:rStyle w:val="a5"/>
                  <w:rFonts w:ascii="Times New Roman" w:eastAsia="宋体" w:hAnsi="Times New Roman"/>
                  <w:sz w:val="20"/>
                  <w:szCs w:val="20"/>
                </w:rPr>
                <w:t xml:space="preserve"> </w:t>
              </w:r>
            </w:hyperlink>
            <w:hyperlink r:id="rId50" w:anchor="i54ccc64cb5384be5a4849ef1cdef4dde_229" w:history="1">
              <w:r>
                <w:rPr>
                  <w:rStyle w:val="a5"/>
                  <w:rFonts w:ascii="Times New Roman" w:eastAsia="宋体" w:hAnsi="Times New Roman"/>
                  <w:sz w:val="20"/>
                  <w:szCs w:val="20"/>
                </w:rPr>
                <w:t>Related Transactions</w:t>
              </w:r>
            </w:hyperlink>
            <w:hyperlink r:id="rId51" w:anchor="i54ccc64cb5384be5a4849ef1cdef4dde_229" w:history="1">
              <w:r>
                <w:rPr>
                  <w:rStyle w:val="a5"/>
                  <w:rFonts w:ascii="Times New Roman" w:eastAsia="宋体" w:hAnsi="Times New Roman"/>
                  <w:sz w:val="20"/>
                  <w:szCs w:val="20"/>
                </w:rPr>
                <w:t xml:space="preserve"> and Director Independence</w:t>
              </w:r>
            </w:hyperlink>
          </w:p>
        </w:tc>
        <w:tc>
          <w:tcPr>
            <w:tcW w:w="0" w:type="auto"/>
            <w:gridSpan w:val="3"/>
            <w:shd w:val="clear" w:color="auto" w:fill="auto"/>
            <w:tcMar>
              <w:top w:w="40" w:type="dxa"/>
              <w:left w:w="20" w:type="dxa"/>
              <w:bottom w:w="40" w:type="dxa"/>
              <w:right w:w="20" w:type="dxa"/>
            </w:tcMar>
            <w:vAlign w:val="bottom"/>
          </w:tcPr>
          <w:p w14:paraId="00BAC871" w14:textId="77777777" w:rsidR="00871BDF" w:rsidRDefault="005C5088">
            <w:pPr>
              <w:jc w:val="right"/>
              <w:textAlignment w:val="bottom"/>
            </w:pPr>
            <w:hyperlink r:id="rId52" w:anchor="i54ccc64cb5384be5a4849ef1cdef4dde_229" w:history="1">
              <w:r>
                <w:rPr>
                  <w:rStyle w:val="a5"/>
                  <w:rFonts w:ascii="Times New Roman" w:eastAsia="宋体" w:hAnsi="Times New Roman"/>
                  <w:sz w:val="20"/>
                  <w:szCs w:val="20"/>
                </w:rPr>
                <w:t>94</w:t>
              </w:r>
            </w:hyperlink>
          </w:p>
        </w:tc>
      </w:tr>
      <w:tr w:rsidR="00871BDF" w14:paraId="00BAC876" w14:textId="77777777">
        <w:trPr>
          <w:jc w:val="center"/>
        </w:trPr>
        <w:tc>
          <w:tcPr>
            <w:tcW w:w="0" w:type="auto"/>
            <w:gridSpan w:val="3"/>
            <w:shd w:val="clear" w:color="auto" w:fill="auto"/>
            <w:tcMar>
              <w:top w:w="40" w:type="dxa"/>
              <w:left w:w="20" w:type="dxa"/>
              <w:bottom w:w="40" w:type="dxa"/>
              <w:right w:w="20" w:type="dxa"/>
            </w:tcMar>
            <w:vAlign w:val="bottom"/>
          </w:tcPr>
          <w:p w14:paraId="00BAC873" w14:textId="77777777" w:rsidR="00871BDF" w:rsidRDefault="005C5088">
            <w:pPr>
              <w:textAlignment w:val="bottom"/>
            </w:pPr>
            <w:r>
              <w:rPr>
                <w:rFonts w:ascii="Times New Roman" w:eastAsia="宋体" w:hAnsi="Times New Roman"/>
                <w:b/>
                <w:bCs/>
                <w:color w:val="00704A"/>
                <w:sz w:val="20"/>
                <w:szCs w:val="20"/>
              </w:rPr>
              <w:t>Item 14</w:t>
            </w:r>
          </w:p>
        </w:tc>
        <w:tc>
          <w:tcPr>
            <w:tcW w:w="0" w:type="auto"/>
            <w:gridSpan w:val="3"/>
            <w:shd w:val="clear" w:color="auto" w:fill="auto"/>
            <w:tcMar>
              <w:top w:w="40" w:type="dxa"/>
              <w:left w:w="20" w:type="dxa"/>
              <w:bottom w:w="40" w:type="dxa"/>
              <w:right w:w="20" w:type="dxa"/>
            </w:tcMar>
            <w:vAlign w:val="bottom"/>
          </w:tcPr>
          <w:p w14:paraId="00BAC874" w14:textId="77777777" w:rsidR="00871BDF" w:rsidRDefault="005C5088">
            <w:pPr>
              <w:textAlignment w:val="bottom"/>
            </w:pPr>
            <w:hyperlink r:id="rId53" w:anchor="i54ccc64cb5384be5a4849ef1cdef4dde_232" w:history="1">
              <w:r>
                <w:rPr>
                  <w:rStyle w:val="a5"/>
                  <w:rFonts w:ascii="Times New Roman" w:eastAsia="宋体" w:hAnsi="Times New Roman"/>
                  <w:sz w:val="20"/>
                  <w:szCs w:val="20"/>
                </w:rPr>
                <w:t>Principal Accounting Fees and Services</w:t>
              </w:r>
            </w:hyperlink>
          </w:p>
        </w:tc>
        <w:tc>
          <w:tcPr>
            <w:tcW w:w="0" w:type="auto"/>
            <w:gridSpan w:val="3"/>
            <w:shd w:val="clear" w:color="auto" w:fill="auto"/>
            <w:tcMar>
              <w:top w:w="40" w:type="dxa"/>
              <w:left w:w="20" w:type="dxa"/>
              <w:bottom w:w="40" w:type="dxa"/>
              <w:right w:w="20" w:type="dxa"/>
            </w:tcMar>
            <w:vAlign w:val="bottom"/>
          </w:tcPr>
          <w:p w14:paraId="00BAC875" w14:textId="77777777" w:rsidR="00871BDF" w:rsidRDefault="005C5088">
            <w:pPr>
              <w:jc w:val="right"/>
              <w:textAlignment w:val="bottom"/>
            </w:pPr>
            <w:hyperlink r:id="rId54" w:anchor="i54ccc64cb5384be5a4849ef1cdef4dde_232" w:history="1">
              <w:r>
                <w:rPr>
                  <w:rStyle w:val="a5"/>
                  <w:rFonts w:ascii="Times New Roman" w:eastAsia="宋体" w:hAnsi="Times New Roman"/>
                  <w:sz w:val="20"/>
                  <w:szCs w:val="20"/>
                </w:rPr>
                <w:t>94</w:t>
              </w:r>
            </w:hyperlink>
          </w:p>
        </w:tc>
      </w:tr>
      <w:tr w:rsidR="00871BDF" w14:paraId="00BAC878" w14:textId="77777777">
        <w:trPr>
          <w:jc w:val="center"/>
        </w:trPr>
        <w:tc>
          <w:tcPr>
            <w:tcW w:w="0" w:type="auto"/>
            <w:gridSpan w:val="9"/>
            <w:shd w:val="clear" w:color="auto" w:fill="auto"/>
            <w:tcMar>
              <w:top w:w="40" w:type="dxa"/>
              <w:left w:w="20" w:type="dxa"/>
              <w:bottom w:w="40" w:type="dxa"/>
              <w:right w:w="20" w:type="dxa"/>
            </w:tcMar>
          </w:tcPr>
          <w:p w14:paraId="00BAC877" w14:textId="77777777" w:rsidR="00871BDF" w:rsidRDefault="005C5088">
            <w:pPr>
              <w:jc w:val="center"/>
              <w:textAlignment w:val="top"/>
            </w:pPr>
            <w:r>
              <w:rPr>
                <w:rFonts w:ascii="Times New Roman" w:eastAsia="宋体" w:hAnsi="Times New Roman"/>
                <w:b/>
                <w:bCs/>
                <w:color w:val="00704A"/>
                <w:sz w:val="20"/>
                <w:szCs w:val="20"/>
              </w:rPr>
              <w:t>PART IV</w:t>
            </w:r>
          </w:p>
        </w:tc>
      </w:tr>
      <w:tr w:rsidR="00871BDF" w14:paraId="00BAC87C" w14:textId="77777777">
        <w:trPr>
          <w:jc w:val="center"/>
        </w:trPr>
        <w:tc>
          <w:tcPr>
            <w:tcW w:w="0" w:type="auto"/>
            <w:gridSpan w:val="3"/>
            <w:shd w:val="clear" w:color="auto" w:fill="auto"/>
            <w:tcMar>
              <w:top w:w="40" w:type="dxa"/>
              <w:left w:w="20" w:type="dxa"/>
              <w:bottom w:w="40" w:type="dxa"/>
              <w:right w:w="20" w:type="dxa"/>
            </w:tcMar>
            <w:vAlign w:val="bottom"/>
          </w:tcPr>
          <w:p w14:paraId="00BAC879" w14:textId="77777777" w:rsidR="00871BDF" w:rsidRDefault="005C5088">
            <w:pPr>
              <w:textAlignment w:val="bottom"/>
            </w:pPr>
            <w:r>
              <w:rPr>
                <w:rFonts w:ascii="Times New Roman" w:eastAsia="宋体" w:hAnsi="Times New Roman"/>
                <w:b/>
                <w:bCs/>
                <w:color w:val="00704A"/>
                <w:sz w:val="20"/>
                <w:szCs w:val="20"/>
              </w:rPr>
              <w:t>Item 15</w:t>
            </w:r>
          </w:p>
        </w:tc>
        <w:tc>
          <w:tcPr>
            <w:tcW w:w="0" w:type="auto"/>
            <w:gridSpan w:val="3"/>
            <w:shd w:val="clear" w:color="auto" w:fill="auto"/>
            <w:tcMar>
              <w:top w:w="40" w:type="dxa"/>
              <w:left w:w="20" w:type="dxa"/>
              <w:bottom w:w="40" w:type="dxa"/>
              <w:right w:w="20" w:type="dxa"/>
            </w:tcMar>
            <w:vAlign w:val="bottom"/>
          </w:tcPr>
          <w:p w14:paraId="00BAC87A" w14:textId="77777777" w:rsidR="00871BDF" w:rsidRDefault="005C5088">
            <w:pPr>
              <w:textAlignment w:val="bottom"/>
            </w:pPr>
            <w:hyperlink r:id="rId55" w:anchor="i54ccc64cb5384be5a4849ef1cdef4dde_238" w:history="1">
              <w:r>
                <w:rPr>
                  <w:rStyle w:val="a5"/>
                  <w:rFonts w:ascii="Times New Roman" w:eastAsia="宋体" w:hAnsi="Times New Roman"/>
                  <w:sz w:val="20"/>
                  <w:szCs w:val="20"/>
                </w:rPr>
                <w:t>Exhibits, Financial Statement Schedules</w:t>
              </w:r>
            </w:hyperlink>
          </w:p>
        </w:tc>
        <w:tc>
          <w:tcPr>
            <w:tcW w:w="0" w:type="auto"/>
            <w:gridSpan w:val="3"/>
            <w:shd w:val="clear" w:color="auto" w:fill="auto"/>
            <w:tcMar>
              <w:top w:w="40" w:type="dxa"/>
              <w:left w:w="20" w:type="dxa"/>
              <w:bottom w:w="40" w:type="dxa"/>
              <w:right w:w="20" w:type="dxa"/>
            </w:tcMar>
            <w:vAlign w:val="bottom"/>
          </w:tcPr>
          <w:p w14:paraId="00BAC87B" w14:textId="77777777" w:rsidR="00871BDF" w:rsidRDefault="005C5088">
            <w:pPr>
              <w:jc w:val="right"/>
              <w:textAlignment w:val="bottom"/>
            </w:pPr>
            <w:hyperlink r:id="rId56" w:anchor="i54ccc64cb5384be5a4849ef1cdef4dde_238" w:history="1">
              <w:r>
                <w:rPr>
                  <w:rStyle w:val="a5"/>
                  <w:rFonts w:ascii="Times New Roman" w:eastAsia="宋体" w:hAnsi="Times New Roman"/>
                  <w:sz w:val="20"/>
                  <w:szCs w:val="20"/>
                </w:rPr>
                <w:t>95</w:t>
              </w:r>
            </w:hyperlink>
          </w:p>
        </w:tc>
      </w:tr>
      <w:tr w:rsidR="00871BDF" w14:paraId="00BAC880" w14:textId="77777777">
        <w:trPr>
          <w:trHeight w:val="60"/>
          <w:jc w:val="center"/>
        </w:trPr>
        <w:tc>
          <w:tcPr>
            <w:tcW w:w="0" w:type="auto"/>
            <w:gridSpan w:val="3"/>
            <w:shd w:val="clear" w:color="auto" w:fill="auto"/>
            <w:tcMar>
              <w:top w:w="0" w:type="dxa"/>
              <w:left w:w="20" w:type="dxa"/>
              <w:bottom w:w="0" w:type="dxa"/>
              <w:right w:w="20" w:type="dxa"/>
            </w:tcMar>
          </w:tcPr>
          <w:p w14:paraId="00BAC87D"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87E"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87F" w14:textId="77777777" w:rsidR="00871BDF" w:rsidRDefault="00871BDF">
            <w:pPr>
              <w:rPr>
                <w:rFonts w:ascii="宋体"/>
              </w:rPr>
            </w:pPr>
          </w:p>
        </w:tc>
      </w:tr>
      <w:tr w:rsidR="00871BDF" w14:paraId="00BAC883" w14:textId="77777777">
        <w:trPr>
          <w:jc w:val="center"/>
        </w:trPr>
        <w:tc>
          <w:tcPr>
            <w:tcW w:w="0" w:type="auto"/>
            <w:gridSpan w:val="6"/>
            <w:shd w:val="clear" w:color="auto" w:fill="auto"/>
            <w:tcMar>
              <w:top w:w="40" w:type="dxa"/>
              <w:left w:w="20" w:type="dxa"/>
              <w:bottom w:w="40" w:type="dxa"/>
              <w:right w:w="20" w:type="dxa"/>
            </w:tcMar>
          </w:tcPr>
          <w:p w14:paraId="00BAC881" w14:textId="77777777" w:rsidR="00871BDF" w:rsidRDefault="005C5088">
            <w:pPr>
              <w:textAlignment w:val="top"/>
            </w:pPr>
            <w:hyperlink r:id="rId57" w:anchor="i54ccc64cb5384be5a4849ef1cdef4dde_253"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bottom"/>
          </w:tcPr>
          <w:p w14:paraId="00BAC882" w14:textId="77777777" w:rsidR="00871BDF" w:rsidRDefault="005C5088">
            <w:pPr>
              <w:jc w:val="right"/>
              <w:textAlignment w:val="bottom"/>
            </w:pPr>
            <w:hyperlink r:id="rId58" w:anchor="i54ccc64cb5384be5a4849ef1cdef4dde_253" w:history="1">
              <w:r>
                <w:rPr>
                  <w:rStyle w:val="a5"/>
                  <w:rFonts w:ascii="Times New Roman" w:eastAsia="宋体" w:hAnsi="Times New Roman"/>
                  <w:sz w:val="20"/>
                  <w:szCs w:val="20"/>
                </w:rPr>
                <w:t>104</w:t>
              </w:r>
            </w:hyperlink>
          </w:p>
        </w:tc>
      </w:tr>
    </w:tbl>
    <w:p w14:paraId="00BAC884" w14:textId="77777777" w:rsidR="00871BDF" w:rsidRDefault="005C5088">
      <w:r>
        <w:rPr>
          <w:rFonts w:ascii="Times New Roman" w:eastAsia="宋体" w:hAnsi="Times New Roman"/>
          <w:color w:val="000000"/>
          <w:sz w:val="18"/>
          <w:szCs w:val="18"/>
        </w:rPr>
        <w:t> </w:t>
      </w:r>
    </w:p>
    <w:p w14:paraId="00BAC885" w14:textId="77777777" w:rsidR="00871BDF" w:rsidRDefault="00871BDF"/>
    <w:p w14:paraId="00BAC886" w14:textId="77777777" w:rsidR="00871BDF" w:rsidRDefault="005C5088">
      <w:r>
        <w:pict w14:anchorId="00BB1463">
          <v:rect id="_x0000_i1027" style="width:415.3pt;height:1.5pt" o:hralign="center" o:hrstd="t" o:hr="t" fillcolor="#a0a0a0" stroked="f"/>
        </w:pict>
      </w:r>
    </w:p>
    <w:p w14:paraId="00BAC887" w14:textId="77777777" w:rsidR="00871BDF" w:rsidRDefault="005C5088">
      <w:hyperlink r:id="rId59" w:anchor="i54ccc64cb5384be5a4849ef1cdef4dde_7" w:history="1">
        <w:r>
          <w:rPr>
            <w:rStyle w:val="a5"/>
            <w:rFonts w:ascii="Times New Roman" w:eastAsia="宋体" w:hAnsi="Times New Roman"/>
            <w:sz w:val="20"/>
            <w:szCs w:val="20"/>
          </w:rPr>
          <w:t>Table of Contents</w:t>
        </w:r>
      </w:hyperlink>
    </w:p>
    <w:p w14:paraId="00BAC888" w14:textId="77777777" w:rsidR="00871BDF" w:rsidRDefault="005C5088">
      <w:pPr>
        <w:jc w:val="center"/>
      </w:pPr>
      <w:r>
        <w:rPr>
          <w:rFonts w:ascii="Times New Roman" w:eastAsia="宋体" w:hAnsi="Times New Roman"/>
          <w:b/>
          <w:bCs/>
          <w:color w:val="000000"/>
          <w:sz w:val="20"/>
          <w:szCs w:val="20"/>
        </w:rPr>
        <w:t>CAUTIONARY</w:t>
      </w:r>
      <w:r>
        <w:rPr>
          <w:rFonts w:ascii="Times New Roman" w:eastAsia="宋体" w:hAnsi="Times New Roman"/>
          <w:b/>
          <w:bCs/>
          <w:color w:val="000000"/>
          <w:sz w:val="20"/>
          <w:szCs w:val="20"/>
        </w:rPr>
        <w:t xml:space="preserve"> NOTE REGARDING FORWARD-LOOKING STATEMENTS</w:t>
      </w:r>
    </w:p>
    <w:p w14:paraId="00BAC889" w14:textId="77777777" w:rsidR="00871BDF" w:rsidRDefault="005C5088">
      <w:pPr>
        <w:spacing w:before="180"/>
      </w:pPr>
      <w:r>
        <w:rPr>
          <w:rFonts w:ascii="Times New Roman" w:eastAsia="宋体" w:hAnsi="Times New Roman"/>
          <w:color w:val="000000"/>
          <w:sz w:val="20"/>
          <w:szCs w:val="20"/>
        </w:rPr>
        <w:t xml:space="preserve">This Annual Report on Form 10-K includes “forward-looking” statements within the meaning of the Private Securities Litigation Reform Act of 1995. Forward-looking statements can be identified by the fact that </w:t>
      </w:r>
      <w:r>
        <w:rPr>
          <w:rFonts w:ascii="Times New Roman" w:eastAsia="宋体" w:hAnsi="Times New Roman"/>
          <w:color w:val="000000"/>
          <w:sz w:val="20"/>
          <w:szCs w:val="20"/>
        </w:rPr>
        <w:t>they do not relate strictly to historical or current facts. They often include words such as “believes,” “expects,” “anticipates,” “estimates,” “intends,” “plans,” “seeks” or words of similar meaning, or future or conditional verbs, such as “will,” “should</w:t>
      </w:r>
      <w:r>
        <w:rPr>
          <w:rFonts w:ascii="Times New Roman" w:eastAsia="宋体" w:hAnsi="Times New Roman"/>
          <w:color w:val="000000"/>
          <w:sz w:val="20"/>
          <w:szCs w:val="20"/>
        </w:rPr>
        <w:t>,” “could,” “may,” “aims,” “intends,” or “projects.” A forward-looking statement is neither a prediction nor a guarantee of future events or circumstances, and those future events or circumstances may not occur. You should not place undue reliance on forwa</w:t>
      </w:r>
      <w:r>
        <w:rPr>
          <w:rFonts w:ascii="Times New Roman" w:eastAsia="宋体" w:hAnsi="Times New Roman"/>
          <w:color w:val="000000"/>
          <w:sz w:val="20"/>
          <w:szCs w:val="20"/>
        </w:rPr>
        <w:t>rd-looking statements, which speak only as of the date of this Annual Report on Form 10-K. These forward-looking statements are all based on currently available operating, financial and competitive information and are subject to various risks and uncertain</w:t>
      </w:r>
      <w:r>
        <w:rPr>
          <w:rFonts w:ascii="Times New Roman" w:eastAsia="宋体" w:hAnsi="Times New Roman"/>
          <w:color w:val="000000"/>
          <w:sz w:val="20"/>
          <w:szCs w:val="20"/>
        </w:rPr>
        <w:t>ties. Our actual future results and trends may differ materially depending on a variety of factors, including, but not limited to, the risks and uncertainties discussed under “Risk Factors” and “Management’s Discussion and Analysis of Financial Condition a</w:t>
      </w:r>
      <w:r>
        <w:rPr>
          <w:rFonts w:ascii="Times New Roman" w:eastAsia="宋体" w:hAnsi="Times New Roman"/>
          <w:color w:val="000000"/>
          <w:sz w:val="20"/>
          <w:szCs w:val="20"/>
        </w:rPr>
        <w:t>nd Results of Operations.” Given these risks and uncertainties, you should not rely on forward-looking statements as a prediction of actual results. Any or all of the forward-looking statements contained in this Annual Report on Form 10-K and any other pub</w:t>
      </w:r>
      <w:r>
        <w:rPr>
          <w:rFonts w:ascii="Times New Roman" w:eastAsia="宋体" w:hAnsi="Times New Roman"/>
          <w:color w:val="000000"/>
          <w:sz w:val="20"/>
          <w:szCs w:val="20"/>
        </w:rPr>
        <w:t>lic statement made by us, including by our management, may turn out to be incorrect. We are including this cautionary note to make applicable and take advantage of the safe harbor provisions of the Private Securities Litigation Reform Act of 1995 for forwa</w:t>
      </w:r>
      <w:r>
        <w:rPr>
          <w:rFonts w:ascii="Times New Roman" w:eastAsia="宋体" w:hAnsi="Times New Roman"/>
          <w:color w:val="000000"/>
          <w:sz w:val="20"/>
          <w:szCs w:val="20"/>
        </w:rPr>
        <w:t>rd-looking statements. We expressly disclaim any obligation to update or revise any forward-looking statements, whether as a result of new information, future events or otherwise.</w:t>
      </w:r>
    </w:p>
    <w:p w14:paraId="00BAC88A" w14:textId="77777777" w:rsidR="00871BDF" w:rsidRDefault="005C5088">
      <w:pPr>
        <w:jc w:val="center"/>
      </w:pPr>
      <w:r>
        <w:rPr>
          <w:rFonts w:ascii="Times New Roman" w:eastAsia="宋体" w:hAnsi="Times New Roman"/>
          <w:color w:val="000000"/>
          <w:sz w:val="20"/>
          <w:szCs w:val="20"/>
        </w:rPr>
        <w:t>1</w:t>
      </w:r>
    </w:p>
    <w:p w14:paraId="00BAC88B" w14:textId="77777777" w:rsidR="00871BDF" w:rsidRDefault="005C5088">
      <w:r>
        <w:pict w14:anchorId="00BB1464">
          <v:rect id="_x0000_i1028" style="width:415.3pt;height:1.5pt" o:hralign="center" o:hrstd="t" o:hr="t" fillcolor="#a0a0a0" stroked="f"/>
        </w:pict>
      </w:r>
    </w:p>
    <w:p w14:paraId="00BAC88C" w14:textId="77777777" w:rsidR="00871BDF" w:rsidRDefault="005C5088">
      <w:hyperlink r:id="rId60" w:anchor="i54ccc64cb5384be5a4849ef1cdef4dde_7" w:history="1">
        <w:r>
          <w:rPr>
            <w:rStyle w:val="a5"/>
            <w:rFonts w:ascii="Times New Roman" w:eastAsia="宋体" w:hAnsi="Times New Roman"/>
            <w:sz w:val="20"/>
            <w:szCs w:val="20"/>
          </w:rPr>
          <w:t>Table of Contents</w:t>
        </w:r>
      </w:hyperlink>
    </w:p>
    <w:p w14:paraId="00BAC88D" w14:textId="77777777" w:rsidR="00871BDF" w:rsidRDefault="005C5088">
      <w:pPr>
        <w:jc w:val="center"/>
      </w:pPr>
      <w:r>
        <w:rPr>
          <w:rFonts w:ascii="Times New Roman" w:eastAsia="宋体" w:hAnsi="Times New Roman"/>
          <w:b/>
          <w:bCs/>
          <w:color w:val="00704A"/>
          <w:sz w:val="20"/>
          <w:szCs w:val="20"/>
        </w:rPr>
        <w:t>PART I</w:t>
      </w:r>
    </w:p>
    <w:p w14:paraId="00BAC88E" w14:textId="77777777" w:rsidR="00871BDF" w:rsidRDefault="005C5088">
      <w:pPr>
        <w:spacing w:before="240"/>
      </w:pPr>
      <w:r>
        <w:rPr>
          <w:rFonts w:ascii="Times New Roman" w:eastAsia="宋体" w:hAnsi="Times New Roman"/>
          <w:b/>
          <w:bCs/>
          <w:color w:val="00704A"/>
          <w:sz w:val="20"/>
          <w:szCs w:val="20"/>
        </w:rPr>
        <w:t xml:space="preserve">Item 1. </w:t>
      </w:r>
      <w:r>
        <w:rPr>
          <w:rFonts w:ascii="Times New Roman" w:eastAsia="宋体" w:hAnsi="Times New Roman"/>
          <w:b/>
          <w:bCs/>
          <w:i/>
          <w:iCs/>
          <w:color w:val="00704A"/>
          <w:sz w:val="20"/>
          <w:szCs w:val="20"/>
        </w:rPr>
        <w:t>Business</w:t>
      </w:r>
      <w:r>
        <w:rPr>
          <w:rFonts w:ascii="Times New Roman" w:eastAsia="宋体" w:hAnsi="Times New Roman"/>
          <w:b/>
          <w:bCs/>
          <w:color w:val="00704A"/>
          <w:sz w:val="20"/>
          <w:szCs w:val="20"/>
        </w:rPr>
        <w:t xml:space="preserve"> </w:t>
      </w:r>
    </w:p>
    <w:p w14:paraId="00BAC88F" w14:textId="77777777" w:rsidR="00871BDF" w:rsidRDefault="005C5088">
      <w:pPr>
        <w:spacing w:before="120"/>
      </w:pPr>
      <w:r>
        <w:rPr>
          <w:rFonts w:ascii="Times New Roman" w:eastAsia="宋体" w:hAnsi="Times New Roman"/>
          <w:b/>
          <w:bCs/>
          <w:color w:val="000000"/>
          <w:sz w:val="20"/>
          <w:szCs w:val="20"/>
        </w:rPr>
        <w:t>General</w:t>
      </w:r>
    </w:p>
    <w:p w14:paraId="00BAC890" w14:textId="77777777" w:rsidR="00871BDF" w:rsidRDefault="005C5088">
      <w:pPr>
        <w:spacing w:before="120"/>
      </w:pPr>
      <w:r>
        <w:rPr>
          <w:rFonts w:ascii="Times New Roman" w:eastAsia="宋体" w:hAnsi="Times New Roman"/>
          <w:color w:val="000000"/>
          <w:sz w:val="20"/>
          <w:szCs w:val="20"/>
        </w:rPr>
        <w:t>Starbucks is the premier roaster, marketer and retailer of specialty coffee in the world, operating in 83 markets. Formed in</w:t>
      </w:r>
      <w:r>
        <w:rPr>
          <w:rFonts w:ascii="Times New Roman" w:eastAsia="宋体" w:hAnsi="Times New Roman"/>
          <w:color w:val="000000"/>
          <w:sz w:val="20"/>
          <w:szCs w:val="20"/>
        </w:rPr>
        <w:t xml:space="preserve"> 1985, Starbucks Corporation’s common stock trades on the NASDAQ Global Select Market (“NASDAQ”) under the symbol “SBUX.” We purchase and roast high-quality coffees that we sell, along with handcrafted coffee, tea and other beverages and a variety of high-</w:t>
      </w:r>
      <w:r>
        <w:rPr>
          <w:rFonts w:ascii="Times New Roman" w:eastAsia="宋体" w:hAnsi="Times New Roman"/>
          <w:color w:val="000000"/>
          <w:sz w:val="20"/>
          <w:szCs w:val="20"/>
        </w:rPr>
        <w:t>quality food items through company-operated stores. We also sell a variety of coffee and tea products and license our trademarks through other channels such as licensed stores, as well as grocery and foodservice through our Global Coffee Alliance with Nest</w:t>
      </w:r>
      <w:r>
        <w:rPr>
          <w:rFonts w:ascii="Times New Roman" w:eastAsia="宋体" w:hAnsi="Times New Roman"/>
          <w:color w:val="000000"/>
          <w:sz w:val="20"/>
          <w:szCs w:val="20"/>
        </w:rPr>
        <w:t>lé S. A. (“Nestlé”). In addition to our flagship Starbucks Coffee brand, we sell goods and services under the following brands: Teavana, Seattle’s Best Coffee, Evolution Fresh, Ethos, Starbucks Reserve and Princi.</w:t>
      </w:r>
    </w:p>
    <w:p w14:paraId="00BAC891" w14:textId="77777777" w:rsidR="00871BDF" w:rsidRDefault="005C5088">
      <w:pPr>
        <w:spacing w:before="120"/>
      </w:pPr>
      <w:r>
        <w:rPr>
          <w:rFonts w:ascii="Times New Roman" w:eastAsia="宋体" w:hAnsi="Times New Roman"/>
          <w:color w:val="000000"/>
          <w:sz w:val="20"/>
          <w:szCs w:val="20"/>
        </w:rPr>
        <w:t>Our objective is to maintain Starbucks sta</w:t>
      </w:r>
      <w:r>
        <w:rPr>
          <w:rFonts w:ascii="Times New Roman" w:eastAsia="宋体" w:hAnsi="Times New Roman"/>
          <w:color w:val="000000"/>
          <w:sz w:val="20"/>
          <w:szCs w:val="20"/>
        </w:rPr>
        <w:t>nding as one of the most recognized and respected brands in the world. To achieve this, we are continuing the disciplined expansion of our global store base, adding stores in both existing, developed markets such as the U.S. and in newer, higher growth mar</w:t>
      </w:r>
      <w:r>
        <w:rPr>
          <w:rFonts w:ascii="Times New Roman" w:eastAsia="宋体" w:hAnsi="Times New Roman"/>
          <w:color w:val="000000"/>
          <w:sz w:val="20"/>
          <w:szCs w:val="20"/>
        </w:rPr>
        <w:t>kets such as China, as well as optimizing the mix of company-operated and licensed stores around the world. In addition, by leveraging the experience gained through our traditional store model, we continue to offer consumers new coffee and other products i</w:t>
      </w:r>
      <w:r>
        <w:rPr>
          <w:rFonts w:ascii="Times New Roman" w:eastAsia="宋体" w:hAnsi="Times New Roman"/>
          <w:color w:val="000000"/>
          <w:sz w:val="20"/>
          <w:szCs w:val="20"/>
        </w:rPr>
        <w:t>n a variety of forms, across new categories, diverse channels and alternative store formats. We also believe our Starbucks Global Social Impact strategy, commitments related to ethically sourcing high-quality coffee, contributing positively to the communit</w:t>
      </w:r>
      <w:r>
        <w:rPr>
          <w:rFonts w:ascii="Times New Roman" w:eastAsia="宋体" w:hAnsi="Times New Roman"/>
          <w:color w:val="000000"/>
          <w:sz w:val="20"/>
          <w:szCs w:val="20"/>
        </w:rPr>
        <w:t>ies we do business in and being an employer of choice are contributors to our objective.</w:t>
      </w:r>
    </w:p>
    <w:p w14:paraId="00BAC892" w14:textId="77777777" w:rsidR="00871BDF" w:rsidRDefault="005C5088">
      <w:pPr>
        <w:spacing w:before="120"/>
      </w:pPr>
      <w:r>
        <w:rPr>
          <w:rFonts w:ascii="Times New Roman" w:eastAsia="宋体" w:hAnsi="Times New Roman"/>
          <w:color w:val="000000"/>
          <w:sz w:val="20"/>
          <w:szCs w:val="20"/>
        </w:rPr>
        <w:t>In this Annual Report on Form 10-K (“10-K” or “Report”) for the fiscal year ended September 27, 2020 (“fiscal 2020”), Starbucks Corporation (together with its subsidia</w:t>
      </w:r>
      <w:r>
        <w:rPr>
          <w:rFonts w:ascii="Times New Roman" w:eastAsia="宋体" w:hAnsi="Times New Roman"/>
          <w:color w:val="000000"/>
          <w:sz w:val="20"/>
          <w:szCs w:val="20"/>
        </w:rPr>
        <w:t>ries) is referred to as “Starbucks,” the “Company,” “we,” “us” or “our.”</w:t>
      </w:r>
    </w:p>
    <w:p w14:paraId="00BAC893" w14:textId="77777777" w:rsidR="00871BDF" w:rsidRDefault="005C5088">
      <w:pPr>
        <w:spacing w:before="120"/>
      </w:pPr>
      <w:r>
        <w:rPr>
          <w:rFonts w:ascii="Times New Roman" w:eastAsia="宋体" w:hAnsi="Times New Roman"/>
          <w:b/>
          <w:bCs/>
          <w:color w:val="000000"/>
          <w:sz w:val="20"/>
          <w:szCs w:val="20"/>
        </w:rPr>
        <w:t>Segment Financial Information</w:t>
      </w:r>
    </w:p>
    <w:p w14:paraId="00BAC894" w14:textId="77777777" w:rsidR="00871BDF" w:rsidRDefault="005C5088">
      <w:pPr>
        <w:spacing w:before="120"/>
      </w:pPr>
      <w:r>
        <w:rPr>
          <w:rFonts w:ascii="Times New Roman" w:eastAsia="宋体" w:hAnsi="Times New Roman"/>
          <w:color w:val="000000"/>
          <w:sz w:val="20"/>
          <w:szCs w:val="20"/>
        </w:rPr>
        <w:t xml:space="preserve">We have three reportable operating segments: 1) Americas, which is inclusive of the U.S., Canada and Latin America; 2) International, which is inclusive </w:t>
      </w:r>
      <w:r>
        <w:rPr>
          <w:rFonts w:ascii="Times New Roman" w:eastAsia="宋体" w:hAnsi="Times New Roman"/>
          <w:color w:val="000000"/>
          <w:sz w:val="20"/>
          <w:szCs w:val="20"/>
        </w:rPr>
        <w:t>of China, Japan, Asia Pacific, Europe, Middle East and Africa; and 3) Channel Development. Non-reportable operating segments such as Evolution Fresh and unallocated corporate expenses are reported within Corporate and Other. Revenues from our reportable op</w:t>
      </w:r>
      <w:r>
        <w:rPr>
          <w:rFonts w:ascii="Times New Roman" w:eastAsia="宋体" w:hAnsi="Times New Roman"/>
          <w:color w:val="000000"/>
          <w:sz w:val="20"/>
          <w:szCs w:val="20"/>
        </w:rPr>
        <w:t>erating segments as a percentage of total net revenues for fiscal 2020 were as follows: Americas (70%), International (22%) and Channel Development (8%).</w:t>
      </w:r>
    </w:p>
    <w:p w14:paraId="00BAC895" w14:textId="77777777" w:rsidR="00871BDF" w:rsidRDefault="005C5088">
      <w:pPr>
        <w:spacing w:before="120"/>
      </w:pPr>
      <w:r>
        <w:rPr>
          <w:rFonts w:ascii="Times New Roman" w:eastAsia="宋体" w:hAnsi="Times New Roman"/>
          <w:color w:val="000000"/>
          <w:sz w:val="20"/>
          <w:szCs w:val="20"/>
        </w:rPr>
        <w:t>Our Americas and International segments include both company-operated and licensed stores. Our America</w:t>
      </w:r>
      <w:r>
        <w:rPr>
          <w:rFonts w:ascii="Times New Roman" w:eastAsia="宋体" w:hAnsi="Times New Roman"/>
          <w:color w:val="000000"/>
          <w:sz w:val="20"/>
          <w:szCs w:val="20"/>
        </w:rPr>
        <w:t>s segment is our most mature business and has achieved significant scale. Certain markets within our International operations are in various stages of development and may require more extensive support, relative to their current levels of revenue and opera</w:t>
      </w:r>
      <w:r>
        <w:rPr>
          <w:rFonts w:ascii="Times New Roman" w:eastAsia="宋体" w:hAnsi="Times New Roman"/>
          <w:color w:val="000000"/>
          <w:sz w:val="20"/>
          <w:szCs w:val="20"/>
        </w:rPr>
        <w:t>ting income, than our Americas operations.</w:t>
      </w:r>
    </w:p>
    <w:p w14:paraId="00BAC896" w14:textId="77777777" w:rsidR="00871BDF" w:rsidRDefault="005C5088">
      <w:pPr>
        <w:spacing w:before="120"/>
      </w:pPr>
      <w:r>
        <w:rPr>
          <w:rFonts w:ascii="Times New Roman" w:eastAsia="宋体" w:hAnsi="Times New Roman"/>
          <w:color w:val="000000"/>
          <w:sz w:val="20"/>
          <w:szCs w:val="20"/>
        </w:rPr>
        <w:t>Our Channel Development segment includes roasted whole bean and ground coffees, Seattle's Best Coffee</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Starbucks- and Teavana-branded single-serve products, a variety of ready-to-drink beverages, such as </w:t>
      </w:r>
      <w:r>
        <w:rPr>
          <w:rFonts w:ascii="Times New Roman" w:eastAsia="宋体" w:hAnsi="Times New Roman"/>
          <w:color w:val="000000"/>
          <w:sz w:val="20"/>
          <w:szCs w:val="20"/>
        </w:rPr>
        <w:t>Frappuccino</w:t>
      </w:r>
      <w:r>
        <w:rPr>
          <w:rFonts w:ascii="Times New Roman" w:eastAsia="宋体" w:hAnsi="Times New Roman"/>
          <w:color w:val="000000"/>
          <w:sz w:val="13"/>
          <w:szCs w:val="13"/>
        </w:rPr>
        <w:t>®</w:t>
      </w:r>
      <w:r>
        <w:rPr>
          <w:rFonts w:ascii="Times New Roman" w:eastAsia="宋体" w:hAnsi="Times New Roman"/>
          <w:color w:val="000000"/>
          <w:sz w:val="20"/>
          <w:szCs w:val="20"/>
        </w:rPr>
        <w:t>, Starbucks Doubleshot</w:t>
      </w:r>
      <w:r>
        <w:rPr>
          <w:rFonts w:ascii="Times New Roman" w:eastAsia="宋体" w:hAnsi="Times New Roman"/>
          <w:color w:val="000000"/>
          <w:sz w:val="13"/>
          <w:szCs w:val="13"/>
        </w:rPr>
        <w:t>®</w:t>
      </w:r>
      <w:r>
        <w:rPr>
          <w:rFonts w:ascii="Times New Roman" w:eastAsia="宋体" w:hAnsi="Times New Roman"/>
          <w:color w:val="000000"/>
          <w:sz w:val="20"/>
          <w:szCs w:val="20"/>
        </w:rPr>
        <w:t>, Starbucks Refreshers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beverages and Teavana</w:t>
      </w:r>
      <w:r>
        <w:rPr>
          <w:rFonts w:ascii="Times New Roman" w:eastAsia="宋体" w:hAnsi="Times New Roman"/>
          <w:color w:val="000000"/>
          <w:sz w:val="13"/>
          <w:szCs w:val="13"/>
        </w:rPr>
        <w:t>TM/MC</w:t>
      </w:r>
      <w:r>
        <w:rPr>
          <w:rFonts w:ascii="Times New Roman" w:eastAsia="宋体" w:hAnsi="Times New Roman"/>
          <w:color w:val="000000"/>
          <w:sz w:val="20"/>
          <w:szCs w:val="20"/>
        </w:rPr>
        <w:t xml:space="preserve"> iced tea, and other branded products sold worldwide outside of our company-operated and licensed stores. A large portion of our Channel Development business operates unde</w:t>
      </w:r>
      <w:r>
        <w:rPr>
          <w:rFonts w:ascii="Times New Roman" w:eastAsia="宋体" w:hAnsi="Times New Roman"/>
          <w:color w:val="000000"/>
          <w:sz w:val="20"/>
          <w:szCs w:val="20"/>
        </w:rPr>
        <w:t>r a licensed model of the Global Coffee Alliance with Nestlé, while our global ready-to-drink businesses operate under collaborative relationships with PepsiCo, Inc., Anheuser-Busch Companies, LLC, Tingyi-Ashi Beverages Holding Co., Ltd., Arla Foods amba a</w:t>
      </w:r>
      <w:r>
        <w:rPr>
          <w:rFonts w:ascii="Times New Roman" w:eastAsia="宋体" w:hAnsi="Times New Roman"/>
          <w:color w:val="000000"/>
          <w:sz w:val="20"/>
          <w:szCs w:val="20"/>
        </w:rPr>
        <w:t>nd others.</w:t>
      </w:r>
    </w:p>
    <w:p w14:paraId="00BAC897" w14:textId="77777777" w:rsidR="00871BDF" w:rsidRDefault="005C5088">
      <w:pPr>
        <w:spacing w:before="120"/>
      </w:pPr>
      <w:r>
        <w:rPr>
          <w:rFonts w:ascii="Times New Roman" w:eastAsia="宋体" w:hAnsi="Times New Roman"/>
          <w:b/>
          <w:bCs/>
          <w:color w:val="000000"/>
          <w:sz w:val="20"/>
          <w:szCs w:val="20"/>
        </w:rPr>
        <w:t>Revenue Components</w:t>
      </w:r>
    </w:p>
    <w:p w14:paraId="00BAC898" w14:textId="77777777" w:rsidR="00871BDF" w:rsidRDefault="005C5088">
      <w:pPr>
        <w:spacing w:before="120"/>
      </w:pPr>
      <w:r>
        <w:rPr>
          <w:rFonts w:ascii="Times New Roman" w:eastAsia="宋体" w:hAnsi="Times New Roman"/>
          <w:color w:val="000000"/>
          <w:sz w:val="20"/>
          <w:szCs w:val="20"/>
        </w:rPr>
        <w:t xml:space="preserve">We generate the majority of our revenues through company-operated stores and licensed stores. </w:t>
      </w:r>
    </w:p>
    <w:p w14:paraId="00BAC899" w14:textId="77777777" w:rsidR="00871BDF" w:rsidRDefault="005C5088">
      <w:pPr>
        <w:spacing w:before="120"/>
      </w:pPr>
      <w:r>
        <w:rPr>
          <w:rFonts w:ascii="Times New Roman" w:eastAsia="宋体" w:hAnsi="Times New Roman"/>
          <w:b/>
          <w:bCs/>
          <w:color w:val="000000"/>
          <w:sz w:val="20"/>
          <w:szCs w:val="20"/>
        </w:rPr>
        <w:t xml:space="preserve">Company-operated and Licensed Store Summary as of September 27, 2020 </w:t>
      </w:r>
    </w:p>
    <w:tbl>
      <w:tblPr>
        <w:tblW w:w="4985" w:type="pct"/>
        <w:tblCellMar>
          <w:top w:w="15" w:type="dxa"/>
          <w:left w:w="15" w:type="dxa"/>
          <w:bottom w:w="15" w:type="dxa"/>
          <w:right w:w="15" w:type="dxa"/>
        </w:tblCellMar>
        <w:tblLook w:val="04A0" w:firstRow="1" w:lastRow="0" w:firstColumn="1" w:lastColumn="0" w:noHBand="0" w:noVBand="1"/>
      </w:tblPr>
      <w:tblGrid>
        <w:gridCol w:w="61"/>
        <w:gridCol w:w="1939"/>
        <w:gridCol w:w="36"/>
        <w:gridCol w:w="59"/>
        <w:gridCol w:w="775"/>
        <w:gridCol w:w="36"/>
        <w:gridCol w:w="36"/>
        <w:gridCol w:w="36"/>
        <w:gridCol w:w="36"/>
        <w:gridCol w:w="61"/>
        <w:gridCol w:w="720"/>
        <w:gridCol w:w="220"/>
        <w:gridCol w:w="36"/>
        <w:gridCol w:w="36"/>
        <w:gridCol w:w="36"/>
        <w:gridCol w:w="81"/>
        <w:gridCol w:w="858"/>
        <w:gridCol w:w="36"/>
        <w:gridCol w:w="36"/>
        <w:gridCol w:w="36"/>
        <w:gridCol w:w="36"/>
        <w:gridCol w:w="81"/>
        <w:gridCol w:w="858"/>
        <w:gridCol w:w="220"/>
        <w:gridCol w:w="36"/>
        <w:gridCol w:w="36"/>
        <w:gridCol w:w="36"/>
        <w:gridCol w:w="36"/>
        <w:gridCol w:w="36"/>
        <w:gridCol w:w="36"/>
        <w:gridCol w:w="54"/>
        <w:gridCol w:w="566"/>
        <w:gridCol w:w="36"/>
        <w:gridCol w:w="36"/>
        <w:gridCol w:w="36"/>
        <w:gridCol w:w="36"/>
        <w:gridCol w:w="58"/>
        <w:gridCol w:w="688"/>
        <w:gridCol w:w="220"/>
      </w:tblGrid>
      <w:tr w:rsidR="00871BDF" w14:paraId="00BAC8C1" w14:textId="77777777">
        <w:tc>
          <w:tcPr>
            <w:tcW w:w="50" w:type="pct"/>
            <w:shd w:val="clear" w:color="auto" w:fill="auto"/>
          </w:tcPr>
          <w:p w14:paraId="00BAC89A" w14:textId="77777777" w:rsidR="00871BDF" w:rsidRDefault="00871BDF">
            <w:pPr>
              <w:rPr>
                <w:rFonts w:ascii="宋体"/>
              </w:rPr>
            </w:pPr>
          </w:p>
        </w:tc>
        <w:tc>
          <w:tcPr>
            <w:tcW w:w="1242" w:type="pct"/>
            <w:shd w:val="clear" w:color="auto" w:fill="auto"/>
          </w:tcPr>
          <w:p w14:paraId="00BAC89B" w14:textId="77777777" w:rsidR="00871BDF" w:rsidRDefault="00871BDF">
            <w:pPr>
              <w:rPr>
                <w:rFonts w:ascii="宋体"/>
              </w:rPr>
            </w:pPr>
          </w:p>
        </w:tc>
        <w:tc>
          <w:tcPr>
            <w:tcW w:w="5" w:type="pct"/>
            <w:shd w:val="clear" w:color="auto" w:fill="auto"/>
          </w:tcPr>
          <w:p w14:paraId="00BAC89C" w14:textId="77777777" w:rsidR="00871BDF" w:rsidRDefault="00871BDF">
            <w:pPr>
              <w:rPr>
                <w:rFonts w:ascii="宋体"/>
              </w:rPr>
            </w:pPr>
          </w:p>
        </w:tc>
        <w:tc>
          <w:tcPr>
            <w:tcW w:w="50" w:type="pct"/>
            <w:shd w:val="clear" w:color="auto" w:fill="auto"/>
          </w:tcPr>
          <w:p w14:paraId="00BAC89D" w14:textId="77777777" w:rsidR="00871BDF" w:rsidRDefault="00871BDF">
            <w:pPr>
              <w:rPr>
                <w:rFonts w:ascii="宋体"/>
              </w:rPr>
            </w:pPr>
          </w:p>
        </w:tc>
        <w:tc>
          <w:tcPr>
            <w:tcW w:w="531" w:type="pct"/>
            <w:shd w:val="clear" w:color="auto" w:fill="auto"/>
          </w:tcPr>
          <w:p w14:paraId="00BAC89E" w14:textId="77777777" w:rsidR="00871BDF" w:rsidRDefault="00871BDF">
            <w:pPr>
              <w:rPr>
                <w:rFonts w:ascii="宋体"/>
              </w:rPr>
            </w:pPr>
          </w:p>
        </w:tc>
        <w:tc>
          <w:tcPr>
            <w:tcW w:w="5" w:type="pct"/>
            <w:shd w:val="clear" w:color="auto" w:fill="auto"/>
          </w:tcPr>
          <w:p w14:paraId="00BAC89F" w14:textId="77777777" w:rsidR="00871BDF" w:rsidRDefault="00871BDF">
            <w:pPr>
              <w:rPr>
                <w:rFonts w:ascii="宋体"/>
              </w:rPr>
            </w:pPr>
          </w:p>
        </w:tc>
        <w:tc>
          <w:tcPr>
            <w:tcW w:w="5" w:type="pct"/>
            <w:shd w:val="clear" w:color="auto" w:fill="auto"/>
          </w:tcPr>
          <w:p w14:paraId="00BAC8A0" w14:textId="77777777" w:rsidR="00871BDF" w:rsidRDefault="00871BDF">
            <w:pPr>
              <w:rPr>
                <w:rFonts w:ascii="宋体"/>
              </w:rPr>
            </w:pPr>
          </w:p>
        </w:tc>
        <w:tc>
          <w:tcPr>
            <w:tcW w:w="26" w:type="pct"/>
            <w:shd w:val="clear" w:color="auto" w:fill="auto"/>
          </w:tcPr>
          <w:p w14:paraId="00BAC8A1" w14:textId="77777777" w:rsidR="00871BDF" w:rsidRDefault="00871BDF">
            <w:pPr>
              <w:rPr>
                <w:rFonts w:ascii="宋体"/>
              </w:rPr>
            </w:pPr>
          </w:p>
        </w:tc>
        <w:tc>
          <w:tcPr>
            <w:tcW w:w="5" w:type="pct"/>
            <w:shd w:val="clear" w:color="auto" w:fill="auto"/>
          </w:tcPr>
          <w:p w14:paraId="00BAC8A2" w14:textId="77777777" w:rsidR="00871BDF" w:rsidRDefault="00871BDF">
            <w:pPr>
              <w:rPr>
                <w:rFonts w:ascii="宋体"/>
              </w:rPr>
            </w:pPr>
          </w:p>
        </w:tc>
        <w:tc>
          <w:tcPr>
            <w:tcW w:w="50" w:type="pct"/>
            <w:shd w:val="clear" w:color="auto" w:fill="auto"/>
          </w:tcPr>
          <w:p w14:paraId="00BAC8A3" w14:textId="77777777" w:rsidR="00871BDF" w:rsidRDefault="00871BDF">
            <w:pPr>
              <w:rPr>
                <w:rFonts w:ascii="宋体"/>
              </w:rPr>
            </w:pPr>
          </w:p>
        </w:tc>
        <w:tc>
          <w:tcPr>
            <w:tcW w:w="531" w:type="pct"/>
            <w:shd w:val="clear" w:color="auto" w:fill="auto"/>
          </w:tcPr>
          <w:p w14:paraId="00BAC8A4" w14:textId="77777777" w:rsidR="00871BDF" w:rsidRDefault="00871BDF">
            <w:pPr>
              <w:rPr>
                <w:rFonts w:ascii="宋体"/>
              </w:rPr>
            </w:pPr>
          </w:p>
        </w:tc>
        <w:tc>
          <w:tcPr>
            <w:tcW w:w="5" w:type="pct"/>
            <w:shd w:val="clear" w:color="auto" w:fill="auto"/>
          </w:tcPr>
          <w:p w14:paraId="00BAC8A5" w14:textId="77777777" w:rsidR="00871BDF" w:rsidRDefault="00871BDF">
            <w:pPr>
              <w:rPr>
                <w:rFonts w:ascii="宋体"/>
              </w:rPr>
            </w:pPr>
          </w:p>
        </w:tc>
        <w:tc>
          <w:tcPr>
            <w:tcW w:w="5" w:type="pct"/>
            <w:shd w:val="clear" w:color="auto" w:fill="auto"/>
          </w:tcPr>
          <w:p w14:paraId="00BAC8A6" w14:textId="77777777" w:rsidR="00871BDF" w:rsidRDefault="00871BDF">
            <w:pPr>
              <w:rPr>
                <w:rFonts w:ascii="宋体"/>
              </w:rPr>
            </w:pPr>
          </w:p>
        </w:tc>
        <w:tc>
          <w:tcPr>
            <w:tcW w:w="26" w:type="pct"/>
            <w:shd w:val="clear" w:color="auto" w:fill="auto"/>
          </w:tcPr>
          <w:p w14:paraId="00BAC8A7" w14:textId="77777777" w:rsidR="00871BDF" w:rsidRDefault="00871BDF">
            <w:pPr>
              <w:rPr>
                <w:rFonts w:ascii="宋体"/>
              </w:rPr>
            </w:pPr>
          </w:p>
        </w:tc>
        <w:tc>
          <w:tcPr>
            <w:tcW w:w="5" w:type="pct"/>
            <w:shd w:val="clear" w:color="auto" w:fill="auto"/>
          </w:tcPr>
          <w:p w14:paraId="00BAC8A8" w14:textId="77777777" w:rsidR="00871BDF" w:rsidRDefault="00871BDF">
            <w:pPr>
              <w:rPr>
                <w:rFonts w:ascii="宋体"/>
              </w:rPr>
            </w:pPr>
          </w:p>
        </w:tc>
        <w:tc>
          <w:tcPr>
            <w:tcW w:w="50" w:type="pct"/>
            <w:shd w:val="clear" w:color="auto" w:fill="auto"/>
          </w:tcPr>
          <w:p w14:paraId="00BAC8A9" w14:textId="77777777" w:rsidR="00871BDF" w:rsidRDefault="00871BDF">
            <w:pPr>
              <w:rPr>
                <w:rFonts w:ascii="宋体"/>
              </w:rPr>
            </w:pPr>
          </w:p>
        </w:tc>
        <w:tc>
          <w:tcPr>
            <w:tcW w:w="531" w:type="pct"/>
            <w:shd w:val="clear" w:color="auto" w:fill="auto"/>
          </w:tcPr>
          <w:p w14:paraId="00BAC8AA" w14:textId="77777777" w:rsidR="00871BDF" w:rsidRDefault="00871BDF">
            <w:pPr>
              <w:rPr>
                <w:rFonts w:ascii="宋体"/>
              </w:rPr>
            </w:pPr>
          </w:p>
        </w:tc>
        <w:tc>
          <w:tcPr>
            <w:tcW w:w="5" w:type="pct"/>
            <w:shd w:val="clear" w:color="auto" w:fill="auto"/>
          </w:tcPr>
          <w:p w14:paraId="00BAC8AB" w14:textId="77777777" w:rsidR="00871BDF" w:rsidRDefault="00871BDF">
            <w:pPr>
              <w:rPr>
                <w:rFonts w:ascii="宋体"/>
              </w:rPr>
            </w:pPr>
          </w:p>
        </w:tc>
        <w:tc>
          <w:tcPr>
            <w:tcW w:w="5" w:type="pct"/>
            <w:shd w:val="clear" w:color="auto" w:fill="auto"/>
          </w:tcPr>
          <w:p w14:paraId="00BAC8AC" w14:textId="77777777" w:rsidR="00871BDF" w:rsidRDefault="00871BDF">
            <w:pPr>
              <w:rPr>
                <w:rFonts w:ascii="宋体"/>
              </w:rPr>
            </w:pPr>
          </w:p>
        </w:tc>
        <w:tc>
          <w:tcPr>
            <w:tcW w:w="26" w:type="pct"/>
            <w:shd w:val="clear" w:color="auto" w:fill="auto"/>
          </w:tcPr>
          <w:p w14:paraId="00BAC8AD" w14:textId="77777777" w:rsidR="00871BDF" w:rsidRDefault="00871BDF">
            <w:pPr>
              <w:rPr>
                <w:rFonts w:ascii="宋体"/>
              </w:rPr>
            </w:pPr>
          </w:p>
        </w:tc>
        <w:tc>
          <w:tcPr>
            <w:tcW w:w="5" w:type="pct"/>
            <w:shd w:val="clear" w:color="auto" w:fill="auto"/>
          </w:tcPr>
          <w:p w14:paraId="00BAC8AE" w14:textId="77777777" w:rsidR="00871BDF" w:rsidRDefault="00871BDF">
            <w:pPr>
              <w:rPr>
                <w:rFonts w:ascii="宋体"/>
              </w:rPr>
            </w:pPr>
          </w:p>
        </w:tc>
        <w:tc>
          <w:tcPr>
            <w:tcW w:w="50" w:type="pct"/>
            <w:shd w:val="clear" w:color="auto" w:fill="auto"/>
          </w:tcPr>
          <w:p w14:paraId="00BAC8AF" w14:textId="77777777" w:rsidR="00871BDF" w:rsidRDefault="00871BDF">
            <w:pPr>
              <w:rPr>
                <w:rFonts w:ascii="宋体"/>
              </w:rPr>
            </w:pPr>
          </w:p>
        </w:tc>
        <w:tc>
          <w:tcPr>
            <w:tcW w:w="531" w:type="pct"/>
            <w:shd w:val="clear" w:color="auto" w:fill="auto"/>
          </w:tcPr>
          <w:p w14:paraId="00BAC8B0" w14:textId="77777777" w:rsidR="00871BDF" w:rsidRDefault="00871BDF">
            <w:pPr>
              <w:rPr>
                <w:rFonts w:ascii="宋体"/>
              </w:rPr>
            </w:pPr>
          </w:p>
        </w:tc>
        <w:tc>
          <w:tcPr>
            <w:tcW w:w="5" w:type="pct"/>
            <w:shd w:val="clear" w:color="auto" w:fill="auto"/>
          </w:tcPr>
          <w:p w14:paraId="00BAC8B1" w14:textId="77777777" w:rsidR="00871BDF" w:rsidRDefault="00871BDF">
            <w:pPr>
              <w:rPr>
                <w:rFonts w:ascii="宋体"/>
              </w:rPr>
            </w:pPr>
          </w:p>
        </w:tc>
        <w:tc>
          <w:tcPr>
            <w:tcW w:w="5" w:type="pct"/>
            <w:shd w:val="clear" w:color="auto" w:fill="auto"/>
          </w:tcPr>
          <w:p w14:paraId="00BAC8B2" w14:textId="77777777" w:rsidR="00871BDF" w:rsidRDefault="00871BDF">
            <w:pPr>
              <w:rPr>
                <w:rFonts w:ascii="宋体"/>
              </w:rPr>
            </w:pPr>
          </w:p>
        </w:tc>
        <w:tc>
          <w:tcPr>
            <w:tcW w:w="26" w:type="pct"/>
            <w:shd w:val="clear" w:color="auto" w:fill="auto"/>
          </w:tcPr>
          <w:p w14:paraId="00BAC8B3" w14:textId="77777777" w:rsidR="00871BDF" w:rsidRDefault="00871BDF">
            <w:pPr>
              <w:rPr>
                <w:rFonts w:ascii="宋体"/>
              </w:rPr>
            </w:pPr>
          </w:p>
        </w:tc>
        <w:tc>
          <w:tcPr>
            <w:tcW w:w="5" w:type="pct"/>
            <w:shd w:val="clear" w:color="auto" w:fill="auto"/>
          </w:tcPr>
          <w:p w14:paraId="00BAC8B4" w14:textId="77777777" w:rsidR="00871BDF" w:rsidRDefault="00871BDF">
            <w:pPr>
              <w:rPr>
                <w:rFonts w:ascii="宋体"/>
              </w:rPr>
            </w:pPr>
          </w:p>
        </w:tc>
        <w:tc>
          <w:tcPr>
            <w:tcW w:w="0" w:type="auto"/>
            <w:shd w:val="clear" w:color="auto" w:fill="auto"/>
          </w:tcPr>
          <w:p w14:paraId="00BAC8B5" w14:textId="77777777" w:rsidR="00871BDF" w:rsidRDefault="00871BDF">
            <w:pPr>
              <w:rPr>
                <w:rFonts w:ascii="宋体"/>
                <w:vanish/>
              </w:rPr>
            </w:pPr>
          </w:p>
        </w:tc>
        <w:tc>
          <w:tcPr>
            <w:tcW w:w="0" w:type="auto"/>
            <w:shd w:val="clear" w:color="auto" w:fill="auto"/>
          </w:tcPr>
          <w:p w14:paraId="00BAC8B6" w14:textId="77777777" w:rsidR="00871BDF" w:rsidRDefault="00871BDF">
            <w:pPr>
              <w:rPr>
                <w:rFonts w:ascii="宋体"/>
                <w:vanish/>
              </w:rPr>
            </w:pPr>
          </w:p>
        </w:tc>
        <w:tc>
          <w:tcPr>
            <w:tcW w:w="0" w:type="auto"/>
            <w:shd w:val="clear" w:color="auto" w:fill="auto"/>
          </w:tcPr>
          <w:p w14:paraId="00BAC8B7" w14:textId="77777777" w:rsidR="00871BDF" w:rsidRDefault="00871BDF">
            <w:pPr>
              <w:rPr>
                <w:rFonts w:ascii="宋体"/>
                <w:vanish/>
              </w:rPr>
            </w:pPr>
          </w:p>
        </w:tc>
        <w:tc>
          <w:tcPr>
            <w:tcW w:w="50" w:type="pct"/>
            <w:shd w:val="clear" w:color="auto" w:fill="auto"/>
          </w:tcPr>
          <w:p w14:paraId="00BAC8B8" w14:textId="77777777" w:rsidR="00871BDF" w:rsidRDefault="00871BDF">
            <w:pPr>
              <w:rPr>
                <w:rFonts w:ascii="宋体"/>
              </w:rPr>
            </w:pPr>
          </w:p>
        </w:tc>
        <w:tc>
          <w:tcPr>
            <w:tcW w:w="531" w:type="pct"/>
            <w:shd w:val="clear" w:color="auto" w:fill="auto"/>
          </w:tcPr>
          <w:p w14:paraId="00BAC8B9" w14:textId="77777777" w:rsidR="00871BDF" w:rsidRDefault="00871BDF">
            <w:pPr>
              <w:rPr>
                <w:rFonts w:ascii="宋体"/>
              </w:rPr>
            </w:pPr>
          </w:p>
        </w:tc>
        <w:tc>
          <w:tcPr>
            <w:tcW w:w="5" w:type="pct"/>
            <w:shd w:val="clear" w:color="auto" w:fill="auto"/>
          </w:tcPr>
          <w:p w14:paraId="00BAC8BA" w14:textId="77777777" w:rsidR="00871BDF" w:rsidRDefault="00871BDF">
            <w:pPr>
              <w:rPr>
                <w:rFonts w:ascii="宋体"/>
              </w:rPr>
            </w:pPr>
          </w:p>
        </w:tc>
        <w:tc>
          <w:tcPr>
            <w:tcW w:w="5" w:type="pct"/>
            <w:shd w:val="clear" w:color="auto" w:fill="auto"/>
          </w:tcPr>
          <w:p w14:paraId="00BAC8BB" w14:textId="77777777" w:rsidR="00871BDF" w:rsidRDefault="00871BDF">
            <w:pPr>
              <w:rPr>
                <w:rFonts w:ascii="宋体"/>
              </w:rPr>
            </w:pPr>
          </w:p>
        </w:tc>
        <w:tc>
          <w:tcPr>
            <w:tcW w:w="26" w:type="pct"/>
            <w:shd w:val="clear" w:color="auto" w:fill="auto"/>
          </w:tcPr>
          <w:p w14:paraId="00BAC8BC" w14:textId="77777777" w:rsidR="00871BDF" w:rsidRDefault="00871BDF">
            <w:pPr>
              <w:rPr>
                <w:rFonts w:ascii="宋体"/>
              </w:rPr>
            </w:pPr>
          </w:p>
        </w:tc>
        <w:tc>
          <w:tcPr>
            <w:tcW w:w="5" w:type="pct"/>
            <w:shd w:val="clear" w:color="auto" w:fill="auto"/>
          </w:tcPr>
          <w:p w14:paraId="00BAC8BD" w14:textId="77777777" w:rsidR="00871BDF" w:rsidRDefault="00871BDF">
            <w:pPr>
              <w:rPr>
                <w:rFonts w:ascii="宋体"/>
              </w:rPr>
            </w:pPr>
          </w:p>
        </w:tc>
        <w:tc>
          <w:tcPr>
            <w:tcW w:w="50" w:type="pct"/>
            <w:shd w:val="clear" w:color="auto" w:fill="auto"/>
          </w:tcPr>
          <w:p w14:paraId="00BAC8BE" w14:textId="77777777" w:rsidR="00871BDF" w:rsidRDefault="00871BDF">
            <w:pPr>
              <w:rPr>
                <w:rFonts w:ascii="宋体"/>
              </w:rPr>
            </w:pPr>
          </w:p>
        </w:tc>
        <w:tc>
          <w:tcPr>
            <w:tcW w:w="531" w:type="pct"/>
            <w:shd w:val="clear" w:color="auto" w:fill="auto"/>
          </w:tcPr>
          <w:p w14:paraId="00BAC8BF" w14:textId="77777777" w:rsidR="00871BDF" w:rsidRDefault="00871BDF">
            <w:pPr>
              <w:rPr>
                <w:rFonts w:ascii="宋体"/>
              </w:rPr>
            </w:pPr>
          </w:p>
        </w:tc>
        <w:tc>
          <w:tcPr>
            <w:tcW w:w="5" w:type="pct"/>
            <w:shd w:val="clear" w:color="auto" w:fill="auto"/>
          </w:tcPr>
          <w:p w14:paraId="00BAC8C0" w14:textId="77777777" w:rsidR="00871BDF" w:rsidRDefault="00871BDF">
            <w:pPr>
              <w:rPr>
                <w:rFonts w:ascii="宋体"/>
              </w:rPr>
            </w:pPr>
          </w:p>
        </w:tc>
      </w:tr>
      <w:tr w:rsidR="00871BDF" w14:paraId="00BAC8D5" w14:textId="77777777">
        <w:tc>
          <w:tcPr>
            <w:tcW w:w="0" w:type="auto"/>
            <w:gridSpan w:val="3"/>
            <w:shd w:val="clear" w:color="auto" w:fill="auto"/>
            <w:tcMar>
              <w:top w:w="0" w:type="dxa"/>
              <w:left w:w="20" w:type="dxa"/>
              <w:bottom w:w="0" w:type="dxa"/>
              <w:right w:w="20" w:type="dxa"/>
            </w:tcMar>
          </w:tcPr>
          <w:p w14:paraId="00BAC8C2"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8C3" w14:textId="77777777" w:rsidR="00871BDF" w:rsidRDefault="005C5088">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top w:w="0" w:type="dxa"/>
              <w:left w:w="20" w:type="dxa"/>
              <w:bottom w:w="0" w:type="dxa"/>
              <w:right w:w="20" w:type="dxa"/>
            </w:tcMar>
          </w:tcPr>
          <w:p w14:paraId="00BAC8C4"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8C5" w14:textId="77777777" w:rsidR="00871BDF" w:rsidRDefault="005C5088">
            <w:pPr>
              <w:jc w:val="center"/>
              <w:textAlignment w:val="bottom"/>
            </w:pPr>
            <w:r>
              <w:rPr>
                <w:rFonts w:ascii="Times New Roman" w:eastAsia="宋体" w:hAnsi="Times New Roman"/>
                <w:b/>
                <w:bCs/>
                <w:color w:val="FFFFFF"/>
                <w:sz w:val="16"/>
                <w:szCs w:val="16"/>
              </w:rPr>
              <w:t>As a% of </w:t>
            </w:r>
          </w:p>
          <w:p w14:paraId="00BAC8C6" w14:textId="77777777" w:rsidR="00871BDF" w:rsidRDefault="005C5088">
            <w:pPr>
              <w:jc w:val="center"/>
              <w:textAlignment w:val="bottom"/>
            </w:pPr>
            <w:r>
              <w:rPr>
                <w:rFonts w:ascii="Times New Roman" w:eastAsia="宋体" w:hAnsi="Times New Roman"/>
                <w:b/>
                <w:bCs/>
                <w:color w:val="FFFFFF"/>
                <w:sz w:val="16"/>
                <w:szCs w:val="16"/>
              </w:rPr>
              <w:t>Total</w:t>
            </w:r>
          </w:p>
          <w:p w14:paraId="00BAC8C7" w14:textId="77777777" w:rsidR="00871BDF" w:rsidRDefault="005C5088">
            <w:pPr>
              <w:jc w:val="center"/>
              <w:textAlignment w:val="bottom"/>
            </w:pPr>
            <w:r>
              <w:rPr>
                <w:rFonts w:ascii="Times New Roman" w:eastAsia="宋体" w:hAnsi="Times New Roman"/>
                <w:b/>
                <w:bCs/>
                <w:color w:val="FFFFFF"/>
                <w:sz w:val="16"/>
                <w:szCs w:val="16"/>
              </w:rPr>
              <w:t>Americas Stores</w:t>
            </w:r>
          </w:p>
        </w:tc>
        <w:tc>
          <w:tcPr>
            <w:tcW w:w="0" w:type="auto"/>
            <w:gridSpan w:val="3"/>
            <w:shd w:val="clear" w:color="auto" w:fill="auto"/>
            <w:tcMar>
              <w:top w:w="0" w:type="dxa"/>
              <w:left w:w="20" w:type="dxa"/>
              <w:bottom w:w="0" w:type="dxa"/>
              <w:right w:w="20" w:type="dxa"/>
            </w:tcMar>
          </w:tcPr>
          <w:p w14:paraId="00BAC8C8"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8C9" w14:textId="77777777" w:rsidR="00871BDF" w:rsidRDefault="005C5088">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tcPr>
          <w:p w14:paraId="00BAC8C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8CB" w14:textId="77777777" w:rsidR="00871BDF" w:rsidRDefault="005C5088">
            <w:pPr>
              <w:jc w:val="center"/>
              <w:textAlignment w:val="bottom"/>
            </w:pPr>
            <w:r>
              <w:rPr>
                <w:rFonts w:ascii="Times New Roman" w:eastAsia="宋体" w:hAnsi="Times New Roman"/>
                <w:b/>
                <w:bCs/>
                <w:color w:val="FFFFFF"/>
                <w:sz w:val="16"/>
                <w:szCs w:val="16"/>
              </w:rPr>
              <w:t>As a% of </w:t>
            </w:r>
            <w:r>
              <w:rPr>
                <w:rFonts w:ascii="Times New Roman" w:eastAsia="宋体" w:hAnsi="Times New Roman"/>
                <w:b/>
                <w:bCs/>
                <w:color w:val="FFFFFF"/>
                <w:sz w:val="16"/>
                <w:szCs w:val="16"/>
              </w:rPr>
              <w:br/>
              <w:t>Total</w:t>
            </w:r>
            <w:r>
              <w:rPr>
                <w:rFonts w:ascii="Times New Roman" w:eastAsia="宋体" w:hAnsi="Times New Roman"/>
                <w:b/>
                <w:bCs/>
                <w:color w:val="FFFFFF"/>
                <w:sz w:val="16"/>
                <w:szCs w:val="16"/>
              </w:rPr>
              <w:br/>
              <w:t>International</w:t>
            </w:r>
            <w:r>
              <w:rPr>
                <w:rFonts w:ascii="Times New Roman" w:eastAsia="宋体" w:hAnsi="Times New Roman"/>
                <w:b/>
                <w:bCs/>
                <w:color w:val="FFFFFF"/>
                <w:sz w:val="16"/>
                <w:szCs w:val="16"/>
              </w:rPr>
              <w:t xml:space="preserve"> Stores</w:t>
            </w:r>
          </w:p>
        </w:tc>
        <w:tc>
          <w:tcPr>
            <w:tcW w:w="0" w:type="auto"/>
            <w:gridSpan w:val="3"/>
            <w:shd w:val="clear" w:color="auto" w:fill="auto"/>
            <w:tcMar>
              <w:top w:w="0" w:type="dxa"/>
              <w:left w:w="20" w:type="dxa"/>
              <w:bottom w:w="0" w:type="dxa"/>
              <w:right w:w="20" w:type="dxa"/>
            </w:tcMar>
          </w:tcPr>
          <w:p w14:paraId="00BAC8CC" w14:textId="77777777" w:rsidR="00871BDF" w:rsidRDefault="00871BDF">
            <w:pPr>
              <w:rPr>
                <w:rFonts w:ascii="宋体"/>
              </w:rPr>
            </w:pPr>
          </w:p>
        </w:tc>
        <w:tc>
          <w:tcPr>
            <w:tcW w:w="0" w:type="auto"/>
            <w:shd w:val="clear" w:color="auto" w:fill="auto"/>
          </w:tcPr>
          <w:p w14:paraId="00BAC8CD" w14:textId="77777777" w:rsidR="00871BDF" w:rsidRDefault="00871BDF">
            <w:pPr>
              <w:rPr>
                <w:rFonts w:ascii="宋体"/>
                <w:vanish/>
              </w:rPr>
            </w:pPr>
          </w:p>
        </w:tc>
        <w:tc>
          <w:tcPr>
            <w:tcW w:w="0" w:type="auto"/>
            <w:shd w:val="clear" w:color="auto" w:fill="auto"/>
          </w:tcPr>
          <w:p w14:paraId="00BAC8CE" w14:textId="77777777" w:rsidR="00871BDF" w:rsidRDefault="00871BDF">
            <w:pPr>
              <w:rPr>
                <w:rFonts w:ascii="宋体"/>
                <w:vanish/>
              </w:rPr>
            </w:pPr>
          </w:p>
        </w:tc>
        <w:tc>
          <w:tcPr>
            <w:tcW w:w="0" w:type="auto"/>
            <w:shd w:val="clear" w:color="auto" w:fill="auto"/>
          </w:tcPr>
          <w:p w14:paraId="00BAC8CF" w14:textId="77777777" w:rsidR="00871BDF" w:rsidRDefault="00871BDF">
            <w:pPr>
              <w:rPr>
                <w:rFonts w:ascii="宋体"/>
                <w:vanish/>
              </w:rPr>
            </w:pPr>
          </w:p>
        </w:tc>
        <w:tc>
          <w:tcPr>
            <w:tcW w:w="0" w:type="auto"/>
            <w:gridSpan w:val="3"/>
            <w:shd w:val="clear" w:color="auto" w:fill="00704A"/>
            <w:tcMar>
              <w:top w:w="40" w:type="dxa"/>
              <w:left w:w="20" w:type="dxa"/>
              <w:bottom w:w="40" w:type="dxa"/>
              <w:right w:w="20" w:type="dxa"/>
            </w:tcMar>
            <w:vAlign w:val="bottom"/>
          </w:tcPr>
          <w:p w14:paraId="00BAC8D0" w14:textId="77777777" w:rsidR="00871BDF" w:rsidRDefault="005C5088">
            <w:pPr>
              <w:jc w:val="center"/>
              <w:textAlignment w:val="bottom"/>
            </w:pPr>
            <w:r>
              <w:rPr>
                <w:rFonts w:ascii="Times New Roman" w:eastAsia="宋体" w:hAnsi="Times New Roman"/>
                <w:b/>
                <w:bCs/>
                <w:color w:val="FFFFFF"/>
                <w:sz w:val="16"/>
                <w:szCs w:val="16"/>
              </w:rPr>
              <w:t>Total</w:t>
            </w:r>
          </w:p>
        </w:tc>
        <w:tc>
          <w:tcPr>
            <w:tcW w:w="0" w:type="auto"/>
            <w:gridSpan w:val="3"/>
            <w:shd w:val="clear" w:color="auto" w:fill="auto"/>
            <w:tcMar>
              <w:top w:w="0" w:type="dxa"/>
              <w:left w:w="20" w:type="dxa"/>
              <w:bottom w:w="0" w:type="dxa"/>
              <w:right w:w="20" w:type="dxa"/>
            </w:tcMar>
          </w:tcPr>
          <w:p w14:paraId="00BAC8D1"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8D2" w14:textId="77777777" w:rsidR="00871BDF" w:rsidRDefault="005C5088">
            <w:pPr>
              <w:jc w:val="center"/>
              <w:textAlignment w:val="bottom"/>
            </w:pPr>
            <w:r>
              <w:rPr>
                <w:rFonts w:ascii="Times New Roman" w:eastAsia="宋体" w:hAnsi="Times New Roman"/>
                <w:b/>
                <w:bCs/>
                <w:color w:val="FFFFFF"/>
                <w:sz w:val="16"/>
                <w:szCs w:val="16"/>
              </w:rPr>
              <w:t>As a% of</w:t>
            </w:r>
          </w:p>
          <w:p w14:paraId="00BAC8D3" w14:textId="77777777" w:rsidR="00871BDF" w:rsidRDefault="005C5088">
            <w:pPr>
              <w:jc w:val="center"/>
              <w:textAlignment w:val="bottom"/>
            </w:pPr>
            <w:r>
              <w:rPr>
                <w:rFonts w:ascii="Times New Roman" w:eastAsia="宋体" w:hAnsi="Times New Roman"/>
                <w:b/>
                <w:bCs/>
                <w:color w:val="FFFFFF"/>
                <w:sz w:val="16"/>
                <w:szCs w:val="16"/>
              </w:rPr>
              <w:t>Total </w:t>
            </w:r>
          </w:p>
          <w:p w14:paraId="00BAC8D4" w14:textId="77777777" w:rsidR="00871BDF" w:rsidRDefault="005C5088">
            <w:pPr>
              <w:jc w:val="center"/>
              <w:textAlignment w:val="bottom"/>
            </w:pPr>
            <w:r>
              <w:rPr>
                <w:rFonts w:ascii="Times New Roman" w:eastAsia="宋体" w:hAnsi="Times New Roman"/>
                <w:b/>
                <w:bCs/>
                <w:color w:val="FFFFFF"/>
                <w:sz w:val="16"/>
                <w:szCs w:val="16"/>
              </w:rPr>
              <w:t>Stores</w:t>
            </w:r>
          </w:p>
        </w:tc>
      </w:tr>
      <w:tr w:rsidR="00871BDF" w14:paraId="00BAC8EB" w14:textId="77777777">
        <w:tc>
          <w:tcPr>
            <w:tcW w:w="0" w:type="auto"/>
            <w:gridSpan w:val="3"/>
            <w:shd w:val="clear" w:color="auto" w:fill="D7E4BC"/>
            <w:tcMar>
              <w:top w:w="40" w:type="dxa"/>
              <w:left w:w="20" w:type="dxa"/>
              <w:bottom w:w="40" w:type="dxa"/>
              <w:right w:w="20" w:type="dxa"/>
            </w:tcMar>
            <w:vAlign w:val="bottom"/>
          </w:tcPr>
          <w:p w14:paraId="00BAC8D6" w14:textId="77777777" w:rsidR="00871BDF" w:rsidRDefault="005C5088">
            <w:pPr>
              <w:textAlignment w:val="bottom"/>
            </w:pPr>
            <w:r>
              <w:rPr>
                <w:rFonts w:ascii="Times New Roman" w:eastAsia="宋体" w:hAnsi="Times New Roman"/>
                <w:color w:val="000000"/>
                <w:sz w:val="20"/>
                <w:szCs w:val="20"/>
              </w:rPr>
              <w:t>Company-operated stores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C8D7" w14:textId="77777777" w:rsidR="00871BDF" w:rsidRDefault="005C5088">
            <w:pPr>
              <w:jc w:val="right"/>
              <w:textAlignment w:val="bottom"/>
            </w:pPr>
            <w:r>
              <w:rPr>
                <w:rFonts w:ascii="Times New Roman" w:eastAsia="宋体" w:hAnsi="Times New Roman"/>
                <w:color w:val="000000"/>
                <w:sz w:val="20"/>
                <w:szCs w:val="20"/>
              </w:rPr>
              <w:t>10,109 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8D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8D9"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C8DA" w14:textId="77777777" w:rsidR="00871BDF" w:rsidRDefault="005C5088">
            <w:pPr>
              <w:jc w:val="right"/>
              <w:textAlignment w:val="bottom"/>
            </w:pPr>
            <w:r>
              <w:rPr>
                <w:rFonts w:ascii="Times New Roman" w:eastAsia="宋体" w:hAnsi="Times New Roman"/>
                <w:color w:val="000000"/>
                <w:sz w:val="20"/>
                <w:szCs w:val="20"/>
              </w:rPr>
              <w:t>55 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8DB"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C8DC"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C8DD" w14:textId="77777777" w:rsidR="00871BDF" w:rsidRDefault="005C5088">
            <w:pPr>
              <w:jc w:val="right"/>
              <w:textAlignment w:val="bottom"/>
            </w:pPr>
            <w:r>
              <w:rPr>
                <w:rFonts w:ascii="Times New Roman" w:eastAsia="宋体" w:hAnsi="Times New Roman"/>
                <w:color w:val="000000"/>
                <w:sz w:val="20"/>
                <w:szCs w:val="20"/>
              </w:rPr>
              <w:t>6,528 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8D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8DF"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C8E0" w14:textId="77777777" w:rsidR="00871BDF" w:rsidRDefault="005C5088">
            <w:pPr>
              <w:jc w:val="right"/>
              <w:textAlignment w:val="bottom"/>
            </w:pPr>
            <w:r>
              <w:rPr>
                <w:rFonts w:ascii="Times New Roman" w:eastAsia="宋体" w:hAnsi="Times New Roman"/>
                <w:color w:val="000000"/>
                <w:sz w:val="20"/>
                <w:szCs w:val="20"/>
              </w:rPr>
              <w:t>46 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8E1"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C8E2" w14:textId="77777777" w:rsidR="00871BDF" w:rsidRDefault="00871BDF">
            <w:pPr>
              <w:rPr>
                <w:rFonts w:ascii="宋体"/>
              </w:rPr>
            </w:pPr>
          </w:p>
        </w:tc>
        <w:tc>
          <w:tcPr>
            <w:tcW w:w="0" w:type="auto"/>
            <w:shd w:val="clear" w:color="auto" w:fill="auto"/>
          </w:tcPr>
          <w:p w14:paraId="00BAC8E3" w14:textId="77777777" w:rsidR="00871BDF" w:rsidRDefault="00871BDF">
            <w:pPr>
              <w:rPr>
                <w:rFonts w:ascii="宋体"/>
                <w:vanish/>
              </w:rPr>
            </w:pPr>
          </w:p>
        </w:tc>
        <w:tc>
          <w:tcPr>
            <w:tcW w:w="0" w:type="auto"/>
            <w:shd w:val="clear" w:color="auto" w:fill="auto"/>
          </w:tcPr>
          <w:p w14:paraId="00BAC8E4" w14:textId="77777777" w:rsidR="00871BDF" w:rsidRDefault="00871BDF">
            <w:pPr>
              <w:rPr>
                <w:rFonts w:ascii="宋体"/>
                <w:vanish/>
              </w:rPr>
            </w:pPr>
          </w:p>
        </w:tc>
        <w:tc>
          <w:tcPr>
            <w:tcW w:w="0" w:type="auto"/>
            <w:shd w:val="clear" w:color="auto" w:fill="auto"/>
          </w:tcPr>
          <w:p w14:paraId="00BAC8E5" w14:textId="77777777" w:rsidR="00871BDF" w:rsidRDefault="00871BDF">
            <w:pPr>
              <w:rPr>
                <w:rFonts w:ascii="宋体"/>
                <w:vanish/>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C8E6" w14:textId="77777777" w:rsidR="00871BDF" w:rsidRDefault="005C5088">
            <w:pPr>
              <w:jc w:val="right"/>
              <w:textAlignment w:val="bottom"/>
            </w:pPr>
            <w:r>
              <w:rPr>
                <w:rFonts w:ascii="Times New Roman" w:eastAsia="宋体" w:hAnsi="Times New Roman"/>
                <w:color w:val="000000"/>
                <w:sz w:val="20"/>
                <w:szCs w:val="20"/>
              </w:rPr>
              <w:t>16,637 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8E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8E8"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C8E9" w14:textId="77777777" w:rsidR="00871BDF" w:rsidRDefault="005C5088">
            <w:pPr>
              <w:jc w:val="right"/>
              <w:textAlignment w:val="bottom"/>
            </w:pPr>
            <w:r>
              <w:rPr>
                <w:rFonts w:ascii="Times New Roman" w:eastAsia="宋体" w:hAnsi="Times New Roman"/>
                <w:color w:val="000000"/>
                <w:sz w:val="20"/>
                <w:szCs w:val="20"/>
              </w:rPr>
              <w:t>51 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8E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C901" w14:textId="77777777">
        <w:tc>
          <w:tcPr>
            <w:tcW w:w="0" w:type="auto"/>
            <w:gridSpan w:val="3"/>
            <w:shd w:val="clear" w:color="auto" w:fill="auto"/>
            <w:tcMar>
              <w:top w:w="40" w:type="dxa"/>
              <w:left w:w="20" w:type="dxa"/>
              <w:bottom w:w="40" w:type="dxa"/>
              <w:right w:w="20" w:type="dxa"/>
            </w:tcMar>
          </w:tcPr>
          <w:p w14:paraId="00BAC8EC" w14:textId="77777777" w:rsidR="00871BDF" w:rsidRDefault="005C5088">
            <w:pPr>
              <w:textAlignment w:val="top"/>
            </w:pPr>
            <w:r>
              <w:rPr>
                <w:rFonts w:ascii="Times New Roman" w:eastAsia="宋体" w:hAnsi="Times New Roman"/>
                <w:color w:val="000000"/>
                <w:sz w:val="20"/>
                <w:szCs w:val="20"/>
              </w:rPr>
              <w:t>Licensed stores</w:t>
            </w:r>
          </w:p>
        </w:tc>
        <w:tc>
          <w:tcPr>
            <w:tcW w:w="0" w:type="auto"/>
            <w:gridSpan w:val="2"/>
            <w:shd w:val="clear" w:color="auto" w:fill="auto"/>
            <w:tcMar>
              <w:top w:w="40" w:type="dxa"/>
              <w:left w:w="20" w:type="dxa"/>
              <w:bottom w:w="40" w:type="dxa"/>
              <w:right w:w="0" w:type="dxa"/>
            </w:tcMar>
            <w:vAlign w:val="bottom"/>
          </w:tcPr>
          <w:p w14:paraId="00BAC8ED" w14:textId="77777777" w:rsidR="00871BDF" w:rsidRDefault="005C5088">
            <w:pPr>
              <w:jc w:val="right"/>
              <w:textAlignment w:val="bottom"/>
            </w:pPr>
            <w:r>
              <w:rPr>
                <w:rFonts w:ascii="Times New Roman" w:eastAsia="宋体" w:hAnsi="Times New Roman"/>
                <w:color w:val="000000"/>
                <w:sz w:val="20"/>
                <w:szCs w:val="20"/>
              </w:rPr>
              <w:t>8,245 </w:t>
            </w:r>
          </w:p>
        </w:tc>
        <w:tc>
          <w:tcPr>
            <w:tcW w:w="0" w:type="auto"/>
            <w:shd w:val="clear" w:color="auto" w:fill="auto"/>
            <w:tcMar>
              <w:top w:w="40" w:type="dxa"/>
              <w:left w:w="0" w:type="dxa"/>
              <w:bottom w:w="40" w:type="dxa"/>
              <w:right w:w="20" w:type="dxa"/>
            </w:tcMar>
            <w:vAlign w:val="bottom"/>
          </w:tcPr>
          <w:p w14:paraId="00BAC8EE"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C8EF"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C8F0" w14:textId="77777777" w:rsidR="00871BDF" w:rsidRDefault="005C5088">
            <w:pPr>
              <w:jc w:val="right"/>
              <w:textAlignment w:val="bottom"/>
            </w:pPr>
            <w:r>
              <w:rPr>
                <w:rFonts w:ascii="Times New Roman" w:eastAsia="宋体" w:hAnsi="Times New Roman"/>
                <w:color w:val="000000"/>
                <w:sz w:val="20"/>
                <w:szCs w:val="20"/>
              </w:rPr>
              <w:t>45 </w:t>
            </w:r>
          </w:p>
        </w:tc>
        <w:tc>
          <w:tcPr>
            <w:tcW w:w="0" w:type="auto"/>
            <w:shd w:val="clear" w:color="auto" w:fill="auto"/>
            <w:tcMar>
              <w:top w:w="40" w:type="dxa"/>
              <w:left w:w="0" w:type="dxa"/>
              <w:bottom w:w="40" w:type="dxa"/>
              <w:right w:w="20" w:type="dxa"/>
            </w:tcMar>
            <w:vAlign w:val="bottom"/>
          </w:tcPr>
          <w:p w14:paraId="00BAC8F1"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00BAC8F2"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tcPr>
          <w:p w14:paraId="00BAC8F3" w14:textId="77777777" w:rsidR="00871BDF" w:rsidRDefault="005C5088">
            <w:pPr>
              <w:jc w:val="right"/>
              <w:textAlignment w:val="top"/>
            </w:pPr>
            <w:r>
              <w:rPr>
                <w:rFonts w:ascii="Times New Roman" w:eastAsia="宋体" w:hAnsi="Times New Roman"/>
                <w:color w:val="000000"/>
                <w:sz w:val="20"/>
                <w:szCs w:val="20"/>
              </w:rPr>
              <w:t>7,778 </w:t>
            </w:r>
          </w:p>
        </w:tc>
        <w:tc>
          <w:tcPr>
            <w:tcW w:w="0" w:type="auto"/>
            <w:shd w:val="clear" w:color="auto" w:fill="auto"/>
            <w:tcMar>
              <w:top w:w="40" w:type="dxa"/>
              <w:left w:w="0" w:type="dxa"/>
              <w:bottom w:w="40" w:type="dxa"/>
              <w:right w:w="20" w:type="dxa"/>
            </w:tcMar>
          </w:tcPr>
          <w:p w14:paraId="00BAC8F4"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C8F5"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C8F6" w14:textId="77777777" w:rsidR="00871BDF" w:rsidRDefault="005C5088">
            <w:pPr>
              <w:jc w:val="right"/>
              <w:textAlignment w:val="bottom"/>
            </w:pPr>
            <w:r>
              <w:rPr>
                <w:rFonts w:ascii="Times New Roman" w:eastAsia="宋体" w:hAnsi="Times New Roman"/>
                <w:color w:val="000000"/>
                <w:sz w:val="20"/>
                <w:szCs w:val="20"/>
              </w:rPr>
              <w:t>54 </w:t>
            </w:r>
          </w:p>
        </w:tc>
        <w:tc>
          <w:tcPr>
            <w:tcW w:w="0" w:type="auto"/>
            <w:shd w:val="clear" w:color="auto" w:fill="auto"/>
            <w:tcMar>
              <w:top w:w="40" w:type="dxa"/>
              <w:left w:w="0" w:type="dxa"/>
              <w:bottom w:w="40" w:type="dxa"/>
              <w:right w:w="20" w:type="dxa"/>
            </w:tcMar>
            <w:vAlign w:val="bottom"/>
          </w:tcPr>
          <w:p w14:paraId="00BAC8F7"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00BAC8F8" w14:textId="77777777" w:rsidR="00871BDF" w:rsidRDefault="00871BDF">
            <w:pPr>
              <w:rPr>
                <w:rFonts w:ascii="宋体"/>
              </w:rPr>
            </w:pPr>
          </w:p>
        </w:tc>
        <w:tc>
          <w:tcPr>
            <w:tcW w:w="0" w:type="auto"/>
            <w:shd w:val="clear" w:color="auto" w:fill="auto"/>
          </w:tcPr>
          <w:p w14:paraId="00BAC8F9" w14:textId="77777777" w:rsidR="00871BDF" w:rsidRDefault="00871BDF">
            <w:pPr>
              <w:rPr>
                <w:rFonts w:ascii="宋体"/>
                <w:vanish/>
              </w:rPr>
            </w:pPr>
          </w:p>
        </w:tc>
        <w:tc>
          <w:tcPr>
            <w:tcW w:w="0" w:type="auto"/>
            <w:shd w:val="clear" w:color="auto" w:fill="auto"/>
          </w:tcPr>
          <w:p w14:paraId="00BAC8FA" w14:textId="77777777" w:rsidR="00871BDF" w:rsidRDefault="00871BDF">
            <w:pPr>
              <w:rPr>
                <w:rFonts w:ascii="宋体"/>
                <w:vanish/>
              </w:rPr>
            </w:pPr>
          </w:p>
        </w:tc>
        <w:tc>
          <w:tcPr>
            <w:tcW w:w="0" w:type="auto"/>
            <w:shd w:val="clear" w:color="auto" w:fill="auto"/>
          </w:tcPr>
          <w:p w14:paraId="00BAC8FB" w14:textId="77777777" w:rsidR="00871BDF" w:rsidRDefault="00871BDF">
            <w:pPr>
              <w:rPr>
                <w:rFonts w:ascii="宋体"/>
                <w:vanish/>
              </w:rPr>
            </w:pPr>
          </w:p>
        </w:tc>
        <w:tc>
          <w:tcPr>
            <w:tcW w:w="0" w:type="auto"/>
            <w:gridSpan w:val="2"/>
            <w:shd w:val="clear" w:color="auto" w:fill="auto"/>
            <w:tcMar>
              <w:top w:w="40" w:type="dxa"/>
              <w:left w:w="20" w:type="dxa"/>
              <w:bottom w:w="40" w:type="dxa"/>
              <w:right w:w="0" w:type="dxa"/>
            </w:tcMar>
            <w:vAlign w:val="bottom"/>
          </w:tcPr>
          <w:p w14:paraId="00BAC8FC" w14:textId="77777777" w:rsidR="00871BDF" w:rsidRDefault="005C5088">
            <w:pPr>
              <w:jc w:val="right"/>
              <w:textAlignment w:val="bottom"/>
            </w:pPr>
            <w:r>
              <w:rPr>
                <w:rFonts w:ascii="Times New Roman" w:eastAsia="宋体" w:hAnsi="Times New Roman"/>
                <w:color w:val="000000"/>
                <w:sz w:val="20"/>
                <w:szCs w:val="20"/>
              </w:rPr>
              <w:t>16,023 </w:t>
            </w:r>
          </w:p>
        </w:tc>
        <w:tc>
          <w:tcPr>
            <w:tcW w:w="0" w:type="auto"/>
            <w:shd w:val="clear" w:color="auto" w:fill="auto"/>
            <w:tcMar>
              <w:top w:w="40" w:type="dxa"/>
              <w:left w:w="0" w:type="dxa"/>
              <w:bottom w:w="40" w:type="dxa"/>
              <w:right w:w="20" w:type="dxa"/>
            </w:tcMar>
            <w:vAlign w:val="bottom"/>
          </w:tcPr>
          <w:p w14:paraId="00BAC8FD"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C8FE"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C8FF" w14:textId="77777777" w:rsidR="00871BDF" w:rsidRDefault="005C5088">
            <w:pPr>
              <w:jc w:val="right"/>
              <w:textAlignment w:val="bottom"/>
            </w:pPr>
            <w:r>
              <w:rPr>
                <w:rFonts w:ascii="Times New Roman" w:eastAsia="宋体" w:hAnsi="Times New Roman"/>
                <w:color w:val="000000"/>
                <w:sz w:val="20"/>
                <w:szCs w:val="20"/>
              </w:rPr>
              <w:t>49 </w:t>
            </w:r>
          </w:p>
        </w:tc>
        <w:tc>
          <w:tcPr>
            <w:tcW w:w="0" w:type="auto"/>
            <w:shd w:val="clear" w:color="auto" w:fill="auto"/>
            <w:tcMar>
              <w:top w:w="40" w:type="dxa"/>
              <w:left w:w="0" w:type="dxa"/>
              <w:bottom w:w="40" w:type="dxa"/>
              <w:right w:w="20" w:type="dxa"/>
            </w:tcMar>
            <w:vAlign w:val="bottom"/>
          </w:tcPr>
          <w:p w14:paraId="00BAC900"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C917" w14:textId="77777777">
        <w:tc>
          <w:tcPr>
            <w:tcW w:w="0" w:type="auto"/>
            <w:gridSpan w:val="3"/>
            <w:shd w:val="clear" w:color="auto" w:fill="D7E4BC"/>
            <w:tcMar>
              <w:top w:w="40" w:type="dxa"/>
              <w:left w:w="20" w:type="dxa"/>
              <w:bottom w:w="40" w:type="dxa"/>
              <w:right w:w="20" w:type="dxa"/>
            </w:tcMar>
            <w:vAlign w:val="bottom"/>
          </w:tcPr>
          <w:p w14:paraId="00BAC902" w14:textId="77777777" w:rsidR="00871BDF" w:rsidRDefault="005C5088">
            <w:pPr>
              <w:textAlignment w:val="bottom"/>
            </w:pPr>
            <w:r>
              <w:rPr>
                <w:rFonts w:ascii="Times New Roman" w:eastAsia="宋体" w:hAnsi="Times New Roman"/>
                <w:b/>
                <w:bCs/>
                <w:color w:val="000000"/>
                <w:sz w:val="20"/>
                <w:szCs w:val="20"/>
              </w:rPr>
              <w:t>Total</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903" w14:textId="77777777" w:rsidR="00871BDF" w:rsidRDefault="005C5088">
            <w:pPr>
              <w:jc w:val="right"/>
              <w:textAlignment w:val="bottom"/>
            </w:pPr>
            <w:r>
              <w:rPr>
                <w:rFonts w:ascii="Times New Roman" w:eastAsia="宋体" w:hAnsi="Times New Roman"/>
                <w:b/>
                <w:bCs/>
                <w:color w:val="000000"/>
                <w:sz w:val="20"/>
                <w:szCs w:val="20"/>
              </w:rPr>
              <w:t>18,354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90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05"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906" w14:textId="77777777" w:rsidR="00871BDF" w:rsidRDefault="005C5088">
            <w:pPr>
              <w:jc w:val="right"/>
              <w:textAlignment w:val="bottom"/>
            </w:pPr>
            <w:r>
              <w:rPr>
                <w:rFonts w:ascii="Times New Roman" w:eastAsia="宋体" w:hAnsi="Times New Roman"/>
                <w:b/>
                <w:bCs/>
                <w:color w:val="000000"/>
                <w:sz w:val="20"/>
                <w:szCs w:val="20"/>
              </w:rPr>
              <w:t>100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907"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00BAC908"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909" w14:textId="77777777" w:rsidR="00871BDF" w:rsidRDefault="005C5088">
            <w:pPr>
              <w:jc w:val="right"/>
              <w:textAlignment w:val="bottom"/>
            </w:pPr>
            <w:r>
              <w:rPr>
                <w:rFonts w:ascii="Times New Roman" w:eastAsia="宋体" w:hAnsi="Times New Roman"/>
                <w:b/>
                <w:bCs/>
                <w:color w:val="000000"/>
                <w:sz w:val="20"/>
                <w:szCs w:val="20"/>
              </w:rPr>
              <w:t>14,306</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90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0B"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90C" w14:textId="77777777" w:rsidR="00871BDF" w:rsidRDefault="005C5088">
            <w:pPr>
              <w:jc w:val="right"/>
              <w:textAlignment w:val="bottom"/>
            </w:pPr>
            <w:r>
              <w:rPr>
                <w:rFonts w:ascii="Times New Roman" w:eastAsia="宋体" w:hAnsi="Times New Roman"/>
                <w:b/>
                <w:bCs/>
                <w:color w:val="000000"/>
                <w:sz w:val="20"/>
                <w:szCs w:val="20"/>
              </w:rPr>
              <w:t>100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90D"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00BAC90E" w14:textId="77777777" w:rsidR="00871BDF" w:rsidRDefault="00871BDF">
            <w:pPr>
              <w:rPr>
                <w:rFonts w:ascii="宋体"/>
              </w:rPr>
            </w:pPr>
          </w:p>
        </w:tc>
        <w:tc>
          <w:tcPr>
            <w:tcW w:w="0" w:type="auto"/>
            <w:shd w:val="clear" w:color="auto" w:fill="auto"/>
          </w:tcPr>
          <w:p w14:paraId="00BAC90F" w14:textId="77777777" w:rsidR="00871BDF" w:rsidRDefault="00871BDF">
            <w:pPr>
              <w:rPr>
                <w:rFonts w:ascii="宋体"/>
                <w:vanish/>
              </w:rPr>
            </w:pPr>
          </w:p>
        </w:tc>
        <w:tc>
          <w:tcPr>
            <w:tcW w:w="0" w:type="auto"/>
            <w:shd w:val="clear" w:color="auto" w:fill="auto"/>
          </w:tcPr>
          <w:p w14:paraId="00BAC910" w14:textId="77777777" w:rsidR="00871BDF" w:rsidRDefault="00871BDF">
            <w:pPr>
              <w:rPr>
                <w:rFonts w:ascii="宋体"/>
                <w:vanish/>
              </w:rPr>
            </w:pPr>
          </w:p>
        </w:tc>
        <w:tc>
          <w:tcPr>
            <w:tcW w:w="0" w:type="auto"/>
            <w:shd w:val="clear" w:color="auto" w:fill="auto"/>
          </w:tcPr>
          <w:p w14:paraId="00BAC911" w14:textId="77777777" w:rsidR="00871BDF" w:rsidRDefault="00871BDF">
            <w:pPr>
              <w:rPr>
                <w:rFonts w:ascii="宋体"/>
                <w:vanish/>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912" w14:textId="77777777" w:rsidR="00871BDF" w:rsidRDefault="005C5088">
            <w:pPr>
              <w:jc w:val="right"/>
              <w:textAlignment w:val="bottom"/>
            </w:pPr>
            <w:r>
              <w:rPr>
                <w:rFonts w:ascii="Times New Roman" w:eastAsia="宋体" w:hAnsi="Times New Roman"/>
                <w:b/>
                <w:bCs/>
                <w:color w:val="000000"/>
                <w:sz w:val="20"/>
                <w:szCs w:val="20"/>
              </w:rPr>
              <w:t>32,660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91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14"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915" w14:textId="77777777" w:rsidR="00871BDF" w:rsidRDefault="005C5088">
            <w:pPr>
              <w:jc w:val="right"/>
              <w:textAlignment w:val="bottom"/>
            </w:pPr>
            <w:r>
              <w:rPr>
                <w:rFonts w:ascii="Times New Roman" w:eastAsia="宋体" w:hAnsi="Times New Roman"/>
                <w:b/>
                <w:bCs/>
                <w:color w:val="000000"/>
                <w:sz w:val="20"/>
                <w:szCs w:val="20"/>
              </w:rPr>
              <w:t>100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916" w14:textId="77777777" w:rsidR="00871BDF" w:rsidRDefault="005C5088">
            <w:pPr>
              <w:jc w:val="right"/>
              <w:textAlignment w:val="bottom"/>
            </w:pPr>
            <w:r>
              <w:rPr>
                <w:rFonts w:ascii="Times New Roman" w:eastAsia="宋体" w:hAnsi="Times New Roman"/>
                <w:b/>
                <w:bCs/>
                <w:color w:val="000000"/>
                <w:sz w:val="20"/>
                <w:szCs w:val="20"/>
              </w:rPr>
              <w:t>%</w:t>
            </w:r>
          </w:p>
        </w:tc>
      </w:tr>
    </w:tbl>
    <w:p w14:paraId="00BAC918" w14:textId="77777777" w:rsidR="00871BDF" w:rsidRDefault="005C5088">
      <w:pPr>
        <w:spacing w:before="120"/>
      </w:pPr>
      <w:r>
        <w:rPr>
          <w:rFonts w:ascii="Times New Roman" w:eastAsia="宋体" w:hAnsi="Times New Roman"/>
          <w:color w:val="000000"/>
          <w:sz w:val="20"/>
          <w:szCs w:val="20"/>
        </w:rPr>
        <w:t xml:space="preserve">The mix of company-operated versus licensed stores in a given market will vary based on several factors, including our ability to access desirable local retail space, the complexity, profitability and expected ultimate size of the </w:t>
      </w:r>
      <w:r>
        <w:rPr>
          <w:rFonts w:ascii="Times New Roman" w:eastAsia="宋体" w:hAnsi="Times New Roman"/>
          <w:color w:val="000000"/>
          <w:sz w:val="20"/>
          <w:szCs w:val="20"/>
        </w:rPr>
        <w:t>market for Starbucks and our ability to leverage the support infrastructure within a geographic region.</w:t>
      </w:r>
    </w:p>
    <w:p w14:paraId="00BAC919" w14:textId="77777777" w:rsidR="00871BDF" w:rsidRDefault="005C5088">
      <w:pPr>
        <w:jc w:val="center"/>
      </w:pPr>
      <w:r>
        <w:rPr>
          <w:rFonts w:ascii="Times New Roman" w:eastAsia="宋体" w:hAnsi="Times New Roman"/>
          <w:color w:val="000000"/>
          <w:sz w:val="20"/>
          <w:szCs w:val="20"/>
        </w:rPr>
        <w:t>2</w:t>
      </w:r>
    </w:p>
    <w:p w14:paraId="00BAC91A" w14:textId="77777777" w:rsidR="00871BDF" w:rsidRDefault="005C5088">
      <w:r>
        <w:pict w14:anchorId="00BB1465">
          <v:rect id="_x0000_i1029" style="width:415.3pt;height:1.5pt" o:hralign="center" o:hrstd="t" o:hr="t" fillcolor="#a0a0a0" stroked="f"/>
        </w:pict>
      </w:r>
    </w:p>
    <w:p w14:paraId="00BAC91B" w14:textId="77777777" w:rsidR="00871BDF" w:rsidRDefault="005C5088">
      <w:hyperlink r:id="rId61" w:anchor="i54ccc64cb5384be5a4849ef1cdef4dde_7" w:history="1">
        <w:r>
          <w:rPr>
            <w:rStyle w:val="a5"/>
            <w:rFonts w:ascii="Times New Roman" w:eastAsia="宋体" w:hAnsi="Times New Roman"/>
            <w:sz w:val="20"/>
            <w:szCs w:val="20"/>
          </w:rPr>
          <w:t>Table of Contents</w:t>
        </w:r>
      </w:hyperlink>
    </w:p>
    <w:p w14:paraId="00BAC91C" w14:textId="77777777" w:rsidR="00871BDF" w:rsidRDefault="005C5088">
      <w:pPr>
        <w:spacing w:before="120"/>
      </w:pPr>
      <w:r>
        <w:rPr>
          <w:rFonts w:ascii="Times New Roman" w:eastAsia="宋体" w:hAnsi="Times New Roman"/>
          <w:b/>
          <w:bCs/>
          <w:color w:val="000000"/>
          <w:sz w:val="20"/>
          <w:szCs w:val="20"/>
        </w:rPr>
        <w:t>Company-operated Stores</w:t>
      </w:r>
    </w:p>
    <w:p w14:paraId="00BAC91D" w14:textId="77777777" w:rsidR="00871BDF" w:rsidRDefault="005C5088">
      <w:pPr>
        <w:spacing w:before="120"/>
      </w:pPr>
      <w:r>
        <w:rPr>
          <w:rFonts w:ascii="Times New Roman" w:eastAsia="宋体" w:hAnsi="Times New Roman"/>
          <w:color w:val="000000"/>
          <w:sz w:val="20"/>
          <w:szCs w:val="20"/>
        </w:rPr>
        <w:t>Revenue from company-operated stores accounted for 81% of tot</w:t>
      </w:r>
      <w:r>
        <w:rPr>
          <w:rFonts w:ascii="Times New Roman" w:eastAsia="宋体" w:hAnsi="Times New Roman"/>
          <w:color w:val="000000"/>
          <w:sz w:val="20"/>
          <w:szCs w:val="20"/>
        </w:rPr>
        <w:t>al net revenues during fiscal 2020. Our retail objective is to be the leading retailer and brand of coffee and tea in each of our target markets by selling the finest quality coffee, tea and related products, as well as complementary food offerings, and by</w:t>
      </w:r>
      <w:r>
        <w:rPr>
          <w:rFonts w:ascii="Times New Roman" w:eastAsia="宋体" w:hAnsi="Times New Roman"/>
          <w:color w:val="000000"/>
          <w:sz w:val="20"/>
          <w:szCs w:val="20"/>
        </w:rPr>
        <w:t xml:space="preserve"> providing each customer with a unique </w:t>
      </w:r>
      <w:r>
        <w:rPr>
          <w:rFonts w:ascii="Times New Roman" w:eastAsia="宋体" w:hAnsi="Times New Roman"/>
          <w:i/>
          <w:iCs/>
          <w:color w:val="000000"/>
          <w:sz w:val="20"/>
          <w:szCs w:val="20"/>
        </w:rPr>
        <w:t>Starbucks Experience</w:t>
      </w:r>
      <w:r>
        <w:rPr>
          <w:rFonts w:ascii="Times New Roman" w:eastAsia="宋体" w:hAnsi="Times New Roman"/>
          <w:color w:val="000000"/>
          <w:sz w:val="20"/>
          <w:szCs w:val="20"/>
        </w:rPr>
        <w:t xml:space="preserve">. The </w:t>
      </w:r>
      <w:r>
        <w:rPr>
          <w:rFonts w:ascii="Times New Roman" w:eastAsia="宋体" w:hAnsi="Times New Roman"/>
          <w:i/>
          <w:iCs/>
          <w:color w:val="000000"/>
          <w:sz w:val="20"/>
          <w:szCs w:val="20"/>
        </w:rPr>
        <w:t>Starbucks Experience</w:t>
      </w:r>
      <w:r>
        <w:rPr>
          <w:rFonts w:ascii="Times New Roman" w:eastAsia="宋体" w:hAnsi="Times New Roman"/>
          <w:color w:val="000000"/>
          <w:sz w:val="20"/>
          <w:szCs w:val="20"/>
        </w:rPr>
        <w:t xml:space="preserve"> is built upon superior customer service, convenience and a seamless digital experience as well as safe, clean and well-maintained stores that reflect the personalities of</w:t>
      </w:r>
      <w:r>
        <w:rPr>
          <w:rFonts w:ascii="Times New Roman" w:eastAsia="宋体" w:hAnsi="Times New Roman"/>
          <w:color w:val="000000"/>
          <w:sz w:val="20"/>
          <w:szCs w:val="20"/>
        </w:rPr>
        <w:t xml:space="preserve"> the communities in which they operate, thereby building a high degree of customer loyalty.</w:t>
      </w:r>
    </w:p>
    <w:p w14:paraId="00BAC91E" w14:textId="77777777" w:rsidR="00871BDF" w:rsidRDefault="005C5088">
      <w:pPr>
        <w:spacing w:before="120"/>
      </w:pPr>
      <w:r>
        <w:rPr>
          <w:rFonts w:ascii="Times New Roman" w:eastAsia="宋体" w:hAnsi="Times New Roman"/>
          <w:color w:val="000000"/>
          <w:sz w:val="20"/>
          <w:szCs w:val="20"/>
        </w:rPr>
        <w:t>Our strategy for expanding our global retail business is to increase our category share in a disciplined manner, by selectively opening additional stores in new and</w:t>
      </w:r>
      <w:r>
        <w:rPr>
          <w:rFonts w:ascii="Times New Roman" w:eastAsia="宋体" w:hAnsi="Times New Roman"/>
          <w:color w:val="000000"/>
          <w:sz w:val="20"/>
          <w:szCs w:val="20"/>
        </w:rPr>
        <w:t xml:space="preserve"> existing markets, as well as increasing sales in existing stores, to support our long-term strategic objective to maintain Starbucks standing as one of the most recognized and respected brands in the world. Store growth in specific existing markets will v</w:t>
      </w:r>
      <w:r>
        <w:rPr>
          <w:rFonts w:ascii="Times New Roman" w:eastAsia="宋体" w:hAnsi="Times New Roman"/>
          <w:color w:val="000000"/>
          <w:sz w:val="20"/>
          <w:szCs w:val="20"/>
        </w:rPr>
        <w:t>ary due to many factors, including expected financial returns, the maturity of the market, economic conditions, consumer behavior and local business practices.</w:t>
      </w:r>
    </w:p>
    <w:p w14:paraId="00BAC91F" w14:textId="77777777" w:rsidR="00871BDF" w:rsidRDefault="005C5088">
      <w:pPr>
        <w:spacing w:before="120"/>
      </w:pPr>
      <w:r>
        <w:rPr>
          <w:rFonts w:ascii="Times New Roman" w:eastAsia="宋体" w:hAnsi="Times New Roman"/>
          <w:color w:val="000000"/>
          <w:sz w:val="20"/>
          <w:szCs w:val="20"/>
        </w:rPr>
        <w:t>Company-operated store data for the year-ended September 27, 2020:</w:t>
      </w:r>
    </w:p>
    <w:tbl>
      <w:tblPr>
        <w:tblW w:w="4985" w:type="pct"/>
        <w:tblCellMar>
          <w:top w:w="15" w:type="dxa"/>
          <w:left w:w="15" w:type="dxa"/>
          <w:bottom w:w="15" w:type="dxa"/>
          <w:right w:w="15" w:type="dxa"/>
        </w:tblCellMar>
        <w:tblLook w:val="04A0" w:firstRow="1" w:lastRow="0" w:firstColumn="1" w:lastColumn="0" w:noHBand="0" w:noVBand="1"/>
      </w:tblPr>
      <w:tblGrid>
        <w:gridCol w:w="64"/>
        <w:gridCol w:w="2037"/>
        <w:gridCol w:w="37"/>
        <w:gridCol w:w="58"/>
        <w:gridCol w:w="859"/>
        <w:gridCol w:w="36"/>
        <w:gridCol w:w="36"/>
        <w:gridCol w:w="36"/>
        <w:gridCol w:w="36"/>
        <w:gridCol w:w="49"/>
        <w:gridCol w:w="850"/>
        <w:gridCol w:w="36"/>
        <w:gridCol w:w="36"/>
        <w:gridCol w:w="36"/>
        <w:gridCol w:w="36"/>
        <w:gridCol w:w="43"/>
        <w:gridCol w:w="856"/>
        <w:gridCol w:w="36"/>
        <w:gridCol w:w="36"/>
        <w:gridCol w:w="36"/>
        <w:gridCol w:w="36"/>
        <w:gridCol w:w="61"/>
        <w:gridCol w:w="838"/>
        <w:gridCol w:w="36"/>
        <w:gridCol w:w="36"/>
        <w:gridCol w:w="36"/>
        <w:gridCol w:w="36"/>
        <w:gridCol w:w="41"/>
        <w:gridCol w:w="860"/>
        <w:gridCol w:w="36"/>
        <w:gridCol w:w="36"/>
        <w:gridCol w:w="36"/>
        <w:gridCol w:w="36"/>
        <w:gridCol w:w="54"/>
        <w:gridCol w:w="848"/>
        <w:gridCol w:w="36"/>
      </w:tblGrid>
      <w:tr w:rsidR="00871BDF" w14:paraId="00BAC944" w14:textId="77777777">
        <w:tc>
          <w:tcPr>
            <w:tcW w:w="50" w:type="pct"/>
            <w:shd w:val="clear" w:color="auto" w:fill="auto"/>
          </w:tcPr>
          <w:p w14:paraId="00BAC920" w14:textId="77777777" w:rsidR="00871BDF" w:rsidRDefault="00871BDF">
            <w:pPr>
              <w:rPr>
                <w:rFonts w:ascii="宋体"/>
              </w:rPr>
            </w:pPr>
          </w:p>
        </w:tc>
        <w:tc>
          <w:tcPr>
            <w:tcW w:w="1242" w:type="pct"/>
            <w:shd w:val="clear" w:color="auto" w:fill="auto"/>
          </w:tcPr>
          <w:p w14:paraId="00BAC921" w14:textId="77777777" w:rsidR="00871BDF" w:rsidRDefault="00871BDF">
            <w:pPr>
              <w:rPr>
                <w:rFonts w:ascii="宋体"/>
              </w:rPr>
            </w:pPr>
          </w:p>
        </w:tc>
        <w:tc>
          <w:tcPr>
            <w:tcW w:w="5" w:type="pct"/>
            <w:shd w:val="clear" w:color="auto" w:fill="auto"/>
          </w:tcPr>
          <w:p w14:paraId="00BAC922" w14:textId="77777777" w:rsidR="00871BDF" w:rsidRDefault="00871BDF">
            <w:pPr>
              <w:rPr>
                <w:rFonts w:ascii="宋体"/>
              </w:rPr>
            </w:pPr>
          </w:p>
        </w:tc>
        <w:tc>
          <w:tcPr>
            <w:tcW w:w="50" w:type="pct"/>
            <w:shd w:val="clear" w:color="auto" w:fill="auto"/>
          </w:tcPr>
          <w:p w14:paraId="00BAC923" w14:textId="77777777" w:rsidR="00871BDF" w:rsidRDefault="00871BDF">
            <w:pPr>
              <w:rPr>
                <w:rFonts w:ascii="宋体"/>
              </w:rPr>
            </w:pPr>
          </w:p>
        </w:tc>
        <w:tc>
          <w:tcPr>
            <w:tcW w:w="531" w:type="pct"/>
            <w:shd w:val="clear" w:color="auto" w:fill="auto"/>
          </w:tcPr>
          <w:p w14:paraId="00BAC924" w14:textId="77777777" w:rsidR="00871BDF" w:rsidRDefault="00871BDF">
            <w:pPr>
              <w:rPr>
                <w:rFonts w:ascii="宋体"/>
              </w:rPr>
            </w:pPr>
          </w:p>
        </w:tc>
        <w:tc>
          <w:tcPr>
            <w:tcW w:w="5" w:type="pct"/>
            <w:shd w:val="clear" w:color="auto" w:fill="auto"/>
          </w:tcPr>
          <w:p w14:paraId="00BAC925" w14:textId="77777777" w:rsidR="00871BDF" w:rsidRDefault="00871BDF">
            <w:pPr>
              <w:rPr>
                <w:rFonts w:ascii="宋体"/>
              </w:rPr>
            </w:pPr>
          </w:p>
        </w:tc>
        <w:tc>
          <w:tcPr>
            <w:tcW w:w="5" w:type="pct"/>
            <w:shd w:val="clear" w:color="auto" w:fill="auto"/>
          </w:tcPr>
          <w:p w14:paraId="00BAC926" w14:textId="77777777" w:rsidR="00871BDF" w:rsidRDefault="00871BDF">
            <w:pPr>
              <w:rPr>
                <w:rFonts w:ascii="宋体"/>
              </w:rPr>
            </w:pPr>
          </w:p>
        </w:tc>
        <w:tc>
          <w:tcPr>
            <w:tcW w:w="26" w:type="pct"/>
            <w:shd w:val="clear" w:color="auto" w:fill="auto"/>
          </w:tcPr>
          <w:p w14:paraId="00BAC927" w14:textId="77777777" w:rsidR="00871BDF" w:rsidRDefault="00871BDF">
            <w:pPr>
              <w:rPr>
                <w:rFonts w:ascii="宋体"/>
              </w:rPr>
            </w:pPr>
          </w:p>
        </w:tc>
        <w:tc>
          <w:tcPr>
            <w:tcW w:w="5" w:type="pct"/>
            <w:shd w:val="clear" w:color="auto" w:fill="auto"/>
          </w:tcPr>
          <w:p w14:paraId="00BAC928" w14:textId="77777777" w:rsidR="00871BDF" w:rsidRDefault="00871BDF">
            <w:pPr>
              <w:rPr>
                <w:rFonts w:ascii="宋体"/>
              </w:rPr>
            </w:pPr>
          </w:p>
        </w:tc>
        <w:tc>
          <w:tcPr>
            <w:tcW w:w="50" w:type="pct"/>
            <w:shd w:val="clear" w:color="auto" w:fill="auto"/>
          </w:tcPr>
          <w:p w14:paraId="00BAC929" w14:textId="77777777" w:rsidR="00871BDF" w:rsidRDefault="00871BDF">
            <w:pPr>
              <w:rPr>
                <w:rFonts w:ascii="宋体"/>
              </w:rPr>
            </w:pPr>
          </w:p>
        </w:tc>
        <w:tc>
          <w:tcPr>
            <w:tcW w:w="531" w:type="pct"/>
            <w:shd w:val="clear" w:color="auto" w:fill="auto"/>
          </w:tcPr>
          <w:p w14:paraId="00BAC92A" w14:textId="77777777" w:rsidR="00871BDF" w:rsidRDefault="00871BDF">
            <w:pPr>
              <w:rPr>
                <w:rFonts w:ascii="宋体"/>
              </w:rPr>
            </w:pPr>
          </w:p>
        </w:tc>
        <w:tc>
          <w:tcPr>
            <w:tcW w:w="5" w:type="pct"/>
            <w:shd w:val="clear" w:color="auto" w:fill="auto"/>
          </w:tcPr>
          <w:p w14:paraId="00BAC92B" w14:textId="77777777" w:rsidR="00871BDF" w:rsidRDefault="00871BDF">
            <w:pPr>
              <w:rPr>
                <w:rFonts w:ascii="宋体"/>
              </w:rPr>
            </w:pPr>
          </w:p>
        </w:tc>
        <w:tc>
          <w:tcPr>
            <w:tcW w:w="5" w:type="pct"/>
            <w:shd w:val="clear" w:color="auto" w:fill="auto"/>
          </w:tcPr>
          <w:p w14:paraId="00BAC92C" w14:textId="77777777" w:rsidR="00871BDF" w:rsidRDefault="00871BDF">
            <w:pPr>
              <w:rPr>
                <w:rFonts w:ascii="宋体"/>
              </w:rPr>
            </w:pPr>
          </w:p>
        </w:tc>
        <w:tc>
          <w:tcPr>
            <w:tcW w:w="26" w:type="pct"/>
            <w:shd w:val="clear" w:color="auto" w:fill="auto"/>
          </w:tcPr>
          <w:p w14:paraId="00BAC92D" w14:textId="77777777" w:rsidR="00871BDF" w:rsidRDefault="00871BDF">
            <w:pPr>
              <w:rPr>
                <w:rFonts w:ascii="宋体"/>
              </w:rPr>
            </w:pPr>
          </w:p>
        </w:tc>
        <w:tc>
          <w:tcPr>
            <w:tcW w:w="5" w:type="pct"/>
            <w:shd w:val="clear" w:color="auto" w:fill="auto"/>
          </w:tcPr>
          <w:p w14:paraId="00BAC92E" w14:textId="77777777" w:rsidR="00871BDF" w:rsidRDefault="00871BDF">
            <w:pPr>
              <w:rPr>
                <w:rFonts w:ascii="宋体"/>
              </w:rPr>
            </w:pPr>
          </w:p>
        </w:tc>
        <w:tc>
          <w:tcPr>
            <w:tcW w:w="50" w:type="pct"/>
            <w:shd w:val="clear" w:color="auto" w:fill="auto"/>
          </w:tcPr>
          <w:p w14:paraId="00BAC92F" w14:textId="77777777" w:rsidR="00871BDF" w:rsidRDefault="00871BDF">
            <w:pPr>
              <w:rPr>
                <w:rFonts w:ascii="宋体"/>
              </w:rPr>
            </w:pPr>
          </w:p>
        </w:tc>
        <w:tc>
          <w:tcPr>
            <w:tcW w:w="531" w:type="pct"/>
            <w:shd w:val="clear" w:color="auto" w:fill="auto"/>
          </w:tcPr>
          <w:p w14:paraId="00BAC930" w14:textId="77777777" w:rsidR="00871BDF" w:rsidRDefault="00871BDF">
            <w:pPr>
              <w:rPr>
                <w:rFonts w:ascii="宋体"/>
              </w:rPr>
            </w:pPr>
          </w:p>
        </w:tc>
        <w:tc>
          <w:tcPr>
            <w:tcW w:w="5" w:type="pct"/>
            <w:shd w:val="clear" w:color="auto" w:fill="auto"/>
          </w:tcPr>
          <w:p w14:paraId="00BAC931" w14:textId="77777777" w:rsidR="00871BDF" w:rsidRDefault="00871BDF">
            <w:pPr>
              <w:rPr>
                <w:rFonts w:ascii="宋体"/>
              </w:rPr>
            </w:pPr>
          </w:p>
        </w:tc>
        <w:tc>
          <w:tcPr>
            <w:tcW w:w="5" w:type="pct"/>
            <w:shd w:val="clear" w:color="auto" w:fill="auto"/>
          </w:tcPr>
          <w:p w14:paraId="00BAC932" w14:textId="77777777" w:rsidR="00871BDF" w:rsidRDefault="00871BDF">
            <w:pPr>
              <w:rPr>
                <w:rFonts w:ascii="宋体"/>
              </w:rPr>
            </w:pPr>
          </w:p>
        </w:tc>
        <w:tc>
          <w:tcPr>
            <w:tcW w:w="26" w:type="pct"/>
            <w:shd w:val="clear" w:color="auto" w:fill="auto"/>
          </w:tcPr>
          <w:p w14:paraId="00BAC933" w14:textId="77777777" w:rsidR="00871BDF" w:rsidRDefault="00871BDF">
            <w:pPr>
              <w:rPr>
                <w:rFonts w:ascii="宋体"/>
              </w:rPr>
            </w:pPr>
          </w:p>
        </w:tc>
        <w:tc>
          <w:tcPr>
            <w:tcW w:w="5" w:type="pct"/>
            <w:shd w:val="clear" w:color="auto" w:fill="auto"/>
          </w:tcPr>
          <w:p w14:paraId="00BAC934" w14:textId="77777777" w:rsidR="00871BDF" w:rsidRDefault="00871BDF">
            <w:pPr>
              <w:rPr>
                <w:rFonts w:ascii="宋体"/>
              </w:rPr>
            </w:pPr>
          </w:p>
        </w:tc>
        <w:tc>
          <w:tcPr>
            <w:tcW w:w="50" w:type="pct"/>
            <w:shd w:val="clear" w:color="auto" w:fill="auto"/>
          </w:tcPr>
          <w:p w14:paraId="00BAC935" w14:textId="77777777" w:rsidR="00871BDF" w:rsidRDefault="00871BDF">
            <w:pPr>
              <w:rPr>
                <w:rFonts w:ascii="宋体"/>
              </w:rPr>
            </w:pPr>
          </w:p>
        </w:tc>
        <w:tc>
          <w:tcPr>
            <w:tcW w:w="531" w:type="pct"/>
            <w:shd w:val="clear" w:color="auto" w:fill="auto"/>
          </w:tcPr>
          <w:p w14:paraId="00BAC936" w14:textId="77777777" w:rsidR="00871BDF" w:rsidRDefault="00871BDF">
            <w:pPr>
              <w:rPr>
                <w:rFonts w:ascii="宋体"/>
              </w:rPr>
            </w:pPr>
          </w:p>
        </w:tc>
        <w:tc>
          <w:tcPr>
            <w:tcW w:w="5" w:type="pct"/>
            <w:shd w:val="clear" w:color="auto" w:fill="auto"/>
          </w:tcPr>
          <w:p w14:paraId="00BAC937" w14:textId="77777777" w:rsidR="00871BDF" w:rsidRDefault="00871BDF">
            <w:pPr>
              <w:rPr>
                <w:rFonts w:ascii="宋体"/>
              </w:rPr>
            </w:pPr>
          </w:p>
        </w:tc>
        <w:tc>
          <w:tcPr>
            <w:tcW w:w="5" w:type="pct"/>
            <w:shd w:val="clear" w:color="auto" w:fill="auto"/>
          </w:tcPr>
          <w:p w14:paraId="00BAC938" w14:textId="77777777" w:rsidR="00871BDF" w:rsidRDefault="00871BDF">
            <w:pPr>
              <w:rPr>
                <w:rFonts w:ascii="宋体"/>
              </w:rPr>
            </w:pPr>
          </w:p>
        </w:tc>
        <w:tc>
          <w:tcPr>
            <w:tcW w:w="26" w:type="pct"/>
            <w:shd w:val="clear" w:color="auto" w:fill="auto"/>
          </w:tcPr>
          <w:p w14:paraId="00BAC939" w14:textId="77777777" w:rsidR="00871BDF" w:rsidRDefault="00871BDF">
            <w:pPr>
              <w:rPr>
                <w:rFonts w:ascii="宋体"/>
              </w:rPr>
            </w:pPr>
          </w:p>
        </w:tc>
        <w:tc>
          <w:tcPr>
            <w:tcW w:w="5" w:type="pct"/>
            <w:shd w:val="clear" w:color="auto" w:fill="auto"/>
          </w:tcPr>
          <w:p w14:paraId="00BAC93A" w14:textId="77777777" w:rsidR="00871BDF" w:rsidRDefault="00871BDF">
            <w:pPr>
              <w:rPr>
                <w:rFonts w:ascii="宋体"/>
              </w:rPr>
            </w:pPr>
          </w:p>
        </w:tc>
        <w:tc>
          <w:tcPr>
            <w:tcW w:w="50" w:type="pct"/>
            <w:shd w:val="clear" w:color="auto" w:fill="auto"/>
          </w:tcPr>
          <w:p w14:paraId="00BAC93B" w14:textId="77777777" w:rsidR="00871BDF" w:rsidRDefault="00871BDF">
            <w:pPr>
              <w:rPr>
                <w:rFonts w:ascii="宋体"/>
              </w:rPr>
            </w:pPr>
          </w:p>
        </w:tc>
        <w:tc>
          <w:tcPr>
            <w:tcW w:w="531" w:type="pct"/>
            <w:shd w:val="clear" w:color="auto" w:fill="auto"/>
          </w:tcPr>
          <w:p w14:paraId="00BAC93C" w14:textId="77777777" w:rsidR="00871BDF" w:rsidRDefault="00871BDF">
            <w:pPr>
              <w:rPr>
                <w:rFonts w:ascii="宋体"/>
              </w:rPr>
            </w:pPr>
          </w:p>
        </w:tc>
        <w:tc>
          <w:tcPr>
            <w:tcW w:w="5" w:type="pct"/>
            <w:shd w:val="clear" w:color="auto" w:fill="auto"/>
          </w:tcPr>
          <w:p w14:paraId="00BAC93D" w14:textId="77777777" w:rsidR="00871BDF" w:rsidRDefault="00871BDF">
            <w:pPr>
              <w:rPr>
                <w:rFonts w:ascii="宋体"/>
              </w:rPr>
            </w:pPr>
          </w:p>
        </w:tc>
        <w:tc>
          <w:tcPr>
            <w:tcW w:w="5" w:type="pct"/>
            <w:shd w:val="clear" w:color="auto" w:fill="auto"/>
          </w:tcPr>
          <w:p w14:paraId="00BAC93E" w14:textId="77777777" w:rsidR="00871BDF" w:rsidRDefault="00871BDF">
            <w:pPr>
              <w:rPr>
                <w:rFonts w:ascii="宋体"/>
              </w:rPr>
            </w:pPr>
          </w:p>
        </w:tc>
        <w:tc>
          <w:tcPr>
            <w:tcW w:w="26" w:type="pct"/>
            <w:shd w:val="clear" w:color="auto" w:fill="auto"/>
          </w:tcPr>
          <w:p w14:paraId="00BAC93F" w14:textId="77777777" w:rsidR="00871BDF" w:rsidRDefault="00871BDF">
            <w:pPr>
              <w:rPr>
                <w:rFonts w:ascii="宋体"/>
              </w:rPr>
            </w:pPr>
          </w:p>
        </w:tc>
        <w:tc>
          <w:tcPr>
            <w:tcW w:w="5" w:type="pct"/>
            <w:shd w:val="clear" w:color="auto" w:fill="auto"/>
          </w:tcPr>
          <w:p w14:paraId="00BAC940" w14:textId="77777777" w:rsidR="00871BDF" w:rsidRDefault="00871BDF">
            <w:pPr>
              <w:rPr>
                <w:rFonts w:ascii="宋体"/>
              </w:rPr>
            </w:pPr>
          </w:p>
        </w:tc>
        <w:tc>
          <w:tcPr>
            <w:tcW w:w="50" w:type="pct"/>
            <w:shd w:val="clear" w:color="auto" w:fill="auto"/>
          </w:tcPr>
          <w:p w14:paraId="00BAC941" w14:textId="77777777" w:rsidR="00871BDF" w:rsidRDefault="00871BDF">
            <w:pPr>
              <w:rPr>
                <w:rFonts w:ascii="宋体"/>
              </w:rPr>
            </w:pPr>
          </w:p>
        </w:tc>
        <w:tc>
          <w:tcPr>
            <w:tcW w:w="531" w:type="pct"/>
            <w:shd w:val="clear" w:color="auto" w:fill="auto"/>
          </w:tcPr>
          <w:p w14:paraId="00BAC942" w14:textId="77777777" w:rsidR="00871BDF" w:rsidRDefault="00871BDF">
            <w:pPr>
              <w:rPr>
                <w:rFonts w:ascii="宋体"/>
              </w:rPr>
            </w:pPr>
          </w:p>
        </w:tc>
        <w:tc>
          <w:tcPr>
            <w:tcW w:w="5" w:type="pct"/>
            <w:shd w:val="clear" w:color="auto" w:fill="auto"/>
          </w:tcPr>
          <w:p w14:paraId="00BAC943" w14:textId="77777777" w:rsidR="00871BDF" w:rsidRDefault="00871BDF">
            <w:pPr>
              <w:rPr>
                <w:rFonts w:ascii="宋体"/>
              </w:rPr>
            </w:pPr>
          </w:p>
        </w:tc>
      </w:tr>
      <w:tr w:rsidR="00871BDF" w14:paraId="00BAC953" w14:textId="77777777">
        <w:tc>
          <w:tcPr>
            <w:tcW w:w="0" w:type="auto"/>
            <w:gridSpan w:val="3"/>
            <w:shd w:val="clear" w:color="auto" w:fill="auto"/>
            <w:tcMar>
              <w:top w:w="40" w:type="dxa"/>
              <w:left w:w="20" w:type="dxa"/>
              <w:bottom w:w="40" w:type="dxa"/>
              <w:right w:w="20" w:type="dxa"/>
            </w:tcMar>
            <w:vAlign w:val="bottom"/>
          </w:tcPr>
          <w:p w14:paraId="00BAC945"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00BAC946" w14:textId="77777777" w:rsidR="00871BDF" w:rsidRDefault="005C5088">
            <w:pPr>
              <w:jc w:val="center"/>
              <w:textAlignment w:val="bottom"/>
            </w:pPr>
            <w:r>
              <w:rPr>
                <w:rFonts w:ascii="Times New Roman" w:eastAsia="宋体" w:hAnsi="Times New Roman"/>
                <w:b/>
                <w:bCs/>
                <w:color w:val="FFFFFF"/>
                <w:sz w:val="16"/>
                <w:szCs w:val="16"/>
              </w:rPr>
              <w:t xml:space="preserve">Stores Open </w:t>
            </w:r>
          </w:p>
          <w:p w14:paraId="00BAC947" w14:textId="77777777" w:rsidR="00871BDF" w:rsidRDefault="005C5088">
            <w:pPr>
              <w:jc w:val="center"/>
              <w:textAlignment w:val="bottom"/>
            </w:pPr>
            <w:r>
              <w:rPr>
                <w:rFonts w:ascii="Times New Roman" w:eastAsia="宋体" w:hAnsi="Times New Roman"/>
                <w:b/>
                <w:bCs/>
                <w:color w:val="FFFFFF"/>
                <w:sz w:val="16"/>
                <w:szCs w:val="16"/>
              </w:rPr>
              <w:t>as of</w:t>
            </w:r>
          </w:p>
        </w:tc>
        <w:tc>
          <w:tcPr>
            <w:tcW w:w="0" w:type="auto"/>
            <w:gridSpan w:val="3"/>
            <w:shd w:val="clear" w:color="auto" w:fill="auto"/>
            <w:tcMar>
              <w:top w:w="0" w:type="dxa"/>
              <w:left w:w="20" w:type="dxa"/>
              <w:bottom w:w="0" w:type="dxa"/>
              <w:right w:w="20" w:type="dxa"/>
            </w:tcMar>
          </w:tcPr>
          <w:p w14:paraId="00BAC948"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949"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94A"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94B"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94C"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94D"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94E"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94F"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95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951" w14:textId="77777777" w:rsidR="00871BDF" w:rsidRDefault="005C5088">
            <w:pPr>
              <w:jc w:val="center"/>
              <w:textAlignment w:val="bottom"/>
            </w:pPr>
            <w:r>
              <w:rPr>
                <w:rFonts w:ascii="Times New Roman" w:eastAsia="宋体" w:hAnsi="Times New Roman"/>
                <w:b/>
                <w:bCs/>
                <w:color w:val="FFFFFF"/>
                <w:sz w:val="16"/>
                <w:szCs w:val="16"/>
              </w:rPr>
              <w:t xml:space="preserve">Stores Open </w:t>
            </w:r>
          </w:p>
          <w:p w14:paraId="00BAC952" w14:textId="77777777" w:rsidR="00871BDF" w:rsidRDefault="005C5088">
            <w:pPr>
              <w:jc w:val="center"/>
              <w:textAlignment w:val="bottom"/>
            </w:pPr>
            <w:r>
              <w:rPr>
                <w:rFonts w:ascii="Times New Roman" w:eastAsia="宋体" w:hAnsi="Times New Roman"/>
                <w:b/>
                <w:bCs/>
                <w:color w:val="FFFFFF"/>
                <w:sz w:val="16"/>
                <w:szCs w:val="16"/>
              </w:rPr>
              <w:t>as of</w:t>
            </w:r>
          </w:p>
        </w:tc>
      </w:tr>
      <w:tr w:rsidR="00871BDF" w14:paraId="00BAC960" w14:textId="77777777">
        <w:tc>
          <w:tcPr>
            <w:tcW w:w="0" w:type="auto"/>
            <w:gridSpan w:val="3"/>
            <w:shd w:val="clear" w:color="auto" w:fill="auto"/>
            <w:tcMar>
              <w:top w:w="40" w:type="dxa"/>
              <w:left w:w="20" w:type="dxa"/>
              <w:bottom w:w="40" w:type="dxa"/>
              <w:right w:w="20" w:type="dxa"/>
            </w:tcMar>
            <w:vAlign w:val="bottom"/>
          </w:tcPr>
          <w:p w14:paraId="00BAC954"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tcPr>
          <w:p w14:paraId="00BAC955" w14:textId="77777777" w:rsidR="00871BDF" w:rsidRDefault="005C5088">
            <w:pPr>
              <w:jc w:val="center"/>
              <w:textAlignment w:val="top"/>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AC956"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tcPr>
          <w:p w14:paraId="00BAC957" w14:textId="77777777" w:rsidR="00871BDF" w:rsidRDefault="005C5088">
            <w:pPr>
              <w:jc w:val="center"/>
              <w:textAlignment w:val="top"/>
            </w:pPr>
            <w:r>
              <w:rPr>
                <w:rFonts w:ascii="Times New Roman" w:eastAsia="宋体" w:hAnsi="Times New Roman"/>
                <w:b/>
                <w:bCs/>
                <w:color w:val="FFFFFF"/>
                <w:sz w:val="16"/>
                <w:szCs w:val="16"/>
              </w:rPr>
              <w:t>Opened</w:t>
            </w:r>
          </w:p>
        </w:tc>
        <w:tc>
          <w:tcPr>
            <w:tcW w:w="0" w:type="auto"/>
            <w:gridSpan w:val="3"/>
            <w:shd w:val="clear" w:color="auto" w:fill="auto"/>
            <w:tcMar>
              <w:top w:w="0" w:type="dxa"/>
              <w:left w:w="20" w:type="dxa"/>
              <w:bottom w:w="0" w:type="dxa"/>
              <w:right w:w="20" w:type="dxa"/>
            </w:tcMar>
          </w:tcPr>
          <w:p w14:paraId="00BAC958"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tcPr>
          <w:p w14:paraId="00BAC959" w14:textId="77777777" w:rsidR="00871BDF" w:rsidRDefault="005C5088">
            <w:pPr>
              <w:jc w:val="center"/>
              <w:textAlignment w:val="top"/>
            </w:pPr>
            <w:r>
              <w:rPr>
                <w:rFonts w:ascii="Times New Roman" w:eastAsia="宋体" w:hAnsi="Times New Roman"/>
                <w:b/>
                <w:bCs/>
                <w:color w:val="FFFFFF"/>
                <w:sz w:val="16"/>
                <w:szCs w:val="16"/>
              </w:rPr>
              <w:t>Closed</w:t>
            </w:r>
          </w:p>
        </w:tc>
        <w:tc>
          <w:tcPr>
            <w:tcW w:w="0" w:type="auto"/>
            <w:gridSpan w:val="3"/>
            <w:shd w:val="clear" w:color="auto" w:fill="auto"/>
            <w:tcMar>
              <w:top w:w="0" w:type="dxa"/>
              <w:left w:w="20" w:type="dxa"/>
              <w:bottom w:w="0" w:type="dxa"/>
              <w:right w:w="20" w:type="dxa"/>
            </w:tcMar>
          </w:tcPr>
          <w:p w14:paraId="00BAC95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tcPr>
          <w:p w14:paraId="00BAC95B" w14:textId="77777777" w:rsidR="00871BDF" w:rsidRDefault="005C5088">
            <w:pPr>
              <w:jc w:val="center"/>
              <w:textAlignment w:val="top"/>
            </w:pPr>
            <w:r>
              <w:rPr>
                <w:rFonts w:ascii="Times New Roman" w:eastAsia="宋体" w:hAnsi="Times New Roman"/>
                <w:b/>
                <w:bCs/>
                <w:color w:val="FFFFFF"/>
                <w:sz w:val="16"/>
                <w:szCs w:val="16"/>
              </w:rPr>
              <w:t>Transfers</w:t>
            </w:r>
          </w:p>
        </w:tc>
        <w:tc>
          <w:tcPr>
            <w:tcW w:w="0" w:type="auto"/>
            <w:gridSpan w:val="3"/>
            <w:shd w:val="clear" w:color="auto" w:fill="auto"/>
            <w:tcMar>
              <w:top w:w="0" w:type="dxa"/>
              <w:left w:w="20" w:type="dxa"/>
              <w:bottom w:w="0" w:type="dxa"/>
              <w:right w:w="20" w:type="dxa"/>
            </w:tcMar>
          </w:tcPr>
          <w:p w14:paraId="00BAC95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tcPr>
          <w:p w14:paraId="00BAC95D" w14:textId="77777777" w:rsidR="00871BDF" w:rsidRDefault="005C5088">
            <w:pPr>
              <w:jc w:val="center"/>
              <w:textAlignment w:val="top"/>
            </w:pPr>
            <w:r>
              <w:rPr>
                <w:rFonts w:ascii="Times New Roman" w:eastAsia="宋体" w:hAnsi="Times New Roman"/>
                <w:b/>
                <w:bCs/>
                <w:color w:val="FFFFFF"/>
                <w:sz w:val="16"/>
                <w:szCs w:val="16"/>
              </w:rPr>
              <w:t>Net</w:t>
            </w:r>
          </w:p>
        </w:tc>
        <w:tc>
          <w:tcPr>
            <w:tcW w:w="0" w:type="auto"/>
            <w:gridSpan w:val="3"/>
            <w:shd w:val="clear" w:color="auto" w:fill="auto"/>
            <w:tcMar>
              <w:top w:w="0" w:type="dxa"/>
              <w:left w:w="20" w:type="dxa"/>
              <w:bottom w:w="0" w:type="dxa"/>
              <w:right w:w="20" w:type="dxa"/>
            </w:tcMar>
          </w:tcPr>
          <w:p w14:paraId="00BAC95E"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tcPr>
          <w:p w14:paraId="00BAC95F" w14:textId="77777777" w:rsidR="00871BDF" w:rsidRDefault="005C5088">
            <w:pPr>
              <w:jc w:val="center"/>
              <w:textAlignment w:val="top"/>
            </w:pPr>
            <w:r>
              <w:rPr>
                <w:rFonts w:ascii="Times New Roman" w:eastAsia="宋体" w:hAnsi="Times New Roman"/>
                <w:b/>
                <w:bCs/>
                <w:color w:val="FFFFFF"/>
                <w:sz w:val="16"/>
                <w:szCs w:val="16"/>
              </w:rPr>
              <w:t xml:space="preserve">Sep </w:t>
            </w:r>
            <w:r>
              <w:rPr>
                <w:rFonts w:ascii="Times New Roman" w:eastAsia="宋体" w:hAnsi="Times New Roman"/>
                <w:b/>
                <w:bCs/>
                <w:color w:val="FFFFFF"/>
                <w:sz w:val="16"/>
                <w:szCs w:val="16"/>
              </w:rPr>
              <w:t>27, 2020</w:t>
            </w:r>
          </w:p>
        </w:tc>
      </w:tr>
      <w:tr w:rsidR="00871BDF" w14:paraId="00BAC96D" w14:textId="77777777">
        <w:tc>
          <w:tcPr>
            <w:tcW w:w="0" w:type="auto"/>
            <w:gridSpan w:val="3"/>
            <w:shd w:val="clear" w:color="auto" w:fill="D7E4BC"/>
            <w:tcMar>
              <w:top w:w="40" w:type="dxa"/>
              <w:left w:w="20" w:type="dxa"/>
              <w:bottom w:w="40" w:type="dxa"/>
              <w:right w:w="20" w:type="dxa"/>
            </w:tcMar>
            <w:vAlign w:val="bottom"/>
          </w:tcPr>
          <w:p w14:paraId="00BAC961" w14:textId="77777777" w:rsidR="00871BDF" w:rsidRDefault="005C5088">
            <w:pPr>
              <w:textAlignment w:val="bottom"/>
            </w:pPr>
            <w:r>
              <w:rPr>
                <w:rFonts w:ascii="Times New Roman" w:eastAsia="宋体" w:hAnsi="Times New Roman"/>
                <w:color w:val="000000"/>
                <w:sz w:val="20"/>
                <w:szCs w:val="20"/>
              </w:rPr>
              <w:t>Americas:</w:t>
            </w:r>
          </w:p>
        </w:tc>
        <w:tc>
          <w:tcPr>
            <w:tcW w:w="0" w:type="auto"/>
            <w:gridSpan w:val="3"/>
            <w:tcBorders>
              <w:top w:val="single" w:sz="8" w:space="0" w:color="000000"/>
            </w:tcBorders>
            <w:shd w:val="clear" w:color="auto" w:fill="D7E4BC"/>
            <w:tcMar>
              <w:top w:w="0" w:type="dxa"/>
              <w:left w:w="20" w:type="dxa"/>
              <w:bottom w:w="0" w:type="dxa"/>
              <w:right w:w="20" w:type="dxa"/>
            </w:tcMar>
          </w:tcPr>
          <w:p w14:paraId="00BAC96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963"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96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96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96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96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96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969"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96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96B"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96C" w14:textId="77777777" w:rsidR="00871BDF" w:rsidRDefault="00871BDF">
            <w:pPr>
              <w:rPr>
                <w:rFonts w:ascii="宋体"/>
              </w:rPr>
            </w:pPr>
          </w:p>
        </w:tc>
      </w:tr>
      <w:tr w:rsidR="00871BDF" w14:paraId="00BAC980" w14:textId="77777777">
        <w:tc>
          <w:tcPr>
            <w:tcW w:w="0" w:type="auto"/>
            <w:gridSpan w:val="3"/>
            <w:shd w:val="clear" w:color="auto" w:fill="FFFFFF"/>
            <w:tcMar>
              <w:top w:w="40" w:type="dxa"/>
              <w:left w:w="155" w:type="dxa"/>
              <w:bottom w:w="40" w:type="dxa"/>
              <w:right w:w="20" w:type="dxa"/>
            </w:tcMar>
            <w:vAlign w:val="bottom"/>
          </w:tcPr>
          <w:p w14:paraId="00BAC96E" w14:textId="77777777" w:rsidR="00871BDF" w:rsidRDefault="005C5088">
            <w:pPr>
              <w:textAlignment w:val="bottom"/>
            </w:pPr>
            <w:r>
              <w:rPr>
                <w:rFonts w:ascii="Times New Roman" w:eastAsia="宋体" w:hAnsi="Times New Roman"/>
                <w:color w:val="000000"/>
                <w:sz w:val="20"/>
                <w:szCs w:val="20"/>
              </w:rPr>
              <w:t>U.S.</w:t>
            </w:r>
          </w:p>
        </w:tc>
        <w:tc>
          <w:tcPr>
            <w:tcW w:w="0" w:type="auto"/>
            <w:gridSpan w:val="2"/>
            <w:shd w:val="clear" w:color="auto" w:fill="FFFFFF"/>
            <w:tcMar>
              <w:top w:w="40" w:type="dxa"/>
              <w:left w:w="20" w:type="dxa"/>
              <w:bottom w:w="40" w:type="dxa"/>
              <w:right w:w="0" w:type="dxa"/>
            </w:tcMar>
            <w:vAlign w:val="bottom"/>
          </w:tcPr>
          <w:p w14:paraId="00BAC96F" w14:textId="77777777" w:rsidR="00871BDF" w:rsidRDefault="005C5088">
            <w:pPr>
              <w:jc w:val="right"/>
              <w:textAlignment w:val="bottom"/>
            </w:pPr>
            <w:r>
              <w:rPr>
                <w:rFonts w:ascii="Times New Roman" w:eastAsia="宋体" w:hAnsi="Times New Roman"/>
                <w:color w:val="000000"/>
                <w:sz w:val="20"/>
                <w:szCs w:val="20"/>
              </w:rPr>
              <w:t>8,791 </w:t>
            </w:r>
          </w:p>
        </w:tc>
        <w:tc>
          <w:tcPr>
            <w:tcW w:w="0" w:type="auto"/>
            <w:shd w:val="clear" w:color="auto" w:fill="FFFFFF"/>
            <w:tcMar>
              <w:top w:w="40" w:type="dxa"/>
              <w:left w:w="0" w:type="dxa"/>
              <w:bottom w:w="40" w:type="dxa"/>
              <w:right w:w="20" w:type="dxa"/>
            </w:tcMar>
            <w:vAlign w:val="bottom"/>
          </w:tcPr>
          <w:p w14:paraId="00BAC97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7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72" w14:textId="77777777" w:rsidR="00871BDF" w:rsidRDefault="005C5088">
            <w:pPr>
              <w:jc w:val="right"/>
              <w:textAlignment w:val="bottom"/>
            </w:pPr>
            <w:r>
              <w:rPr>
                <w:rFonts w:ascii="Times New Roman" w:eastAsia="宋体" w:hAnsi="Times New Roman"/>
                <w:color w:val="000000"/>
                <w:sz w:val="20"/>
                <w:szCs w:val="20"/>
              </w:rPr>
              <w:t>332 </w:t>
            </w:r>
          </w:p>
        </w:tc>
        <w:tc>
          <w:tcPr>
            <w:tcW w:w="0" w:type="auto"/>
            <w:shd w:val="clear" w:color="auto" w:fill="FFFFFF"/>
            <w:tcMar>
              <w:top w:w="40" w:type="dxa"/>
              <w:left w:w="0" w:type="dxa"/>
              <w:bottom w:w="40" w:type="dxa"/>
              <w:right w:w="20" w:type="dxa"/>
            </w:tcMar>
            <w:vAlign w:val="bottom"/>
          </w:tcPr>
          <w:p w14:paraId="00BAC97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7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75" w14:textId="77777777" w:rsidR="00871BDF" w:rsidRDefault="005C5088">
            <w:pPr>
              <w:jc w:val="right"/>
              <w:textAlignment w:val="bottom"/>
            </w:pPr>
            <w:r>
              <w:rPr>
                <w:rFonts w:ascii="Times New Roman" w:eastAsia="宋体" w:hAnsi="Times New Roman"/>
                <w:color w:val="000000"/>
                <w:sz w:val="20"/>
                <w:szCs w:val="20"/>
              </w:rPr>
              <w:t>(182)</w:t>
            </w:r>
          </w:p>
        </w:tc>
        <w:tc>
          <w:tcPr>
            <w:tcW w:w="0" w:type="auto"/>
            <w:shd w:val="clear" w:color="auto" w:fill="FFFFFF"/>
            <w:tcMar>
              <w:top w:w="40" w:type="dxa"/>
              <w:left w:w="0" w:type="dxa"/>
              <w:bottom w:w="40" w:type="dxa"/>
              <w:right w:w="20" w:type="dxa"/>
            </w:tcMar>
            <w:vAlign w:val="bottom"/>
          </w:tcPr>
          <w:p w14:paraId="00BAC97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7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7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C97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7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7B" w14:textId="77777777" w:rsidR="00871BDF" w:rsidRDefault="005C5088">
            <w:pPr>
              <w:jc w:val="right"/>
              <w:textAlignment w:val="bottom"/>
            </w:pPr>
            <w:r>
              <w:rPr>
                <w:rFonts w:ascii="Times New Roman" w:eastAsia="宋体" w:hAnsi="Times New Roman"/>
                <w:color w:val="000000"/>
                <w:sz w:val="20"/>
                <w:szCs w:val="20"/>
              </w:rPr>
              <w:t>150 </w:t>
            </w:r>
          </w:p>
        </w:tc>
        <w:tc>
          <w:tcPr>
            <w:tcW w:w="0" w:type="auto"/>
            <w:shd w:val="clear" w:color="auto" w:fill="FFFFFF"/>
            <w:tcMar>
              <w:top w:w="40" w:type="dxa"/>
              <w:left w:w="0" w:type="dxa"/>
              <w:bottom w:w="40" w:type="dxa"/>
              <w:right w:w="20" w:type="dxa"/>
            </w:tcMar>
            <w:vAlign w:val="bottom"/>
          </w:tcPr>
          <w:p w14:paraId="00BAC97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7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7E" w14:textId="77777777" w:rsidR="00871BDF" w:rsidRDefault="005C5088">
            <w:pPr>
              <w:jc w:val="right"/>
              <w:textAlignment w:val="bottom"/>
            </w:pPr>
            <w:r>
              <w:rPr>
                <w:rFonts w:ascii="Times New Roman" w:eastAsia="宋体" w:hAnsi="Times New Roman"/>
                <w:color w:val="000000"/>
                <w:sz w:val="20"/>
                <w:szCs w:val="20"/>
              </w:rPr>
              <w:t>8,941 </w:t>
            </w:r>
          </w:p>
        </w:tc>
        <w:tc>
          <w:tcPr>
            <w:tcW w:w="0" w:type="auto"/>
            <w:shd w:val="clear" w:color="auto" w:fill="FFFFFF"/>
            <w:tcMar>
              <w:top w:w="40" w:type="dxa"/>
              <w:left w:w="0" w:type="dxa"/>
              <w:bottom w:w="40" w:type="dxa"/>
              <w:right w:w="20" w:type="dxa"/>
            </w:tcMar>
            <w:vAlign w:val="bottom"/>
          </w:tcPr>
          <w:p w14:paraId="00BAC97F" w14:textId="77777777" w:rsidR="00871BDF" w:rsidRDefault="00871BDF">
            <w:pPr>
              <w:jc w:val="right"/>
              <w:rPr>
                <w:rFonts w:ascii="宋体"/>
              </w:rPr>
            </w:pPr>
          </w:p>
        </w:tc>
      </w:tr>
      <w:tr w:rsidR="00871BDF" w14:paraId="00BAC993" w14:textId="77777777">
        <w:tc>
          <w:tcPr>
            <w:tcW w:w="0" w:type="auto"/>
            <w:gridSpan w:val="3"/>
            <w:shd w:val="clear" w:color="auto" w:fill="D7E4BC"/>
            <w:tcMar>
              <w:top w:w="40" w:type="dxa"/>
              <w:left w:w="155" w:type="dxa"/>
              <w:bottom w:w="40" w:type="dxa"/>
              <w:right w:w="20" w:type="dxa"/>
            </w:tcMar>
            <w:vAlign w:val="bottom"/>
          </w:tcPr>
          <w:p w14:paraId="00BAC981" w14:textId="77777777" w:rsidR="00871BDF" w:rsidRDefault="005C5088">
            <w:pPr>
              <w:textAlignment w:val="bottom"/>
            </w:pPr>
            <w:r>
              <w:rPr>
                <w:rFonts w:ascii="Times New Roman" w:eastAsia="宋体" w:hAnsi="Times New Roman"/>
                <w:color w:val="000000"/>
                <w:sz w:val="20"/>
                <w:szCs w:val="20"/>
              </w:rPr>
              <w:t>Canada</w:t>
            </w:r>
          </w:p>
        </w:tc>
        <w:tc>
          <w:tcPr>
            <w:tcW w:w="0" w:type="auto"/>
            <w:gridSpan w:val="2"/>
            <w:shd w:val="clear" w:color="auto" w:fill="D7E4BC"/>
            <w:tcMar>
              <w:top w:w="40" w:type="dxa"/>
              <w:left w:w="20" w:type="dxa"/>
              <w:bottom w:w="40" w:type="dxa"/>
              <w:right w:w="0" w:type="dxa"/>
            </w:tcMar>
            <w:vAlign w:val="bottom"/>
          </w:tcPr>
          <w:p w14:paraId="00BAC982" w14:textId="77777777" w:rsidR="00871BDF" w:rsidRDefault="005C5088">
            <w:pPr>
              <w:jc w:val="right"/>
              <w:textAlignment w:val="bottom"/>
            </w:pPr>
            <w:r>
              <w:rPr>
                <w:rFonts w:ascii="Times New Roman" w:eastAsia="宋体" w:hAnsi="Times New Roman"/>
                <w:color w:val="000000"/>
                <w:sz w:val="20"/>
                <w:szCs w:val="20"/>
              </w:rPr>
              <w:t>1,175 </w:t>
            </w:r>
          </w:p>
        </w:tc>
        <w:tc>
          <w:tcPr>
            <w:tcW w:w="0" w:type="auto"/>
            <w:shd w:val="clear" w:color="auto" w:fill="D7E4BC"/>
            <w:tcMar>
              <w:top w:w="40" w:type="dxa"/>
              <w:left w:w="0" w:type="dxa"/>
              <w:bottom w:w="40" w:type="dxa"/>
              <w:right w:w="20" w:type="dxa"/>
            </w:tcMar>
            <w:vAlign w:val="bottom"/>
          </w:tcPr>
          <w:p w14:paraId="00BAC98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8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985" w14:textId="77777777" w:rsidR="00871BDF" w:rsidRDefault="005C5088">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left w:w="0" w:type="dxa"/>
              <w:bottom w:w="40" w:type="dxa"/>
              <w:right w:w="20" w:type="dxa"/>
            </w:tcMar>
            <w:vAlign w:val="bottom"/>
          </w:tcPr>
          <w:p w14:paraId="00BAC98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8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988" w14:textId="77777777" w:rsidR="00871BDF" w:rsidRDefault="005C5088">
            <w:pPr>
              <w:jc w:val="right"/>
              <w:textAlignment w:val="bottom"/>
            </w:pPr>
            <w:r>
              <w:rPr>
                <w:rFonts w:ascii="Times New Roman" w:eastAsia="宋体" w:hAnsi="Times New Roman"/>
                <w:color w:val="000000"/>
                <w:sz w:val="20"/>
                <w:szCs w:val="20"/>
              </w:rPr>
              <w:t>(74)</w:t>
            </w:r>
          </w:p>
        </w:tc>
        <w:tc>
          <w:tcPr>
            <w:tcW w:w="0" w:type="auto"/>
            <w:shd w:val="clear" w:color="auto" w:fill="D7E4BC"/>
            <w:tcMar>
              <w:top w:w="40" w:type="dxa"/>
              <w:left w:w="0" w:type="dxa"/>
              <w:bottom w:w="40" w:type="dxa"/>
              <w:right w:w="20" w:type="dxa"/>
            </w:tcMar>
            <w:vAlign w:val="bottom"/>
          </w:tcPr>
          <w:p w14:paraId="00BAC98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8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98B"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C98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8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98E" w14:textId="77777777" w:rsidR="00871BDF" w:rsidRDefault="005C5088">
            <w:pPr>
              <w:jc w:val="right"/>
              <w:textAlignment w:val="bottom"/>
            </w:pPr>
            <w:r>
              <w:rPr>
                <w:rFonts w:ascii="Times New Roman" w:eastAsia="宋体" w:hAnsi="Times New Roman"/>
                <w:color w:val="000000"/>
                <w:sz w:val="20"/>
                <w:szCs w:val="20"/>
              </w:rPr>
              <w:t>(16)</w:t>
            </w:r>
          </w:p>
        </w:tc>
        <w:tc>
          <w:tcPr>
            <w:tcW w:w="0" w:type="auto"/>
            <w:shd w:val="clear" w:color="auto" w:fill="D7E4BC"/>
            <w:tcMar>
              <w:top w:w="40" w:type="dxa"/>
              <w:left w:w="0" w:type="dxa"/>
              <w:bottom w:w="40" w:type="dxa"/>
              <w:right w:w="20" w:type="dxa"/>
            </w:tcMar>
            <w:vAlign w:val="bottom"/>
          </w:tcPr>
          <w:p w14:paraId="00BAC98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9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991" w14:textId="77777777" w:rsidR="00871BDF" w:rsidRDefault="005C5088">
            <w:pPr>
              <w:jc w:val="right"/>
              <w:textAlignment w:val="bottom"/>
            </w:pPr>
            <w:r>
              <w:rPr>
                <w:rFonts w:ascii="Times New Roman" w:eastAsia="宋体" w:hAnsi="Times New Roman"/>
                <w:color w:val="000000"/>
                <w:sz w:val="20"/>
                <w:szCs w:val="20"/>
              </w:rPr>
              <w:t>1,159 </w:t>
            </w:r>
          </w:p>
        </w:tc>
        <w:tc>
          <w:tcPr>
            <w:tcW w:w="0" w:type="auto"/>
            <w:shd w:val="clear" w:color="auto" w:fill="D7E4BC"/>
            <w:tcMar>
              <w:top w:w="40" w:type="dxa"/>
              <w:left w:w="0" w:type="dxa"/>
              <w:bottom w:w="40" w:type="dxa"/>
              <w:right w:w="20" w:type="dxa"/>
            </w:tcMar>
            <w:vAlign w:val="bottom"/>
          </w:tcPr>
          <w:p w14:paraId="00BAC992" w14:textId="77777777" w:rsidR="00871BDF" w:rsidRDefault="00871BDF">
            <w:pPr>
              <w:jc w:val="right"/>
              <w:rPr>
                <w:rFonts w:ascii="宋体"/>
              </w:rPr>
            </w:pPr>
          </w:p>
        </w:tc>
      </w:tr>
      <w:tr w:rsidR="00871BDF" w14:paraId="00BAC9A6" w14:textId="77777777">
        <w:tc>
          <w:tcPr>
            <w:tcW w:w="0" w:type="auto"/>
            <w:gridSpan w:val="3"/>
            <w:shd w:val="clear" w:color="auto" w:fill="FFFFFF"/>
            <w:tcMar>
              <w:top w:w="40" w:type="dxa"/>
              <w:left w:w="155" w:type="dxa"/>
              <w:bottom w:w="40" w:type="dxa"/>
              <w:right w:w="20" w:type="dxa"/>
            </w:tcMar>
            <w:vAlign w:val="bottom"/>
          </w:tcPr>
          <w:p w14:paraId="00BAC994" w14:textId="77777777" w:rsidR="00871BDF" w:rsidRDefault="005C5088">
            <w:pPr>
              <w:textAlignment w:val="bottom"/>
            </w:pPr>
            <w:r>
              <w:rPr>
                <w:rFonts w:ascii="Times New Roman" w:eastAsia="宋体" w:hAnsi="Times New Roman"/>
                <w:color w:val="000000"/>
                <w:sz w:val="20"/>
                <w:szCs w:val="20"/>
              </w:rPr>
              <w:t>Siren Retail</w:t>
            </w:r>
          </w:p>
        </w:tc>
        <w:tc>
          <w:tcPr>
            <w:tcW w:w="0" w:type="auto"/>
            <w:gridSpan w:val="2"/>
            <w:shd w:val="clear" w:color="auto" w:fill="FFFFFF"/>
            <w:tcMar>
              <w:top w:w="40" w:type="dxa"/>
              <w:left w:w="20" w:type="dxa"/>
              <w:bottom w:w="40" w:type="dxa"/>
              <w:right w:w="0" w:type="dxa"/>
            </w:tcMar>
            <w:vAlign w:val="bottom"/>
          </w:tcPr>
          <w:p w14:paraId="00BAC995" w14:textId="77777777" w:rsidR="00871BDF" w:rsidRDefault="005C5088">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00BAC99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9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98" w14:textId="77777777" w:rsidR="00871BDF" w:rsidRDefault="005C5088">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0BAC99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9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9B" w14:textId="77777777" w:rsidR="00871BDF" w:rsidRDefault="005C5088">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00BAC99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9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9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C99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A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A1" w14:textId="77777777" w:rsidR="00871BDF" w:rsidRDefault="005C5088">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0BAC9A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A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A4" w14:textId="77777777" w:rsidR="00871BDF" w:rsidRDefault="005C5088">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00BAC9A5" w14:textId="77777777" w:rsidR="00871BDF" w:rsidRDefault="00871BDF">
            <w:pPr>
              <w:jc w:val="right"/>
              <w:rPr>
                <w:rFonts w:ascii="宋体"/>
              </w:rPr>
            </w:pPr>
          </w:p>
        </w:tc>
      </w:tr>
      <w:tr w:rsidR="00871BDF" w14:paraId="00BAC9B9" w14:textId="77777777">
        <w:tc>
          <w:tcPr>
            <w:tcW w:w="0" w:type="auto"/>
            <w:gridSpan w:val="3"/>
            <w:shd w:val="clear" w:color="auto" w:fill="D7E4BC"/>
            <w:tcMar>
              <w:top w:w="40" w:type="dxa"/>
              <w:left w:w="20" w:type="dxa"/>
              <w:bottom w:w="40" w:type="dxa"/>
              <w:right w:w="20" w:type="dxa"/>
            </w:tcMar>
            <w:vAlign w:val="bottom"/>
          </w:tcPr>
          <w:p w14:paraId="00BAC9A7" w14:textId="77777777" w:rsidR="00871BDF" w:rsidRDefault="005C5088">
            <w:pPr>
              <w:textAlignment w:val="bottom"/>
            </w:pPr>
            <w:r>
              <w:rPr>
                <w:rFonts w:ascii="Times New Roman" w:eastAsia="宋体" w:hAnsi="Times New Roman"/>
                <w:color w:val="000000"/>
                <w:sz w:val="20"/>
                <w:szCs w:val="20"/>
              </w:rPr>
              <w:t>Total Americas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C9A8" w14:textId="77777777" w:rsidR="00871BDF" w:rsidRDefault="005C5088">
            <w:pPr>
              <w:jc w:val="right"/>
              <w:textAlignment w:val="bottom"/>
            </w:pPr>
            <w:r>
              <w:rPr>
                <w:rFonts w:ascii="Times New Roman" w:eastAsia="宋体" w:hAnsi="Times New Roman"/>
                <w:color w:val="000000"/>
                <w:sz w:val="20"/>
                <w:szCs w:val="20"/>
              </w:rPr>
              <w:t>9,974 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9A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AA"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C9AB" w14:textId="77777777" w:rsidR="00871BDF" w:rsidRDefault="005C5088">
            <w:pPr>
              <w:jc w:val="right"/>
              <w:textAlignment w:val="bottom"/>
            </w:pPr>
            <w:r>
              <w:rPr>
                <w:rFonts w:ascii="Times New Roman" w:eastAsia="宋体" w:hAnsi="Times New Roman"/>
                <w:color w:val="000000"/>
                <w:sz w:val="20"/>
                <w:szCs w:val="20"/>
              </w:rPr>
              <w:t>392 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9A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AD"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C9AE" w14:textId="77777777" w:rsidR="00871BDF" w:rsidRDefault="005C5088">
            <w:pPr>
              <w:jc w:val="right"/>
              <w:textAlignment w:val="bottom"/>
            </w:pPr>
            <w:r>
              <w:rPr>
                <w:rFonts w:ascii="Times New Roman" w:eastAsia="宋体" w:hAnsi="Times New Roman"/>
                <w:color w:val="000000"/>
                <w:sz w:val="20"/>
                <w:szCs w:val="20"/>
              </w:rPr>
              <w:t>(257)</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9A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B0"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C9B1" w14:textId="77777777" w:rsidR="00871BDF" w:rsidRDefault="005C5088">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9B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B3"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C9B4" w14:textId="77777777" w:rsidR="00871BDF" w:rsidRDefault="005C5088">
            <w:pPr>
              <w:jc w:val="right"/>
              <w:textAlignment w:val="bottom"/>
            </w:pPr>
            <w:r>
              <w:rPr>
                <w:rFonts w:ascii="Times New Roman" w:eastAsia="宋体" w:hAnsi="Times New Roman"/>
                <w:color w:val="000000"/>
                <w:sz w:val="20"/>
                <w:szCs w:val="20"/>
              </w:rPr>
              <w:t>135 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9B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B6"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C9B7" w14:textId="77777777" w:rsidR="00871BDF" w:rsidRDefault="005C5088">
            <w:pPr>
              <w:jc w:val="right"/>
              <w:textAlignment w:val="bottom"/>
            </w:pPr>
            <w:r>
              <w:rPr>
                <w:rFonts w:ascii="Times New Roman" w:eastAsia="宋体" w:hAnsi="Times New Roman"/>
                <w:color w:val="000000"/>
                <w:sz w:val="20"/>
                <w:szCs w:val="20"/>
              </w:rPr>
              <w:t>10,109 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9B8" w14:textId="77777777" w:rsidR="00871BDF" w:rsidRDefault="00871BDF">
            <w:pPr>
              <w:jc w:val="right"/>
              <w:rPr>
                <w:rFonts w:ascii="宋体"/>
              </w:rPr>
            </w:pPr>
          </w:p>
        </w:tc>
      </w:tr>
      <w:tr w:rsidR="00871BDF" w14:paraId="00BAC9C6" w14:textId="77777777">
        <w:tc>
          <w:tcPr>
            <w:tcW w:w="0" w:type="auto"/>
            <w:gridSpan w:val="3"/>
            <w:shd w:val="clear" w:color="auto" w:fill="FFFFFF"/>
            <w:tcMar>
              <w:top w:w="40" w:type="dxa"/>
              <w:left w:w="20" w:type="dxa"/>
              <w:bottom w:w="40" w:type="dxa"/>
              <w:right w:w="20" w:type="dxa"/>
            </w:tcMar>
            <w:vAlign w:val="bottom"/>
          </w:tcPr>
          <w:p w14:paraId="00BAC9BA" w14:textId="77777777" w:rsidR="00871BDF" w:rsidRDefault="005C5088">
            <w:pPr>
              <w:textAlignment w:val="bottom"/>
            </w:pPr>
            <w:r>
              <w:rPr>
                <w:rFonts w:ascii="Times New Roman" w:eastAsia="宋体" w:hAnsi="Times New Roman"/>
                <w:color w:val="000000"/>
                <w:sz w:val="20"/>
                <w:szCs w:val="20"/>
              </w:rPr>
              <w:t>International:</w:t>
            </w:r>
          </w:p>
        </w:tc>
        <w:tc>
          <w:tcPr>
            <w:tcW w:w="0" w:type="auto"/>
            <w:gridSpan w:val="3"/>
            <w:tcBorders>
              <w:top w:val="single" w:sz="8" w:space="0" w:color="000000"/>
            </w:tcBorders>
            <w:shd w:val="clear" w:color="auto" w:fill="FFFFFF"/>
            <w:tcMar>
              <w:top w:w="0" w:type="dxa"/>
              <w:left w:w="20" w:type="dxa"/>
              <w:bottom w:w="0" w:type="dxa"/>
              <w:right w:w="20" w:type="dxa"/>
            </w:tcMar>
          </w:tcPr>
          <w:p w14:paraId="00BAC9B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C9BC" w14:textId="77777777" w:rsidR="00871BDF" w:rsidRDefault="00871B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0BAC9B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C9BE" w14:textId="77777777" w:rsidR="00871BDF" w:rsidRDefault="00871B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0BAC9B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C9C0" w14:textId="77777777" w:rsidR="00871BDF" w:rsidRDefault="00871B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0BAC9C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C9C2" w14:textId="77777777" w:rsidR="00871BDF" w:rsidRDefault="00871B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0BAC9C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C9C4" w14:textId="77777777" w:rsidR="00871BDF" w:rsidRDefault="00871B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0BAC9C5" w14:textId="77777777" w:rsidR="00871BDF" w:rsidRDefault="00871BDF">
            <w:pPr>
              <w:rPr>
                <w:rFonts w:ascii="宋体"/>
              </w:rPr>
            </w:pPr>
          </w:p>
        </w:tc>
      </w:tr>
      <w:tr w:rsidR="00871BDF" w14:paraId="00BAC9D9" w14:textId="77777777">
        <w:tc>
          <w:tcPr>
            <w:tcW w:w="0" w:type="auto"/>
            <w:gridSpan w:val="3"/>
            <w:shd w:val="clear" w:color="auto" w:fill="D7E4BC"/>
            <w:tcMar>
              <w:top w:w="40" w:type="dxa"/>
              <w:left w:w="155" w:type="dxa"/>
              <w:bottom w:w="40" w:type="dxa"/>
              <w:right w:w="20" w:type="dxa"/>
            </w:tcMar>
            <w:vAlign w:val="bottom"/>
          </w:tcPr>
          <w:p w14:paraId="00BAC9C7" w14:textId="77777777" w:rsidR="00871BDF" w:rsidRDefault="005C5088">
            <w:pPr>
              <w:textAlignment w:val="bottom"/>
            </w:pPr>
            <w:r>
              <w:rPr>
                <w:rFonts w:ascii="Times New Roman" w:eastAsia="宋体" w:hAnsi="Times New Roman"/>
                <w:color w:val="000000"/>
                <w:sz w:val="20"/>
                <w:szCs w:val="20"/>
              </w:rPr>
              <w:t>China</w:t>
            </w:r>
          </w:p>
        </w:tc>
        <w:tc>
          <w:tcPr>
            <w:tcW w:w="0" w:type="auto"/>
            <w:gridSpan w:val="2"/>
            <w:shd w:val="clear" w:color="auto" w:fill="D7E4BC"/>
            <w:tcMar>
              <w:top w:w="40" w:type="dxa"/>
              <w:left w:w="20" w:type="dxa"/>
              <w:bottom w:w="40" w:type="dxa"/>
              <w:right w:w="0" w:type="dxa"/>
            </w:tcMar>
            <w:vAlign w:val="bottom"/>
          </w:tcPr>
          <w:p w14:paraId="00BAC9C8" w14:textId="77777777" w:rsidR="00871BDF" w:rsidRDefault="005C5088">
            <w:pPr>
              <w:jc w:val="right"/>
              <w:textAlignment w:val="bottom"/>
            </w:pPr>
            <w:r>
              <w:rPr>
                <w:rFonts w:ascii="Times New Roman" w:eastAsia="宋体" w:hAnsi="Times New Roman"/>
                <w:color w:val="000000"/>
                <w:sz w:val="20"/>
                <w:szCs w:val="20"/>
              </w:rPr>
              <w:t>4,123 </w:t>
            </w:r>
          </w:p>
        </w:tc>
        <w:tc>
          <w:tcPr>
            <w:tcW w:w="0" w:type="auto"/>
            <w:shd w:val="clear" w:color="auto" w:fill="D7E4BC"/>
            <w:tcMar>
              <w:top w:w="40" w:type="dxa"/>
              <w:left w:w="0" w:type="dxa"/>
              <w:bottom w:w="40" w:type="dxa"/>
              <w:right w:w="20" w:type="dxa"/>
            </w:tcMar>
            <w:vAlign w:val="bottom"/>
          </w:tcPr>
          <w:p w14:paraId="00BAC9C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C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9CB" w14:textId="77777777" w:rsidR="00871BDF" w:rsidRDefault="005C5088">
            <w:pPr>
              <w:jc w:val="right"/>
              <w:textAlignment w:val="bottom"/>
            </w:pPr>
            <w:r>
              <w:rPr>
                <w:rFonts w:ascii="Times New Roman" w:eastAsia="宋体" w:hAnsi="Times New Roman"/>
                <w:color w:val="000000"/>
                <w:sz w:val="20"/>
                <w:szCs w:val="20"/>
              </w:rPr>
              <w:t>613 </w:t>
            </w:r>
          </w:p>
        </w:tc>
        <w:tc>
          <w:tcPr>
            <w:tcW w:w="0" w:type="auto"/>
            <w:shd w:val="clear" w:color="auto" w:fill="D7E4BC"/>
            <w:tcMar>
              <w:top w:w="40" w:type="dxa"/>
              <w:left w:w="0" w:type="dxa"/>
              <w:bottom w:w="40" w:type="dxa"/>
              <w:right w:w="20" w:type="dxa"/>
            </w:tcMar>
            <w:vAlign w:val="bottom"/>
          </w:tcPr>
          <w:p w14:paraId="00BAC9C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C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9CE" w14:textId="77777777" w:rsidR="00871BDF" w:rsidRDefault="005C5088">
            <w:pPr>
              <w:jc w:val="right"/>
              <w:textAlignment w:val="bottom"/>
            </w:pPr>
            <w:r>
              <w:rPr>
                <w:rFonts w:ascii="Times New Roman" w:eastAsia="宋体" w:hAnsi="Times New Roman"/>
                <w:color w:val="000000"/>
                <w:sz w:val="20"/>
                <w:szCs w:val="20"/>
              </w:rPr>
              <w:t>(32)</w:t>
            </w:r>
          </w:p>
        </w:tc>
        <w:tc>
          <w:tcPr>
            <w:tcW w:w="0" w:type="auto"/>
            <w:shd w:val="clear" w:color="auto" w:fill="D7E4BC"/>
            <w:tcMar>
              <w:top w:w="40" w:type="dxa"/>
              <w:left w:w="0" w:type="dxa"/>
              <w:bottom w:w="40" w:type="dxa"/>
              <w:right w:w="20" w:type="dxa"/>
            </w:tcMar>
            <w:vAlign w:val="bottom"/>
          </w:tcPr>
          <w:p w14:paraId="00BAC9C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D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9D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C9D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D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9D4" w14:textId="77777777" w:rsidR="00871BDF" w:rsidRDefault="005C5088">
            <w:pPr>
              <w:jc w:val="right"/>
              <w:textAlignment w:val="bottom"/>
            </w:pPr>
            <w:r>
              <w:rPr>
                <w:rFonts w:ascii="Times New Roman" w:eastAsia="宋体" w:hAnsi="Times New Roman"/>
                <w:color w:val="000000"/>
                <w:sz w:val="20"/>
                <w:szCs w:val="20"/>
              </w:rPr>
              <w:t>581 </w:t>
            </w:r>
          </w:p>
        </w:tc>
        <w:tc>
          <w:tcPr>
            <w:tcW w:w="0" w:type="auto"/>
            <w:shd w:val="clear" w:color="auto" w:fill="D7E4BC"/>
            <w:tcMar>
              <w:top w:w="40" w:type="dxa"/>
              <w:left w:w="0" w:type="dxa"/>
              <w:bottom w:w="40" w:type="dxa"/>
              <w:right w:w="20" w:type="dxa"/>
            </w:tcMar>
            <w:vAlign w:val="bottom"/>
          </w:tcPr>
          <w:p w14:paraId="00BAC9D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D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9D7" w14:textId="77777777" w:rsidR="00871BDF" w:rsidRDefault="005C5088">
            <w:pPr>
              <w:jc w:val="right"/>
              <w:textAlignment w:val="bottom"/>
            </w:pPr>
            <w:r>
              <w:rPr>
                <w:rFonts w:ascii="Times New Roman" w:eastAsia="宋体" w:hAnsi="Times New Roman"/>
                <w:color w:val="000000"/>
                <w:sz w:val="20"/>
                <w:szCs w:val="20"/>
              </w:rPr>
              <w:t>4,704 </w:t>
            </w:r>
          </w:p>
        </w:tc>
        <w:tc>
          <w:tcPr>
            <w:tcW w:w="0" w:type="auto"/>
            <w:shd w:val="clear" w:color="auto" w:fill="D7E4BC"/>
            <w:tcMar>
              <w:top w:w="40" w:type="dxa"/>
              <w:left w:w="0" w:type="dxa"/>
              <w:bottom w:w="40" w:type="dxa"/>
              <w:right w:w="20" w:type="dxa"/>
            </w:tcMar>
            <w:vAlign w:val="bottom"/>
          </w:tcPr>
          <w:p w14:paraId="00BAC9D8" w14:textId="77777777" w:rsidR="00871BDF" w:rsidRDefault="00871BDF">
            <w:pPr>
              <w:jc w:val="right"/>
              <w:rPr>
                <w:rFonts w:ascii="宋体"/>
              </w:rPr>
            </w:pPr>
          </w:p>
        </w:tc>
      </w:tr>
      <w:tr w:rsidR="00871BDF" w14:paraId="00BAC9EC" w14:textId="77777777">
        <w:tc>
          <w:tcPr>
            <w:tcW w:w="0" w:type="auto"/>
            <w:gridSpan w:val="3"/>
            <w:shd w:val="clear" w:color="auto" w:fill="FFFFFF"/>
            <w:tcMar>
              <w:top w:w="40" w:type="dxa"/>
              <w:left w:w="155" w:type="dxa"/>
              <w:bottom w:w="40" w:type="dxa"/>
              <w:right w:w="20" w:type="dxa"/>
            </w:tcMar>
            <w:vAlign w:val="bottom"/>
          </w:tcPr>
          <w:p w14:paraId="00BAC9DA" w14:textId="77777777" w:rsidR="00871BDF" w:rsidRDefault="005C5088">
            <w:pPr>
              <w:textAlignment w:val="bottom"/>
            </w:pPr>
            <w:r>
              <w:rPr>
                <w:rFonts w:ascii="Times New Roman" w:eastAsia="宋体" w:hAnsi="Times New Roman"/>
                <w:color w:val="000000"/>
                <w:sz w:val="20"/>
                <w:szCs w:val="20"/>
              </w:rPr>
              <w:t>Japan</w:t>
            </w:r>
          </w:p>
        </w:tc>
        <w:tc>
          <w:tcPr>
            <w:tcW w:w="0" w:type="auto"/>
            <w:gridSpan w:val="2"/>
            <w:shd w:val="clear" w:color="auto" w:fill="FFFFFF"/>
            <w:tcMar>
              <w:top w:w="40" w:type="dxa"/>
              <w:left w:w="20" w:type="dxa"/>
              <w:bottom w:w="40" w:type="dxa"/>
              <w:right w:w="0" w:type="dxa"/>
            </w:tcMar>
            <w:vAlign w:val="bottom"/>
          </w:tcPr>
          <w:p w14:paraId="00BAC9DB" w14:textId="77777777" w:rsidR="00871BDF" w:rsidRDefault="005C5088">
            <w:pPr>
              <w:jc w:val="right"/>
              <w:textAlignment w:val="bottom"/>
            </w:pPr>
            <w:r>
              <w:rPr>
                <w:rFonts w:ascii="Times New Roman" w:eastAsia="宋体" w:hAnsi="Times New Roman"/>
                <w:color w:val="000000"/>
                <w:sz w:val="20"/>
                <w:szCs w:val="20"/>
              </w:rPr>
              <w:t>1,379 </w:t>
            </w:r>
          </w:p>
        </w:tc>
        <w:tc>
          <w:tcPr>
            <w:tcW w:w="0" w:type="auto"/>
            <w:shd w:val="clear" w:color="auto" w:fill="FFFFFF"/>
            <w:tcMar>
              <w:top w:w="40" w:type="dxa"/>
              <w:left w:w="0" w:type="dxa"/>
              <w:bottom w:w="40" w:type="dxa"/>
              <w:right w:w="20" w:type="dxa"/>
            </w:tcMar>
            <w:vAlign w:val="bottom"/>
          </w:tcPr>
          <w:p w14:paraId="00BAC9D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D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DE" w14:textId="77777777" w:rsidR="00871BDF" w:rsidRDefault="005C5088">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bottom"/>
          </w:tcPr>
          <w:p w14:paraId="00BAC9D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E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E1" w14:textId="77777777" w:rsidR="00871BDF" w:rsidRDefault="005C5088">
            <w:pPr>
              <w:jc w:val="right"/>
              <w:textAlignment w:val="bottom"/>
            </w:pPr>
            <w:r>
              <w:rPr>
                <w:rFonts w:ascii="Times New Roman" w:eastAsia="宋体" w:hAnsi="Times New Roman"/>
                <w:color w:val="000000"/>
                <w:sz w:val="20"/>
                <w:szCs w:val="20"/>
              </w:rPr>
              <w:t>(19)</w:t>
            </w:r>
          </w:p>
        </w:tc>
        <w:tc>
          <w:tcPr>
            <w:tcW w:w="0" w:type="auto"/>
            <w:shd w:val="clear" w:color="auto" w:fill="FFFFFF"/>
            <w:tcMar>
              <w:top w:w="40" w:type="dxa"/>
              <w:left w:w="0" w:type="dxa"/>
              <w:bottom w:w="40" w:type="dxa"/>
              <w:right w:w="20" w:type="dxa"/>
            </w:tcMar>
            <w:vAlign w:val="bottom"/>
          </w:tcPr>
          <w:p w14:paraId="00BAC9E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E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E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C9E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E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E7" w14:textId="77777777" w:rsidR="00871BDF" w:rsidRDefault="005C5088">
            <w:pPr>
              <w:jc w:val="right"/>
              <w:textAlignment w:val="bottom"/>
            </w:pPr>
            <w:r>
              <w:rPr>
                <w:rFonts w:ascii="Times New Roman" w:eastAsia="宋体" w:hAnsi="Times New Roman"/>
                <w:color w:val="000000"/>
                <w:sz w:val="20"/>
                <w:szCs w:val="20"/>
              </w:rPr>
              <w:t>85 </w:t>
            </w:r>
          </w:p>
        </w:tc>
        <w:tc>
          <w:tcPr>
            <w:tcW w:w="0" w:type="auto"/>
            <w:shd w:val="clear" w:color="auto" w:fill="FFFFFF"/>
            <w:tcMar>
              <w:top w:w="40" w:type="dxa"/>
              <w:left w:w="0" w:type="dxa"/>
              <w:bottom w:w="40" w:type="dxa"/>
              <w:right w:w="20" w:type="dxa"/>
            </w:tcMar>
            <w:vAlign w:val="bottom"/>
          </w:tcPr>
          <w:p w14:paraId="00BAC9E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9E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9EA" w14:textId="77777777" w:rsidR="00871BDF" w:rsidRDefault="005C5088">
            <w:pPr>
              <w:jc w:val="right"/>
              <w:textAlignment w:val="bottom"/>
            </w:pPr>
            <w:r>
              <w:rPr>
                <w:rFonts w:ascii="Times New Roman" w:eastAsia="宋体" w:hAnsi="Times New Roman"/>
                <w:color w:val="000000"/>
                <w:sz w:val="20"/>
                <w:szCs w:val="20"/>
              </w:rPr>
              <w:t>1,464 </w:t>
            </w:r>
          </w:p>
        </w:tc>
        <w:tc>
          <w:tcPr>
            <w:tcW w:w="0" w:type="auto"/>
            <w:shd w:val="clear" w:color="auto" w:fill="FFFFFF"/>
            <w:tcMar>
              <w:top w:w="40" w:type="dxa"/>
              <w:left w:w="0" w:type="dxa"/>
              <w:bottom w:w="40" w:type="dxa"/>
              <w:right w:w="20" w:type="dxa"/>
            </w:tcMar>
            <w:vAlign w:val="bottom"/>
          </w:tcPr>
          <w:p w14:paraId="00BAC9EB" w14:textId="77777777" w:rsidR="00871BDF" w:rsidRDefault="00871BDF">
            <w:pPr>
              <w:jc w:val="right"/>
              <w:rPr>
                <w:rFonts w:ascii="宋体"/>
              </w:rPr>
            </w:pPr>
          </w:p>
        </w:tc>
      </w:tr>
      <w:tr w:rsidR="00871BDF" w14:paraId="00BAC9F9" w14:textId="77777777">
        <w:trPr>
          <w:hidden/>
        </w:trPr>
        <w:tc>
          <w:tcPr>
            <w:tcW w:w="0" w:type="auto"/>
            <w:gridSpan w:val="3"/>
            <w:shd w:val="clear" w:color="auto" w:fill="auto"/>
          </w:tcPr>
          <w:p w14:paraId="00BAC9ED" w14:textId="77777777" w:rsidR="00871BDF" w:rsidRDefault="00871BDF">
            <w:pPr>
              <w:rPr>
                <w:rFonts w:ascii="宋体"/>
                <w:vanish/>
              </w:rPr>
            </w:pPr>
          </w:p>
        </w:tc>
        <w:tc>
          <w:tcPr>
            <w:tcW w:w="0" w:type="auto"/>
            <w:gridSpan w:val="3"/>
            <w:shd w:val="clear" w:color="auto" w:fill="auto"/>
          </w:tcPr>
          <w:p w14:paraId="00BAC9EE" w14:textId="77777777" w:rsidR="00871BDF" w:rsidRDefault="00871BDF">
            <w:pPr>
              <w:rPr>
                <w:rFonts w:ascii="宋体"/>
                <w:vanish/>
              </w:rPr>
            </w:pPr>
          </w:p>
        </w:tc>
        <w:tc>
          <w:tcPr>
            <w:tcW w:w="0" w:type="auto"/>
            <w:gridSpan w:val="3"/>
            <w:shd w:val="clear" w:color="auto" w:fill="auto"/>
          </w:tcPr>
          <w:p w14:paraId="00BAC9EF" w14:textId="77777777" w:rsidR="00871BDF" w:rsidRDefault="00871BDF">
            <w:pPr>
              <w:rPr>
                <w:rFonts w:ascii="宋体"/>
                <w:vanish/>
              </w:rPr>
            </w:pPr>
          </w:p>
        </w:tc>
        <w:tc>
          <w:tcPr>
            <w:tcW w:w="0" w:type="auto"/>
            <w:gridSpan w:val="3"/>
            <w:shd w:val="clear" w:color="auto" w:fill="auto"/>
          </w:tcPr>
          <w:p w14:paraId="00BAC9F0" w14:textId="77777777" w:rsidR="00871BDF" w:rsidRDefault="00871BDF">
            <w:pPr>
              <w:rPr>
                <w:rFonts w:ascii="宋体"/>
                <w:vanish/>
              </w:rPr>
            </w:pPr>
          </w:p>
        </w:tc>
        <w:tc>
          <w:tcPr>
            <w:tcW w:w="0" w:type="auto"/>
            <w:gridSpan w:val="3"/>
            <w:shd w:val="clear" w:color="auto" w:fill="auto"/>
          </w:tcPr>
          <w:p w14:paraId="00BAC9F1" w14:textId="77777777" w:rsidR="00871BDF" w:rsidRDefault="00871BDF">
            <w:pPr>
              <w:rPr>
                <w:rFonts w:ascii="宋体"/>
                <w:vanish/>
              </w:rPr>
            </w:pPr>
          </w:p>
        </w:tc>
        <w:tc>
          <w:tcPr>
            <w:tcW w:w="0" w:type="auto"/>
            <w:gridSpan w:val="3"/>
            <w:shd w:val="clear" w:color="auto" w:fill="auto"/>
          </w:tcPr>
          <w:p w14:paraId="00BAC9F2" w14:textId="77777777" w:rsidR="00871BDF" w:rsidRDefault="00871BDF">
            <w:pPr>
              <w:rPr>
                <w:rFonts w:ascii="宋体"/>
                <w:vanish/>
              </w:rPr>
            </w:pPr>
          </w:p>
        </w:tc>
        <w:tc>
          <w:tcPr>
            <w:tcW w:w="0" w:type="auto"/>
            <w:gridSpan w:val="3"/>
            <w:shd w:val="clear" w:color="auto" w:fill="auto"/>
          </w:tcPr>
          <w:p w14:paraId="00BAC9F3" w14:textId="77777777" w:rsidR="00871BDF" w:rsidRDefault="00871BDF">
            <w:pPr>
              <w:rPr>
                <w:rFonts w:ascii="宋体"/>
                <w:vanish/>
              </w:rPr>
            </w:pPr>
          </w:p>
        </w:tc>
        <w:tc>
          <w:tcPr>
            <w:tcW w:w="0" w:type="auto"/>
            <w:gridSpan w:val="3"/>
            <w:shd w:val="clear" w:color="auto" w:fill="auto"/>
          </w:tcPr>
          <w:p w14:paraId="00BAC9F4" w14:textId="77777777" w:rsidR="00871BDF" w:rsidRDefault="00871BDF">
            <w:pPr>
              <w:rPr>
                <w:rFonts w:ascii="宋体"/>
                <w:vanish/>
              </w:rPr>
            </w:pPr>
          </w:p>
        </w:tc>
        <w:tc>
          <w:tcPr>
            <w:tcW w:w="0" w:type="auto"/>
            <w:gridSpan w:val="3"/>
            <w:shd w:val="clear" w:color="auto" w:fill="auto"/>
          </w:tcPr>
          <w:p w14:paraId="00BAC9F5" w14:textId="77777777" w:rsidR="00871BDF" w:rsidRDefault="00871BDF">
            <w:pPr>
              <w:rPr>
                <w:rFonts w:ascii="宋体"/>
                <w:vanish/>
              </w:rPr>
            </w:pPr>
          </w:p>
        </w:tc>
        <w:tc>
          <w:tcPr>
            <w:tcW w:w="0" w:type="auto"/>
            <w:gridSpan w:val="3"/>
            <w:shd w:val="clear" w:color="auto" w:fill="auto"/>
          </w:tcPr>
          <w:p w14:paraId="00BAC9F6" w14:textId="77777777" w:rsidR="00871BDF" w:rsidRDefault="00871BDF">
            <w:pPr>
              <w:rPr>
                <w:rFonts w:ascii="宋体"/>
                <w:vanish/>
              </w:rPr>
            </w:pPr>
          </w:p>
        </w:tc>
        <w:tc>
          <w:tcPr>
            <w:tcW w:w="0" w:type="auto"/>
            <w:gridSpan w:val="3"/>
            <w:shd w:val="clear" w:color="auto" w:fill="auto"/>
          </w:tcPr>
          <w:p w14:paraId="00BAC9F7" w14:textId="77777777" w:rsidR="00871BDF" w:rsidRDefault="00871BDF">
            <w:pPr>
              <w:rPr>
                <w:rFonts w:ascii="宋体"/>
                <w:vanish/>
              </w:rPr>
            </w:pPr>
          </w:p>
        </w:tc>
        <w:tc>
          <w:tcPr>
            <w:tcW w:w="0" w:type="auto"/>
            <w:gridSpan w:val="3"/>
            <w:shd w:val="clear" w:color="auto" w:fill="auto"/>
          </w:tcPr>
          <w:p w14:paraId="00BAC9F8" w14:textId="77777777" w:rsidR="00871BDF" w:rsidRDefault="00871BDF">
            <w:pPr>
              <w:rPr>
                <w:rFonts w:ascii="宋体"/>
                <w:vanish/>
              </w:rPr>
            </w:pPr>
          </w:p>
        </w:tc>
      </w:tr>
      <w:tr w:rsidR="00871BDF" w14:paraId="00BACA0C" w14:textId="77777777">
        <w:tc>
          <w:tcPr>
            <w:tcW w:w="0" w:type="auto"/>
            <w:gridSpan w:val="3"/>
            <w:shd w:val="clear" w:color="auto" w:fill="D7E4BC"/>
            <w:tcMar>
              <w:top w:w="40" w:type="dxa"/>
              <w:left w:w="155" w:type="dxa"/>
              <w:bottom w:w="40" w:type="dxa"/>
              <w:right w:w="20" w:type="dxa"/>
            </w:tcMar>
            <w:vAlign w:val="bottom"/>
          </w:tcPr>
          <w:p w14:paraId="00BAC9FA" w14:textId="77777777" w:rsidR="00871BDF" w:rsidRDefault="005C5088">
            <w:pPr>
              <w:textAlignment w:val="bottom"/>
            </w:pPr>
            <w:r>
              <w:rPr>
                <w:rFonts w:ascii="Times New Roman" w:eastAsia="宋体" w:hAnsi="Times New Roman"/>
                <w:color w:val="000000"/>
                <w:sz w:val="20"/>
                <w:szCs w:val="20"/>
              </w:rPr>
              <w:t>U.K.</w:t>
            </w:r>
          </w:p>
        </w:tc>
        <w:tc>
          <w:tcPr>
            <w:tcW w:w="0" w:type="auto"/>
            <w:gridSpan w:val="2"/>
            <w:shd w:val="clear" w:color="auto" w:fill="D7E4BC"/>
            <w:tcMar>
              <w:top w:w="40" w:type="dxa"/>
              <w:left w:w="20" w:type="dxa"/>
              <w:bottom w:w="40" w:type="dxa"/>
              <w:right w:w="0" w:type="dxa"/>
            </w:tcMar>
            <w:vAlign w:val="bottom"/>
          </w:tcPr>
          <w:p w14:paraId="00BAC9FB" w14:textId="77777777" w:rsidR="00871BDF" w:rsidRDefault="005C5088">
            <w:pPr>
              <w:jc w:val="right"/>
              <w:textAlignment w:val="bottom"/>
            </w:pPr>
            <w:r>
              <w:rPr>
                <w:rFonts w:ascii="Times New Roman" w:eastAsia="宋体" w:hAnsi="Times New Roman"/>
                <w:color w:val="000000"/>
                <w:sz w:val="20"/>
                <w:szCs w:val="20"/>
              </w:rPr>
              <w:t>288 </w:t>
            </w:r>
          </w:p>
        </w:tc>
        <w:tc>
          <w:tcPr>
            <w:tcW w:w="0" w:type="auto"/>
            <w:shd w:val="clear" w:color="auto" w:fill="D7E4BC"/>
            <w:tcMar>
              <w:top w:w="40" w:type="dxa"/>
              <w:left w:w="0" w:type="dxa"/>
              <w:bottom w:w="40" w:type="dxa"/>
              <w:right w:w="20" w:type="dxa"/>
            </w:tcMar>
            <w:vAlign w:val="bottom"/>
          </w:tcPr>
          <w:p w14:paraId="00BAC9F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9F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9FE" w14:textId="77777777" w:rsidR="00871BDF" w:rsidRDefault="005C5088">
            <w:pPr>
              <w:jc w:val="right"/>
              <w:textAlignment w:val="bottom"/>
            </w:pPr>
            <w:r>
              <w:rPr>
                <w:rFonts w:ascii="Times New Roman" w:eastAsia="宋体" w:hAnsi="Times New Roman"/>
                <w:color w:val="000000"/>
                <w:sz w:val="20"/>
                <w:szCs w:val="20"/>
              </w:rPr>
              <w:t>6 </w:t>
            </w:r>
          </w:p>
        </w:tc>
        <w:tc>
          <w:tcPr>
            <w:tcW w:w="0" w:type="auto"/>
            <w:shd w:val="clear" w:color="auto" w:fill="D7E4BC"/>
            <w:tcMar>
              <w:top w:w="40" w:type="dxa"/>
              <w:left w:w="0" w:type="dxa"/>
              <w:bottom w:w="40" w:type="dxa"/>
              <w:right w:w="20" w:type="dxa"/>
            </w:tcMar>
            <w:vAlign w:val="bottom"/>
          </w:tcPr>
          <w:p w14:paraId="00BAC9F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0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A01" w14:textId="77777777" w:rsidR="00871BDF" w:rsidRDefault="005C5088">
            <w:pPr>
              <w:jc w:val="right"/>
              <w:textAlignment w:val="bottom"/>
            </w:pPr>
            <w:r>
              <w:rPr>
                <w:rFonts w:ascii="Times New Roman" w:eastAsia="宋体" w:hAnsi="Times New Roman"/>
                <w:color w:val="000000"/>
                <w:sz w:val="20"/>
                <w:szCs w:val="20"/>
              </w:rPr>
              <w:t>(2)</w:t>
            </w:r>
          </w:p>
        </w:tc>
        <w:tc>
          <w:tcPr>
            <w:tcW w:w="0" w:type="auto"/>
            <w:shd w:val="clear" w:color="auto" w:fill="D7E4BC"/>
            <w:tcMar>
              <w:top w:w="40" w:type="dxa"/>
              <w:left w:w="0" w:type="dxa"/>
              <w:bottom w:w="40" w:type="dxa"/>
              <w:right w:w="20" w:type="dxa"/>
            </w:tcMar>
            <w:vAlign w:val="bottom"/>
          </w:tcPr>
          <w:p w14:paraId="00BACA0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0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A04" w14:textId="77777777" w:rsidR="00871BDF" w:rsidRDefault="005C5088">
            <w:pPr>
              <w:jc w:val="right"/>
              <w:textAlignment w:val="bottom"/>
            </w:pPr>
            <w:r>
              <w:rPr>
                <w:rFonts w:ascii="Times New Roman" w:eastAsia="宋体" w:hAnsi="Times New Roman"/>
                <w:color w:val="000000"/>
                <w:sz w:val="20"/>
                <w:szCs w:val="20"/>
              </w:rPr>
              <w:t>(4)</w:t>
            </w:r>
          </w:p>
        </w:tc>
        <w:tc>
          <w:tcPr>
            <w:tcW w:w="0" w:type="auto"/>
            <w:shd w:val="clear" w:color="auto" w:fill="D7E4BC"/>
            <w:tcMar>
              <w:top w:w="40" w:type="dxa"/>
              <w:left w:w="0" w:type="dxa"/>
              <w:bottom w:w="40" w:type="dxa"/>
              <w:right w:w="20" w:type="dxa"/>
            </w:tcMar>
            <w:vAlign w:val="bottom"/>
          </w:tcPr>
          <w:p w14:paraId="00BACA0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0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A0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CA0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0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A0A" w14:textId="77777777" w:rsidR="00871BDF" w:rsidRDefault="005C5088">
            <w:pPr>
              <w:jc w:val="right"/>
              <w:textAlignment w:val="bottom"/>
            </w:pPr>
            <w:r>
              <w:rPr>
                <w:rFonts w:ascii="Times New Roman" w:eastAsia="宋体" w:hAnsi="Times New Roman"/>
                <w:color w:val="000000"/>
                <w:sz w:val="20"/>
                <w:szCs w:val="20"/>
              </w:rPr>
              <w:t>288 </w:t>
            </w:r>
          </w:p>
        </w:tc>
        <w:tc>
          <w:tcPr>
            <w:tcW w:w="0" w:type="auto"/>
            <w:shd w:val="clear" w:color="auto" w:fill="D7E4BC"/>
            <w:tcMar>
              <w:top w:w="40" w:type="dxa"/>
              <w:left w:w="0" w:type="dxa"/>
              <w:bottom w:w="40" w:type="dxa"/>
              <w:right w:w="20" w:type="dxa"/>
            </w:tcMar>
            <w:vAlign w:val="bottom"/>
          </w:tcPr>
          <w:p w14:paraId="00BACA0B" w14:textId="77777777" w:rsidR="00871BDF" w:rsidRDefault="00871BDF">
            <w:pPr>
              <w:jc w:val="right"/>
              <w:rPr>
                <w:rFonts w:ascii="宋体"/>
              </w:rPr>
            </w:pPr>
          </w:p>
        </w:tc>
      </w:tr>
      <w:tr w:rsidR="00871BDF" w14:paraId="00BACA1F" w14:textId="77777777">
        <w:tc>
          <w:tcPr>
            <w:tcW w:w="0" w:type="auto"/>
            <w:gridSpan w:val="3"/>
            <w:shd w:val="clear" w:color="auto" w:fill="FFFFFF"/>
            <w:tcMar>
              <w:top w:w="40" w:type="dxa"/>
              <w:left w:w="155" w:type="dxa"/>
              <w:bottom w:w="40" w:type="dxa"/>
              <w:right w:w="20" w:type="dxa"/>
            </w:tcMar>
            <w:vAlign w:val="bottom"/>
          </w:tcPr>
          <w:p w14:paraId="00BACA0D" w14:textId="77777777" w:rsidR="00871BDF" w:rsidRDefault="005C5088">
            <w:pPr>
              <w:textAlignment w:val="bottom"/>
            </w:pPr>
            <w:r>
              <w:rPr>
                <w:rFonts w:ascii="Times New Roman" w:eastAsia="宋体" w:hAnsi="Times New Roman"/>
                <w:color w:val="000000"/>
                <w:sz w:val="20"/>
                <w:szCs w:val="20"/>
              </w:rPr>
              <w:t>All Other</w:t>
            </w:r>
          </w:p>
        </w:tc>
        <w:tc>
          <w:tcPr>
            <w:tcW w:w="0" w:type="auto"/>
            <w:gridSpan w:val="2"/>
            <w:shd w:val="clear" w:color="auto" w:fill="FFFFFF"/>
            <w:tcMar>
              <w:top w:w="40" w:type="dxa"/>
              <w:left w:w="20" w:type="dxa"/>
              <w:bottom w:w="40" w:type="dxa"/>
              <w:right w:w="0" w:type="dxa"/>
            </w:tcMar>
            <w:vAlign w:val="bottom"/>
          </w:tcPr>
          <w:p w14:paraId="00BACA0E" w14:textId="77777777" w:rsidR="00871BDF" w:rsidRDefault="005C5088">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00BACA0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A1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A11" w14:textId="77777777" w:rsidR="00871BDF" w:rsidRDefault="005C5088">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0BACA1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A1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A1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CA1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A1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A1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CA1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A1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A1A" w14:textId="77777777" w:rsidR="00871BDF" w:rsidRDefault="005C5088">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0BACA1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A1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A1D" w14:textId="77777777" w:rsidR="00871BDF" w:rsidRDefault="005C5088">
            <w:pPr>
              <w:jc w:val="right"/>
              <w:textAlignment w:val="bottom"/>
            </w:pPr>
            <w:r>
              <w:rPr>
                <w:rFonts w:ascii="Times New Roman" w:eastAsia="宋体" w:hAnsi="Times New Roman"/>
                <w:color w:val="000000"/>
                <w:sz w:val="20"/>
                <w:szCs w:val="20"/>
              </w:rPr>
              <w:t>67 </w:t>
            </w:r>
          </w:p>
        </w:tc>
        <w:tc>
          <w:tcPr>
            <w:tcW w:w="0" w:type="auto"/>
            <w:shd w:val="clear" w:color="auto" w:fill="FFFFFF"/>
            <w:tcMar>
              <w:top w:w="40" w:type="dxa"/>
              <w:left w:w="0" w:type="dxa"/>
              <w:bottom w:w="40" w:type="dxa"/>
              <w:right w:w="20" w:type="dxa"/>
            </w:tcMar>
            <w:vAlign w:val="bottom"/>
          </w:tcPr>
          <w:p w14:paraId="00BACA1E" w14:textId="77777777" w:rsidR="00871BDF" w:rsidRDefault="00871BDF">
            <w:pPr>
              <w:jc w:val="right"/>
              <w:rPr>
                <w:rFonts w:ascii="宋体"/>
              </w:rPr>
            </w:pPr>
          </w:p>
        </w:tc>
      </w:tr>
      <w:tr w:rsidR="00871BDF" w14:paraId="00BACA32" w14:textId="77777777">
        <w:tc>
          <w:tcPr>
            <w:tcW w:w="0" w:type="auto"/>
            <w:gridSpan w:val="3"/>
            <w:shd w:val="clear" w:color="auto" w:fill="D7E4BC"/>
            <w:tcMar>
              <w:top w:w="40" w:type="dxa"/>
              <w:left w:w="155" w:type="dxa"/>
              <w:bottom w:w="40" w:type="dxa"/>
              <w:right w:w="20" w:type="dxa"/>
            </w:tcMar>
            <w:vAlign w:val="bottom"/>
          </w:tcPr>
          <w:p w14:paraId="00BACA20" w14:textId="77777777" w:rsidR="00871BDF" w:rsidRDefault="005C5088">
            <w:pPr>
              <w:textAlignment w:val="bottom"/>
            </w:pPr>
            <w:r>
              <w:rPr>
                <w:rFonts w:ascii="Times New Roman" w:eastAsia="宋体" w:hAnsi="Times New Roman"/>
                <w:color w:val="000000"/>
                <w:sz w:val="20"/>
                <w:szCs w:val="20"/>
              </w:rPr>
              <w:t>Siren Retail</w:t>
            </w:r>
          </w:p>
        </w:tc>
        <w:tc>
          <w:tcPr>
            <w:tcW w:w="0" w:type="auto"/>
            <w:gridSpan w:val="2"/>
            <w:shd w:val="clear" w:color="auto" w:fill="D7E4BC"/>
            <w:tcMar>
              <w:top w:w="40" w:type="dxa"/>
              <w:left w:w="20" w:type="dxa"/>
              <w:bottom w:w="40" w:type="dxa"/>
              <w:right w:w="0" w:type="dxa"/>
            </w:tcMar>
            <w:vAlign w:val="bottom"/>
          </w:tcPr>
          <w:p w14:paraId="00BACA21" w14:textId="77777777" w:rsidR="00871BDF" w:rsidRDefault="005C5088">
            <w:pPr>
              <w:jc w:val="right"/>
              <w:textAlignment w:val="bottom"/>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bottom"/>
          </w:tcPr>
          <w:p w14:paraId="00BACA2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2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A2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CA2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2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A2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CA2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2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A2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CA2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2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A2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CA2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2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A30" w14:textId="77777777" w:rsidR="00871BDF" w:rsidRDefault="005C5088">
            <w:pPr>
              <w:jc w:val="right"/>
              <w:textAlignment w:val="bottom"/>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bottom"/>
          </w:tcPr>
          <w:p w14:paraId="00BACA31" w14:textId="77777777" w:rsidR="00871BDF" w:rsidRDefault="00871BDF">
            <w:pPr>
              <w:jc w:val="right"/>
              <w:rPr>
                <w:rFonts w:ascii="宋体"/>
              </w:rPr>
            </w:pPr>
          </w:p>
        </w:tc>
      </w:tr>
      <w:tr w:rsidR="00871BDF" w14:paraId="00BACA45" w14:textId="77777777">
        <w:tc>
          <w:tcPr>
            <w:tcW w:w="0" w:type="auto"/>
            <w:gridSpan w:val="3"/>
            <w:shd w:val="clear" w:color="auto" w:fill="FFFFFF"/>
            <w:tcMar>
              <w:top w:w="40" w:type="dxa"/>
              <w:left w:w="20" w:type="dxa"/>
              <w:bottom w:w="40" w:type="dxa"/>
              <w:right w:w="20" w:type="dxa"/>
            </w:tcMar>
            <w:vAlign w:val="bottom"/>
          </w:tcPr>
          <w:p w14:paraId="00BACA33" w14:textId="77777777" w:rsidR="00871BDF" w:rsidRDefault="005C5088">
            <w:pPr>
              <w:textAlignment w:val="bottom"/>
            </w:pPr>
            <w:r>
              <w:rPr>
                <w:rFonts w:ascii="Times New Roman" w:eastAsia="宋体" w:hAnsi="Times New Roman"/>
                <w:color w:val="000000"/>
                <w:sz w:val="20"/>
                <w:szCs w:val="20"/>
              </w:rPr>
              <w:t>Total International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A34" w14:textId="77777777" w:rsidR="00871BDF" w:rsidRDefault="005C5088">
            <w:pPr>
              <w:jc w:val="right"/>
              <w:textAlignment w:val="bottom"/>
            </w:pPr>
            <w:r>
              <w:rPr>
                <w:rFonts w:ascii="Times New Roman" w:eastAsia="宋体" w:hAnsi="Times New Roman"/>
                <w:color w:val="000000"/>
                <w:sz w:val="20"/>
                <w:szCs w:val="20"/>
              </w:rPr>
              <w:t>5,860 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A3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A36"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A37" w14:textId="77777777" w:rsidR="00871BDF" w:rsidRDefault="005C5088">
            <w:pPr>
              <w:jc w:val="right"/>
              <w:textAlignment w:val="bottom"/>
            </w:pPr>
            <w:r>
              <w:rPr>
                <w:rFonts w:ascii="Times New Roman" w:eastAsia="宋体" w:hAnsi="Times New Roman"/>
                <w:color w:val="000000"/>
                <w:sz w:val="20"/>
                <w:szCs w:val="20"/>
              </w:rPr>
              <w:t>725 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A3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A39"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A3A" w14:textId="77777777" w:rsidR="00871BDF" w:rsidRDefault="005C5088">
            <w:pPr>
              <w:jc w:val="right"/>
              <w:textAlignment w:val="bottom"/>
            </w:pPr>
            <w:r>
              <w:rPr>
                <w:rFonts w:ascii="Times New Roman" w:eastAsia="宋体" w:hAnsi="Times New Roman"/>
                <w:color w:val="000000"/>
                <w:sz w:val="20"/>
                <w:szCs w:val="20"/>
              </w:rPr>
              <w:t>(53)</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A3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A3C"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A3D" w14:textId="77777777" w:rsidR="00871BDF" w:rsidRDefault="005C5088">
            <w:pPr>
              <w:jc w:val="right"/>
              <w:textAlignment w:val="bottom"/>
            </w:pPr>
            <w:r>
              <w:rPr>
                <w:rFonts w:ascii="Times New Roman" w:eastAsia="宋体" w:hAnsi="Times New Roman"/>
                <w:color w:val="000000"/>
                <w:sz w:val="20"/>
                <w:szCs w:val="20"/>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A3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A3F"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A40" w14:textId="77777777" w:rsidR="00871BDF" w:rsidRDefault="005C5088">
            <w:pPr>
              <w:jc w:val="right"/>
              <w:textAlignment w:val="bottom"/>
            </w:pPr>
            <w:r>
              <w:rPr>
                <w:rFonts w:ascii="Times New Roman" w:eastAsia="宋体" w:hAnsi="Times New Roman"/>
                <w:color w:val="000000"/>
                <w:sz w:val="20"/>
                <w:szCs w:val="20"/>
              </w:rPr>
              <w:t>668 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A4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A42"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A43" w14:textId="77777777" w:rsidR="00871BDF" w:rsidRDefault="005C5088">
            <w:pPr>
              <w:jc w:val="right"/>
              <w:textAlignment w:val="bottom"/>
            </w:pPr>
            <w:r>
              <w:rPr>
                <w:rFonts w:ascii="Times New Roman" w:eastAsia="宋体" w:hAnsi="Times New Roman"/>
                <w:color w:val="000000"/>
                <w:sz w:val="20"/>
                <w:szCs w:val="20"/>
              </w:rPr>
              <w:t>6,528 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A44" w14:textId="77777777" w:rsidR="00871BDF" w:rsidRDefault="00871BDF">
            <w:pPr>
              <w:jc w:val="right"/>
              <w:rPr>
                <w:rFonts w:ascii="宋体"/>
              </w:rPr>
            </w:pPr>
          </w:p>
        </w:tc>
      </w:tr>
      <w:tr w:rsidR="00871BDF" w14:paraId="00BACA58" w14:textId="77777777">
        <w:tc>
          <w:tcPr>
            <w:tcW w:w="0" w:type="auto"/>
            <w:gridSpan w:val="3"/>
            <w:shd w:val="clear" w:color="auto" w:fill="D7E4BC"/>
            <w:tcMar>
              <w:top w:w="40" w:type="dxa"/>
              <w:left w:w="20" w:type="dxa"/>
              <w:bottom w:w="40" w:type="dxa"/>
              <w:right w:w="20" w:type="dxa"/>
            </w:tcMar>
            <w:vAlign w:val="bottom"/>
          </w:tcPr>
          <w:p w14:paraId="00BACA46" w14:textId="77777777" w:rsidR="00871BDF" w:rsidRDefault="005C5088">
            <w:pPr>
              <w:textAlignment w:val="bottom"/>
            </w:pPr>
            <w:r>
              <w:rPr>
                <w:rFonts w:ascii="Times New Roman" w:eastAsia="宋体" w:hAnsi="Times New Roman"/>
                <w:b/>
                <w:bCs/>
                <w:color w:val="000000"/>
                <w:sz w:val="20"/>
                <w:szCs w:val="20"/>
              </w:rPr>
              <w:t>Total company-operated</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A47" w14:textId="77777777" w:rsidR="00871BDF" w:rsidRDefault="005C5088">
            <w:pPr>
              <w:jc w:val="right"/>
              <w:textAlignment w:val="bottom"/>
            </w:pPr>
            <w:r>
              <w:rPr>
                <w:rFonts w:ascii="Times New Roman" w:eastAsia="宋体" w:hAnsi="Times New Roman"/>
                <w:b/>
                <w:bCs/>
                <w:color w:val="000000"/>
                <w:sz w:val="20"/>
                <w:szCs w:val="20"/>
              </w:rPr>
              <w:t>15,834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A4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49"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A4A" w14:textId="77777777" w:rsidR="00871BDF" w:rsidRDefault="005C5088">
            <w:pPr>
              <w:jc w:val="right"/>
              <w:textAlignment w:val="bottom"/>
            </w:pPr>
            <w:r>
              <w:rPr>
                <w:rFonts w:ascii="Times New Roman" w:eastAsia="宋体" w:hAnsi="Times New Roman"/>
                <w:b/>
                <w:bCs/>
                <w:color w:val="000000"/>
                <w:sz w:val="20"/>
                <w:szCs w:val="20"/>
              </w:rPr>
              <w:t>1,117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A4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4C"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A4D" w14:textId="77777777" w:rsidR="00871BDF" w:rsidRDefault="005C5088">
            <w:pPr>
              <w:jc w:val="right"/>
              <w:textAlignment w:val="bottom"/>
            </w:pPr>
            <w:r>
              <w:rPr>
                <w:rFonts w:ascii="Times New Roman" w:eastAsia="宋体" w:hAnsi="Times New Roman"/>
                <w:b/>
                <w:bCs/>
                <w:color w:val="000000"/>
                <w:sz w:val="20"/>
                <w:szCs w:val="20"/>
              </w:rPr>
              <w:t>(310)</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A4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4F"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A50" w14:textId="77777777" w:rsidR="00871BDF" w:rsidRDefault="005C5088">
            <w:pPr>
              <w:jc w:val="right"/>
              <w:textAlignment w:val="bottom"/>
            </w:pPr>
            <w:r>
              <w:rPr>
                <w:rFonts w:ascii="Times New Roman" w:eastAsia="宋体" w:hAnsi="Times New Roman"/>
                <w:b/>
                <w:bCs/>
                <w:color w:val="000000"/>
                <w:sz w:val="20"/>
                <w:szCs w:val="20"/>
              </w:rPr>
              <w:t>(4)</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A5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52"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A53" w14:textId="77777777" w:rsidR="00871BDF" w:rsidRDefault="005C5088">
            <w:pPr>
              <w:jc w:val="right"/>
              <w:textAlignment w:val="bottom"/>
            </w:pPr>
            <w:r>
              <w:rPr>
                <w:rFonts w:ascii="Times New Roman" w:eastAsia="宋体" w:hAnsi="Times New Roman"/>
                <w:b/>
                <w:bCs/>
                <w:color w:val="000000"/>
                <w:sz w:val="20"/>
                <w:szCs w:val="20"/>
              </w:rPr>
              <w:t>803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A5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A55"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A56" w14:textId="77777777" w:rsidR="00871BDF" w:rsidRDefault="005C5088">
            <w:pPr>
              <w:jc w:val="right"/>
              <w:textAlignment w:val="bottom"/>
            </w:pPr>
            <w:r>
              <w:rPr>
                <w:rFonts w:ascii="Times New Roman" w:eastAsia="宋体" w:hAnsi="Times New Roman"/>
                <w:b/>
                <w:bCs/>
                <w:color w:val="000000"/>
                <w:sz w:val="20"/>
                <w:szCs w:val="20"/>
              </w:rPr>
              <w:t>16,637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A57" w14:textId="77777777" w:rsidR="00871BDF" w:rsidRDefault="00871BDF">
            <w:pPr>
              <w:jc w:val="right"/>
              <w:rPr>
                <w:rFonts w:ascii="宋体"/>
              </w:rPr>
            </w:pPr>
          </w:p>
        </w:tc>
      </w:tr>
    </w:tbl>
    <w:p w14:paraId="00BACA59" w14:textId="77777777" w:rsidR="00871BDF" w:rsidRDefault="005C5088">
      <w:pPr>
        <w:spacing w:before="120"/>
      </w:pPr>
      <w:r>
        <w:rPr>
          <w:rFonts w:ascii="Times New Roman" w:eastAsia="宋体" w:hAnsi="Times New Roman"/>
          <w:color w:val="000000"/>
          <w:sz w:val="20"/>
          <w:szCs w:val="20"/>
        </w:rPr>
        <w:t>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compa</w:t>
      </w:r>
      <w:r>
        <w:rPr>
          <w:rFonts w:ascii="Times New Roman" w:eastAsia="宋体" w:hAnsi="Times New Roman"/>
          <w:color w:val="000000"/>
          <w:sz w:val="20"/>
          <w:szCs w:val="20"/>
        </w:rPr>
        <w:t>ny-operated stores are typically located in high-traffic, high-visibility locations. Our ability to vary the size and format of our stores allows us to locate them in or near a variety of settings, including downtown and suburban retail centers, office bui</w:t>
      </w:r>
      <w:r>
        <w:rPr>
          <w:rFonts w:ascii="Times New Roman" w:eastAsia="宋体" w:hAnsi="Times New Roman"/>
          <w:color w:val="000000"/>
          <w:sz w:val="20"/>
          <w:szCs w:val="20"/>
        </w:rPr>
        <w:t>ldings, university campuses and rural and off-highway locations. We are continuing the expansion of our stores, particularly drive-thru formats that provide a higher degree of access and convenience, and alternative store formats, which are designed to pro</w:t>
      </w:r>
      <w:r>
        <w:rPr>
          <w:rFonts w:ascii="Times New Roman" w:eastAsia="宋体" w:hAnsi="Times New Roman"/>
          <w:color w:val="000000"/>
          <w:sz w:val="20"/>
          <w:szCs w:val="20"/>
        </w:rPr>
        <w:t>vide a more streamlined customer experience in dense metropolitan areas.</w:t>
      </w:r>
    </w:p>
    <w:p w14:paraId="00BACA5A" w14:textId="77777777" w:rsidR="00871BDF" w:rsidRDefault="005C5088">
      <w:pPr>
        <w:spacing w:before="120"/>
      </w:pPr>
      <w:r>
        <w:rPr>
          <w:rFonts w:ascii="Times New Roman" w:eastAsia="宋体" w:hAnsi="Times New Roman"/>
          <w:color w:val="000000"/>
          <w:sz w:val="20"/>
          <w:szCs w:val="20"/>
        </w:rPr>
        <w:t>Prior to the novel coronavirus outbreak, known as the global pandemic COVID-19, approximately 80% of Starbucks transactions in U.S. company-operated stores were “on-the-go” occasions.</w:t>
      </w:r>
      <w:r>
        <w:rPr>
          <w:rFonts w:ascii="Times New Roman" w:eastAsia="宋体" w:hAnsi="Times New Roman"/>
          <w:color w:val="000000"/>
          <w:sz w:val="20"/>
          <w:szCs w:val="20"/>
        </w:rPr>
        <w:t xml:space="preserve"> This has prompted us to reexamine our U.S. store footprint and evolve our retail presence over time through targeted store renovations, relocations and new stores. We have since introduced a new store format,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Pickup, to enhance the “on-the-go” </w:t>
      </w:r>
      <w:r>
        <w:rPr>
          <w:rFonts w:ascii="Times New Roman" w:eastAsia="宋体" w:hAnsi="Times New Roman"/>
          <w:color w:val="000000"/>
          <w:sz w:val="20"/>
          <w:szCs w:val="20"/>
        </w:rPr>
        <w:t>customer experience and improve operating efficiency across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stores in certain major metropolitan areas in the Americas. New store formats, such as Starbucks Pickup, are suitable for customers who prefer to order ahead and pay through the Starbuc</w:t>
      </w:r>
      <w:r>
        <w:rPr>
          <w:rFonts w:ascii="Times New Roman" w:eastAsia="宋体" w:hAnsi="Times New Roman"/>
          <w:color w:val="000000"/>
          <w:sz w:val="20"/>
          <w:szCs w:val="20"/>
        </w:rPr>
        <w:t>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Mobile App for pick-up. In our major international markets, we continue to invest in technology and establish partnerships with third parties with relevant expertise to increase digital adoption to provide convenience and elevate the customer experienc</w:t>
      </w:r>
      <w:r>
        <w:rPr>
          <w:rFonts w:ascii="Times New Roman" w:eastAsia="宋体" w:hAnsi="Times New Roman"/>
          <w:color w:val="000000"/>
          <w:sz w:val="20"/>
          <w:szCs w:val="20"/>
        </w:rPr>
        <w:t>e. In China, the introduction of Starbucks Now</w:t>
      </w:r>
      <w:r>
        <w:rPr>
          <w:rFonts w:ascii="Times New Roman" w:eastAsia="宋体" w:hAnsi="Times New Roman"/>
          <w:color w:val="000000"/>
          <w:sz w:val="13"/>
          <w:szCs w:val="13"/>
        </w:rPr>
        <w:t>TM</w:t>
      </w:r>
      <w:r>
        <w:rPr>
          <w:rFonts w:ascii="Times New Roman" w:eastAsia="宋体" w:hAnsi="Times New Roman"/>
          <w:color w:val="000000"/>
          <w:sz w:val="20"/>
          <w:szCs w:val="20"/>
        </w:rPr>
        <w:t xml:space="preserve"> stores enables a seamless integration of physical and digital customer touchpoints. Orders may be placed in advance through the Starbucks Mobile App or Starbucks Delivers</w:t>
      </w:r>
      <w:r>
        <w:rPr>
          <w:rFonts w:ascii="Times New Roman" w:eastAsia="宋体" w:hAnsi="Times New Roman"/>
          <w:color w:val="000000"/>
          <w:sz w:val="13"/>
          <w:szCs w:val="13"/>
        </w:rPr>
        <w:t>TM</w:t>
      </w:r>
      <w:r>
        <w:rPr>
          <w:rFonts w:ascii="Times New Roman" w:eastAsia="宋体" w:hAnsi="Times New Roman"/>
          <w:color w:val="000000"/>
          <w:sz w:val="20"/>
          <w:szCs w:val="20"/>
        </w:rPr>
        <w:t xml:space="preserve"> and can be conveniently picked up </w:t>
      </w:r>
      <w:r>
        <w:rPr>
          <w:rFonts w:ascii="Times New Roman" w:eastAsia="宋体" w:hAnsi="Times New Roman"/>
          <w:color w:val="000000"/>
          <w:sz w:val="20"/>
          <w:szCs w:val="20"/>
        </w:rPr>
        <w:t>by customers and delivery riders in these express retail format locations. These strategies align closely with rapidly evolving customer preferences, including higher levels of mobile ordering, more contactless pick-up experiences and reduced in-store cong</w:t>
      </w:r>
      <w:r>
        <w:rPr>
          <w:rFonts w:ascii="Times New Roman" w:eastAsia="宋体" w:hAnsi="Times New Roman"/>
          <w:color w:val="000000"/>
          <w:sz w:val="20"/>
          <w:szCs w:val="20"/>
        </w:rPr>
        <w:t>estion, all of which naturally allow for greater physical distancing. We believe our continued efforts to transform our store portfolio and elevate technology will enhance the customer experience and position Starbucks for long-term growth.</w:t>
      </w:r>
    </w:p>
    <w:p w14:paraId="00BACA5B" w14:textId="77777777" w:rsidR="00871BDF" w:rsidRDefault="005C5088">
      <w:pPr>
        <w:jc w:val="center"/>
      </w:pPr>
      <w:r>
        <w:rPr>
          <w:rFonts w:ascii="Times New Roman" w:eastAsia="宋体" w:hAnsi="Times New Roman"/>
          <w:color w:val="000000"/>
          <w:sz w:val="20"/>
          <w:szCs w:val="20"/>
        </w:rPr>
        <w:t>3</w:t>
      </w:r>
    </w:p>
    <w:p w14:paraId="00BACA5C" w14:textId="77777777" w:rsidR="00871BDF" w:rsidRDefault="005C5088">
      <w:r>
        <w:pict w14:anchorId="00BB1466">
          <v:rect id="_x0000_i1030" style="width:415.3pt;height:1.5pt" o:hralign="center" o:hrstd="t" o:hr="t" fillcolor="#a0a0a0" stroked="f"/>
        </w:pict>
      </w:r>
    </w:p>
    <w:p w14:paraId="00BACA5D" w14:textId="77777777" w:rsidR="00871BDF" w:rsidRDefault="005C5088">
      <w:hyperlink r:id="rId62" w:anchor="i54ccc64cb5384be5a4849ef1cdef4dde_7" w:history="1">
        <w:r>
          <w:rPr>
            <w:rStyle w:val="a5"/>
            <w:rFonts w:ascii="Times New Roman" w:eastAsia="宋体" w:hAnsi="Times New Roman"/>
            <w:sz w:val="20"/>
            <w:szCs w:val="20"/>
          </w:rPr>
          <w:t>Table of Contents</w:t>
        </w:r>
      </w:hyperlink>
    </w:p>
    <w:p w14:paraId="00BACA5E" w14:textId="77777777" w:rsidR="00871BDF" w:rsidRDefault="005C5088">
      <w:pPr>
        <w:spacing w:before="120"/>
      </w:pPr>
      <w:r>
        <w:rPr>
          <w:rFonts w:ascii="Times New Roman" w:eastAsia="宋体" w:hAnsi="Times New Roman"/>
          <w:color w:val="000000"/>
          <w:sz w:val="20"/>
          <w:szCs w:val="20"/>
        </w:rPr>
        <w:t>Retail sales mix by product type for company-operated stores:</w:t>
      </w:r>
    </w:p>
    <w:tbl>
      <w:tblPr>
        <w:tblW w:w="4993" w:type="pct"/>
        <w:tblCellMar>
          <w:top w:w="15" w:type="dxa"/>
          <w:left w:w="15" w:type="dxa"/>
          <w:bottom w:w="15" w:type="dxa"/>
          <w:right w:w="15" w:type="dxa"/>
        </w:tblCellMar>
        <w:tblLook w:val="04A0" w:firstRow="1" w:lastRow="0" w:firstColumn="1" w:lastColumn="0" w:noHBand="0" w:noVBand="1"/>
      </w:tblPr>
      <w:tblGrid>
        <w:gridCol w:w="39"/>
        <w:gridCol w:w="4253"/>
        <w:gridCol w:w="38"/>
        <w:gridCol w:w="37"/>
        <w:gridCol w:w="1074"/>
        <w:gridCol w:w="187"/>
        <w:gridCol w:w="36"/>
        <w:gridCol w:w="36"/>
        <w:gridCol w:w="36"/>
        <w:gridCol w:w="37"/>
        <w:gridCol w:w="1016"/>
        <w:gridCol w:w="187"/>
        <w:gridCol w:w="36"/>
        <w:gridCol w:w="36"/>
        <w:gridCol w:w="36"/>
        <w:gridCol w:w="37"/>
        <w:gridCol w:w="1016"/>
        <w:gridCol w:w="187"/>
      </w:tblGrid>
      <w:tr w:rsidR="00871BDF" w14:paraId="00BACA71" w14:textId="77777777">
        <w:tc>
          <w:tcPr>
            <w:tcW w:w="50" w:type="pct"/>
            <w:shd w:val="clear" w:color="auto" w:fill="auto"/>
          </w:tcPr>
          <w:p w14:paraId="00BACA5F" w14:textId="77777777" w:rsidR="00871BDF" w:rsidRDefault="00871BDF">
            <w:pPr>
              <w:rPr>
                <w:rFonts w:ascii="宋体"/>
              </w:rPr>
            </w:pPr>
          </w:p>
        </w:tc>
        <w:tc>
          <w:tcPr>
            <w:tcW w:w="2609" w:type="pct"/>
            <w:shd w:val="clear" w:color="auto" w:fill="auto"/>
          </w:tcPr>
          <w:p w14:paraId="00BACA60" w14:textId="77777777" w:rsidR="00871BDF" w:rsidRDefault="00871BDF">
            <w:pPr>
              <w:rPr>
                <w:rFonts w:ascii="宋体"/>
              </w:rPr>
            </w:pPr>
          </w:p>
        </w:tc>
        <w:tc>
          <w:tcPr>
            <w:tcW w:w="5" w:type="pct"/>
            <w:shd w:val="clear" w:color="auto" w:fill="auto"/>
          </w:tcPr>
          <w:p w14:paraId="00BACA61" w14:textId="77777777" w:rsidR="00871BDF" w:rsidRDefault="00871BDF">
            <w:pPr>
              <w:rPr>
                <w:rFonts w:ascii="宋体"/>
              </w:rPr>
            </w:pPr>
          </w:p>
        </w:tc>
        <w:tc>
          <w:tcPr>
            <w:tcW w:w="50" w:type="pct"/>
            <w:shd w:val="clear" w:color="auto" w:fill="auto"/>
          </w:tcPr>
          <w:p w14:paraId="00BACA62" w14:textId="77777777" w:rsidR="00871BDF" w:rsidRDefault="00871BDF">
            <w:pPr>
              <w:rPr>
                <w:rFonts w:ascii="宋体"/>
              </w:rPr>
            </w:pPr>
          </w:p>
        </w:tc>
        <w:tc>
          <w:tcPr>
            <w:tcW w:w="699" w:type="pct"/>
            <w:shd w:val="clear" w:color="auto" w:fill="auto"/>
          </w:tcPr>
          <w:p w14:paraId="00BACA63" w14:textId="77777777" w:rsidR="00871BDF" w:rsidRDefault="00871BDF">
            <w:pPr>
              <w:rPr>
                <w:rFonts w:ascii="宋体"/>
              </w:rPr>
            </w:pPr>
          </w:p>
        </w:tc>
        <w:tc>
          <w:tcPr>
            <w:tcW w:w="5" w:type="pct"/>
            <w:shd w:val="clear" w:color="auto" w:fill="auto"/>
          </w:tcPr>
          <w:p w14:paraId="00BACA64" w14:textId="77777777" w:rsidR="00871BDF" w:rsidRDefault="00871BDF">
            <w:pPr>
              <w:rPr>
                <w:rFonts w:ascii="宋体"/>
              </w:rPr>
            </w:pPr>
          </w:p>
        </w:tc>
        <w:tc>
          <w:tcPr>
            <w:tcW w:w="5" w:type="pct"/>
            <w:shd w:val="clear" w:color="auto" w:fill="auto"/>
          </w:tcPr>
          <w:p w14:paraId="00BACA65" w14:textId="77777777" w:rsidR="00871BDF" w:rsidRDefault="00871BDF">
            <w:pPr>
              <w:rPr>
                <w:rFonts w:ascii="宋体"/>
              </w:rPr>
            </w:pPr>
          </w:p>
        </w:tc>
        <w:tc>
          <w:tcPr>
            <w:tcW w:w="26" w:type="pct"/>
            <w:shd w:val="clear" w:color="auto" w:fill="auto"/>
          </w:tcPr>
          <w:p w14:paraId="00BACA66" w14:textId="77777777" w:rsidR="00871BDF" w:rsidRDefault="00871BDF">
            <w:pPr>
              <w:rPr>
                <w:rFonts w:ascii="宋体"/>
              </w:rPr>
            </w:pPr>
          </w:p>
        </w:tc>
        <w:tc>
          <w:tcPr>
            <w:tcW w:w="5" w:type="pct"/>
            <w:shd w:val="clear" w:color="auto" w:fill="auto"/>
          </w:tcPr>
          <w:p w14:paraId="00BACA67" w14:textId="77777777" w:rsidR="00871BDF" w:rsidRDefault="00871BDF">
            <w:pPr>
              <w:rPr>
                <w:rFonts w:ascii="宋体"/>
              </w:rPr>
            </w:pPr>
          </w:p>
        </w:tc>
        <w:tc>
          <w:tcPr>
            <w:tcW w:w="50" w:type="pct"/>
            <w:shd w:val="clear" w:color="auto" w:fill="auto"/>
          </w:tcPr>
          <w:p w14:paraId="00BACA68" w14:textId="77777777" w:rsidR="00871BDF" w:rsidRDefault="00871BDF">
            <w:pPr>
              <w:rPr>
                <w:rFonts w:ascii="宋体"/>
              </w:rPr>
            </w:pPr>
          </w:p>
        </w:tc>
        <w:tc>
          <w:tcPr>
            <w:tcW w:w="699" w:type="pct"/>
            <w:shd w:val="clear" w:color="auto" w:fill="auto"/>
          </w:tcPr>
          <w:p w14:paraId="00BACA69" w14:textId="77777777" w:rsidR="00871BDF" w:rsidRDefault="00871BDF">
            <w:pPr>
              <w:rPr>
                <w:rFonts w:ascii="宋体"/>
              </w:rPr>
            </w:pPr>
          </w:p>
        </w:tc>
        <w:tc>
          <w:tcPr>
            <w:tcW w:w="5" w:type="pct"/>
            <w:shd w:val="clear" w:color="auto" w:fill="auto"/>
          </w:tcPr>
          <w:p w14:paraId="00BACA6A" w14:textId="77777777" w:rsidR="00871BDF" w:rsidRDefault="00871BDF">
            <w:pPr>
              <w:rPr>
                <w:rFonts w:ascii="宋体"/>
              </w:rPr>
            </w:pPr>
          </w:p>
        </w:tc>
        <w:tc>
          <w:tcPr>
            <w:tcW w:w="5" w:type="pct"/>
            <w:shd w:val="clear" w:color="auto" w:fill="auto"/>
          </w:tcPr>
          <w:p w14:paraId="00BACA6B" w14:textId="77777777" w:rsidR="00871BDF" w:rsidRDefault="00871BDF">
            <w:pPr>
              <w:rPr>
                <w:rFonts w:ascii="宋体"/>
              </w:rPr>
            </w:pPr>
          </w:p>
        </w:tc>
        <w:tc>
          <w:tcPr>
            <w:tcW w:w="26" w:type="pct"/>
            <w:shd w:val="clear" w:color="auto" w:fill="auto"/>
          </w:tcPr>
          <w:p w14:paraId="00BACA6C" w14:textId="77777777" w:rsidR="00871BDF" w:rsidRDefault="00871BDF">
            <w:pPr>
              <w:rPr>
                <w:rFonts w:ascii="宋体"/>
              </w:rPr>
            </w:pPr>
          </w:p>
        </w:tc>
        <w:tc>
          <w:tcPr>
            <w:tcW w:w="5" w:type="pct"/>
            <w:shd w:val="clear" w:color="auto" w:fill="auto"/>
          </w:tcPr>
          <w:p w14:paraId="00BACA6D" w14:textId="77777777" w:rsidR="00871BDF" w:rsidRDefault="00871BDF">
            <w:pPr>
              <w:rPr>
                <w:rFonts w:ascii="宋体"/>
              </w:rPr>
            </w:pPr>
          </w:p>
        </w:tc>
        <w:tc>
          <w:tcPr>
            <w:tcW w:w="50" w:type="pct"/>
            <w:shd w:val="clear" w:color="auto" w:fill="auto"/>
          </w:tcPr>
          <w:p w14:paraId="00BACA6E" w14:textId="77777777" w:rsidR="00871BDF" w:rsidRDefault="00871BDF">
            <w:pPr>
              <w:rPr>
                <w:rFonts w:ascii="宋体"/>
              </w:rPr>
            </w:pPr>
          </w:p>
        </w:tc>
        <w:tc>
          <w:tcPr>
            <w:tcW w:w="699" w:type="pct"/>
            <w:shd w:val="clear" w:color="auto" w:fill="auto"/>
          </w:tcPr>
          <w:p w14:paraId="00BACA6F" w14:textId="77777777" w:rsidR="00871BDF" w:rsidRDefault="00871BDF">
            <w:pPr>
              <w:rPr>
                <w:rFonts w:ascii="宋体"/>
              </w:rPr>
            </w:pPr>
          </w:p>
        </w:tc>
        <w:tc>
          <w:tcPr>
            <w:tcW w:w="5" w:type="pct"/>
            <w:shd w:val="clear" w:color="auto" w:fill="auto"/>
          </w:tcPr>
          <w:p w14:paraId="00BACA70" w14:textId="77777777" w:rsidR="00871BDF" w:rsidRDefault="00871BDF">
            <w:pPr>
              <w:rPr>
                <w:rFonts w:ascii="宋体"/>
              </w:rPr>
            </w:pPr>
          </w:p>
        </w:tc>
      </w:tr>
      <w:tr w:rsidR="00871BDF" w14:paraId="00BACA78" w14:textId="77777777">
        <w:tc>
          <w:tcPr>
            <w:tcW w:w="0" w:type="auto"/>
            <w:gridSpan w:val="3"/>
            <w:shd w:val="clear" w:color="auto" w:fill="auto"/>
            <w:tcMar>
              <w:top w:w="40" w:type="dxa"/>
              <w:left w:w="20" w:type="dxa"/>
              <w:bottom w:w="40" w:type="dxa"/>
              <w:right w:w="20" w:type="dxa"/>
            </w:tcMar>
            <w:vAlign w:val="bottom"/>
          </w:tcPr>
          <w:p w14:paraId="00BACA72" w14:textId="77777777" w:rsidR="00871BDF" w:rsidRDefault="005C5088">
            <w:pPr>
              <w:textAlignment w:val="bottom"/>
            </w:pPr>
            <w:r>
              <w:rPr>
                <w:rFonts w:ascii="Times New Roman" w:eastAsia="宋体" w:hAnsi="Times New Roman"/>
                <w:b/>
                <w:bCs/>
                <w:color w:val="000000"/>
                <w:sz w:val="16"/>
                <w:szCs w:val="16"/>
                <w:u w:val="single"/>
              </w:rPr>
              <w:t xml:space="preserve">Fiscal Year </w:t>
            </w:r>
            <w:r>
              <w:rPr>
                <w:rFonts w:ascii="Times New Roman" w:eastAsia="宋体" w:hAnsi="Times New Roman"/>
                <w:b/>
                <w:bCs/>
                <w:color w:val="000000"/>
                <w:sz w:val="16"/>
                <w:szCs w:val="16"/>
                <w:u w:val="single"/>
              </w:rPr>
              <w:t>Ended</w:t>
            </w:r>
          </w:p>
        </w:tc>
        <w:tc>
          <w:tcPr>
            <w:tcW w:w="0" w:type="auto"/>
            <w:gridSpan w:val="3"/>
            <w:shd w:val="clear" w:color="auto" w:fill="00704A"/>
            <w:tcMar>
              <w:top w:w="40" w:type="dxa"/>
              <w:left w:w="20" w:type="dxa"/>
              <w:bottom w:w="40" w:type="dxa"/>
              <w:right w:w="20" w:type="dxa"/>
            </w:tcMar>
            <w:vAlign w:val="bottom"/>
          </w:tcPr>
          <w:p w14:paraId="00BACA73"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CA74"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A75"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CA76"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A77"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r>
      <w:tr w:rsidR="00871BDF" w14:paraId="00BACA82" w14:textId="77777777">
        <w:tc>
          <w:tcPr>
            <w:tcW w:w="0" w:type="auto"/>
            <w:gridSpan w:val="3"/>
            <w:shd w:val="clear" w:color="auto" w:fill="D7E4BC"/>
            <w:tcMar>
              <w:top w:w="40" w:type="dxa"/>
              <w:left w:w="20" w:type="dxa"/>
              <w:bottom w:w="40" w:type="dxa"/>
              <w:right w:w="20" w:type="dxa"/>
            </w:tcMar>
            <w:vAlign w:val="center"/>
          </w:tcPr>
          <w:p w14:paraId="00BACA79" w14:textId="77777777" w:rsidR="00871BDF" w:rsidRDefault="005C5088">
            <w:pPr>
              <w:textAlignment w:val="center"/>
            </w:pPr>
            <w:r>
              <w:rPr>
                <w:rFonts w:ascii="Times New Roman" w:eastAsia="宋体" w:hAnsi="Times New Roman"/>
                <w:color w:val="000000"/>
                <w:sz w:val="20"/>
                <w:szCs w:val="20"/>
              </w:rPr>
              <w:t>Beverages</w:t>
            </w: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00BACA7A" w14:textId="77777777" w:rsidR="00871BDF" w:rsidRDefault="005C5088">
            <w:pPr>
              <w:jc w:val="right"/>
              <w:textAlignment w:val="center"/>
            </w:pPr>
            <w:r>
              <w:rPr>
                <w:rFonts w:ascii="Times New Roman" w:eastAsia="宋体" w:hAnsi="Times New Roman"/>
                <w:color w:val="000000"/>
                <w:sz w:val="20"/>
                <w:szCs w:val="20"/>
              </w:rPr>
              <w:t>75 </w:t>
            </w:r>
          </w:p>
        </w:tc>
        <w:tc>
          <w:tcPr>
            <w:tcW w:w="0" w:type="auto"/>
            <w:tcBorders>
              <w:top w:val="single" w:sz="8" w:space="0" w:color="000000"/>
            </w:tcBorders>
            <w:shd w:val="clear" w:color="auto" w:fill="D7E4BC"/>
            <w:tcMar>
              <w:top w:w="40" w:type="dxa"/>
              <w:left w:w="0" w:type="dxa"/>
              <w:bottom w:w="40" w:type="dxa"/>
              <w:right w:w="20" w:type="dxa"/>
            </w:tcMar>
            <w:vAlign w:val="center"/>
          </w:tcPr>
          <w:p w14:paraId="00BACA7B" w14:textId="77777777" w:rsidR="00871BDF" w:rsidRDefault="005C5088">
            <w:pPr>
              <w:jc w:val="right"/>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CA7C"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00BACA7D" w14:textId="77777777" w:rsidR="00871BDF" w:rsidRDefault="005C5088">
            <w:pPr>
              <w:jc w:val="right"/>
              <w:textAlignment w:val="center"/>
            </w:pPr>
            <w:r>
              <w:rPr>
                <w:rFonts w:ascii="Times New Roman" w:eastAsia="宋体" w:hAnsi="Times New Roman"/>
                <w:color w:val="000000"/>
                <w:sz w:val="20"/>
                <w:szCs w:val="20"/>
              </w:rPr>
              <w:t>74 </w:t>
            </w:r>
          </w:p>
        </w:tc>
        <w:tc>
          <w:tcPr>
            <w:tcW w:w="0" w:type="auto"/>
            <w:tcBorders>
              <w:top w:val="single" w:sz="8" w:space="0" w:color="000000"/>
            </w:tcBorders>
            <w:shd w:val="clear" w:color="auto" w:fill="D7E4BC"/>
            <w:tcMar>
              <w:top w:w="40" w:type="dxa"/>
              <w:left w:w="0" w:type="dxa"/>
              <w:bottom w:w="40" w:type="dxa"/>
              <w:right w:w="20" w:type="dxa"/>
            </w:tcMar>
            <w:vAlign w:val="center"/>
          </w:tcPr>
          <w:p w14:paraId="00BACA7E" w14:textId="77777777" w:rsidR="00871BDF" w:rsidRDefault="005C5088">
            <w:pPr>
              <w:jc w:val="right"/>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CA7F"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00BACA80" w14:textId="77777777" w:rsidR="00871BDF" w:rsidRDefault="005C5088">
            <w:pPr>
              <w:jc w:val="right"/>
              <w:textAlignment w:val="center"/>
            </w:pPr>
            <w:r>
              <w:rPr>
                <w:rFonts w:ascii="Times New Roman" w:eastAsia="宋体" w:hAnsi="Times New Roman"/>
                <w:color w:val="000000"/>
                <w:sz w:val="20"/>
                <w:szCs w:val="20"/>
              </w:rPr>
              <w:t>74 </w:t>
            </w:r>
          </w:p>
        </w:tc>
        <w:tc>
          <w:tcPr>
            <w:tcW w:w="0" w:type="auto"/>
            <w:tcBorders>
              <w:top w:val="single" w:sz="8" w:space="0" w:color="000000"/>
            </w:tcBorders>
            <w:shd w:val="clear" w:color="auto" w:fill="D7E4BC"/>
            <w:tcMar>
              <w:top w:w="40" w:type="dxa"/>
              <w:left w:w="0" w:type="dxa"/>
              <w:bottom w:w="40" w:type="dxa"/>
              <w:right w:w="20" w:type="dxa"/>
            </w:tcMar>
            <w:vAlign w:val="center"/>
          </w:tcPr>
          <w:p w14:paraId="00BACA81" w14:textId="77777777" w:rsidR="00871BDF" w:rsidRDefault="005C5088">
            <w:pPr>
              <w:jc w:val="right"/>
              <w:textAlignment w:val="center"/>
            </w:pPr>
            <w:r>
              <w:rPr>
                <w:rFonts w:ascii="Times New Roman" w:eastAsia="宋体" w:hAnsi="Times New Roman"/>
                <w:color w:val="000000"/>
                <w:sz w:val="20"/>
                <w:szCs w:val="20"/>
              </w:rPr>
              <w:t>%</w:t>
            </w:r>
          </w:p>
        </w:tc>
      </w:tr>
      <w:tr w:rsidR="00871BDF" w14:paraId="00BACA8C" w14:textId="77777777">
        <w:tc>
          <w:tcPr>
            <w:tcW w:w="0" w:type="auto"/>
            <w:gridSpan w:val="3"/>
            <w:shd w:val="clear" w:color="auto" w:fill="auto"/>
            <w:tcMar>
              <w:top w:w="40" w:type="dxa"/>
              <w:left w:w="20" w:type="dxa"/>
              <w:bottom w:w="40" w:type="dxa"/>
              <w:right w:w="20" w:type="dxa"/>
            </w:tcMar>
            <w:vAlign w:val="center"/>
          </w:tcPr>
          <w:p w14:paraId="00BACA83" w14:textId="77777777" w:rsidR="00871BDF" w:rsidRDefault="005C5088">
            <w:pPr>
              <w:textAlignment w:val="center"/>
            </w:pPr>
            <w:r>
              <w:rPr>
                <w:rFonts w:ascii="Times New Roman" w:eastAsia="宋体" w:hAnsi="Times New Roman"/>
                <w:color w:val="000000"/>
                <w:sz w:val="20"/>
                <w:szCs w:val="20"/>
              </w:rPr>
              <w:t>Food</w:t>
            </w:r>
          </w:p>
        </w:tc>
        <w:tc>
          <w:tcPr>
            <w:tcW w:w="0" w:type="auto"/>
            <w:gridSpan w:val="2"/>
            <w:shd w:val="clear" w:color="auto" w:fill="auto"/>
            <w:tcMar>
              <w:top w:w="40" w:type="dxa"/>
              <w:left w:w="20" w:type="dxa"/>
              <w:bottom w:w="40" w:type="dxa"/>
              <w:right w:w="0" w:type="dxa"/>
            </w:tcMar>
            <w:vAlign w:val="center"/>
          </w:tcPr>
          <w:p w14:paraId="00BACA84" w14:textId="77777777" w:rsidR="00871BDF" w:rsidRDefault="005C5088">
            <w:pPr>
              <w:jc w:val="right"/>
              <w:textAlignment w:val="center"/>
            </w:pPr>
            <w:r>
              <w:rPr>
                <w:rFonts w:ascii="Times New Roman" w:eastAsia="宋体" w:hAnsi="Times New Roman"/>
                <w:color w:val="000000"/>
                <w:sz w:val="20"/>
                <w:szCs w:val="20"/>
              </w:rPr>
              <w:t>20 </w:t>
            </w:r>
          </w:p>
        </w:tc>
        <w:tc>
          <w:tcPr>
            <w:tcW w:w="0" w:type="auto"/>
            <w:shd w:val="clear" w:color="auto" w:fill="auto"/>
            <w:tcMar>
              <w:top w:w="40" w:type="dxa"/>
              <w:left w:w="0" w:type="dxa"/>
              <w:bottom w:w="40" w:type="dxa"/>
              <w:right w:w="20" w:type="dxa"/>
            </w:tcMar>
            <w:vAlign w:val="center"/>
          </w:tcPr>
          <w:p w14:paraId="00BACA85" w14:textId="77777777" w:rsidR="00871BDF" w:rsidRDefault="005C5088">
            <w:pPr>
              <w:jc w:val="right"/>
              <w:textAlignment w:val="center"/>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00BACA86"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center"/>
          </w:tcPr>
          <w:p w14:paraId="00BACA87" w14:textId="77777777" w:rsidR="00871BDF" w:rsidRDefault="005C5088">
            <w:pPr>
              <w:jc w:val="right"/>
              <w:textAlignment w:val="center"/>
            </w:pPr>
            <w:r>
              <w:rPr>
                <w:rFonts w:ascii="Times New Roman" w:eastAsia="宋体" w:hAnsi="Times New Roman"/>
                <w:color w:val="000000"/>
                <w:sz w:val="20"/>
                <w:szCs w:val="20"/>
              </w:rPr>
              <w:t>20 </w:t>
            </w:r>
          </w:p>
        </w:tc>
        <w:tc>
          <w:tcPr>
            <w:tcW w:w="0" w:type="auto"/>
            <w:shd w:val="clear" w:color="auto" w:fill="auto"/>
            <w:tcMar>
              <w:top w:w="40" w:type="dxa"/>
              <w:left w:w="0" w:type="dxa"/>
              <w:bottom w:w="40" w:type="dxa"/>
              <w:right w:w="20" w:type="dxa"/>
            </w:tcMar>
            <w:vAlign w:val="center"/>
          </w:tcPr>
          <w:p w14:paraId="00BACA88" w14:textId="77777777" w:rsidR="00871BDF" w:rsidRDefault="005C5088">
            <w:pPr>
              <w:jc w:val="right"/>
              <w:textAlignment w:val="center"/>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00BACA89"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center"/>
          </w:tcPr>
          <w:p w14:paraId="00BACA8A" w14:textId="77777777" w:rsidR="00871BDF" w:rsidRDefault="005C5088">
            <w:pPr>
              <w:jc w:val="right"/>
              <w:textAlignment w:val="center"/>
            </w:pPr>
            <w:r>
              <w:rPr>
                <w:rFonts w:ascii="Times New Roman" w:eastAsia="宋体" w:hAnsi="Times New Roman"/>
                <w:color w:val="000000"/>
                <w:sz w:val="20"/>
                <w:szCs w:val="20"/>
              </w:rPr>
              <w:t>20 </w:t>
            </w:r>
          </w:p>
        </w:tc>
        <w:tc>
          <w:tcPr>
            <w:tcW w:w="0" w:type="auto"/>
            <w:shd w:val="clear" w:color="auto" w:fill="auto"/>
            <w:tcMar>
              <w:top w:w="40" w:type="dxa"/>
              <w:left w:w="0" w:type="dxa"/>
              <w:bottom w:w="40" w:type="dxa"/>
              <w:right w:w="20" w:type="dxa"/>
            </w:tcMar>
            <w:vAlign w:val="center"/>
          </w:tcPr>
          <w:p w14:paraId="00BACA8B" w14:textId="77777777" w:rsidR="00871BDF" w:rsidRDefault="005C5088">
            <w:pPr>
              <w:jc w:val="right"/>
              <w:textAlignment w:val="center"/>
            </w:pPr>
            <w:r>
              <w:rPr>
                <w:rFonts w:ascii="Times New Roman" w:eastAsia="宋体" w:hAnsi="Times New Roman"/>
                <w:color w:val="000000"/>
                <w:sz w:val="20"/>
                <w:szCs w:val="20"/>
              </w:rPr>
              <w:t>%</w:t>
            </w:r>
          </w:p>
        </w:tc>
      </w:tr>
      <w:tr w:rsidR="00871BDF" w14:paraId="00BACA96" w14:textId="77777777">
        <w:tc>
          <w:tcPr>
            <w:tcW w:w="0" w:type="auto"/>
            <w:gridSpan w:val="3"/>
            <w:shd w:val="clear" w:color="auto" w:fill="D7E4BC"/>
            <w:tcMar>
              <w:top w:w="40" w:type="dxa"/>
              <w:left w:w="20" w:type="dxa"/>
              <w:bottom w:w="40" w:type="dxa"/>
              <w:right w:w="20" w:type="dxa"/>
            </w:tcMar>
            <w:vAlign w:val="center"/>
          </w:tcPr>
          <w:p w14:paraId="00BACA8D" w14:textId="77777777" w:rsidR="00871BDF" w:rsidRDefault="005C5088">
            <w:pPr>
              <w:textAlignment w:val="center"/>
            </w:pPr>
            <w:r>
              <w:rPr>
                <w:rFonts w:ascii="Times New Roman" w:eastAsia="宋体" w:hAnsi="Times New Roman"/>
                <w:color w:val="000000"/>
                <w:sz w:val="20"/>
                <w:szCs w:val="20"/>
              </w:rPr>
              <w:t>Packaged and single-serve coffees and teas</w:t>
            </w:r>
          </w:p>
        </w:tc>
        <w:tc>
          <w:tcPr>
            <w:tcW w:w="0" w:type="auto"/>
            <w:gridSpan w:val="2"/>
            <w:shd w:val="clear" w:color="auto" w:fill="D7E4BC"/>
            <w:tcMar>
              <w:top w:w="40" w:type="dxa"/>
              <w:left w:w="20" w:type="dxa"/>
              <w:bottom w:w="40" w:type="dxa"/>
              <w:right w:w="0" w:type="dxa"/>
            </w:tcMar>
            <w:vAlign w:val="center"/>
          </w:tcPr>
          <w:p w14:paraId="00BACA8E" w14:textId="77777777" w:rsidR="00871BDF" w:rsidRDefault="005C5088">
            <w:pPr>
              <w:jc w:val="right"/>
              <w:textAlignment w:val="center"/>
            </w:pPr>
            <w:r>
              <w:rPr>
                <w:rFonts w:ascii="Times New Roman" w:eastAsia="宋体" w:hAnsi="Times New Roman"/>
                <w:color w:val="000000"/>
                <w:sz w:val="20"/>
                <w:szCs w:val="20"/>
              </w:rPr>
              <w:t>1 </w:t>
            </w:r>
          </w:p>
        </w:tc>
        <w:tc>
          <w:tcPr>
            <w:tcW w:w="0" w:type="auto"/>
            <w:shd w:val="clear" w:color="auto" w:fill="D7E4BC"/>
            <w:tcMar>
              <w:top w:w="40" w:type="dxa"/>
              <w:left w:w="0" w:type="dxa"/>
              <w:bottom w:w="40" w:type="dxa"/>
              <w:right w:w="20" w:type="dxa"/>
            </w:tcMar>
            <w:vAlign w:val="center"/>
          </w:tcPr>
          <w:p w14:paraId="00BACA8F" w14:textId="77777777" w:rsidR="00871BDF" w:rsidRDefault="005C5088">
            <w:pPr>
              <w:jc w:val="right"/>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CA9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center"/>
          </w:tcPr>
          <w:p w14:paraId="00BACA91" w14:textId="77777777" w:rsidR="00871BDF" w:rsidRDefault="005C5088">
            <w:pPr>
              <w:jc w:val="right"/>
              <w:textAlignment w:val="center"/>
            </w:pPr>
            <w:r>
              <w:rPr>
                <w:rFonts w:ascii="Times New Roman" w:eastAsia="宋体" w:hAnsi="Times New Roman"/>
                <w:color w:val="000000"/>
                <w:sz w:val="20"/>
                <w:szCs w:val="20"/>
              </w:rPr>
              <w:t>1 </w:t>
            </w:r>
          </w:p>
        </w:tc>
        <w:tc>
          <w:tcPr>
            <w:tcW w:w="0" w:type="auto"/>
            <w:shd w:val="clear" w:color="auto" w:fill="D7E4BC"/>
            <w:tcMar>
              <w:top w:w="40" w:type="dxa"/>
              <w:left w:w="0" w:type="dxa"/>
              <w:bottom w:w="40" w:type="dxa"/>
              <w:right w:w="20" w:type="dxa"/>
            </w:tcMar>
            <w:vAlign w:val="center"/>
          </w:tcPr>
          <w:p w14:paraId="00BACA92" w14:textId="77777777" w:rsidR="00871BDF" w:rsidRDefault="005C5088">
            <w:pPr>
              <w:jc w:val="right"/>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CA9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center"/>
          </w:tcPr>
          <w:p w14:paraId="00BACA94" w14:textId="77777777" w:rsidR="00871BDF" w:rsidRDefault="005C5088">
            <w:pPr>
              <w:jc w:val="right"/>
              <w:textAlignment w:val="center"/>
            </w:pPr>
            <w:r>
              <w:rPr>
                <w:rFonts w:ascii="Times New Roman" w:eastAsia="宋体" w:hAnsi="Times New Roman"/>
                <w:color w:val="000000"/>
                <w:sz w:val="20"/>
                <w:szCs w:val="20"/>
              </w:rPr>
              <w:t>2 </w:t>
            </w:r>
          </w:p>
        </w:tc>
        <w:tc>
          <w:tcPr>
            <w:tcW w:w="0" w:type="auto"/>
            <w:shd w:val="clear" w:color="auto" w:fill="D7E4BC"/>
            <w:tcMar>
              <w:top w:w="40" w:type="dxa"/>
              <w:left w:w="0" w:type="dxa"/>
              <w:bottom w:w="40" w:type="dxa"/>
              <w:right w:w="20" w:type="dxa"/>
            </w:tcMar>
            <w:vAlign w:val="center"/>
          </w:tcPr>
          <w:p w14:paraId="00BACA95" w14:textId="77777777" w:rsidR="00871BDF" w:rsidRDefault="005C5088">
            <w:pPr>
              <w:jc w:val="right"/>
              <w:textAlignment w:val="center"/>
            </w:pPr>
            <w:r>
              <w:rPr>
                <w:rFonts w:ascii="Times New Roman" w:eastAsia="宋体" w:hAnsi="Times New Roman"/>
                <w:color w:val="000000"/>
                <w:sz w:val="20"/>
                <w:szCs w:val="20"/>
              </w:rPr>
              <w:t>%</w:t>
            </w:r>
          </w:p>
        </w:tc>
      </w:tr>
      <w:tr w:rsidR="00871BDF" w14:paraId="00BACAA0" w14:textId="77777777">
        <w:tc>
          <w:tcPr>
            <w:tcW w:w="0" w:type="auto"/>
            <w:gridSpan w:val="3"/>
            <w:shd w:val="clear" w:color="auto" w:fill="auto"/>
            <w:tcMar>
              <w:top w:w="40" w:type="dxa"/>
              <w:left w:w="20" w:type="dxa"/>
              <w:bottom w:w="40" w:type="dxa"/>
              <w:right w:w="20" w:type="dxa"/>
            </w:tcMar>
            <w:vAlign w:val="center"/>
          </w:tcPr>
          <w:p w14:paraId="00BACA97" w14:textId="77777777" w:rsidR="00871BDF" w:rsidRDefault="005C5088">
            <w:pPr>
              <w:textAlignment w:val="center"/>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auto"/>
            <w:tcMar>
              <w:top w:w="40" w:type="dxa"/>
              <w:left w:w="20" w:type="dxa"/>
              <w:bottom w:w="40" w:type="dxa"/>
              <w:right w:w="0" w:type="dxa"/>
            </w:tcMar>
            <w:vAlign w:val="center"/>
          </w:tcPr>
          <w:p w14:paraId="00BACA98" w14:textId="77777777" w:rsidR="00871BDF" w:rsidRDefault="005C5088">
            <w:pPr>
              <w:jc w:val="right"/>
              <w:textAlignment w:val="center"/>
            </w:pPr>
            <w:r>
              <w:rPr>
                <w:rFonts w:ascii="Times New Roman" w:eastAsia="宋体" w:hAnsi="Times New Roman"/>
                <w:color w:val="000000"/>
                <w:sz w:val="20"/>
                <w:szCs w:val="20"/>
              </w:rPr>
              <w:t>4 </w:t>
            </w:r>
          </w:p>
        </w:tc>
        <w:tc>
          <w:tcPr>
            <w:tcW w:w="0" w:type="auto"/>
            <w:shd w:val="clear" w:color="auto" w:fill="auto"/>
            <w:tcMar>
              <w:top w:w="40" w:type="dxa"/>
              <w:left w:w="0" w:type="dxa"/>
              <w:bottom w:w="40" w:type="dxa"/>
              <w:right w:w="20" w:type="dxa"/>
            </w:tcMar>
            <w:vAlign w:val="center"/>
          </w:tcPr>
          <w:p w14:paraId="00BACA99" w14:textId="77777777" w:rsidR="00871BDF" w:rsidRDefault="005C5088">
            <w:pPr>
              <w:jc w:val="right"/>
              <w:textAlignment w:val="center"/>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00BACA9A"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center"/>
          </w:tcPr>
          <w:p w14:paraId="00BACA9B" w14:textId="77777777" w:rsidR="00871BDF" w:rsidRDefault="005C5088">
            <w:pPr>
              <w:jc w:val="right"/>
              <w:textAlignment w:val="center"/>
            </w:pPr>
            <w:r>
              <w:rPr>
                <w:rFonts w:ascii="Times New Roman" w:eastAsia="宋体" w:hAnsi="Times New Roman"/>
                <w:color w:val="000000"/>
                <w:sz w:val="20"/>
                <w:szCs w:val="20"/>
              </w:rPr>
              <w:t>5 </w:t>
            </w:r>
          </w:p>
        </w:tc>
        <w:tc>
          <w:tcPr>
            <w:tcW w:w="0" w:type="auto"/>
            <w:shd w:val="clear" w:color="auto" w:fill="auto"/>
            <w:tcMar>
              <w:top w:w="40" w:type="dxa"/>
              <w:left w:w="0" w:type="dxa"/>
              <w:bottom w:w="40" w:type="dxa"/>
              <w:right w:w="20" w:type="dxa"/>
            </w:tcMar>
            <w:vAlign w:val="center"/>
          </w:tcPr>
          <w:p w14:paraId="00BACA9C" w14:textId="77777777" w:rsidR="00871BDF" w:rsidRDefault="005C5088">
            <w:pPr>
              <w:jc w:val="right"/>
              <w:textAlignment w:val="center"/>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tcPr>
          <w:p w14:paraId="00BACA9D"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center"/>
          </w:tcPr>
          <w:p w14:paraId="00BACA9E" w14:textId="77777777" w:rsidR="00871BDF" w:rsidRDefault="005C5088">
            <w:pPr>
              <w:jc w:val="right"/>
              <w:textAlignment w:val="center"/>
            </w:pPr>
            <w:r>
              <w:rPr>
                <w:rFonts w:ascii="Times New Roman" w:eastAsia="宋体" w:hAnsi="Times New Roman"/>
                <w:color w:val="000000"/>
                <w:sz w:val="20"/>
                <w:szCs w:val="20"/>
              </w:rPr>
              <w:t>4 </w:t>
            </w:r>
          </w:p>
        </w:tc>
        <w:tc>
          <w:tcPr>
            <w:tcW w:w="0" w:type="auto"/>
            <w:shd w:val="clear" w:color="auto" w:fill="auto"/>
            <w:tcMar>
              <w:top w:w="40" w:type="dxa"/>
              <w:left w:w="0" w:type="dxa"/>
              <w:bottom w:w="40" w:type="dxa"/>
              <w:right w:w="20" w:type="dxa"/>
            </w:tcMar>
            <w:vAlign w:val="center"/>
          </w:tcPr>
          <w:p w14:paraId="00BACA9F" w14:textId="77777777" w:rsidR="00871BDF" w:rsidRDefault="005C5088">
            <w:pPr>
              <w:jc w:val="right"/>
              <w:textAlignment w:val="center"/>
            </w:pPr>
            <w:r>
              <w:rPr>
                <w:rFonts w:ascii="Times New Roman" w:eastAsia="宋体" w:hAnsi="Times New Roman"/>
                <w:color w:val="000000"/>
                <w:sz w:val="20"/>
                <w:szCs w:val="20"/>
              </w:rPr>
              <w:t>%</w:t>
            </w:r>
          </w:p>
        </w:tc>
      </w:tr>
      <w:tr w:rsidR="00871BDF" w14:paraId="00BACAAA" w14:textId="77777777">
        <w:tc>
          <w:tcPr>
            <w:tcW w:w="0" w:type="auto"/>
            <w:gridSpan w:val="3"/>
            <w:shd w:val="clear" w:color="auto" w:fill="D7E4BC"/>
            <w:tcMar>
              <w:top w:w="40" w:type="dxa"/>
              <w:left w:w="20" w:type="dxa"/>
              <w:bottom w:w="40" w:type="dxa"/>
              <w:right w:w="20" w:type="dxa"/>
            </w:tcMar>
            <w:vAlign w:val="center"/>
          </w:tcPr>
          <w:p w14:paraId="00BACAA1" w14:textId="77777777" w:rsidR="00871BDF" w:rsidRDefault="005C5088">
            <w:pPr>
              <w:textAlignment w:val="center"/>
            </w:pPr>
            <w:r>
              <w:rPr>
                <w:rFonts w:ascii="Times New Roman" w:eastAsia="宋体" w:hAnsi="Times New Roman"/>
                <w:color w:val="000000"/>
                <w:sz w:val="20"/>
                <w:szCs w:val="20"/>
              </w:rPr>
              <w:t>Total</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AA2" w14:textId="77777777" w:rsidR="00871BDF" w:rsidRDefault="005C5088">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AA3"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CAA4"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AA5" w14:textId="77777777" w:rsidR="00871BDF" w:rsidRDefault="005C5088">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AA6"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CAA7"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AA8" w14:textId="77777777" w:rsidR="00871BDF" w:rsidRDefault="005C5088">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AA9" w14:textId="77777777" w:rsidR="00871BDF" w:rsidRDefault="005C5088">
            <w:pPr>
              <w:jc w:val="right"/>
              <w:textAlignment w:val="bottom"/>
            </w:pPr>
            <w:r>
              <w:rPr>
                <w:rFonts w:ascii="Times New Roman" w:eastAsia="宋体" w:hAnsi="Times New Roman"/>
                <w:color w:val="000000"/>
                <w:sz w:val="20"/>
                <w:szCs w:val="20"/>
              </w:rPr>
              <w:t>%</w:t>
            </w:r>
          </w:p>
        </w:tc>
      </w:tr>
    </w:tbl>
    <w:p w14:paraId="00BACAAB" w14:textId="77777777" w:rsidR="00871BDF" w:rsidRDefault="005C5088">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“Other” primarily consists of sales of serveware and ready-to-drink beverages, among other items.</w:t>
      </w:r>
    </w:p>
    <w:p w14:paraId="00BACAAC" w14:textId="77777777" w:rsidR="00871BDF" w:rsidRDefault="005C5088">
      <w:pPr>
        <w:spacing w:before="120"/>
      </w:pPr>
      <w:r>
        <w:rPr>
          <w:rFonts w:ascii="Times New Roman" w:eastAsia="宋体" w:hAnsi="Times New Roman"/>
          <w:i/>
          <w:iCs/>
          <w:color w:val="000000"/>
          <w:sz w:val="20"/>
          <w:szCs w:val="20"/>
        </w:rPr>
        <w:t>Stored Value Cards and Loyalty Program</w:t>
      </w:r>
    </w:p>
    <w:p w14:paraId="00BACAAD" w14:textId="77777777" w:rsidR="00871BDF" w:rsidRDefault="005C5088">
      <w:pPr>
        <w:spacing w:before="120"/>
      </w:pPr>
      <w:r>
        <w:rPr>
          <w:rFonts w:ascii="Times New Roman" w:eastAsia="宋体" w:hAnsi="Times New Roman"/>
          <w:color w:val="000000"/>
          <w:sz w:val="20"/>
          <w:szCs w:val="20"/>
        </w:rPr>
        <w:t>The Starbucks Card, our branded stored value card program, is designed to provide customers with a conve</w:t>
      </w:r>
      <w:r>
        <w:rPr>
          <w:rFonts w:ascii="Times New Roman" w:eastAsia="宋体" w:hAnsi="Times New Roman"/>
          <w:color w:val="000000"/>
          <w:sz w:val="20"/>
          <w:szCs w:val="20"/>
        </w:rPr>
        <w:t>nient payment method, support gifting and increase the frequency of store visits by cardholders, in part through the related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Rewards loyalty program where available, as discussed below. Stored value cards are issued to customers when they initia</w:t>
      </w:r>
      <w:r>
        <w:rPr>
          <w:rFonts w:ascii="Times New Roman" w:eastAsia="宋体" w:hAnsi="Times New Roman"/>
          <w:color w:val="000000"/>
          <w:sz w:val="20"/>
          <w:szCs w:val="20"/>
        </w:rPr>
        <w:t>lly load them with an account balance. They can be obtained in our company-operated and most licensed stores in North America, China, Japan and many of our markets in our International segment. Stored value cards can also be obtained online, via the Starbu</w:t>
      </w:r>
      <w:r>
        <w:rPr>
          <w:rFonts w:ascii="Times New Roman" w:eastAsia="宋体" w:hAnsi="Times New Roman"/>
          <w:color w:val="000000"/>
          <w:sz w:val="20"/>
          <w:szCs w:val="20"/>
        </w:rPr>
        <w:t>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Mobile App and through other U.S. and international retailers. Customers may access their card balances by utilizing their stored value card or the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Mobile App in participating stores. Using the Mobile Order and Pay functionality of the Star</w:t>
      </w:r>
      <w:r>
        <w:rPr>
          <w:rFonts w:ascii="Times New Roman" w:eastAsia="宋体" w:hAnsi="Times New Roman"/>
          <w:color w:val="000000"/>
          <w:sz w:val="20"/>
          <w:szCs w:val="20"/>
        </w:rPr>
        <w:t>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Mobile App, customers can also place orders in advance for pick-up at certain participating locations in several markets. In nearly all markets, including the U.S. and Canada, customers who register their Starbucks Cards are automatically enrolled i</w:t>
      </w:r>
      <w:r>
        <w:rPr>
          <w:rFonts w:ascii="Times New Roman" w:eastAsia="宋体" w:hAnsi="Times New Roman"/>
          <w:color w:val="000000"/>
          <w:sz w:val="20"/>
          <w:szCs w:val="20"/>
        </w:rPr>
        <w:t>n the Starbucks Rewards program. Registered members can receive various benefits depending on factors such as the number of reward points (“Stars”) earned. Beginning in the fourth quarter of fiscal 2020, in addition to using their Starbucks Cards, Starbuck</w:t>
      </w:r>
      <w:r>
        <w:rPr>
          <w:rFonts w:ascii="Times New Roman" w:eastAsia="宋体" w:hAnsi="Times New Roman"/>
          <w:color w:val="000000"/>
          <w:sz w:val="20"/>
          <w:szCs w:val="20"/>
        </w:rPr>
        <w:t>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Rewards members can earn Stars by paying with cash, credit or debit cards, or selected mobile wallets at company-operated stores in the U.S. and Canada. Refer to </w:t>
      </w:r>
      <w:hyperlink r:id="rId63" w:anchor="i54ccc64cb5384be5a4849ef1cdef4dde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included in Item 8 of Part II of this 10-K, for further discussion of our stored value cards and loyalty program.</w:t>
      </w:r>
    </w:p>
    <w:p w14:paraId="00BACAAE" w14:textId="77777777" w:rsidR="00871BDF" w:rsidRDefault="005C5088">
      <w:pPr>
        <w:spacing w:before="120"/>
      </w:pPr>
      <w:r>
        <w:rPr>
          <w:rFonts w:ascii="Times New Roman" w:eastAsia="宋体" w:hAnsi="Times New Roman"/>
          <w:b/>
          <w:bCs/>
          <w:color w:val="000000"/>
          <w:sz w:val="20"/>
          <w:szCs w:val="20"/>
        </w:rPr>
        <w:t>Licensed Stores</w:t>
      </w:r>
    </w:p>
    <w:p w14:paraId="00BACAAF" w14:textId="77777777" w:rsidR="00871BDF" w:rsidRDefault="005C5088">
      <w:pPr>
        <w:spacing w:before="120"/>
      </w:pPr>
      <w:r>
        <w:rPr>
          <w:rFonts w:ascii="Times New Roman" w:eastAsia="宋体" w:hAnsi="Times New Roman"/>
          <w:color w:val="000000"/>
          <w:sz w:val="20"/>
          <w:szCs w:val="20"/>
        </w:rPr>
        <w:t xml:space="preserve">Revenues from our licensed stores accounted for 10% of total net revenues in fiscal 2020. Licensed stores generally have a lower gross margin and a higher operating margin than company-operated stores. Under the licensed model, Starbucks receives a margin </w:t>
      </w:r>
      <w:r>
        <w:rPr>
          <w:rFonts w:ascii="Times New Roman" w:eastAsia="宋体" w:hAnsi="Times New Roman"/>
          <w:color w:val="000000"/>
          <w:sz w:val="20"/>
          <w:szCs w:val="20"/>
        </w:rPr>
        <w:t>on branded products and supplies sold to the licensed store operator along with a royalty on retail sales. Licensees are responsible for operating costs and capital investments which more than offset the lower revenues we receive under the licensed store m</w:t>
      </w:r>
      <w:r>
        <w:rPr>
          <w:rFonts w:ascii="Times New Roman" w:eastAsia="宋体" w:hAnsi="Times New Roman"/>
          <w:color w:val="000000"/>
          <w:sz w:val="20"/>
          <w:szCs w:val="20"/>
        </w:rPr>
        <w:t>odel.</w:t>
      </w:r>
    </w:p>
    <w:p w14:paraId="00BACAB0" w14:textId="77777777" w:rsidR="00871BDF" w:rsidRDefault="005C5088">
      <w:pPr>
        <w:spacing w:before="120"/>
      </w:pPr>
      <w:r>
        <w:rPr>
          <w:rFonts w:ascii="Times New Roman" w:eastAsia="宋体" w:hAnsi="Times New Roman"/>
          <w:color w:val="000000"/>
          <w:sz w:val="20"/>
          <w:szCs w:val="20"/>
        </w:rPr>
        <w:t>In our licensed store operations, we leverage the expertise of our local partners and share our operating and store development experience. Licensees provide improved, and at times the only, access to desirable retail space. Most licensees are promin</w:t>
      </w:r>
      <w:r>
        <w:rPr>
          <w:rFonts w:ascii="Times New Roman" w:eastAsia="宋体" w:hAnsi="Times New Roman"/>
          <w:color w:val="000000"/>
          <w:sz w:val="20"/>
          <w:szCs w:val="20"/>
        </w:rPr>
        <w:t>ent retailers with in-depth market knowledge and access. As part of these arrangements, we sell coffee, tea, food and related products to licensees for resale to customers and receive royalties and license fees from the licensees. We also sell certain equi</w:t>
      </w:r>
      <w:r>
        <w:rPr>
          <w:rFonts w:ascii="Times New Roman" w:eastAsia="宋体" w:hAnsi="Times New Roman"/>
          <w:color w:val="000000"/>
          <w:sz w:val="20"/>
          <w:szCs w:val="20"/>
        </w:rPr>
        <w:t>pment, such as coffee brewers and espresso machines, to our licensees for use in their operations. Employees working in licensed retail locations are required to follow our detailed store operating procedures and attend training classes similar to those gi</w:t>
      </w:r>
      <w:r>
        <w:rPr>
          <w:rFonts w:ascii="Times New Roman" w:eastAsia="宋体" w:hAnsi="Times New Roman"/>
          <w:color w:val="000000"/>
          <w:sz w:val="20"/>
          <w:szCs w:val="20"/>
        </w:rPr>
        <w:t>ven to employees in company-operated stores. In a limited number of international markets, we also use traditional franchising and include these stores in the results of operations from our other licensed stores.</w:t>
      </w:r>
    </w:p>
    <w:p w14:paraId="00BACAB1" w14:textId="77777777" w:rsidR="00871BDF" w:rsidRDefault="005C5088">
      <w:pPr>
        <w:jc w:val="center"/>
      </w:pPr>
      <w:r>
        <w:rPr>
          <w:rFonts w:ascii="Times New Roman" w:eastAsia="宋体" w:hAnsi="Times New Roman"/>
          <w:color w:val="000000"/>
          <w:sz w:val="20"/>
          <w:szCs w:val="20"/>
        </w:rPr>
        <w:t>4</w:t>
      </w:r>
    </w:p>
    <w:p w14:paraId="00BACAB2" w14:textId="77777777" w:rsidR="00871BDF" w:rsidRDefault="005C5088">
      <w:r>
        <w:pict w14:anchorId="00BB1467">
          <v:rect id="_x0000_i1031" style="width:415.3pt;height:1.5pt" o:hralign="center" o:hrstd="t" o:hr="t" fillcolor="#a0a0a0" stroked="f"/>
        </w:pict>
      </w:r>
    </w:p>
    <w:p w14:paraId="00BACAB3" w14:textId="77777777" w:rsidR="00871BDF" w:rsidRDefault="005C5088">
      <w:hyperlink r:id="rId64" w:anchor="i54ccc64cb5384be5a4849ef1cdef4dde_7" w:history="1">
        <w:r>
          <w:rPr>
            <w:rStyle w:val="a5"/>
            <w:rFonts w:ascii="Times New Roman" w:eastAsia="宋体" w:hAnsi="Times New Roman"/>
            <w:sz w:val="20"/>
            <w:szCs w:val="20"/>
          </w:rPr>
          <w:t>Table of Contents</w:t>
        </w:r>
      </w:hyperlink>
    </w:p>
    <w:p w14:paraId="00BACAB4" w14:textId="77777777" w:rsidR="00871BDF" w:rsidRDefault="005C5088">
      <w:pPr>
        <w:spacing w:before="120"/>
      </w:pPr>
      <w:r>
        <w:rPr>
          <w:rFonts w:ascii="Times New Roman" w:eastAsia="宋体" w:hAnsi="Times New Roman"/>
          <w:color w:val="000000"/>
          <w:sz w:val="20"/>
          <w:szCs w:val="20"/>
        </w:rPr>
        <w:t>Licensed store data for the year-ended September 27, 2020:</w:t>
      </w:r>
    </w:p>
    <w:tbl>
      <w:tblPr>
        <w:tblW w:w="4978" w:type="pct"/>
        <w:tblCellMar>
          <w:top w:w="15" w:type="dxa"/>
          <w:left w:w="15" w:type="dxa"/>
          <w:bottom w:w="15" w:type="dxa"/>
          <w:right w:w="15" w:type="dxa"/>
        </w:tblCellMar>
        <w:tblLook w:val="04A0" w:firstRow="1" w:lastRow="0" w:firstColumn="1" w:lastColumn="0" w:noHBand="0" w:noVBand="1"/>
      </w:tblPr>
      <w:tblGrid>
        <w:gridCol w:w="58"/>
        <w:gridCol w:w="2030"/>
        <w:gridCol w:w="37"/>
        <w:gridCol w:w="58"/>
        <w:gridCol w:w="860"/>
        <w:gridCol w:w="36"/>
        <w:gridCol w:w="36"/>
        <w:gridCol w:w="36"/>
        <w:gridCol w:w="36"/>
        <w:gridCol w:w="49"/>
        <w:gridCol w:w="851"/>
        <w:gridCol w:w="36"/>
        <w:gridCol w:w="36"/>
        <w:gridCol w:w="36"/>
        <w:gridCol w:w="36"/>
        <w:gridCol w:w="43"/>
        <w:gridCol w:w="857"/>
        <w:gridCol w:w="36"/>
        <w:gridCol w:w="36"/>
        <w:gridCol w:w="36"/>
        <w:gridCol w:w="36"/>
        <w:gridCol w:w="61"/>
        <w:gridCol w:w="839"/>
        <w:gridCol w:w="36"/>
        <w:gridCol w:w="36"/>
        <w:gridCol w:w="36"/>
        <w:gridCol w:w="36"/>
        <w:gridCol w:w="40"/>
        <w:gridCol w:w="860"/>
        <w:gridCol w:w="36"/>
        <w:gridCol w:w="36"/>
        <w:gridCol w:w="36"/>
        <w:gridCol w:w="36"/>
        <w:gridCol w:w="54"/>
        <w:gridCol w:w="846"/>
        <w:gridCol w:w="36"/>
      </w:tblGrid>
      <w:tr w:rsidR="00871BDF" w14:paraId="00BACAD9" w14:textId="77777777">
        <w:tc>
          <w:tcPr>
            <w:tcW w:w="50" w:type="pct"/>
            <w:shd w:val="clear" w:color="auto" w:fill="auto"/>
          </w:tcPr>
          <w:p w14:paraId="00BACAB5" w14:textId="77777777" w:rsidR="00871BDF" w:rsidRDefault="00871BDF">
            <w:pPr>
              <w:rPr>
                <w:rFonts w:ascii="宋体"/>
              </w:rPr>
            </w:pPr>
          </w:p>
        </w:tc>
        <w:tc>
          <w:tcPr>
            <w:tcW w:w="1237" w:type="pct"/>
            <w:shd w:val="clear" w:color="auto" w:fill="auto"/>
          </w:tcPr>
          <w:p w14:paraId="00BACAB6" w14:textId="77777777" w:rsidR="00871BDF" w:rsidRDefault="00871BDF">
            <w:pPr>
              <w:rPr>
                <w:rFonts w:ascii="宋体"/>
              </w:rPr>
            </w:pPr>
          </w:p>
        </w:tc>
        <w:tc>
          <w:tcPr>
            <w:tcW w:w="5" w:type="pct"/>
            <w:shd w:val="clear" w:color="auto" w:fill="auto"/>
          </w:tcPr>
          <w:p w14:paraId="00BACAB7" w14:textId="77777777" w:rsidR="00871BDF" w:rsidRDefault="00871BDF">
            <w:pPr>
              <w:rPr>
                <w:rFonts w:ascii="宋体"/>
              </w:rPr>
            </w:pPr>
          </w:p>
        </w:tc>
        <w:tc>
          <w:tcPr>
            <w:tcW w:w="50" w:type="pct"/>
            <w:shd w:val="clear" w:color="auto" w:fill="auto"/>
          </w:tcPr>
          <w:p w14:paraId="00BACAB8" w14:textId="77777777" w:rsidR="00871BDF" w:rsidRDefault="00871BDF">
            <w:pPr>
              <w:rPr>
                <w:rFonts w:ascii="宋体"/>
              </w:rPr>
            </w:pPr>
          </w:p>
        </w:tc>
        <w:tc>
          <w:tcPr>
            <w:tcW w:w="532" w:type="pct"/>
            <w:shd w:val="clear" w:color="auto" w:fill="auto"/>
          </w:tcPr>
          <w:p w14:paraId="00BACAB9" w14:textId="77777777" w:rsidR="00871BDF" w:rsidRDefault="00871BDF">
            <w:pPr>
              <w:rPr>
                <w:rFonts w:ascii="宋体"/>
              </w:rPr>
            </w:pPr>
          </w:p>
        </w:tc>
        <w:tc>
          <w:tcPr>
            <w:tcW w:w="5" w:type="pct"/>
            <w:shd w:val="clear" w:color="auto" w:fill="auto"/>
          </w:tcPr>
          <w:p w14:paraId="00BACABA" w14:textId="77777777" w:rsidR="00871BDF" w:rsidRDefault="00871BDF">
            <w:pPr>
              <w:rPr>
                <w:rFonts w:ascii="宋体"/>
              </w:rPr>
            </w:pPr>
          </w:p>
        </w:tc>
        <w:tc>
          <w:tcPr>
            <w:tcW w:w="5" w:type="pct"/>
            <w:shd w:val="clear" w:color="auto" w:fill="auto"/>
          </w:tcPr>
          <w:p w14:paraId="00BACABB" w14:textId="77777777" w:rsidR="00871BDF" w:rsidRDefault="00871BDF">
            <w:pPr>
              <w:rPr>
                <w:rFonts w:ascii="宋体"/>
              </w:rPr>
            </w:pPr>
          </w:p>
        </w:tc>
        <w:tc>
          <w:tcPr>
            <w:tcW w:w="26" w:type="pct"/>
            <w:shd w:val="clear" w:color="auto" w:fill="auto"/>
          </w:tcPr>
          <w:p w14:paraId="00BACABC" w14:textId="77777777" w:rsidR="00871BDF" w:rsidRDefault="00871BDF">
            <w:pPr>
              <w:rPr>
                <w:rFonts w:ascii="宋体"/>
              </w:rPr>
            </w:pPr>
          </w:p>
        </w:tc>
        <w:tc>
          <w:tcPr>
            <w:tcW w:w="5" w:type="pct"/>
            <w:shd w:val="clear" w:color="auto" w:fill="auto"/>
          </w:tcPr>
          <w:p w14:paraId="00BACABD" w14:textId="77777777" w:rsidR="00871BDF" w:rsidRDefault="00871BDF">
            <w:pPr>
              <w:rPr>
                <w:rFonts w:ascii="宋体"/>
              </w:rPr>
            </w:pPr>
          </w:p>
        </w:tc>
        <w:tc>
          <w:tcPr>
            <w:tcW w:w="50" w:type="pct"/>
            <w:shd w:val="clear" w:color="auto" w:fill="auto"/>
          </w:tcPr>
          <w:p w14:paraId="00BACABE" w14:textId="77777777" w:rsidR="00871BDF" w:rsidRDefault="00871BDF">
            <w:pPr>
              <w:rPr>
                <w:rFonts w:ascii="宋体"/>
              </w:rPr>
            </w:pPr>
          </w:p>
        </w:tc>
        <w:tc>
          <w:tcPr>
            <w:tcW w:w="532" w:type="pct"/>
            <w:shd w:val="clear" w:color="auto" w:fill="auto"/>
          </w:tcPr>
          <w:p w14:paraId="00BACABF" w14:textId="77777777" w:rsidR="00871BDF" w:rsidRDefault="00871BDF">
            <w:pPr>
              <w:rPr>
                <w:rFonts w:ascii="宋体"/>
              </w:rPr>
            </w:pPr>
          </w:p>
        </w:tc>
        <w:tc>
          <w:tcPr>
            <w:tcW w:w="5" w:type="pct"/>
            <w:shd w:val="clear" w:color="auto" w:fill="auto"/>
          </w:tcPr>
          <w:p w14:paraId="00BACAC0" w14:textId="77777777" w:rsidR="00871BDF" w:rsidRDefault="00871BDF">
            <w:pPr>
              <w:rPr>
                <w:rFonts w:ascii="宋体"/>
              </w:rPr>
            </w:pPr>
          </w:p>
        </w:tc>
        <w:tc>
          <w:tcPr>
            <w:tcW w:w="5" w:type="pct"/>
            <w:shd w:val="clear" w:color="auto" w:fill="auto"/>
          </w:tcPr>
          <w:p w14:paraId="00BACAC1" w14:textId="77777777" w:rsidR="00871BDF" w:rsidRDefault="00871BDF">
            <w:pPr>
              <w:rPr>
                <w:rFonts w:ascii="宋体"/>
              </w:rPr>
            </w:pPr>
          </w:p>
        </w:tc>
        <w:tc>
          <w:tcPr>
            <w:tcW w:w="26" w:type="pct"/>
            <w:shd w:val="clear" w:color="auto" w:fill="auto"/>
          </w:tcPr>
          <w:p w14:paraId="00BACAC2" w14:textId="77777777" w:rsidR="00871BDF" w:rsidRDefault="00871BDF">
            <w:pPr>
              <w:rPr>
                <w:rFonts w:ascii="宋体"/>
              </w:rPr>
            </w:pPr>
          </w:p>
        </w:tc>
        <w:tc>
          <w:tcPr>
            <w:tcW w:w="5" w:type="pct"/>
            <w:shd w:val="clear" w:color="auto" w:fill="auto"/>
          </w:tcPr>
          <w:p w14:paraId="00BACAC3" w14:textId="77777777" w:rsidR="00871BDF" w:rsidRDefault="00871BDF">
            <w:pPr>
              <w:rPr>
                <w:rFonts w:ascii="宋体"/>
              </w:rPr>
            </w:pPr>
          </w:p>
        </w:tc>
        <w:tc>
          <w:tcPr>
            <w:tcW w:w="50" w:type="pct"/>
            <w:shd w:val="clear" w:color="auto" w:fill="auto"/>
          </w:tcPr>
          <w:p w14:paraId="00BACAC4" w14:textId="77777777" w:rsidR="00871BDF" w:rsidRDefault="00871BDF">
            <w:pPr>
              <w:rPr>
                <w:rFonts w:ascii="宋体"/>
              </w:rPr>
            </w:pPr>
          </w:p>
        </w:tc>
        <w:tc>
          <w:tcPr>
            <w:tcW w:w="532" w:type="pct"/>
            <w:shd w:val="clear" w:color="auto" w:fill="auto"/>
          </w:tcPr>
          <w:p w14:paraId="00BACAC5" w14:textId="77777777" w:rsidR="00871BDF" w:rsidRDefault="00871BDF">
            <w:pPr>
              <w:rPr>
                <w:rFonts w:ascii="宋体"/>
              </w:rPr>
            </w:pPr>
          </w:p>
        </w:tc>
        <w:tc>
          <w:tcPr>
            <w:tcW w:w="5" w:type="pct"/>
            <w:shd w:val="clear" w:color="auto" w:fill="auto"/>
          </w:tcPr>
          <w:p w14:paraId="00BACAC6" w14:textId="77777777" w:rsidR="00871BDF" w:rsidRDefault="00871BDF">
            <w:pPr>
              <w:rPr>
                <w:rFonts w:ascii="宋体"/>
              </w:rPr>
            </w:pPr>
          </w:p>
        </w:tc>
        <w:tc>
          <w:tcPr>
            <w:tcW w:w="5" w:type="pct"/>
            <w:shd w:val="clear" w:color="auto" w:fill="auto"/>
          </w:tcPr>
          <w:p w14:paraId="00BACAC7" w14:textId="77777777" w:rsidR="00871BDF" w:rsidRDefault="00871BDF">
            <w:pPr>
              <w:rPr>
                <w:rFonts w:ascii="宋体"/>
              </w:rPr>
            </w:pPr>
          </w:p>
        </w:tc>
        <w:tc>
          <w:tcPr>
            <w:tcW w:w="26" w:type="pct"/>
            <w:shd w:val="clear" w:color="auto" w:fill="auto"/>
          </w:tcPr>
          <w:p w14:paraId="00BACAC8" w14:textId="77777777" w:rsidR="00871BDF" w:rsidRDefault="00871BDF">
            <w:pPr>
              <w:rPr>
                <w:rFonts w:ascii="宋体"/>
              </w:rPr>
            </w:pPr>
          </w:p>
        </w:tc>
        <w:tc>
          <w:tcPr>
            <w:tcW w:w="5" w:type="pct"/>
            <w:shd w:val="clear" w:color="auto" w:fill="auto"/>
          </w:tcPr>
          <w:p w14:paraId="00BACAC9" w14:textId="77777777" w:rsidR="00871BDF" w:rsidRDefault="00871BDF">
            <w:pPr>
              <w:rPr>
                <w:rFonts w:ascii="宋体"/>
              </w:rPr>
            </w:pPr>
          </w:p>
        </w:tc>
        <w:tc>
          <w:tcPr>
            <w:tcW w:w="50" w:type="pct"/>
            <w:shd w:val="clear" w:color="auto" w:fill="auto"/>
          </w:tcPr>
          <w:p w14:paraId="00BACACA" w14:textId="77777777" w:rsidR="00871BDF" w:rsidRDefault="00871BDF">
            <w:pPr>
              <w:rPr>
                <w:rFonts w:ascii="宋体"/>
              </w:rPr>
            </w:pPr>
          </w:p>
        </w:tc>
        <w:tc>
          <w:tcPr>
            <w:tcW w:w="532" w:type="pct"/>
            <w:shd w:val="clear" w:color="auto" w:fill="auto"/>
          </w:tcPr>
          <w:p w14:paraId="00BACACB" w14:textId="77777777" w:rsidR="00871BDF" w:rsidRDefault="00871BDF">
            <w:pPr>
              <w:rPr>
                <w:rFonts w:ascii="宋体"/>
              </w:rPr>
            </w:pPr>
          </w:p>
        </w:tc>
        <w:tc>
          <w:tcPr>
            <w:tcW w:w="5" w:type="pct"/>
            <w:shd w:val="clear" w:color="auto" w:fill="auto"/>
          </w:tcPr>
          <w:p w14:paraId="00BACACC" w14:textId="77777777" w:rsidR="00871BDF" w:rsidRDefault="00871BDF">
            <w:pPr>
              <w:rPr>
                <w:rFonts w:ascii="宋体"/>
              </w:rPr>
            </w:pPr>
          </w:p>
        </w:tc>
        <w:tc>
          <w:tcPr>
            <w:tcW w:w="5" w:type="pct"/>
            <w:shd w:val="clear" w:color="auto" w:fill="auto"/>
          </w:tcPr>
          <w:p w14:paraId="00BACACD" w14:textId="77777777" w:rsidR="00871BDF" w:rsidRDefault="00871BDF">
            <w:pPr>
              <w:rPr>
                <w:rFonts w:ascii="宋体"/>
              </w:rPr>
            </w:pPr>
          </w:p>
        </w:tc>
        <w:tc>
          <w:tcPr>
            <w:tcW w:w="26" w:type="pct"/>
            <w:shd w:val="clear" w:color="auto" w:fill="auto"/>
          </w:tcPr>
          <w:p w14:paraId="00BACACE" w14:textId="77777777" w:rsidR="00871BDF" w:rsidRDefault="00871BDF">
            <w:pPr>
              <w:rPr>
                <w:rFonts w:ascii="宋体"/>
              </w:rPr>
            </w:pPr>
          </w:p>
        </w:tc>
        <w:tc>
          <w:tcPr>
            <w:tcW w:w="5" w:type="pct"/>
            <w:shd w:val="clear" w:color="auto" w:fill="auto"/>
          </w:tcPr>
          <w:p w14:paraId="00BACACF" w14:textId="77777777" w:rsidR="00871BDF" w:rsidRDefault="00871BDF">
            <w:pPr>
              <w:rPr>
                <w:rFonts w:ascii="宋体"/>
              </w:rPr>
            </w:pPr>
          </w:p>
        </w:tc>
        <w:tc>
          <w:tcPr>
            <w:tcW w:w="50" w:type="pct"/>
            <w:shd w:val="clear" w:color="auto" w:fill="auto"/>
          </w:tcPr>
          <w:p w14:paraId="00BACAD0" w14:textId="77777777" w:rsidR="00871BDF" w:rsidRDefault="00871BDF">
            <w:pPr>
              <w:rPr>
                <w:rFonts w:ascii="宋体"/>
              </w:rPr>
            </w:pPr>
          </w:p>
        </w:tc>
        <w:tc>
          <w:tcPr>
            <w:tcW w:w="532" w:type="pct"/>
            <w:shd w:val="clear" w:color="auto" w:fill="auto"/>
          </w:tcPr>
          <w:p w14:paraId="00BACAD1" w14:textId="77777777" w:rsidR="00871BDF" w:rsidRDefault="00871BDF">
            <w:pPr>
              <w:rPr>
                <w:rFonts w:ascii="宋体"/>
              </w:rPr>
            </w:pPr>
          </w:p>
        </w:tc>
        <w:tc>
          <w:tcPr>
            <w:tcW w:w="5" w:type="pct"/>
            <w:shd w:val="clear" w:color="auto" w:fill="auto"/>
          </w:tcPr>
          <w:p w14:paraId="00BACAD2" w14:textId="77777777" w:rsidR="00871BDF" w:rsidRDefault="00871BDF">
            <w:pPr>
              <w:rPr>
                <w:rFonts w:ascii="宋体"/>
              </w:rPr>
            </w:pPr>
          </w:p>
        </w:tc>
        <w:tc>
          <w:tcPr>
            <w:tcW w:w="5" w:type="pct"/>
            <w:shd w:val="clear" w:color="auto" w:fill="auto"/>
          </w:tcPr>
          <w:p w14:paraId="00BACAD3" w14:textId="77777777" w:rsidR="00871BDF" w:rsidRDefault="00871BDF">
            <w:pPr>
              <w:rPr>
                <w:rFonts w:ascii="宋体"/>
              </w:rPr>
            </w:pPr>
          </w:p>
        </w:tc>
        <w:tc>
          <w:tcPr>
            <w:tcW w:w="26" w:type="pct"/>
            <w:shd w:val="clear" w:color="auto" w:fill="auto"/>
          </w:tcPr>
          <w:p w14:paraId="00BACAD4" w14:textId="77777777" w:rsidR="00871BDF" w:rsidRDefault="00871BDF">
            <w:pPr>
              <w:rPr>
                <w:rFonts w:ascii="宋体"/>
              </w:rPr>
            </w:pPr>
          </w:p>
        </w:tc>
        <w:tc>
          <w:tcPr>
            <w:tcW w:w="5" w:type="pct"/>
            <w:shd w:val="clear" w:color="auto" w:fill="auto"/>
          </w:tcPr>
          <w:p w14:paraId="00BACAD5" w14:textId="77777777" w:rsidR="00871BDF" w:rsidRDefault="00871BDF">
            <w:pPr>
              <w:rPr>
                <w:rFonts w:ascii="宋体"/>
              </w:rPr>
            </w:pPr>
          </w:p>
        </w:tc>
        <w:tc>
          <w:tcPr>
            <w:tcW w:w="50" w:type="pct"/>
            <w:shd w:val="clear" w:color="auto" w:fill="auto"/>
          </w:tcPr>
          <w:p w14:paraId="00BACAD6" w14:textId="77777777" w:rsidR="00871BDF" w:rsidRDefault="00871BDF">
            <w:pPr>
              <w:rPr>
                <w:rFonts w:ascii="宋体"/>
              </w:rPr>
            </w:pPr>
          </w:p>
        </w:tc>
        <w:tc>
          <w:tcPr>
            <w:tcW w:w="532" w:type="pct"/>
            <w:shd w:val="clear" w:color="auto" w:fill="auto"/>
          </w:tcPr>
          <w:p w14:paraId="00BACAD7" w14:textId="77777777" w:rsidR="00871BDF" w:rsidRDefault="00871BDF">
            <w:pPr>
              <w:rPr>
                <w:rFonts w:ascii="宋体"/>
              </w:rPr>
            </w:pPr>
          </w:p>
        </w:tc>
        <w:tc>
          <w:tcPr>
            <w:tcW w:w="5" w:type="pct"/>
            <w:shd w:val="clear" w:color="auto" w:fill="auto"/>
          </w:tcPr>
          <w:p w14:paraId="00BACAD8" w14:textId="77777777" w:rsidR="00871BDF" w:rsidRDefault="00871BDF">
            <w:pPr>
              <w:rPr>
                <w:rFonts w:ascii="宋体"/>
              </w:rPr>
            </w:pPr>
          </w:p>
        </w:tc>
      </w:tr>
      <w:tr w:rsidR="00871BDF" w14:paraId="00BACAE8" w14:textId="77777777">
        <w:tc>
          <w:tcPr>
            <w:tcW w:w="0" w:type="auto"/>
            <w:gridSpan w:val="3"/>
            <w:shd w:val="clear" w:color="auto" w:fill="auto"/>
            <w:tcMar>
              <w:top w:w="40" w:type="dxa"/>
              <w:left w:w="20" w:type="dxa"/>
              <w:bottom w:w="40" w:type="dxa"/>
              <w:right w:w="20" w:type="dxa"/>
            </w:tcMar>
            <w:vAlign w:val="bottom"/>
          </w:tcPr>
          <w:p w14:paraId="00BACADA"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00BACADB" w14:textId="77777777" w:rsidR="00871BDF" w:rsidRDefault="005C5088">
            <w:pPr>
              <w:jc w:val="center"/>
              <w:textAlignment w:val="bottom"/>
            </w:pPr>
            <w:r>
              <w:rPr>
                <w:rFonts w:ascii="Times New Roman" w:eastAsia="宋体" w:hAnsi="Times New Roman"/>
                <w:b/>
                <w:bCs/>
                <w:color w:val="FFFFFF"/>
                <w:sz w:val="16"/>
                <w:szCs w:val="16"/>
              </w:rPr>
              <w:t xml:space="preserve">Stores Open </w:t>
            </w:r>
          </w:p>
          <w:p w14:paraId="00BACADC" w14:textId="77777777" w:rsidR="00871BDF" w:rsidRDefault="005C5088">
            <w:pPr>
              <w:jc w:val="center"/>
              <w:textAlignment w:val="bottom"/>
            </w:pPr>
            <w:r>
              <w:rPr>
                <w:rFonts w:ascii="Times New Roman" w:eastAsia="宋体" w:hAnsi="Times New Roman"/>
                <w:b/>
                <w:bCs/>
                <w:color w:val="FFFFFF"/>
                <w:sz w:val="16"/>
                <w:szCs w:val="16"/>
              </w:rPr>
              <w:t>as of</w:t>
            </w:r>
          </w:p>
        </w:tc>
        <w:tc>
          <w:tcPr>
            <w:tcW w:w="0" w:type="auto"/>
            <w:gridSpan w:val="3"/>
            <w:shd w:val="clear" w:color="auto" w:fill="auto"/>
            <w:tcMar>
              <w:top w:w="0" w:type="dxa"/>
              <w:left w:w="20" w:type="dxa"/>
              <w:bottom w:w="0" w:type="dxa"/>
              <w:right w:w="20" w:type="dxa"/>
            </w:tcMar>
          </w:tcPr>
          <w:p w14:paraId="00BACADD"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ADE"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ADF"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AE0"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AE1"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AE2"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AE3"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AE4"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CAE5"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AE6" w14:textId="77777777" w:rsidR="00871BDF" w:rsidRDefault="005C5088">
            <w:pPr>
              <w:jc w:val="center"/>
              <w:textAlignment w:val="bottom"/>
            </w:pPr>
            <w:r>
              <w:rPr>
                <w:rFonts w:ascii="Times New Roman" w:eastAsia="宋体" w:hAnsi="Times New Roman"/>
                <w:b/>
                <w:bCs/>
                <w:color w:val="FFFFFF"/>
                <w:sz w:val="16"/>
                <w:szCs w:val="16"/>
              </w:rPr>
              <w:t xml:space="preserve">Stores Open </w:t>
            </w:r>
          </w:p>
          <w:p w14:paraId="00BACAE7" w14:textId="77777777" w:rsidR="00871BDF" w:rsidRDefault="005C5088">
            <w:pPr>
              <w:jc w:val="center"/>
              <w:textAlignment w:val="bottom"/>
            </w:pPr>
            <w:r>
              <w:rPr>
                <w:rFonts w:ascii="Times New Roman" w:eastAsia="宋体" w:hAnsi="Times New Roman"/>
                <w:b/>
                <w:bCs/>
                <w:color w:val="FFFFFF"/>
                <w:sz w:val="16"/>
                <w:szCs w:val="16"/>
              </w:rPr>
              <w:t>as of</w:t>
            </w:r>
          </w:p>
        </w:tc>
      </w:tr>
      <w:tr w:rsidR="00871BDF" w14:paraId="00BACAF5" w14:textId="77777777">
        <w:tc>
          <w:tcPr>
            <w:tcW w:w="0" w:type="auto"/>
            <w:gridSpan w:val="3"/>
            <w:shd w:val="clear" w:color="auto" w:fill="auto"/>
            <w:tcMar>
              <w:top w:w="40" w:type="dxa"/>
              <w:left w:w="20" w:type="dxa"/>
              <w:bottom w:w="40" w:type="dxa"/>
              <w:right w:w="20" w:type="dxa"/>
            </w:tcMar>
            <w:vAlign w:val="bottom"/>
          </w:tcPr>
          <w:p w14:paraId="00BACAE9"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tcPr>
          <w:p w14:paraId="00BACAEA" w14:textId="77777777" w:rsidR="00871BDF" w:rsidRDefault="005C5088">
            <w:pPr>
              <w:jc w:val="center"/>
              <w:textAlignment w:val="top"/>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ACAEB"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tcPr>
          <w:p w14:paraId="00BACAEC" w14:textId="77777777" w:rsidR="00871BDF" w:rsidRDefault="005C5088">
            <w:pPr>
              <w:jc w:val="center"/>
              <w:textAlignment w:val="top"/>
            </w:pPr>
            <w:r>
              <w:rPr>
                <w:rFonts w:ascii="Times New Roman" w:eastAsia="宋体" w:hAnsi="Times New Roman"/>
                <w:b/>
                <w:bCs/>
                <w:color w:val="FFFFFF"/>
                <w:sz w:val="16"/>
                <w:szCs w:val="16"/>
              </w:rPr>
              <w:t>Opened</w:t>
            </w:r>
          </w:p>
        </w:tc>
        <w:tc>
          <w:tcPr>
            <w:tcW w:w="0" w:type="auto"/>
            <w:gridSpan w:val="3"/>
            <w:shd w:val="clear" w:color="auto" w:fill="auto"/>
            <w:tcMar>
              <w:top w:w="0" w:type="dxa"/>
              <w:left w:w="20" w:type="dxa"/>
              <w:bottom w:w="0" w:type="dxa"/>
              <w:right w:w="20" w:type="dxa"/>
            </w:tcMar>
          </w:tcPr>
          <w:p w14:paraId="00BACAED"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tcPr>
          <w:p w14:paraId="00BACAEE" w14:textId="77777777" w:rsidR="00871BDF" w:rsidRDefault="005C5088">
            <w:pPr>
              <w:jc w:val="center"/>
              <w:textAlignment w:val="top"/>
            </w:pPr>
            <w:r>
              <w:rPr>
                <w:rFonts w:ascii="Times New Roman" w:eastAsia="宋体" w:hAnsi="Times New Roman"/>
                <w:b/>
                <w:bCs/>
                <w:color w:val="FFFFFF"/>
                <w:sz w:val="16"/>
                <w:szCs w:val="16"/>
              </w:rPr>
              <w:t>Closed</w:t>
            </w:r>
          </w:p>
        </w:tc>
        <w:tc>
          <w:tcPr>
            <w:tcW w:w="0" w:type="auto"/>
            <w:gridSpan w:val="3"/>
            <w:shd w:val="clear" w:color="auto" w:fill="auto"/>
            <w:tcMar>
              <w:top w:w="0" w:type="dxa"/>
              <w:left w:w="20" w:type="dxa"/>
              <w:bottom w:w="0" w:type="dxa"/>
              <w:right w:w="20" w:type="dxa"/>
            </w:tcMar>
          </w:tcPr>
          <w:p w14:paraId="00BACAEF"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tcPr>
          <w:p w14:paraId="00BACAF0" w14:textId="77777777" w:rsidR="00871BDF" w:rsidRDefault="005C5088">
            <w:pPr>
              <w:jc w:val="center"/>
              <w:textAlignment w:val="top"/>
            </w:pPr>
            <w:r>
              <w:rPr>
                <w:rFonts w:ascii="Times New Roman" w:eastAsia="宋体" w:hAnsi="Times New Roman"/>
                <w:b/>
                <w:bCs/>
                <w:color w:val="FFFFFF"/>
                <w:sz w:val="16"/>
                <w:szCs w:val="16"/>
              </w:rPr>
              <w:t>Transfers</w:t>
            </w:r>
          </w:p>
        </w:tc>
        <w:tc>
          <w:tcPr>
            <w:tcW w:w="0" w:type="auto"/>
            <w:gridSpan w:val="3"/>
            <w:shd w:val="clear" w:color="auto" w:fill="auto"/>
            <w:tcMar>
              <w:top w:w="0" w:type="dxa"/>
              <w:left w:w="20" w:type="dxa"/>
              <w:bottom w:w="0" w:type="dxa"/>
              <w:right w:w="20" w:type="dxa"/>
            </w:tcMar>
          </w:tcPr>
          <w:p w14:paraId="00BACAF1"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tcPr>
          <w:p w14:paraId="00BACAF2" w14:textId="77777777" w:rsidR="00871BDF" w:rsidRDefault="005C5088">
            <w:pPr>
              <w:jc w:val="center"/>
              <w:textAlignment w:val="top"/>
            </w:pPr>
            <w:r>
              <w:rPr>
                <w:rFonts w:ascii="Times New Roman" w:eastAsia="宋体" w:hAnsi="Times New Roman"/>
                <w:b/>
                <w:bCs/>
                <w:color w:val="FFFFFF"/>
                <w:sz w:val="16"/>
                <w:szCs w:val="16"/>
              </w:rPr>
              <w:t>Net</w:t>
            </w:r>
          </w:p>
        </w:tc>
        <w:tc>
          <w:tcPr>
            <w:tcW w:w="0" w:type="auto"/>
            <w:gridSpan w:val="3"/>
            <w:shd w:val="clear" w:color="auto" w:fill="auto"/>
            <w:tcMar>
              <w:top w:w="0" w:type="dxa"/>
              <w:left w:w="20" w:type="dxa"/>
              <w:bottom w:w="0" w:type="dxa"/>
              <w:right w:w="20" w:type="dxa"/>
            </w:tcMar>
          </w:tcPr>
          <w:p w14:paraId="00BACAF3"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tcPr>
          <w:p w14:paraId="00BACAF4" w14:textId="77777777" w:rsidR="00871BDF" w:rsidRDefault="005C5088">
            <w:pPr>
              <w:jc w:val="center"/>
              <w:textAlignment w:val="top"/>
            </w:pPr>
            <w:r>
              <w:rPr>
                <w:rFonts w:ascii="Times New Roman" w:eastAsia="宋体" w:hAnsi="Times New Roman"/>
                <w:b/>
                <w:bCs/>
                <w:color w:val="FFFFFF"/>
                <w:sz w:val="16"/>
                <w:szCs w:val="16"/>
              </w:rPr>
              <w:t xml:space="preserve">Sep 27, </w:t>
            </w:r>
            <w:r>
              <w:rPr>
                <w:rFonts w:ascii="Times New Roman" w:eastAsia="宋体" w:hAnsi="Times New Roman"/>
                <w:b/>
                <w:bCs/>
                <w:color w:val="FFFFFF"/>
                <w:sz w:val="16"/>
                <w:szCs w:val="16"/>
              </w:rPr>
              <w:t>2020</w:t>
            </w:r>
          </w:p>
        </w:tc>
      </w:tr>
      <w:tr w:rsidR="00871BDF" w14:paraId="00BACB02" w14:textId="77777777">
        <w:tc>
          <w:tcPr>
            <w:tcW w:w="0" w:type="auto"/>
            <w:gridSpan w:val="3"/>
            <w:shd w:val="clear" w:color="auto" w:fill="D7E4BC"/>
            <w:tcMar>
              <w:top w:w="40" w:type="dxa"/>
              <w:left w:w="20" w:type="dxa"/>
              <w:bottom w:w="40" w:type="dxa"/>
              <w:right w:w="20" w:type="dxa"/>
            </w:tcMar>
            <w:vAlign w:val="bottom"/>
          </w:tcPr>
          <w:p w14:paraId="00BACAF6" w14:textId="77777777" w:rsidR="00871BDF" w:rsidRDefault="005C5088">
            <w:pPr>
              <w:textAlignment w:val="bottom"/>
            </w:pPr>
            <w:r>
              <w:rPr>
                <w:rFonts w:ascii="Times New Roman" w:eastAsia="宋体" w:hAnsi="Times New Roman"/>
                <w:color w:val="000000"/>
                <w:sz w:val="20"/>
                <w:szCs w:val="20"/>
              </w:rPr>
              <w:t>Americas:</w:t>
            </w:r>
          </w:p>
        </w:tc>
        <w:tc>
          <w:tcPr>
            <w:tcW w:w="0" w:type="auto"/>
            <w:gridSpan w:val="3"/>
            <w:tcBorders>
              <w:top w:val="single" w:sz="8" w:space="0" w:color="000000"/>
            </w:tcBorders>
            <w:shd w:val="clear" w:color="auto" w:fill="D7E4BC"/>
            <w:tcMar>
              <w:top w:w="0" w:type="dxa"/>
              <w:left w:w="20" w:type="dxa"/>
              <w:bottom w:w="0" w:type="dxa"/>
              <w:right w:w="20" w:type="dxa"/>
            </w:tcMar>
          </w:tcPr>
          <w:p w14:paraId="00BACAF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AF8"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AF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AFA"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AF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AFC"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AF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AFE"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AF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B00"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B01" w14:textId="77777777" w:rsidR="00871BDF" w:rsidRDefault="00871BDF">
            <w:pPr>
              <w:rPr>
                <w:rFonts w:ascii="宋体"/>
              </w:rPr>
            </w:pPr>
          </w:p>
        </w:tc>
      </w:tr>
      <w:tr w:rsidR="00871BDF" w14:paraId="00BACB15" w14:textId="77777777">
        <w:tc>
          <w:tcPr>
            <w:tcW w:w="0" w:type="auto"/>
            <w:gridSpan w:val="3"/>
            <w:shd w:val="clear" w:color="auto" w:fill="FFFFFF"/>
            <w:tcMar>
              <w:top w:w="40" w:type="dxa"/>
              <w:left w:w="155" w:type="dxa"/>
              <w:bottom w:w="40" w:type="dxa"/>
              <w:right w:w="20" w:type="dxa"/>
            </w:tcMar>
            <w:vAlign w:val="bottom"/>
          </w:tcPr>
          <w:p w14:paraId="00BACB03" w14:textId="77777777" w:rsidR="00871BDF" w:rsidRDefault="005C5088">
            <w:pPr>
              <w:textAlignment w:val="bottom"/>
            </w:pPr>
            <w:r>
              <w:rPr>
                <w:rFonts w:ascii="Times New Roman" w:eastAsia="宋体" w:hAnsi="Times New Roman"/>
                <w:color w:val="000000"/>
                <w:sz w:val="20"/>
                <w:szCs w:val="20"/>
              </w:rPr>
              <w:t>U.S.</w:t>
            </w:r>
          </w:p>
        </w:tc>
        <w:tc>
          <w:tcPr>
            <w:tcW w:w="0" w:type="auto"/>
            <w:gridSpan w:val="2"/>
            <w:shd w:val="clear" w:color="auto" w:fill="FFFFFF"/>
            <w:tcMar>
              <w:top w:w="40" w:type="dxa"/>
              <w:left w:w="20" w:type="dxa"/>
              <w:bottom w:w="40" w:type="dxa"/>
              <w:right w:w="0" w:type="dxa"/>
            </w:tcMar>
            <w:vAlign w:val="bottom"/>
          </w:tcPr>
          <w:p w14:paraId="00BACB04" w14:textId="77777777" w:rsidR="00871BDF" w:rsidRDefault="005C5088">
            <w:pPr>
              <w:jc w:val="right"/>
              <w:textAlignment w:val="bottom"/>
            </w:pPr>
            <w:r>
              <w:rPr>
                <w:rFonts w:ascii="Times New Roman" w:eastAsia="宋体" w:hAnsi="Times New Roman"/>
                <w:color w:val="000000"/>
                <w:sz w:val="20"/>
                <w:szCs w:val="20"/>
              </w:rPr>
              <w:t>6,250 </w:t>
            </w:r>
          </w:p>
        </w:tc>
        <w:tc>
          <w:tcPr>
            <w:tcW w:w="0" w:type="auto"/>
            <w:shd w:val="clear" w:color="auto" w:fill="FFFFFF"/>
            <w:tcMar>
              <w:top w:w="40" w:type="dxa"/>
              <w:left w:w="0" w:type="dxa"/>
              <w:bottom w:w="40" w:type="dxa"/>
              <w:right w:w="20" w:type="dxa"/>
            </w:tcMar>
            <w:vAlign w:val="bottom"/>
          </w:tcPr>
          <w:p w14:paraId="00BACB0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0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07" w14:textId="77777777" w:rsidR="00871BDF" w:rsidRDefault="005C5088">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left w:w="0" w:type="dxa"/>
              <w:bottom w:w="40" w:type="dxa"/>
              <w:right w:w="20" w:type="dxa"/>
            </w:tcMar>
            <w:vAlign w:val="bottom"/>
          </w:tcPr>
          <w:p w14:paraId="00BACB0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0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0A" w14:textId="77777777" w:rsidR="00871BDF" w:rsidRDefault="005C5088">
            <w:pPr>
              <w:jc w:val="right"/>
              <w:textAlignment w:val="bottom"/>
            </w:pPr>
            <w:r>
              <w:rPr>
                <w:rFonts w:ascii="Times New Roman" w:eastAsia="宋体" w:hAnsi="Times New Roman"/>
                <w:color w:val="000000"/>
                <w:sz w:val="20"/>
                <w:szCs w:val="20"/>
              </w:rPr>
              <w:t>(73)</w:t>
            </w:r>
          </w:p>
        </w:tc>
        <w:tc>
          <w:tcPr>
            <w:tcW w:w="0" w:type="auto"/>
            <w:shd w:val="clear" w:color="auto" w:fill="FFFFFF"/>
            <w:tcMar>
              <w:top w:w="40" w:type="dxa"/>
              <w:left w:w="0" w:type="dxa"/>
              <w:bottom w:w="40" w:type="dxa"/>
              <w:right w:w="20" w:type="dxa"/>
            </w:tcMar>
            <w:vAlign w:val="bottom"/>
          </w:tcPr>
          <w:p w14:paraId="00BACB0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0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0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CB0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0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10" w14:textId="77777777" w:rsidR="00871BDF" w:rsidRDefault="005C5088">
            <w:pPr>
              <w:jc w:val="right"/>
              <w:textAlignment w:val="bottom"/>
            </w:pPr>
            <w:r>
              <w:rPr>
                <w:rFonts w:ascii="Times New Roman" w:eastAsia="宋体" w:hAnsi="Times New Roman"/>
                <w:color w:val="000000"/>
                <w:sz w:val="20"/>
                <w:szCs w:val="20"/>
              </w:rPr>
              <w:t>137 </w:t>
            </w:r>
          </w:p>
        </w:tc>
        <w:tc>
          <w:tcPr>
            <w:tcW w:w="0" w:type="auto"/>
            <w:shd w:val="clear" w:color="auto" w:fill="FFFFFF"/>
            <w:tcMar>
              <w:top w:w="40" w:type="dxa"/>
              <w:left w:w="0" w:type="dxa"/>
              <w:bottom w:w="40" w:type="dxa"/>
              <w:right w:w="20" w:type="dxa"/>
            </w:tcMar>
            <w:vAlign w:val="bottom"/>
          </w:tcPr>
          <w:p w14:paraId="00BACB1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1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13" w14:textId="77777777" w:rsidR="00871BDF" w:rsidRDefault="005C5088">
            <w:pPr>
              <w:jc w:val="right"/>
              <w:textAlignment w:val="bottom"/>
            </w:pPr>
            <w:r>
              <w:rPr>
                <w:rFonts w:ascii="Times New Roman" w:eastAsia="宋体" w:hAnsi="Times New Roman"/>
                <w:color w:val="000000"/>
                <w:sz w:val="20"/>
                <w:szCs w:val="20"/>
              </w:rPr>
              <w:t>6,387 </w:t>
            </w:r>
          </w:p>
        </w:tc>
        <w:tc>
          <w:tcPr>
            <w:tcW w:w="0" w:type="auto"/>
            <w:shd w:val="clear" w:color="auto" w:fill="FFFFFF"/>
            <w:tcMar>
              <w:top w:w="40" w:type="dxa"/>
              <w:left w:w="0" w:type="dxa"/>
              <w:bottom w:w="40" w:type="dxa"/>
              <w:right w:w="20" w:type="dxa"/>
            </w:tcMar>
            <w:vAlign w:val="bottom"/>
          </w:tcPr>
          <w:p w14:paraId="00BACB14" w14:textId="77777777" w:rsidR="00871BDF" w:rsidRDefault="00871BDF">
            <w:pPr>
              <w:jc w:val="right"/>
              <w:rPr>
                <w:rFonts w:ascii="宋体"/>
              </w:rPr>
            </w:pPr>
          </w:p>
        </w:tc>
      </w:tr>
      <w:tr w:rsidR="00871BDF" w14:paraId="00BACB28" w14:textId="77777777">
        <w:tc>
          <w:tcPr>
            <w:tcW w:w="0" w:type="auto"/>
            <w:gridSpan w:val="3"/>
            <w:shd w:val="clear" w:color="auto" w:fill="D7E4BC"/>
            <w:tcMar>
              <w:top w:w="40" w:type="dxa"/>
              <w:left w:w="155" w:type="dxa"/>
              <w:bottom w:w="40" w:type="dxa"/>
              <w:right w:w="20" w:type="dxa"/>
            </w:tcMar>
            <w:vAlign w:val="bottom"/>
          </w:tcPr>
          <w:p w14:paraId="00BACB16" w14:textId="77777777" w:rsidR="00871BDF" w:rsidRDefault="005C5088">
            <w:pPr>
              <w:textAlignment w:val="bottom"/>
            </w:pPr>
            <w:r>
              <w:rPr>
                <w:rFonts w:ascii="Times New Roman" w:eastAsia="宋体" w:hAnsi="Times New Roman"/>
                <w:color w:val="000000"/>
                <w:sz w:val="20"/>
                <w:szCs w:val="20"/>
              </w:rPr>
              <w:t>Mexico</w:t>
            </w:r>
          </w:p>
        </w:tc>
        <w:tc>
          <w:tcPr>
            <w:tcW w:w="0" w:type="auto"/>
            <w:gridSpan w:val="2"/>
            <w:shd w:val="clear" w:color="auto" w:fill="D7E4BC"/>
            <w:tcMar>
              <w:top w:w="40" w:type="dxa"/>
              <w:left w:w="20" w:type="dxa"/>
              <w:bottom w:w="40" w:type="dxa"/>
              <w:right w:w="0" w:type="dxa"/>
            </w:tcMar>
            <w:vAlign w:val="bottom"/>
          </w:tcPr>
          <w:p w14:paraId="00BACB17" w14:textId="77777777" w:rsidR="00871BDF" w:rsidRDefault="005C5088">
            <w:pPr>
              <w:jc w:val="right"/>
              <w:textAlignment w:val="bottom"/>
            </w:pPr>
            <w:r>
              <w:rPr>
                <w:rFonts w:ascii="Times New Roman" w:eastAsia="宋体" w:hAnsi="Times New Roman"/>
                <w:color w:val="000000"/>
                <w:sz w:val="20"/>
                <w:szCs w:val="20"/>
              </w:rPr>
              <w:t>748 </w:t>
            </w:r>
          </w:p>
        </w:tc>
        <w:tc>
          <w:tcPr>
            <w:tcW w:w="0" w:type="auto"/>
            <w:shd w:val="clear" w:color="auto" w:fill="D7E4BC"/>
            <w:tcMar>
              <w:top w:w="40" w:type="dxa"/>
              <w:left w:w="0" w:type="dxa"/>
              <w:bottom w:w="40" w:type="dxa"/>
              <w:right w:w="20" w:type="dxa"/>
            </w:tcMar>
            <w:vAlign w:val="bottom"/>
          </w:tcPr>
          <w:p w14:paraId="00BACB1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1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1A" w14:textId="77777777" w:rsidR="00871BDF" w:rsidRDefault="005C5088">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00BACB1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1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1D" w14:textId="77777777" w:rsidR="00871BDF" w:rsidRDefault="005C5088">
            <w:pPr>
              <w:jc w:val="right"/>
              <w:textAlignment w:val="bottom"/>
            </w:pPr>
            <w:r>
              <w:rPr>
                <w:rFonts w:ascii="Times New Roman" w:eastAsia="宋体" w:hAnsi="Times New Roman"/>
                <w:color w:val="000000"/>
                <w:sz w:val="20"/>
                <w:szCs w:val="20"/>
              </w:rPr>
              <w:t>(11)</w:t>
            </w:r>
          </w:p>
        </w:tc>
        <w:tc>
          <w:tcPr>
            <w:tcW w:w="0" w:type="auto"/>
            <w:shd w:val="clear" w:color="auto" w:fill="D7E4BC"/>
            <w:tcMar>
              <w:top w:w="40" w:type="dxa"/>
              <w:left w:w="0" w:type="dxa"/>
              <w:bottom w:w="40" w:type="dxa"/>
              <w:right w:w="20" w:type="dxa"/>
            </w:tcMar>
            <w:vAlign w:val="bottom"/>
          </w:tcPr>
          <w:p w14:paraId="00BACB1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1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20"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CB2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2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23" w14:textId="77777777" w:rsidR="00871BDF" w:rsidRDefault="005C5088">
            <w:pPr>
              <w:jc w:val="right"/>
              <w:textAlignment w:val="bottom"/>
            </w:pPr>
            <w:r>
              <w:rPr>
                <w:rFonts w:ascii="Times New Roman" w:eastAsia="宋体" w:hAnsi="Times New Roman"/>
                <w:color w:val="000000"/>
                <w:sz w:val="20"/>
                <w:szCs w:val="20"/>
              </w:rPr>
              <w:t>4 </w:t>
            </w:r>
          </w:p>
        </w:tc>
        <w:tc>
          <w:tcPr>
            <w:tcW w:w="0" w:type="auto"/>
            <w:shd w:val="clear" w:color="auto" w:fill="D7E4BC"/>
            <w:tcMar>
              <w:top w:w="40" w:type="dxa"/>
              <w:left w:w="0" w:type="dxa"/>
              <w:bottom w:w="40" w:type="dxa"/>
              <w:right w:w="20" w:type="dxa"/>
            </w:tcMar>
            <w:vAlign w:val="bottom"/>
          </w:tcPr>
          <w:p w14:paraId="00BACB2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2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26" w14:textId="77777777" w:rsidR="00871BDF" w:rsidRDefault="005C5088">
            <w:pPr>
              <w:jc w:val="right"/>
              <w:textAlignment w:val="bottom"/>
            </w:pPr>
            <w:r>
              <w:rPr>
                <w:rFonts w:ascii="Times New Roman" w:eastAsia="宋体" w:hAnsi="Times New Roman"/>
                <w:color w:val="000000"/>
                <w:sz w:val="20"/>
                <w:szCs w:val="20"/>
              </w:rPr>
              <w:t>752 </w:t>
            </w:r>
          </w:p>
        </w:tc>
        <w:tc>
          <w:tcPr>
            <w:tcW w:w="0" w:type="auto"/>
            <w:shd w:val="clear" w:color="auto" w:fill="D7E4BC"/>
            <w:tcMar>
              <w:top w:w="40" w:type="dxa"/>
              <w:left w:w="0" w:type="dxa"/>
              <w:bottom w:w="40" w:type="dxa"/>
              <w:right w:w="20" w:type="dxa"/>
            </w:tcMar>
            <w:vAlign w:val="bottom"/>
          </w:tcPr>
          <w:p w14:paraId="00BACB27" w14:textId="77777777" w:rsidR="00871BDF" w:rsidRDefault="00871BDF">
            <w:pPr>
              <w:jc w:val="right"/>
              <w:rPr>
                <w:rFonts w:ascii="宋体"/>
              </w:rPr>
            </w:pPr>
          </w:p>
        </w:tc>
      </w:tr>
      <w:tr w:rsidR="00871BDF" w14:paraId="00BACB3B" w14:textId="77777777">
        <w:tc>
          <w:tcPr>
            <w:tcW w:w="0" w:type="auto"/>
            <w:gridSpan w:val="3"/>
            <w:shd w:val="clear" w:color="auto" w:fill="FFFFFF"/>
            <w:tcMar>
              <w:top w:w="40" w:type="dxa"/>
              <w:left w:w="155" w:type="dxa"/>
              <w:bottom w:w="40" w:type="dxa"/>
              <w:right w:w="20" w:type="dxa"/>
            </w:tcMar>
            <w:vAlign w:val="bottom"/>
          </w:tcPr>
          <w:p w14:paraId="00BACB29" w14:textId="77777777" w:rsidR="00871BDF" w:rsidRDefault="005C5088">
            <w:pPr>
              <w:textAlignment w:val="bottom"/>
            </w:pPr>
            <w:r>
              <w:rPr>
                <w:rFonts w:ascii="Times New Roman" w:eastAsia="宋体" w:hAnsi="Times New Roman"/>
                <w:color w:val="000000"/>
                <w:sz w:val="20"/>
                <w:szCs w:val="20"/>
              </w:rPr>
              <w:t>Latin America</w:t>
            </w:r>
          </w:p>
        </w:tc>
        <w:tc>
          <w:tcPr>
            <w:tcW w:w="0" w:type="auto"/>
            <w:gridSpan w:val="2"/>
            <w:shd w:val="clear" w:color="auto" w:fill="FFFFFF"/>
            <w:tcMar>
              <w:top w:w="40" w:type="dxa"/>
              <w:left w:w="20" w:type="dxa"/>
              <w:bottom w:w="40" w:type="dxa"/>
              <w:right w:w="0" w:type="dxa"/>
            </w:tcMar>
            <w:vAlign w:val="bottom"/>
          </w:tcPr>
          <w:p w14:paraId="00BACB2A" w14:textId="77777777" w:rsidR="00871BDF" w:rsidRDefault="005C5088">
            <w:pPr>
              <w:jc w:val="right"/>
              <w:textAlignment w:val="bottom"/>
            </w:pPr>
            <w:r>
              <w:rPr>
                <w:rFonts w:ascii="Times New Roman" w:eastAsia="宋体" w:hAnsi="Times New Roman"/>
                <w:color w:val="000000"/>
                <w:sz w:val="20"/>
                <w:szCs w:val="20"/>
              </w:rPr>
              <w:t>663 </w:t>
            </w:r>
          </w:p>
        </w:tc>
        <w:tc>
          <w:tcPr>
            <w:tcW w:w="0" w:type="auto"/>
            <w:shd w:val="clear" w:color="auto" w:fill="FFFFFF"/>
            <w:tcMar>
              <w:top w:w="40" w:type="dxa"/>
              <w:left w:w="0" w:type="dxa"/>
              <w:bottom w:w="40" w:type="dxa"/>
              <w:right w:w="20" w:type="dxa"/>
            </w:tcMar>
            <w:vAlign w:val="bottom"/>
          </w:tcPr>
          <w:p w14:paraId="00BACB2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2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2D" w14:textId="77777777" w:rsidR="00871BDF" w:rsidRDefault="005C5088">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00BACB2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2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30" w14:textId="77777777" w:rsidR="00871BDF" w:rsidRDefault="005C5088">
            <w:pPr>
              <w:jc w:val="right"/>
              <w:textAlignment w:val="bottom"/>
            </w:pPr>
            <w:r>
              <w:rPr>
                <w:rFonts w:ascii="Times New Roman" w:eastAsia="宋体" w:hAnsi="Times New Roman"/>
                <w:color w:val="000000"/>
                <w:sz w:val="20"/>
                <w:szCs w:val="20"/>
              </w:rPr>
              <w:t>(33)</w:t>
            </w:r>
          </w:p>
        </w:tc>
        <w:tc>
          <w:tcPr>
            <w:tcW w:w="0" w:type="auto"/>
            <w:shd w:val="clear" w:color="auto" w:fill="FFFFFF"/>
            <w:tcMar>
              <w:top w:w="40" w:type="dxa"/>
              <w:left w:w="0" w:type="dxa"/>
              <w:bottom w:w="40" w:type="dxa"/>
              <w:right w:w="20" w:type="dxa"/>
            </w:tcMar>
            <w:vAlign w:val="bottom"/>
          </w:tcPr>
          <w:p w14:paraId="00BACB3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3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33"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CB3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3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36" w14:textId="77777777" w:rsidR="00871BDF" w:rsidRDefault="005C5088">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00BACB3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3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39" w14:textId="77777777" w:rsidR="00871BDF" w:rsidRDefault="005C5088">
            <w:pPr>
              <w:jc w:val="right"/>
              <w:textAlignment w:val="bottom"/>
            </w:pPr>
            <w:r>
              <w:rPr>
                <w:rFonts w:ascii="Times New Roman" w:eastAsia="宋体" w:hAnsi="Times New Roman"/>
                <w:color w:val="000000"/>
                <w:sz w:val="20"/>
                <w:szCs w:val="20"/>
              </w:rPr>
              <w:t>662 </w:t>
            </w:r>
          </w:p>
        </w:tc>
        <w:tc>
          <w:tcPr>
            <w:tcW w:w="0" w:type="auto"/>
            <w:shd w:val="clear" w:color="auto" w:fill="FFFFFF"/>
            <w:tcMar>
              <w:top w:w="40" w:type="dxa"/>
              <w:left w:w="0" w:type="dxa"/>
              <w:bottom w:w="40" w:type="dxa"/>
              <w:right w:w="20" w:type="dxa"/>
            </w:tcMar>
            <w:vAlign w:val="bottom"/>
          </w:tcPr>
          <w:p w14:paraId="00BACB3A" w14:textId="77777777" w:rsidR="00871BDF" w:rsidRDefault="00871BDF">
            <w:pPr>
              <w:jc w:val="right"/>
              <w:rPr>
                <w:rFonts w:ascii="宋体"/>
              </w:rPr>
            </w:pPr>
          </w:p>
        </w:tc>
      </w:tr>
      <w:tr w:rsidR="00871BDF" w14:paraId="00BACB4D" w14:textId="77777777">
        <w:tc>
          <w:tcPr>
            <w:tcW w:w="0" w:type="auto"/>
            <w:gridSpan w:val="3"/>
            <w:shd w:val="clear" w:color="auto" w:fill="D7E4BC"/>
            <w:tcMar>
              <w:top w:w="40" w:type="dxa"/>
              <w:left w:w="155" w:type="dxa"/>
              <w:bottom w:w="40" w:type="dxa"/>
              <w:right w:w="20" w:type="dxa"/>
            </w:tcMar>
            <w:vAlign w:val="bottom"/>
          </w:tcPr>
          <w:p w14:paraId="00BACB3C" w14:textId="77777777" w:rsidR="00871BDF" w:rsidRDefault="005C5088">
            <w:pPr>
              <w:textAlignment w:val="bottom"/>
            </w:pPr>
            <w:r>
              <w:rPr>
                <w:rFonts w:ascii="Times New Roman" w:eastAsia="宋体" w:hAnsi="Times New Roman"/>
                <w:color w:val="000000"/>
                <w:sz w:val="20"/>
                <w:szCs w:val="20"/>
              </w:rPr>
              <w:t>Canada</w:t>
            </w:r>
          </w:p>
        </w:tc>
        <w:tc>
          <w:tcPr>
            <w:tcW w:w="0" w:type="auto"/>
            <w:gridSpan w:val="2"/>
            <w:shd w:val="clear" w:color="auto" w:fill="D7E4BC"/>
            <w:tcMar>
              <w:top w:w="40" w:type="dxa"/>
              <w:left w:w="20" w:type="dxa"/>
              <w:bottom w:w="40" w:type="dxa"/>
              <w:right w:w="0" w:type="dxa"/>
            </w:tcMar>
            <w:vAlign w:val="bottom"/>
          </w:tcPr>
          <w:p w14:paraId="00BACB3D" w14:textId="77777777" w:rsidR="00871BDF" w:rsidRDefault="005C5088">
            <w:pPr>
              <w:jc w:val="right"/>
              <w:textAlignment w:val="bottom"/>
            </w:pPr>
            <w:r>
              <w:rPr>
                <w:rFonts w:ascii="Times New Roman" w:eastAsia="宋体" w:hAnsi="Times New Roman"/>
                <w:color w:val="000000"/>
                <w:sz w:val="20"/>
                <w:szCs w:val="20"/>
              </w:rPr>
              <w:t>432 </w:t>
            </w:r>
          </w:p>
        </w:tc>
        <w:tc>
          <w:tcPr>
            <w:tcW w:w="0" w:type="auto"/>
            <w:shd w:val="clear" w:color="auto" w:fill="D7E4BC"/>
            <w:tcMar>
              <w:top w:w="40" w:type="dxa"/>
              <w:left w:w="0" w:type="dxa"/>
              <w:bottom w:w="40" w:type="dxa"/>
              <w:right w:w="20" w:type="dxa"/>
            </w:tcMar>
            <w:vAlign w:val="bottom"/>
          </w:tcPr>
          <w:p w14:paraId="00BACB3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3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40" w14:textId="77777777" w:rsidR="00871BDF" w:rsidRDefault="005C5088">
            <w:pPr>
              <w:jc w:val="right"/>
              <w:textAlignment w:val="bottom"/>
            </w:pPr>
            <w:r>
              <w:rPr>
                <w:rFonts w:ascii="Times New Roman" w:eastAsia="宋体" w:hAnsi="Times New Roman"/>
                <w:color w:val="000000"/>
                <w:sz w:val="20"/>
                <w:szCs w:val="20"/>
              </w:rPr>
              <w:t>24 </w:t>
            </w:r>
          </w:p>
        </w:tc>
        <w:tc>
          <w:tcPr>
            <w:tcW w:w="0" w:type="auto"/>
            <w:shd w:val="clear" w:color="auto" w:fill="D7E4BC"/>
            <w:tcMar>
              <w:top w:w="40" w:type="dxa"/>
              <w:left w:w="0" w:type="dxa"/>
              <w:bottom w:w="40" w:type="dxa"/>
              <w:right w:w="20" w:type="dxa"/>
            </w:tcMar>
            <w:vAlign w:val="bottom"/>
          </w:tcPr>
          <w:p w14:paraId="00BACB4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4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43" w14:textId="77777777" w:rsidR="00871BDF" w:rsidRDefault="005C5088">
            <w:pPr>
              <w:jc w:val="right"/>
              <w:textAlignment w:val="bottom"/>
            </w:pPr>
            <w:r>
              <w:rPr>
                <w:rFonts w:ascii="Times New Roman" w:eastAsia="宋体" w:hAnsi="Times New Roman"/>
                <w:color w:val="000000"/>
                <w:sz w:val="20"/>
                <w:szCs w:val="20"/>
              </w:rPr>
              <w:t>(12)</w:t>
            </w:r>
          </w:p>
        </w:tc>
        <w:tc>
          <w:tcPr>
            <w:tcW w:w="0" w:type="auto"/>
            <w:shd w:val="clear" w:color="auto" w:fill="D7E4BC"/>
            <w:tcMar>
              <w:top w:w="40" w:type="dxa"/>
              <w:left w:w="0" w:type="dxa"/>
              <w:bottom w:w="40" w:type="dxa"/>
              <w:right w:w="20" w:type="dxa"/>
            </w:tcMar>
            <w:vAlign w:val="bottom"/>
          </w:tcPr>
          <w:p w14:paraId="00BACB4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4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B4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B4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48" w14:textId="77777777" w:rsidR="00871BDF" w:rsidRDefault="005C5088">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0BACB4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4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4B" w14:textId="77777777" w:rsidR="00871BDF" w:rsidRDefault="005C5088">
            <w:pPr>
              <w:jc w:val="right"/>
              <w:textAlignment w:val="bottom"/>
            </w:pPr>
            <w:r>
              <w:rPr>
                <w:rFonts w:ascii="Times New Roman" w:eastAsia="宋体" w:hAnsi="Times New Roman"/>
                <w:color w:val="000000"/>
                <w:sz w:val="20"/>
                <w:szCs w:val="20"/>
              </w:rPr>
              <w:t>444 </w:t>
            </w:r>
          </w:p>
        </w:tc>
        <w:tc>
          <w:tcPr>
            <w:tcW w:w="0" w:type="auto"/>
            <w:shd w:val="clear" w:color="auto" w:fill="D7E4BC"/>
            <w:tcMar>
              <w:top w:w="40" w:type="dxa"/>
              <w:left w:w="0" w:type="dxa"/>
              <w:bottom w:w="40" w:type="dxa"/>
              <w:right w:w="20" w:type="dxa"/>
            </w:tcMar>
            <w:vAlign w:val="bottom"/>
          </w:tcPr>
          <w:p w14:paraId="00BACB4C" w14:textId="77777777" w:rsidR="00871BDF" w:rsidRDefault="00871BDF">
            <w:pPr>
              <w:jc w:val="right"/>
              <w:rPr>
                <w:rFonts w:ascii="宋体"/>
              </w:rPr>
            </w:pPr>
          </w:p>
        </w:tc>
      </w:tr>
      <w:tr w:rsidR="00871BDF" w14:paraId="00BACB60" w14:textId="77777777">
        <w:tc>
          <w:tcPr>
            <w:tcW w:w="0" w:type="auto"/>
            <w:gridSpan w:val="3"/>
            <w:shd w:val="clear" w:color="auto" w:fill="FFFFFF"/>
            <w:tcMar>
              <w:top w:w="40" w:type="dxa"/>
              <w:left w:w="20" w:type="dxa"/>
              <w:bottom w:w="40" w:type="dxa"/>
              <w:right w:w="20" w:type="dxa"/>
            </w:tcMar>
            <w:vAlign w:val="bottom"/>
          </w:tcPr>
          <w:p w14:paraId="00BACB4E" w14:textId="77777777" w:rsidR="00871BDF" w:rsidRDefault="005C5088">
            <w:pPr>
              <w:textAlignment w:val="bottom"/>
            </w:pPr>
            <w:r>
              <w:rPr>
                <w:rFonts w:ascii="Times New Roman" w:eastAsia="宋体" w:hAnsi="Times New Roman"/>
                <w:color w:val="000000"/>
                <w:sz w:val="20"/>
                <w:szCs w:val="20"/>
              </w:rPr>
              <w:t>Total Americas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B4F" w14:textId="77777777" w:rsidR="00871BDF" w:rsidRDefault="005C5088">
            <w:pPr>
              <w:jc w:val="right"/>
              <w:textAlignment w:val="bottom"/>
            </w:pPr>
            <w:r>
              <w:rPr>
                <w:rFonts w:ascii="Times New Roman" w:eastAsia="宋体" w:hAnsi="Times New Roman"/>
                <w:color w:val="000000"/>
                <w:sz w:val="20"/>
                <w:szCs w:val="20"/>
              </w:rPr>
              <w:t>8,093 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B5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51"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B52" w14:textId="77777777" w:rsidR="00871BDF" w:rsidRDefault="005C5088">
            <w:pPr>
              <w:jc w:val="right"/>
              <w:textAlignment w:val="bottom"/>
            </w:pPr>
            <w:r>
              <w:rPr>
                <w:rFonts w:ascii="Times New Roman" w:eastAsia="宋体" w:hAnsi="Times New Roman"/>
                <w:color w:val="000000"/>
                <w:sz w:val="20"/>
                <w:szCs w:val="20"/>
              </w:rPr>
              <w:t>281 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B5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54"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B55" w14:textId="77777777" w:rsidR="00871BDF" w:rsidRDefault="005C5088">
            <w:pPr>
              <w:jc w:val="right"/>
              <w:textAlignment w:val="bottom"/>
            </w:pPr>
            <w:r>
              <w:rPr>
                <w:rFonts w:ascii="Times New Roman" w:eastAsia="宋体" w:hAnsi="Times New Roman"/>
                <w:color w:val="000000"/>
                <w:sz w:val="20"/>
                <w:szCs w:val="20"/>
              </w:rPr>
              <w:t>(129)</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B5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57"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B58" w14:textId="77777777" w:rsidR="00871BDF" w:rsidRDefault="005C5088">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B5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5A"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B5B" w14:textId="77777777" w:rsidR="00871BDF" w:rsidRDefault="005C5088">
            <w:pPr>
              <w:jc w:val="right"/>
              <w:textAlignment w:val="bottom"/>
            </w:pPr>
            <w:r>
              <w:rPr>
                <w:rFonts w:ascii="Times New Roman" w:eastAsia="宋体" w:hAnsi="Times New Roman"/>
                <w:color w:val="000000"/>
                <w:sz w:val="20"/>
                <w:szCs w:val="20"/>
              </w:rPr>
              <w:t>152 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B5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5D"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B5E" w14:textId="77777777" w:rsidR="00871BDF" w:rsidRDefault="005C5088">
            <w:pPr>
              <w:jc w:val="right"/>
              <w:textAlignment w:val="bottom"/>
            </w:pPr>
            <w:r>
              <w:rPr>
                <w:rFonts w:ascii="Times New Roman" w:eastAsia="宋体" w:hAnsi="Times New Roman"/>
                <w:color w:val="000000"/>
                <w:sz w:val="20"/>
                <w:szCs w:val="20"/>
              </w:rPr>
              <w:t>8,245 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B5F" w14:textId="77777777" w:rsidR="00871BDF" w:rsidRDefault="00871BDF">
            <w:pPr>
              <w:jc w:val="right"/>
              <w:rPr>
                <w:rFonts w:ascii="宋体"/>
              </w:rPr>
            </w:pPr>
          </w:p>
        </w:tc>
      </w:tr>
      <w:tr w:rsidR="00871BDF" w14:paraId="00BACB6D" w14:textId="77777777">
        <w:tc>
          <w:tcPr>
            <w:tcW w:w="0" w:type="auto"/>
            <w:gridSpan w:val="3"/>
            <w:shd w:val="clear" w:color="auto" w:fill="D7E4BC"/>
            <w:tcMar>
              <w:top w:w="40" w:type="dxa"/>
              <w:left w:w="20" w:type="dxa"/>
              <w:bottom w:w="40" w:type="dxa"/>
              <w:right w:w="20" w:type="dxa"/>
            </w:tcMar>
            <w:vAlign w:val="bottom"/>
          </w:tcPr>
          <w:p w14:paraId="00BACB61" w14:textId="77777777" w:rsidR="00871BDF" w:rsidRDefault="005C5088">
            <w:pPr>
              <w:textAlignment w:val="bottom"/>
            </w:pPr>
            <w:r>
              <w:rPr>
                <w:rFonts w:ascii="Times New Roman" w:eastAsia="宋体" w:hAnsi="Times New Roman"/>
                <w:color w:val="000000"/>
                <w:sz w:val="20"/>
                <w:szCs w:val="20"/>
              </w:rPr>
              <w:t>International:</w:t>
            </w:r>
          </w:p>
        </w:tc>
        <w:tc>
          <w:tcPr>
            <w:tcW w:w="0" w:type="auto"/>
            <w:gridSpan w:val="3"/>
            <w:tcBorders>
              <w:top w:val="single" w:sz="8" w:space="0" w:color="000000"/>
            </w:tcBorders>
            <w:shd w:val="clear" w:color="auto" w:fill="D7E4BC"/>
            <w:tcMar>
              <w:top w:w="0" w:type="dxa"/>
              <w:left w:w="20" w:type="dxa"/>
              <w:bottom w:w="0" w:type="dxa"/>
              <w:right w:w="20" w:type="dxa"/>
            </w:tcMar>
          </w:tcPr>
          <w:p w14:paraId="00BACB6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B63"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B6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B6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B6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B6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B6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B69"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B6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B6B"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B6C" w14:textId="77777777" w:rsidR="00871BDF" w:rsidRDefault="00871BDF">
            <w:pPr>
              <w:rPr>
                <w:rFonts w:ascii="宋体"/>
              </w:rPr>
            </w:pPr>
          </w:p>
        </w:tc>
      </w:tr>
      <w:tr w:rsidR="00871BDF" w14:paraId="00BACB80" w14:textId="77777777">
        <w:tc>
          <w:tcPr>
            <w:tcW w:w="0" w:type="auto"/>
            <w:gridSpan w:val="3"/>
            <w:shd w:val="clear" w:color="auto" w:fill="FFFFFF"/>
            <w:tcMar>
              <w:top w:w="40" w:type="dxa"/>
              <w:left w:w="155" w:type="dxa"/>
              <w:bottom w:w="40" w:type="dxa"/>
              <w:right w:w="20" w:type="dxa"/>
            </w:tcMar>
            <w:vAlign w:val="bottom"/>
          </w:tcPr>
          <w:p w14:paraId="00BACB6E" w14:textId="77777777" w:rsidR="00871BDF" w:rsidRDefault="005C5088">
            <w:pPr>
              <w:textAlignment w:val="bottom"/>
            </w:pPr>
            <w:r>
              <w:rPr>
                <w:rFonts w:ascii="Times New Roman" w:eastAsia="宋体" w:hAnsi="Times New Roman"/>
                <w:color w:val="000000"/>
                <w:sz w:val="20"/>
                <w:szCs w:val="20"/>
              </w:rPr>
              <w:t>Korea</w:t>
            </w:r>
          </w:p>
        </w:tc>
        <w:tc>
          <w:tcPr>
            <w:tcW w:w="0" w:type="auto"/>
            <w:gridSpan w:val="2"/>
            <w:shd w:val="clear" w:color="auto" w:fill="FFFFFF"/>
            <w:tcMar>
              <w:top w:w="40" w:type="dxa"/>
              <w:left w:w="20" w:type="dxa"/>
              <w:bottom w:w="40" w:type="dxa"/>
              <w:right w:w="0" w:type="dxa"/>
            </w:tcMar>
            <w:vAlign w:val="bottom"/>
          </w:tcPr>
          <w:p w14:paraId="00BACB6F" w14:textId="77777777" w:rsidR="00871BDF" w:rsidRDefault="005C5088">
            <w:pPr>
              <w:jc w:val="right"/>
              <w:textAlignment w:val="bottom"/>
            </w:pPr>
            <w:r>
              <w:rPr>
                <w:rFonts w:ascii="Times New Roman" w:eastAsia="宋体" w:hAnsi="Times New Roman"/>
                <w:color w:val="000000"/>
                <w:sz w:val="20"/>
                <w:szCs w:val="20"/>
              </w:rPr>
              <w:t>1,334 </w:t>
            </w:r>
          </w:p>
        </w:tc>
        <w:tc>
          <w:tcPr>
            <w:tcW w:w="0" w:type="auto"/>
            <w:shd w:val="clear" w:color="auto" w:fill="FFFFFF"/>
            <w:tcMar>
              <w:top w:w="40" w:type="dxa"/>
              <w:left w:w="0" w:type="dxa"/>
              <w:bottom w:w="40" w:type="dxa"/>
              <w:right w:w="20" w:type="dxa"/>
            </w:tcMar>
            <w:vAlign w:val="bottom"/>
          </w:tcPr>
          <w:p w14:paraId="00BACB7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7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72" w14:textId="77777777" w:rsidR="00871BDF" w:rsidRDefault="005C5088">
            <w:pPr>
              <w:jc w:val="right"/>
              <w:textAlignment w:val="bottom"/>
            </w:pPr>
            <w:r>
              <w:rPr>
                <w:rFonts w:ascii="Times New Roman" w:eastAsia="宋体" w:hAnsi="Times New Roman"/>
                <w:color w:val="000000"/>
                <w:sz w:val="20"/>
                <w:szCs w:val="20"/>
              </w:rPr>
              <w:t>159 </w:t>
            </w:r>
          </w:p>
        </w:tc>
        <w:tc>
          <w:tcPr>
            <w:tcW w:w="0" w:type="auto"/>
            <w:shd w:val="clear" w:color="auto" w:fill="FFFFFF"/>
            <w:tcMar>
              <w:top w:w="40" w:type="dxa"/>
              <w:left w:w="0" w:type="dxa"/>
              <w:bottom w:w="40" w:type="dxa"/>
              <w:right w:w="20" w:type="dxa"/>
            </w:tcMar>
            <w:vAlign w:val="bottom"/>
          </w:tcPr>
          <w:p w14:paraId="00BACB7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7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75" w14:textId="77777777" w:rsidR="00871BDF" w:rsidRDefault="005C5088">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00BACB7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7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7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CB7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7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7B" w14:textId="77777777" w:rsidR="00871BDF" w:rsidRDefault="005C5088">
            <w:pPr>
              <w:jc w:val="right"/>
              <w:textAlignment w:val="bottom"/>
            </w:pPr>
            <w:r>
              <w:rPr>
                <w:rFonts w:ascii="Times New Roman" w:eastAsia="宋体" w:hAnsi="Times New Roman"/>
                <w:color w:val="000000"/>
                <w:sz w:val="20"/>
                <w:szCs w:val="20"/>
              </w:rPr>
              <w:t>134 </w:t>
            </w:r>
          </w:p>
        </w:tc>
        <w:tc>
          <w:tcPr>
            <w:tcW w:w="0" w:type="auto"/>
            <w:shd w:val="clear" w:color="auto" w:fill="FFFFFF"/>
            <w:tcMar>
              <w:top w:w="40" w:type="dxa"/>
              <w:left w:w="0" w:type="dxa"/>
              <w:bottom w:w="40" w:type="dxa"/>
              <w:right w:w="20" w:type="dxa"/>
            </w:tcMar>
            <w:vAlign w:val="bottom"/>
          </w:tcPr>
          <w:p w14:paraId="00BACB7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7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7E" w14:textId="77777777" w:rsidR="00871BDF" w:rsidRDefault="005C5088">
            <w:pPr>
              <w:jc w:val="right"/>
              <w:textAlignment w:val="bottom"/>
            </w:pPr>
            <w:r>
              <w:rPr>
                <w:rFonts w:ascii="Times New Roman" w:eastAsia="宋体" w:hAnsi="Times New Roman"/>
                <w:color w:val="000000"/>
                <w:sz w:val="20"/>
                <w:szCs w:val="20"/>
              </w:rPr>
              <w:t>1,468 </w:t>
            </w:r>
          </w:p>
        </w:tc>
        <w:tc>
          <w:tcPr>
            <w:tcW w:w="0" w:type="auto"/>
            <w:shd w:val="clear" w:color="auto" w:fill="FFFFFF"/>
            <w:tcMar>
              <w:top w:w="40" w:type="dxa"/>
              <w:left w:w="0" w:type="dxa"/>
              <w:bottom w:w="40" w:type="dxa"/>
              <w:right w:w="20" w:type="dxa"/>
            </w:tcMar>
            <w:vAlign w:val="bottom"/>
          </w:tcPr>
          <w:p w14:paraId="00BACB7F" w14:textId="77777777" w:rsidR="00871BDF" w:rsidRDefault="00871BDF">
            <w:pPr>
              <w:jc w:val="right"/>
              <w:rPr>
                <w:rFonts w:ascii="宋体"/>
              </w:rPr>
            </w:pPr>
          </w:p>
        </w:tc>
      </w:tr>
      <w:tr w:rsidR="00871BDF" w14:paraId="00BACB93" w14:textId="77777777">
        <w:tc>
          <w:tcPr>
            <w:tcW w:w="0" w:type="auto"/>
            <w:gridSpan w:val="3"/>
            <w:shd w:val="clear" w:color="auto" w:fill="D7E4BC"/>
            <w:tcMar>
              <w:top w:w="40" w:type="dxa"/>
              <w:left w:w="155" w:type="dxa"/>
              <w:bottom w:w="40" w:type="dxa"/>
              <w:right w:w="20" w:type="dxa"/>
            </w:tcMar>
            <w:vAlign w:val="bottom"/>
          </w:tcPr>
          <w:p w14:paraId="00BACB81" w14:textId="77777777" w:rsidR="00871BDF" w:rsidRDefault="005C5088">
            <w:pPr>
              <w:textAlignment w:val="bottom"/>
            </w:pPr>
            <w:r>
              <w:rPr>
                <w:rFonts w:ascii="Times New Roman" w:eastAsia="宋体" w:hAnsi="Times New Roman"/>
                <w:color w:val="000000"/>
                <w:sz w:val="20"/>
                <w:szCs w:val="20"/>
              </w:rPr>
              <w:t>U.K.</w:t>
            </w:r>
          </w:p>
        </w:tc>
        <w:tc>
          <w:tcPr>
            <w:tcW w:w="0" w:type="auto"/>
            <w:gridSpan w:val="2"/>
            <w:shd w:val="clear" w:color="auto" w:fill="D7E4BC"/>
            <w:tcMar>
              <w:top w:w="40" w:type="dxa"/>
              <w:left w:w="20" w:type="dxa"/>
              <w:bottom w:w="40" w:type="dxa"/>
              <w:right w:w="0" w:type="dxa"/>
            </w:tcMar>
            <w:vAlign w:val="bottom"/>
          </w:tcPr>
          <w:p w14:paraId="00BACB82" w14:textId="77777777" w:rsidR="00871BDF" w:rsidRDefault="005C5088">
            <w:pPr>
              <w:jc w:val="right"/>
              <w:textAlignment w:val="bottom"/>
            </w:pPr>
            <w:r>
              <w:rPr>
                <w:rFonts w:ascii="Times New Roman" w:eastAsia="宋体" w:hAnsi="Times New Roman"/>
                <w:color w:val="000000"/>
                <w:sz w:val="20"/>
                <w:szCs w:val="20"/>
              </w:rPr>
              <w:t>707 </w:t>
            </w:r>
          </w:p>
        </w:tc>
        <w:tc>
          <w:tcPr>
            <w:tcW w:w="0" w:type="auto"/>
            <w:shd w:val="clear" w:color="auto" w:fill="D7E4BC"/>
            <w:tcMar>
              <w:top w:w="40" w:type="dxa"/>
              <w:left w:w="0" w:type="dxa"/>
              <w:bottom w:w="40" w:type="dxa"/>
              <w:right w:w="20" w:type="dxa"/>
            </w:tcMar>
            <w:vAlign w:val="bottom"/>
          </w:tcPr>
          <w:p w14:paraId="00BACB8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8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85" w14:textId="77777777" w:rsidR="00871BDF" w:rsidRDefault="005C5088">
            <w:pPr>
              <w:jc w:val="right"/>
              <w:textAlignment w:val="bottom"/>
            </w:pPr>
            <w:r>
              <w:rPr>
                <w:rFonts w:ascii="Times New Roman" w:eastAsia="宋体" w:hAnsi="Times New Roman"/>
                <w:color w:val="000000"/>
                <w:sz w:val="20"/>
                <w:szCs w:val="20"/>
              </w:rPr>
              <w:t>55 </w:t>
            </w:r>
          </w:p>
        </w:tc>
        <w:tc>
          <w:tcPr>
            <w:tcW w:w="0" w:type="auto"/>
            <w:shd w:val="clear" w:color="auto" w:fill="D7E4BC"/>
            <w:tcMar>
              <w:top w:w="40" w:type="dxa"/>
              <w:left w:w="0" w:type="dxa"/>
              <w:bottom w:w="40" w:type="dxa"/>
              <w:right w:w="20" w:type="dxa"/>
            </w:tcMar>
            <w:vAlign w:val="bottom"/>
          </w:tcPr>
          <w:p w14:paraId="00BACB8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8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88" w14:textId="77777777" w:rsidR="00871BDF" w:rsidRDefault="005C5088">
            <w:pPr>
              <w:jc w:val="right"/>
              <w:textAlignment w:val="bottom"/>
            </w:pPr>
            <w:r>
              <w:rPr>
                <w:rFonts w:ascii="Times New Roman" w:eastAsia="宋体" w:hAnsi="Times New Roman"/>
                <w:color w:val="000000"/>
                <w:sz w:val="20"/>
                <w:szCs w:val="20"/>
              </w:rPr>
              <w:t>(29)</w:t>
            </w:r>
          </w:p>
        </w:tc>
        <w:tc>
          <w:tcPr>
            <w:tcW w:w="0" w:type="auto"/>
            <w:shd w:val="clear" w:color="auto" w:fill="D7E4BC"/>
            <w:tcMar>
              <w:top w:w="40" w:type="dxa"/>
              <w:left w:w="0" w:type="dxa"/>
              <w:bottom w:w="40" w:type="dxa"/>
              <w:right w:w="20" w:type="dxa"/>
            </w:tcMar>
            <w:vAlign w:val="bottom"/>
          </w:tcPr>
          <w:p w14:paraId="00BACB8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8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8B" w14:textId="77777777" w:rsidR="00871BDF" w:rsidRDefault="005C5088">
            <w:pPr>
              <w:jc w:val="right"/>
              <w:textAlignment w:val="bottom"/>
            </w:pPr>
            <w:r>
              <w:rPr>
                <w:rFonts w:ascii="Times New Roman" w:eastAsia="宋体" w:hAnsi="Times New Roman"/>
                <w:color w:val="000000"/>
                <w:sz w:val="20"/>
                <w:szCs w:val="20"/>
              </w:rPr>
              <w:t>4 </w:t>
            </w:r>
          </w:p>
        </w:tc>
        <w:tc>
          <w:tcPr>
            <w:tcW w:w="0" w:type="auto"/>
            <w:shd w:val="clear" w:color="auto" w:fill="D7E4BC"/>
            <w:tcMar>
              <w:top w:w="40" w:type="dxa"/>
              <w:left w:w="0" w:type="dxa"/>
              <w:bottom w:w="40" w:type="dxa"/>
              <w:right w:w="20" w:type="dxa"/>
            </w:tcMar>
            <w:vAlign w:val="bottom"/>
          </w:tcPr>
          <w:p w14:paraId="00BACB8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8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8E" w14:textId="77777777" w:rsidR="00871BDF" w:rsidRDefault="005C5088">
            <w:pPr>
              <w:jc w:val="right"/>
              <w:textAlignment w:val="bottom"/>
            </w:pPr>
            <w:r>
              <w:rPr>
                <w:rFonts w:ascii="Times New Roman" w:eastAsia="宋体" w:hAnsi="Times New Roman"/>
                <w:color w:val="000000"/>
                <w:sz w:val="20"/>
                <w:szCs w:val="20"/>
              </w:rPr>
              <w:t>30 </w:t>
            </w:r>
          </w:p>
        </w:tc>
        <w:tc>
          <w:tcPr>
            <w:tcW w:w="0" w:type="auto"/>
            <w:shd w:val="clear" w:color="auto" w:fill="D7E4BC"/>
            <w:tcMar>
              <w:top w:w="40" w:type="dxa"/>
              <w:left w:w="0" w:type="dxa"/>
              <w:bottom w:w="40" w:type="dxa"/>
              <w:right w:w="20" w:type="dxa"/>
            </w:tcMar>
            <w:vAlign w:val="bottom"/>
          </w:tcPr>
          <w:p w14:paraId="00BACB8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9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91" w14:textId="77777777" w:rsidR="00871BDF" w:rsidRDefault="005C5088">
            <w:pPr>
              <w:jc w:val="right"/>
              <w:textAlignment w:val="bottom"/>
            </w:pPr>
            <w:r>
              <w:rPr>
                <w:rFonts w:ascii="Times New Roman" w:eastAsia="宋体" w:hAnsi="Times New Roman"/>
                <w:color w:val="000000"/>
                <w:sz w:val="20"/>
                <w:szCs w:val="20"/>
              </w:rPr>
              <w:t>737 </w:t>
            </w:r>
          </w:p>
        </w:tc>
        <w:tc>
          <w:tcPr>
            <w:tcW w:w="0" w:type="auto"/>
            <w:shd w:val="clear" w:color="auto" w:fill="D7E4BC"/>
            <w:tcMar>
              <w:top w:w="40" w:type="dxa"/>
              <w:left w:w="0" w:type="dxa"/>
              <w:bottom w:w="40" w:type="dxa"/>
              <w:right w:w="20" w:type="dxa"/>
            </w:tcMar>
            <w:vAlign w:val="bottom"/>
          </w:tcPr>
          <w:p w14:paraId="00BACB92" w14:textId="77777777" w:rsidR="00871BDF" w:rsidRDefault="00871BDF">
            <w:pPr>
              <w:jc w:val="right"/>
              <w:rPr>
                <w:rFonts w:ascii="宋体"/>
              </w:rPr>
            </w:pPr>
          </w:p>
        </w:tc>
      </w:tr>
      <w:tr w:rsidR="00871BDF" w14:paraId="00BACBA6" w14:textId="77777777">
        <w:tc>
          <w:tcPr>
            <w:tcW w:w="0" w:type="auto"/>
            <w:gridSpan w:val="3"/>
            <w:shd w:val="clear" w:color="auto" w:fill="FFFFFF"/>
            <w:tcMar>
              <w:top w:w="40" w:type="dxa"/>
              <w:left w:w="155" w:type="dxa"/>
              <w:bottom w:w="40" w:type="dxa"/>
              <w:right w:w="20" w:type="dxa"/>
            </w:tcMar>
            <w:vAlign w:val="bottom"/>
          </w:tcPr>
          <w:p w14:paraId="00BACB94" w14:textId="77777777" w:rsidR="00871BDF" w:rsidRDefault="005C5088">
            <w:pPr>
              <w:textAlignment w:val="bottom"/>
            </w:pPr>
            <w:r>
              <w:rPr>
                <w:rFonts w:ascii="Times New Roman" w:eastAsia="宋体" w:hAnsi="Times New Roman"/>
                <w:color w:val="000000"/>
                <w:sz w:val="20"/>
                <w:szCs w:val="20"/>
              </w:rPr>
              <w:t>Turkey</w:t>
            </w:r>
          </w:p>
        </w:tc>
        <w:tc>
          <w:tcPr>
            <w:tcW w:w="0" w:type="auto"/>
            <w:gridSpan w:val="2"/>
            <w:shd w:val="clear" w:color="auto" w:fill="FFFFFF"/>
            <w:tcMar>
              <w:top w:w="40" w:type="dxa"/>
              <w:left w:w="20" w:type="dxa"/>
              <w:bottom w:w="40" w:type="dxa"/>
              <w:right w:w="0" w:type="dxa"/>
            </w:tcMar>
            <w:vAlign w:val="bottom"/>
          </w:tcPr>
          <w:p w14:paraId="00BACB95" w14:textId="77777777" w:rsidR="00871BDF" w:rsidRDefault="005C5088">
            <w:pPr>
              <w:jc w:val="right"/>
              <w:textAlignment w:val="bottom"/>
            </w:pPr>
            <w:r>
              <w:rPr>
                <w:rFonts w:ascii="Times New Roman" w:eastAsia="宋体" w:hAnsi="Times New Roman"/>
                <w:color w:val="000000"/>
                <w:sz w:val="20"/>
                <w:szCs w:val="20"/>
              </w:rPr>
              <w:t>494 </w:t>
            </w:r>
          </w:p>
        </w:tc>
        <w:tc>
          <w:tcPr>
            <w:tcW w:w="0" w:type="auto"/>
            <w:shd w:val="clear" w:color="auto" w:fill="FFFFFF"/>
            <w:tcMar>
              <w:top w:w="40" w:type="dxa"/>
              <w:left w:w="0" w:type="dxa"/>
              <w:bottom w:w="40" w:type="dxa"/>
              <w:right w:w="20" w:type="dxa"/>
            </w:tcMar>
            <w:vAlign w:val="bottom"/>
          </w:tcPr>
          <w:p w14:paraId="00BACB9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9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98" w14:textId="77777777" w:rsidR="00871BDF" w:rsidRDefault="005C5088">
            <w:pPr>
              <w:jc w:val="right"/>
              <w:textAlignment w:val="bottom"/>
            </w:pPr>
            <w:r>
              <w:rPr>
                <w:rFonts w:ascii="Times New Roman" w:eastAsia="宋体" w:hAnsi="Times New Roman"/>
                <w:color w:val="000000"/>
                <w:sz w:val="20"/>
                <w:szCs w:val="20"/>
              </w:rPr>
              <w:t>42 </w:t>
            </w:r>
          </w:p>
        </w:tc>
        <w:tc>
          <w:tcPr>
            <w:tcW w:w="0" w:type="auto"/>
            <w:shd w:val="clear" w:color="auto" w:fill="FFFFFF"/>
            <w:tcMar>
              <w:top w:w="40" w:type="dxa"/>
              <w:left w:w="0" w:type="dxa"/>
              <w:bottom w:w="40" w:type="dxa"/>
              <w:right w:w="20" w:type="dxa"/>
            </w:tcMar>
            <w:vAlign w:val="bottom"/>
          </w:tcPr>
          <w:p w14:paraId="00BACB9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9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9B" w14:textId="77777777" w:rsidR="00871BDF" w:rsidRDefault="005C5088">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00BACB9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9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9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CB9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A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A1" w14:textId="77777777" w:rsidR="00871BDF" w:rsidRDefault="005C5088">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00BACBA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A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A4" w14:textId="77777777" w:rsidR="00871BDF" w:rsidRDefault="005C5088">
            <w:pPr>
              <w:jc w:val="right"/>
              <w:textAlignment w:val="bottom"/>
            </w:pPr>
            <w:r>
              <w:rPr>
                <w:rFonts w:ascii="Times New Roman" w:eastAsia="宋体" w:hAnsi="Times New Roman"/>
                <w:color w:val="000000"/>
                <w:sz w:val="20"/>
                <w:szCs w:val="20"/>
              </w:rPr>
              <w:t>530 </w:t>
            </w:r>
          </w:p>
        </w:tc>
        <w:tc>
          <w:tcPr>
            <w:tcW w:w="0" w:type="auto"/>
            <w:shd w:val="clear" w:color="auto" w:fill="FFFFFF"/>
            <w:tcMar>
              <w:top w:w="40" w:type="dxa"/>
              <w:left w:w="0" w:type="dxa"/>
              <w:bottom w:w="40" w:type="dxa"/>
              <w:right w:w="20" w:type="dxa"/>
            </w:tcMar>
            <w:vAlign w:val="bottom"/>
          </w:tcPr>
          <w:p w14:paraId="00BACBA5" w14:textId="77777777" w:rsidR="00871BDF" w:rsidRDefault="00871BDF">
            <w:pPr>
              <w:jc w:val="right"/>
              <w:rPr>
                <w:rFonts w:ascii="宋体"/>
              </w:rPr>
            </w:pPr>
          </w:p>
        </w:tc>
      </w:tr>
      <w:tr w:rsidR="00871BDF" w14:paraId="00BACBB9" w14:textId="77777777">
        <w:tc>
          <w:tcPr>
            <w:tcW w:w="0" w:type="auto"/>
            <w:gridSpan w:val="3"/>
            <w:shd w:val="clear" w:color="auto" w:fill="D7E4BC"/>
            <w:tcMar>
              <w:top w:w="40" w:type="dxa"/>
              <w:left w:w="155" w:type="dxa"/>
              <w:bottom w:w="40" w:type="dxa"/>
              <w:right w:w="20" w:type="dxa"/>
            </w:tcMar>
            <w:vAlign w:val="bottom"/>
          </w:tcPr>
          <w:p w14:paraId="00BACBA7" w14:textId="77777777" w:rsidR="00871BDF" w:rsidRDefault="005C5088">
            <w:pPr>
              <w:textAlignment w:val="bottom"/>
            </w:pPr>
            <w:r>
              <w:rPr>
                <w:rFonts w:ascii="Times New Roman" w:eastAsia="宋体" w:hAnsi="Times New Roman"/>
                <w:color w:val="000000"/>
                <w:sz w:val="20"/>
                <w:szCs w:val="20"/>
              </w:rPr>
              <w:t>Taiwan</w:t>
            </w:r>
          </w:p>
        </w:tc>
        <w:tc>
          <w:tcPr>
            <w:tcW w:w="0" w:type="auto"/>
            <w:gridSpan w:val="2"/>
            <w:shd w:val="clear" w:color="auto" w:fill="D7E4BC"/>
            <w:tcMar>
              <w:top w:w="40" w:type="dxa"/>
              <w:left w:w="20" w:type="dxa"/>
              <w:bottom w:w="40" w:type="dxa"/>
              <w:right w:w="0" w:type="dxa"/>
            </w:tcMar>
            <w:vAlign w:val="bottom"/>
          </w:tcPr>
          <w:p w14:paraId="00BACBA8" w14:textId="77777777" w:rsidR="00871BDF" w:rsidRDefault="005C5088">
            <w:pPr>
              <w:jc w:val="right"/>
              <w:textAlignment w:val="bottom"/>
            </w:pPr>
            <w:r>
              <w:rPr>
                <w:rFonts w:ascii="Times New Roman" w:eastAsia="宋体" w:hAnsi="Times New Roman"/>
                <w:color w:val="000000"/>
                <w:sz w:val="20"/>
                <w:szCs w:val="20"/>
              </w:rPr>
              <w:t>480 </w:t>
            </w:r>
          </w:p>
        </w:tc>
        <w:tc>
          <w:tcPr>
            <w:tcW w:w="0" w:type="auto"/>
            <w:shd w:val="clear" w:color="auto" w:fill="D7E4BC"/>
            <w:tcMar>
              <w:top w:w="40" w:type="dxa"/>
              <w:left w:w="0" w:type="dxa"/>
              <w:bottom w:w="40" w:type="dxa"/>
              <w:right w:w="20" w:type="dxa"/>
            </w:tcMar>
            <w:vAlign w:val="bottom"/>
          </w:tcPr>
          <w:p w14:paraId="00BACBA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A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AB" w14:textId="77777777" w:rsidR="00871BDF" w:rsidRDefault="005C5088">
            <w:pPr>
              <w:jc w:val="right"/>
              <w:textAlignment w:val="bottom"/>
            </w:pPr>
            <w:r>
              <w:rPr>
                <w:rFonts w:ascii="Times New Roman" w:eastAsia="宋体" w:hAnsi="Times New Roman"/>
                <w:color w:val="000000"/>
                <w:sz w:val="20"/>
                <w:szCs w:val="20"/>
              </w:rPr>
              <w:t>32 </w:t>
            </w:r>
          </w:p>
        </w:tc>
        <w:tc>
          <w:tcPr>
            <w:tcW w:w="0" w:type="auto"/>
            <w:shd w:val="clear" w:color="auto" w:fill="D7E4BC"/>
            <w:tcMar>
              <w:top w:w="40" w:type="dxa"/>
              <w:left w:w="0" w:type="dxa"/>
              <w:bottom w:w="40" w:type="dxa"/>
              <w:right w:w="20" w:type="dxa"/>
            </w:tcMar>
            <w:vAlign w:val="bottom"/>
          </w:tcPr>
          <w:p w14:paraId="00BACBA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A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AE" w14:textId="77777777" w:rsidR="00871BDF" w:rsidRDefault="005C5088">
            <w:pPr>
              <w:jc w:val="right"/>
              <w:textAlignment w:val="bottom"/>
            </w:pPr>
            <w:r>
              <w:rPr>
                <w:rFonts w:ascii="Times New Roman" w:eastAsia="宋体" w:hAnsi="Times New Roman"/>
                <w:color w:val="000000"/>
                <w:sz w:val="20"/>
                <w:szCs w:val="20"/>
              </w:rPr>
              <w:t>(11)</w:t>
            </w:r>
          </w:p>
        </w:tc>
        <w:tc>
          <w:tcPr>
            <w:tcW w:w="0" w:type="auto"/>
            <w:shd w:val="clear" w:color="auto" w:fill="D7E4BC"/>
            <w:tcMar>
              <w:top w:w="40" w:type="dxa"/>
              <w:left w:w="0" w:type="dxa"/>
              <w:bottom w:w="40" w:type="dxa"/>
              <w:right w:w="20" w:type="dxa"/>
            </w:tcMar>
            <w:vAlign w:val="bottom"/>
          </w:tcPr>
          <w:p w14:paraId="00BACBA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B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B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CBB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B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B4" w14:textId="77777777" w:rsidR="00871BDF" w:rsidRDefault="005C5088">
            <w:pPr>
              <w:jc w:val="right"/>
              <w:textAlignment w:val="bottom"/>
            </w:pPr>
            <w:r>
              <w:rPr>
                <w:rFonts w:ascii="Times New Roman" w:eastAsia="宋体" w:hAnsi="Times New Roman"/>
                <w:color w:val="000000"/>
                <w:sz w:val="20"/>
                <w:szCs w:val="20"/>
              </w:rPr>
              <w:t>21 </w:t>
            </w:r>
          </w:p>
        </w:tc>
        <w:tc>
          <w:tcPr>
            <w:tcW w:w="0" w:type="auto"/>
            <w:shd w:val="clear" w:color="auto" w:fill="D7E4BC"/>
            <w:tcMar>
              <w:top w:w="40" w:type="dxa"/>
              <w:left w:w="0" w:type="dxa"/>
              <w:bottom w:w="40" w:type="dxa"/>
              <w:right w:w="20" w:type="dxa"/>
            </w:tcMar>
            <w:vAlign w:val="bottom"/>
          </w:tcPr>
          <w:p w14:paraId="00BACBB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B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B7" w14:textId="77777777" w:rsidR="00871BDF" w:rsidRDefault="005C5088">
            <w:pPr>
              <w:jc w:val="right"/>
              <w:textAlignment w:val="bottom"/>
            </w:pPr>
            <w:r>
              <w:rPr>
                <w:rFonts w:ascii="Times New Roman" w:eastAsia="宋体" w:hAnsi="Times New Roman"/>
                <w:color w:val="000000"/>
                <w:sz w:val="20"/>
                <w:szCs w:val="20"/>
              </w:rPr>
              <w:t>501 </w:t>
            </w:r>
          </w:p>
        </w:tc>
        <w:tc>
          <w:tcPr>
            <w:tcW w:w="0" w:type="auto"/>
            <w:shd w:val="clear" w:color="auto" w:fill="D7E4BC"/>
            <w:tcMar>
              <w:top w:w="40" w:type="dxa"/>
              <w:left w:w="0" w:type="dxa"/>
              <w:bottom w:w="40" w:type="dxa"/>
              <w:right w:w="20" w:type="dxa"/>
            </w:tcMar>
            <w:vAlign w:val="bottom"/>
          </w:tcPr>
          <w:p w14:paraId="00BACBB8" w14:textId="77777777" w:rsidR="00871BDF" w:rsidRDefault="00871BDF">
            <w:pPr>
              <w:jc w:val="right"/>
              <w:rPr>
                <w:rFonts w:ascii="宋体"/>
              </w:rPr>
            </w:pPr>
          </w:p>
        </w:tc>
      </w:tr>
      <w:tr w:rsidR="00871BDF" w14:paraId="00BACBCC" w14:textId="77777777">
        <w:tc>
          <w:tcPr>
            <w:tcW w:w="0" w:type="auto"/>
            <w:gridSpan w:val="3"/>
            <w:shd w:val="clear" w:color="auto" w:fill="FFFFFF"/>
            <w:tcMar>
              <w:top w:w="40" w:type="dxa"/>
              <w:left w:w="155" w:type="dxa"/>
              <w:bottom w:w="40" w:type="dxa"/>
              <w:right w:w="20" w:type="dxa"/>
            </w:tcMar>
            <w:vAlign w:val="bottom"/>
          </w:tcPr>
          <w:p w14:paraId="00BACBBA" w14:textId="77777777" w:rsidR="00871BDF" w:rsidRDefault="005C5088">
            <w:pPr>
              <w:textAlignment w:val="bottom"/>
            </w:pPr>
            <w:r>
              <w:rPr>
                <w:rFonts w:ascii="Times New Roman" w:eastAsia="宋体" w:hAnsi="Times New Roman"/>
                <w:color w:val="000000"/>
                <w:sz w:val="20"/>
                <w:szCs w:val="20"/>
              </w:rPr>
              <w:t>Indonesia</w:t>
            </w:r>
          </w:p>
        </w:tc>
        <w:tc>
          <w:tcPr>
            <w:tcW w:w="0" w:type="auto"/>
            <w:gridSpan w:val="2"/>
            <w:shd w:val="clear" w:color="auto" w:fill="FFFFFF"/>
            <w:tcMar>
              <w:top w:w="40" w:type="dxa"/>
              <w:left w:w="20" w:type="dxa"/>
              <w:bottom w:w="40" w:type="dxa"/>
              <w:right w:w="0" w:type="dxa"/>
            </w:tcMar>
            <w:vAlign w:val="bottom"/>
          </w:tcPr>
          <w:p w14:paraId="00BACBBB" w14:textId="77777777" w:rsidR="00871BDF" w:rsidRDefault="005C5088">
            <w:pPr>
              <w:jc w:val="right"/>
              <w:textAlignment w:val="bottom"/>
            </w:pPr>
            <w:r>
              <w:rPr>
                <w:rFonts w:ascii="Times New Roman" w:eastAsia="宋体" w:hAnsi="Times New Roman"/>
                <w:color w:val="000000"/>
                <w:sz w:val="20"/>
                <w:szCs w:val="20"/>
              </w:rPr>
              <w:t>421 </w:t>
            </w:r>
          </w:p>
        </w:tc>
        <w:tc>
          <w:tcPr>
            <w:tcW w:w="0" w:type="auto"/>
            <w:shd w:val="clear" w:color="auto" w:fill="FFFFFF"/>
            <w:tcMar>
              <w:top w:w="40" w:type="dxa"/>
              <w:left w:w="0" w:type="dxa"/>
              <w:bottom w:w="40" w:type="dxa"/>
              <w:right w:w="20" w:type="dxa"/>
            </w:tcMar>
            <w:vAlign w:val="bottom"/>
          </w:tcPr>
          <w:p w14:paraId="00BACBB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B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BE" w14:textId="77777777" w:rsidR="00871BDF" w:rsidRDefault="005C5088">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00BACBB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C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C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CBC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C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C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CBC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C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C7" w14:textId="77777777" w:rsidR="00871BDF" w:rsidRDefault="005C5088">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00BACBC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C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CA" w14:textId="77777777" w:rsidR="00871BDF" w:rsidRDefault="005C5088">
            <w:pPr>
              <w:jc w:val="right"/>
              <w:textAlignment w:val="bottom"/>
            </w:pPr>
            <w:r>
              <w:rPr>
                <w:rFonts w:ascii="Times New Roman" w:eastAsia="宋体" w:hAnsi="Times New Roman"/>
                <w:color w:val="000000"/>
                <w:sz w:val="20"/>
                <w:szCs w:val="20"/>
              </w:rPr>
              <w:t>458 </w:t>
            </w:r>
          </w:p>
        </w:tc>
        <w:tc>
          <w:tcPr>
            <w:tcW w:w="0" w:type="auto"/>
            <w:shd w:val="clear" w:color="auto" w:fill="FFFFFF"/>
            <w:tcMar>
              <w:top w:w="40" w:type="dxa"/>
              <w:left w:w="0" w:type="dxa"/>
              <w:bottom w:w="40" w:type="dxa"/>
              <w:right w:w="20" w:type="dxa"/>
            </w:tcMar>
            <w:vAlign w:val="bottom"/>
          </w:tcPr>
          <w:p w14:paraId="00BACBCB" w14:textId="77777777" w:rsidR="00871BDF" w:rsidRDefault="00871BDF">
            <w:pPr>
              <w:jc w:val="right"/>
              <w:rPr>
                <w:rFonts w:ascii="宋体"/>
              </w:rPr>
            </w:pPr>
          </w:p>
        </w:tc>
      </w:tr>
      <w:tr w:rsidR="00871BDF" w14:paraId="00BACBDF" w14:textId="77777777">
        <w:tc>
          <w:tcPr>
            <w:tcW w:w="0" w:type="auto"/>
            <w:gridSpan w:val="3"/>
            <w:shd w:val="clear" w:color="auto" w:fill="D7E4BC"/>
            <w:tcMar>
              <w:top w:w="40" w:type="dxa"/>
              <w:left w:w="155" w:type="dxa"/>
              <w:bottom w:w="40" w:type="dxa"/>
              <w:right w:w="20" w:type="dxa"/>
            </w:tcMar>
            <w:vAlign w:val="bottom"/>
          </w:tcPr>
          <w:p w14:paraId="00BACBCD" w14:textId="77777777" w:rsidR="00871BDF" w:rsidRDefault="005C5088">
            <w:pPr>
              <w:textAlignment w:val="bottom"/>
            </w:pPr>
            <w:r>
              <w:rPr>
                <w:rFonts w:ascii="Times New Roman" w:eastAsia="宋体" w:hAnsi="Times New Roman"/>
                <w:color w:val="000000"/>
                <w:sz w:val="20"/>
                <w:szCs w:val="20"/>
              </w:rPr>
              <w:t>Philippines</w:t>
            </w:r>
          </w:p>
        </w:tc>
        <w:tc>
          <w:tcPr>
            <w:tcW w:w="0" w:type="auto"/>
            <w:gridSpan w:val="2"/>
            <w:shd w:val="clear" w:color="auto" w:fill="D7E4BC"/>
            <w:tcMar>
              <w:top w:w="40" w:type="dxa"/>
              <w:left w:w="20" w:type="dxa"/>
              <w:bottom w:w="40" w:type="dxa"/>
              <w:right w:w="0" w:type="dxa"/>
            </w:tcMar>
            <w:vAlign w:val="bottom"/>
          </w:tcPr>
          <w:p w14:paraId="00BACBCE" w14:textId="77777777" w:rsidR="00871BDF" w:rsidRDefault="005C5088">
            <w:pPr>
              <w:jc w:val="right"/>
              <w:textAlignment w:val="bottom"/>
            </w:pPr>
            <w:r>
              <w:rPr>
                <w:rFonts w:ascii="Times New Roman" w:eastAsia="宋体" w:hAnsi="Times New Roman"/>
                <w:color w:val="000000"/>
                <w:sz w:val="20"/>
                <w:szCs w:val="20"/>
              </w:rPr>
              <w:t>397 </w:t>
            </w:r>
          </w:p>
        </w:tc>
        <w:tc>
          <w:tcPr>
            <w:tcW w:w="0" w:type="auto"/>
            <w:shd w:val="clear" w:color="auto" w:fill="D7E4BC"/>
            <w:tcMar>
              <w:top w:w="40" w:type="dxa"/>
              <w:left w:w="0" w:type="dxa"/>
              <w:bottom w:w="40" w:type="dxa"/>
              <w:right w:w="20" w:type="dxa"/>
            </w:tcMar>
            <w:vAlign w:val="bottom"/>
          </w:tcPr>
          <w:p w14:paraId="00BACBC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D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D1" w14:textId="77777777" w:rsidR="00871BDF" w:rsidRDefault="005C5088">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00BACBD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D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D4" w14:textId="77777777" w:rsidR="00871BDF" w:rsidRDefault="005C5088">
            <w:pPr>
              <w:jc w:val="right"/>
              <w:textAlignment w:val="bottom"/>
            </w:pPr>
            <w:r>
              <w:rPr>
                <w:rFonts w:ascii="Times New Roman" w:eastAsia="宋体" w:hAnsi="Times New Roman"/>
                <w:color w:val="000000"/>
                <w:sz w:val="20"/>
                <w:szCs w:val="20"/>
              </w:rPr>
              <w:t>(11)</w:t>
            </w:r>
          </w:p>
        </w:tc>
        <w:tc>
          <w:tcPr>
            <w:tcW w:w="0" w:type="auto"/>
            <w:shd w:val="clear" w:color="auto" w:fill="D7E4BC"/>
            <w:tcMar>
              <w:top w:w="40" w:type="dxa"/>
              <w:left w:w="0" w:type="dxa"/>
              <w:bottom w:w="40" w:type="dxa"/>
              <w:right w:w="20" w:type="dxa"/>
            </w:tcMar>
            <w:vAlign w:val="bottom"/>
          </w:tcPr>
          <w:p w14:paraId="00BACBD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D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D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CBD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D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DA" w14:textId="77777777" w:rsidR="00871BDF" w:rsidRDefault="005C5088">
            <w:pPr>
              <w:jc w:val="right"/>
              <w:textAlignment w:val="bottom"/>
            </w:pPr>
            <w:r>
              <w:rPr>
                <w:rFonts w:ascii="Times New Roman" w:eastAsia="宋体" w:hAnsi="Times New Roman"/>
                <w:color w:val="000000"/>
                <w:sz w:val="20"/>
                <w:szCs w:val="20"/>
              </w:rPr>
              <w:t>(1)</w:t>
            </w:r>
          </w:p>
        </w:tc>
        <w:tc>
          <w:tcPr>
            <w:tcW w:w="0" w:type="auto"/>
            <w:shd w:val="clear" w:color="auto" w:fill="D7E4BC"/>
            <w:tcMar>
              <w:top w:w="40" w:type="dxa"/>
              <w:left w:w="0" w:type="dxa"/>
              <w:bottom w:w="40" w:type="dxa"/>
              <w:right w:w="20" w:type="dxa"/>
            </w:tcMar>
            <w:vAlign w:val="bottom"/>
          </w:tcPr>
          <w:p w14:paraId="00BACBD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D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DD" w14:textId="77777777" w:rsidR="00871BDF" w:rsidRDefault="005C5088">
            <w:pPr>
              <w:jc w:val="right"/>
              <w:textAlignment w:val="bottom"/>
            </w:pPr>
            <w:r>
              <w:rPr>
                <w:rFonts w:ascii="Times New Roman" w:eastAsia="宋体" w:hAnsi="Times New Roman"/>
                <w:color w:val="000000"/>
                <w:sz w:val="20"/>
                <w:szCs w:val="20"/>
              </w:rPr>
              <w:t>396 </w:t>
            </w:r>
          </w:p>
        </w:tc>
        <w:tc>
          <w:tcPr>
            <w:tcW w:w="0" w:type="auto"/>
            <w:shd w:val="clear" w:color="auto" w:fill="D7E4BC"/>
            <w:tcMar>
              <w:top w:w="40" w:type="dxa"/>
              <w:left w:w="0" w:type="dxa"/>
              <w:bottom w:w="40" w:type="dxa"/>
              <w:right w:w="20" w:type="dxa"/>
            </w:tcMar>
            <w:vAlign w:val="bottom"/>
          </w:tcPr>
          <w:p w14:paraId="00BACBDE" w14:textId="77777777" w:rsidR="00871BDF" w:rsidRDefault="00871BDF">
            <w:pPr>
              <w:jc w:val="right"/>
              <w:rPr>
                <w:rFonts w:ascii="宋体"/>
              </w:rPr>
            </w:pPr>
          </w:p>
        </w:tc>
      </w:tr>
      <w:tr w:rsidR="00871BDF" w14:paraId="00BACBF2" w14:textId="77777777">
        <w:tc>
          <w:tcPr>
            <w:tcW w:w="0" w:type="auto"/>
            <w:gridSpan w:val="3"/>
            <w:shd w:val="clear" w:color="auto" w:fill="FFFFFF"/>
            <w:tcMar>
              <w:top w:w="40" w:type="dxa"/>
              <w:left w:w="155" w:type="dxa"/>
              <w:bottom w:w="40" w:type="dxa"/>
              <w:right w:w="20" w:type="dxa"/>
            </w:tcMar>
            <w:vAlign w:val="bottom"/>
          </w:tcPr>
          <w:p w14:paraId="00BACBE0" w14:textId="77777777" w:rsidR="00871BDF" w:rsidRDefault="005C5088">
            <w:pPr>
              <w:textAlignment w:val="bottom"/>
            </w:pPr>
            <w:r>
              <w:rPr>
                <w:rFonts w:ascii="Times New Roman" w:eastAsia="宋体" w:hAnsi="Times New Roman"/>
                <w:color w:val="000000"/>
                <w:sz w:val="20"/>
                <w:szCs w:val="20"/>
              </w:rPr>
              <w:t>Thailand</w:t>
            </w:r>
          </w:p>
        </w:tc>
        <w:tc>
          <w:tcPr>
            <w:tcW w:w="0" w:type="auto"/>
            <w:gridSpan w:val="2"/>
            <w:shd w:val="clear" w:color="auto" w:fill="FFFFFF"/>
            <w:tcMar>
              <w:top w:w="40" w:type="dxa"/>
              <w:left w:w="20" w:type="dxa"/>
              <w:bottom w:w="40" w:type="dxa"/>
              <w:right w:w="0" w:type="dxa"/>
            </w:tcMar>
            <w:vAlign w:val="bottom"/>
          </w:tcPr>
          <w:p w14:paraId="00BACBE1" w14:textId="77777777" w:rsidR="00871BDF" w:rsidRDefault="005C5088">
            <w:pPr>
              <w:jc w:val="right"/>
              <w:textAlignment w:val="bottom"/>
            </w:pPr>
            <w:r>
              <w:rPr>
                <w:rFonts w:ascii="Times New Roman" w:eastAsia="宋体" w:hAnsi="Times New Roman"/>
                <w:color w:val="000000"/>
                <w:sz w:val="20"/>
                <w:szCs w:val="20"/>
              </w:rPr>
              <w:t>392 </w:t>
            </w:r>
          </w:p>
        </w:tc>
        <w:tc>
          <w:tcPr>
            <w:tcW w:w="0" w:type="auto"/>
            <w:shd w:val="clear" w:color="auto" w:fill="FFFFFF"/>
            <w:tcMar>
              <w:top w:w="40" w:type="dxa"/>
              <w:left w:w="0" w:type="dxa"/>
              <w:bottom w:w="40" w:type="dxa"/>
              <w:right w:w="20" w:type="dxa"/>
            </w:tcMar>
            <w:vAlign w:val="bottom"/>
          </w:tcPr>
          <w:p w14:paraId="00BACBE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E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E4" w14:textId="77777777" w:rsidR="00871BDF" w:rsidRDefault="005C5088">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00BACBE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E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E7" w14:textId="77777777" w:rsidR="00871BDF" w:rsidRDefault="005C5088">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00BACBE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E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E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CBE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E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ED" w14:textId="77777777" w:rsidR="00871BDF" w:rsidRDefault="005C5088">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00BACBE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BE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BF0" w14:textId="77777777" w:rsidR="00871BDF" w:rsidRDefault="005C5088">
            <w:pPr>
              <w:jc w:val="right"/>
              <w:textAlignment w:val="bottom"/>
            </w:pPr>
            <w:r>
              <w:rPr>
                <w:rFonts w:ascii="Times New Roman" w:eastAsia="宋体" w:hAnsi="Times New Roman"/>
                <w:color w:val="000000"/>
                <w:sz w:val="20"/>
                <w:szCs w:val="20"/>
              </w:rPr>
              <w:t>405 </w:t>
            </w:r>
          </w:p>
        </w:tc>
        <w:tc>
          <w:tcPr>
            <w:tcW w:w="0" w:type="auto"/>
            <w:shd w:val="clear" w:color="auto" w:fill="FFFFFF"/>
            <w:tcMar>
              <w:top w:w="40" w:type="dxa"/>
              <w:left w:w="0" w:type="dxa"/>
              <w:bottom w:w="40" w:type="dxa"/>
              <w:right w:w="20" w:type="dxa"/>
            </w:tcMar>
            <w:vAlign w:val="bottom"/>
          </w:tcPr>
          <w:p w14:paraId="00BACBF1" w14:textId="77777777" w:rsidR="00871BDF" w:rsidRDefault="00871BDF">
            <w:pPr>
              <w:jc w:val="right"/>
              <w:rPr>
                <w:rFonts w:ascii="宋体"/>
              </w:rPr>
            </w:pPr>
          </w:p>
        </w:tc>
      </w:tr>
      <w:tr w:rsidR="00871BDF" w14:paraId="00BACC05" w14:textId="77777777">
        <w:tc>
          <w:tcPr>
            <w:tcW w:w="0" w:type="auto"/>
            <w:gridSpan w:val="3"/>
            <w:shd w:val="clear" w:color="auto" w:fill="D7E4BC"/>
            <w:tcMar>
              <w:top w:w="40" w:type="dxa"/>
              <w:left w:w="155" w:type="dxa"/>
              <w:bottom w:w="40" w:type="dxa"/>
              <w:right w:w="20" w:type="dxa"/>
            </w:tcMar>
            <w:vAlign w:val="bottom"/>
          </w:tcPr>
          <w:p w14:paraId="00BACBF3" w14:textId="77777777" w:rsidR="00871BDF" w:rsidRDefault="005C5088">
            <w:pPr>
              <w:textAlignment w:val="bottom"/>
            </w:pPr>
            <w:r>
              <w:rPr>
                <w:rFonts w:ascii="Times New Roman" w:eastAsia="宋体" w:hAnsi="Times New Roman"/>
                <w:color w:val="000000"/>
                <w:sz w:val="20"/>
                <w:szCs w:val="20"/>
              </w:rPr>
              <w:t>All Other</w:t>
            </w:r>
          </w:p>
        </w:tc>
        <w:tc>
          <w:tcPr>
            <w:tcW w:w="0" w:type="auto"/>
            <w:gridSpan w:val="2"/>
            <w:shd w:val="clear" w:color="auto" w:fill="D7E4BC"/>
            <w:tcMar>
              <w:top w:w="40" w:type="dxa"/>
              <w:left w:w="20" w:type="dxa"/>
              <w:bottom w:w="40" w:type="dxa"/>
              <w:right w:w="0" w:type="dxa"/>
            </w:tcMar>
            <w:vAlign w:val="bottom"/>
          </w:tcPr>
          <w:p w14:paraId="00BACBF4" w14:textId="77777777" w:rsidR="00871BDF" w:rsidRDefault="005C5088">
            <w:pPr>
              <w:jc w:val="right"/>
              <w:textAlignment w:val="bottom"/>
            </w:pPr>
            <w:r>
              <w:rPr>
                <w:rFonts w:ascii="Times New Roman" w:eastAsia="宋体" w:hAnsi="Times New Roman"/>
                <w:color w:val="000000"/>
                <w:sz w:val="20"/>
                <w:szCs w:val="20"/>
              </w:rPr>
              <w:t>3,104 </w:t>
            </w:r>
          </w:p>
        </w:tc>
        <w:tc>
          <w:tcPr>
            <w:tcW w:w="0" w:type="auto"/>
            <w:shd w:val="clear" w:color="auto" w:fill="D7E4BC"/>
            <w:tcMar>
              <w:top w:w="40" w:type="dxa"/>
              <w:left w:w="0" w:type="dxa"/>
              <w:bottom w:w="40" w:type="dxa"/>
              <w:right w:w="20" w:type="dxa"/>
            </w:tcMar>
            <w:vAlign w:val="bottom"/>
          </w:tcPr>
          <w:p w14:paraId="00BACBF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F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F7" w14:textId="77777777" w:rsidR="00871BDF" w:rsidRDefault="005C5088">
            <w:pPr>
              <w:jc w:val="right"/>
              <w:textAlignment w:val="bottom"/>
            </w:pPr>
            <w:r>
              <w:rPr>
                <w:rFonts w:ascii="Times New Roman" w:eastAsia="宋体" w:hAnsi="Times New Roman"/>
                <w:color w:val="000000"/>
                <w:sz w:val="20"/>
                <w:szCs w:val="20"/>
              </w:rPr>
              <w:t>265 </w:t>
            </w:r>
          </w:p>
        </w:tc>
        <w:tc>
          <w:tcPr>
            <w:tcW w:w="0" w:type="auto"/>
            <w:shd w:val="clear" w:color="auto" w:fill="D7E4BC"/>
            <w:tcMar>
              <w:top w:w="40" w:type="dxa"/>
              <w:left w:w="0" w:type="dxa"/>
              <w:bottom w:w="40" w:type="dxa"/>
              <w:right w:w="20" w:type="dxa"/>
            </w:tcMar>
            <w:vAlign w:val="bottom"/>
          </w:tcPr>
          <w:p w14:paraId="00BACBF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F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FA" w14:textId="77777777" w:rsidR="00871BDF" w:rsidRDefault="005C5088">
            <w:pPr>
              <w:jc w:val="right"/>
              <w:textAlignment w:val="bottom"/>
            </w:pPr>
            <w:r>
              <w:rPr>
                <w:rFonts w:ascii="Times New Roman" w:eastAsia="宋体" w:hAnsi="Times New Roman"/>
                <w:color w:val="000000"/>
                <w:sz w:val="20"/>
                <w:szCs w:val="20"/>
              </w:rPr>
              <w:t>(86)</w:t>
            </w:r>
          </w:p>
        </w:tc>
        <w:tc>
          <w:tcPr>
            <w:tcW w:w="0" w:type="auto"/>
            <w:shd w:val="clear" w:color="auto" w:fill="D7E4BC"/>
            <w:tcMar>
              <w:top w:w="40" w:type="dxa"/>
              <w:left w:w="0" w:type="dxa"/>
              <w:bottom w:w="40" w:type="dxa"/>
              <w:right w:w="20" w:type="dxa"/>
            </w:tcMar>
            <w:vAlign w:val="bottom"/>
          </w:tcPr>
          <w:p w14:paraId="00BACBF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F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BF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CBF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BF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C00" w14:textId="77777777" w:rsidR="00871BDF" w:rsidRDefault="005C5088">
            <w:pPr>
              <w:jc w:val="right"/>
              <w:textAlignment w:val="bottom"/>
            </w:pPr>
            <w:r>
              <w:rPr>
                <w:rFonts w:ascii="Times New Roman" w:eastAsia="宋体" w:hAnsi="Times New Roman"/>
                <w:color w:val="000000"/>
                <w:sz w:val="20"/>
                <w:szCs w:val="20"/>
              </w:rPr>
              <w:t>179 </w:t>
            </w:r>
          </w:p>
        </w:tc>
        <w:tc>
          <w:tcPr>
            <w:tcW w:w="0" w:type="auto"/>
            <w:shd w:val="clear" w:color="auto" w:fill="D7E4BC"/>
            <w:tcMar>
              <w:top w:w="40" w:type="dxa"/>
              <w:left w:w="0" w:type="dxa"/>
              <w:bottom w:w="40" w:type="dxa"/>
              <w:right w:w="20" w:type="dxa"/>
            </w:tcMar>
            <w:vAlign w:val="bottom"/>
          </w:tcPr>
          <w:p w14:paraId="00BACC0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C0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C03" w14:textId="77777777" w:rsidR="00871BDF" w:rsidRDefault="005C5088">
            <w:pPr>
              <w:jc w:val="right"/>
              <w:textAlignment w:val="bottom"/>
            </w:pPr>
            <w:r>
              <w:rPr>
                <w:rFonts w:ascii="Times New Roman" w:eastAsia="宋体" w:hAnsi="Times New Roman"/>
                <w:color w:val="000000"/>
                <w:sz w:val="20"/>
                <w:szCs w:val="20"/>
              </w:rPr>
              <w:t>3,283 </w:t>
            </w:r>
          </w:p>
        </w:tc>
        <w:tc>
          <w:tcPr>
            <w:tcW w:w="0" w:type="auto"/>
            <w:shd w:val="clear" w:color="auto" w:fill="D7E4BC"/>
            <w:tcMar>
              <w:top w:w="40" w:type="dxa"/>
              <w:left w:w="0" w:type="dxa"/>
              <w:bottom w:w="40" w:type="dxa"/>
              <w:right w:w="20" w:type="dxa"/>
            </w:tcMar>
            <w:vAlign w:val="bottom"/>
          </w:tcPr>
          <w:p w14:paraId="00BACC04" w14:textId="77777777" w:rsidR="00871BDF" w:rsidRDefault="00871BDF">
            <w:pPr>
              <w:jc w:val="right"/>
              <w:rPr>
                <w:rFonts w:ascii="宋体"/>
              </w:rPr>
            </w:pPr>
          </w:p>
        </w:tc>
      </w:tr>
      <w:tr w:rsidR="00871BDF" w14:paraId="00BACC18" w14:textId="77777777">
        <w:tc>
          <w:tcPr>
            <w:tcW w:w="0" w:type="auto"/>
            <w:gridSpan w:val="3"/>
            <w:shd w:val="clear" w:color="auto" w:fill="FFFFFF"/>
            <w:tcMar>
              <w:top w:w="40" w:type="dxa"/>
              <w:left w:w="20" w:type="dxa"/>
              <w:bottom w:w="40" w:type="dxa"/>
              <w:right w:w="20" w:type="dxa"/>
            </w:tcMar>
            <w:vAlign w:val="bottom"/>
          </w:tcPr>
          <w:p w14:paraId="00BACC06" w14:textId="77777777" w:rsidR="00871BDF" w:rsidRDefault="005C5088">
            <w:pPr>
              <w:textAlignment w:val="bottom"/>
            </w:pPr>
            <w:r>
              <w:rPr>
                <w:rFonts w:ascii="Times New Roman" w:eastAsia="宋体" w:hAnsi="Times New Roman"/>
                <w:color w:val="000000"/>
                <w:sz w:val="20"/>
                <w:szCs w:val="20"/>
              </w:rPr>
              <w:t>Total International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C07" w14:textId="77777777" w:rsidR="00871BDF" w:rsidRDefault="005C5088">
            <w:pPr>
              <w:jc w:val="right"/>
              <w:textAlignment w:val="bottom"/>
            </w:pPr>
            <w:r>
              <w:rPr>
                <w:rFonts w:ascii="Times New Roman" w:eastAsia="宋体" w:hAnsi="Times New Roman"/>
                <w:color w:val="000000"/>
                <w:sz w:val="20"/>
                <w:szCs w:val="20"/>
              </w:rPr>
              <w:t>7,329 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C0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C09"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C0A" w14:textId="77777777" w:rsidR="00871BDF" w:rsidRDefault="005C5088">
            <w:pPr>
              <w:jc w:val="right"/>
              <w:textAlignment w:val="bottom"/>
            </w:pPr>
            <w:r>
              <w:rPr>
                <w:rFonts w:ascii="Times New Roman" w:eastAsia="宋体" w:hAnsi="Times New Roman"/>
                <w:color w:val="000000"/>
                <w:sz w:val="20"/>
                <w:szCs w:val="20"/>
              </w:rPr>
              <w:t>620 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C0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C0C"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C0D" w14:textId="77777777" w:rsidR="00871BDF" w:rsidRDefault="005C5088">
            <w:pPr>
              <w:jc w:val="right"/>
              <w:textAlignment w:val="bottom"/>
            </w:pPr>
            <w:r>
              <w:rPr>
                <w:rFonts w:ascii="Times New Roman" w:eastAsia="宋体" w:hAnsi="Times New Roman"/>
                <w:color w:val="000000"/>
                <w:sz w:val="20"/>
                <w:szCs w:val="20"/>
              </w:rPr>
              <w:t>(175)</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C0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C0F"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C10" w14:textId="77777777" w:rsidR="00871BDF" w:rsidRDefault="005C5088">
            <w:pPr>
              <w:jc w:val="right"/>
              <w:textAlignment w:val="bottom"/>
            </w:pPr>
            <w:r>
              <w:rPr>
                <w:rFonts w:ascii="Times New Roman" w:eastAsia="宋体" w:hAnsi="Times New Roman"/>
                <w:color w:val="000000"/>
                <w:sz w:val="20"/>
                <w:szCs w:val="20"/>
              </w:rPr>
              <w:t>4 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C1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C12"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C13" w14:textId="77777777" w:rsidR="00871BDF" w:rsidRDefault="005C5088">
            <w:pPr>
              <w:jc w:val="right"/>
              <w:textAlignment w:val="bottom"/>
            </w:pPr>
            <w:r>
              <w:rPr>
                <w:rFonts w:ascii="Times New Roman" w:eastAsia="宋体" w:hAnsi="Times New Roman"/>
                <w:color w:val="000000"/>
                <w:sz w:val="20"/>
                <w:szCs w:val="20"/>
              </w:rPr>
              <w:t>449 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C1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C15"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CC16" w14:textId="77777777" w:rsidR="00871BDF" w:rsidRDefault="005C5088">
            <w:pPr>
              <w:jc w:val="right"/>
              <w:textAlignment w:val="bottom"/>
            </w:pPr>
            <w:r>
              <w:rPr>
                <w:rFonts w:ascii="Times New Roman" w:eastAsia="宋体" w:hAnsi="Times New Roman"/>
                <w:color w:val="000000"/>
                <w:sz w:val="20"/>
                <w:szCs w:val="20"/>
              </w:rPr>
              <w:t>7,778 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C17" w14:textId="77777777" w:rsidR="00871BDF" w:rsidRDefault="00871BDF">
            <w:pPr>
              <w:jc w:val="right"/>
              <w:rPr>
                <w:rFonts w:ascii="宋体"/>
              </w:rPr>
            </w:pPr>
          </w:p>
        </w:tc>
      </w:tr>
      <w:tr w:rsidR="00871BDF" w14:paraId="00BACC25" w14:textId="77777777">
        <w:trPr>
          <w:hidden/>
        </w:trPr>
        <w:tc>
          <w:tcPr>
            <w:tcW w:w="0" w:type="auto"/>
            <w:gridSpan w:val="3"/>
            <w:shd w:val="clear" w:color="auto" w:fill="auto"/>
          </w:tcPr>
          <w:p w14:paraId="00BACC19" w14:textId="77777777" w:rsidR="00871BDF" w:rsidRDefault="00871BDF">
            <w:pPr>
              <w:rPr>
                <w:rFonts w:ascii="宋体"/>
                <w:vanish/>
              </w:rPr>
            </w:pPr>
          </w:p>
        </w:tc>
        <w:tc>
          <w:tcPr>
            <w:tcW w:w="0" w:type="auto"/>
            <w:gridSpan w:val="3"/>
            <w:shd w:val="clear" w:color="auto" w:fill="auto"/>
          </w:tcPr>
          <w:p w14:paraId="00BACC1A" w14:textId="77777777" w:rsidR="00871BDF" w:rsidRDefault="00871BDF">
            <w:pPr>
              <w:rPr>
                <w:rFonts w:ascii="宋体"/>
                <w:vanish/>
              </w:rPr>
            </w:pPr>
          </w:p>
        </w:tc>
        <w:tc>
          <w:tcPr>
            <w:tcW w:w="0" w:type="auto"/>
            <w:gridSpan w:val="3"/>
            <w:shd w:val="clear" w:color="auto" w:fill="auto"/>
          </w:tcPr>
          <w:p w14:paraId="00BACC1B" w14:textId="77777777" w:rsidR="00871BDF" w:rsidRDefault="00871BDF">
            <w:pPr>
              <w:rPr>
                <w:rFonts w:ascii="宋体"/>
                <w:vanish/>
              </w:rPr>
            </w:pPr>
          </w:p>
        </w:tc>
        <w:tc>
          <w:tcPr>
            <w:tcW w:w="0" w:type="auto"/>
            <w:gridSpan w:val="3"/>
            <w:shd w:val="clear" w:color="auto" w:fill="auto"/>
          </w:tcPr>
          <w:p w14:paraId="00BACC1C" w14:textId="77777777" w:rsidR="00871BDF" w:rsidRDefault="00871BDF">
            <w:pPr>
              <w:rPr>
                <w:rFonts w:ascii="宋体"/>
                <w:vanish/>
              </w:rPr>
            </w:pPr>
          </w:p>
        </w:tc>
        <w:tc>
          <w:tcPr>
            <w:tcW w:w="0" w:type="auto"/>
            <w:gridSpan w:val="3"/>
            <w:shd w:val="clear" w:color="auto" w:fill="auto"/>
          </w:tcPr>
          <w:p w14:paraId="00BACC1D" w14:textId="77777777" w:rsidR="00871BDF" w:rsidRDefault="00871BDF">
            <w:pPr>
              <w:rPr>
                <w:rFonts w:ascii="宋体"/>
                <w:vanish/>
              </w:rPr>
            </w:pPr>
          </w:p>
        </w:tc>
        <w:tc>
          <w:tcPr>
            <w:tcW w:w="0" w:type="auto"/>
            <w:gridSpan w:val="3"/>
            <w:shd w:val="clear" w:color="auto" w:fill="auto"/>
          </w:tcPr>
          <w:p w14:paraId="00BACC1E" w14:textId="77777777" w:rsidR="00871BDF" w:rsidRDefault="00871BDF">
            <w:pPr>
              <w:rPr>
                <w:rFonts w:ascii="宋体"/>
                <w:vanish/>
              </w:rPr>
            </w:pPr>
          </w:p>
        </w:tc>
        <w:tc>
          <w:tcPr>
            <w:tcW w:w="0" w:type="auto"/>
            <w:gridSpan w:val="3"/>
            <w:shd w:val="clear" w:color="auto" w:fill="auto"/>
          </w:tcPr>
          <w:p w14:paraId="00BACC1F" w14:textId="77777777" w:rsidR="00871BDF" w:rsidRDefault="00871BDF">
            <w:pPr>
              <w:rPr>
                <w:rFonts w:ascii="宋体"/>
                <w:vanish/>
              </w:rPr>
            </w:pPr>
          </w:p>
        </w:tc>
        <w:tc>
          <w:tcPr>
            <w:tcW w:w="0" w:type="auto"/>
            <w:gridSpan w:val="3"/>
            <w:shd w:val="clear" w:color="auto" w:fill="auto"/>
          </w:tcPr>
          <w:p w14:paraId="00BACC20" w14:textId="77777777" w:rsidR="00871BDF" w:rsidRDefault="00871BDF">
            <w:pPr>
              <w:rPr>
                <w:rFonts w:ascii="宋体"/>
                <w:vanish/>
              </w:rPr>
            </w:pPr>
          </w:p>
        </w:tc>
        <w:tc>
          <w:tcPr>
            <w:tcW w:w="0" w:type="auto"/>
            <w:gridSpan w:val="3"/>
            <w:shd w:val="clear" w:color="auto" w:fill="auto"/>
          </w:tcPr>
          <w:p w14:paraId="00BACC21" w14:textId="77777777" w:rsidR="00871BDF" w:rsidRDefault="00871BDF">
            <w:pPr>
              <w:rPr>
                <w:rFonts w:ascii="宋体"/>
                <w:vanish/>
              </w:rPr>
            </w:pPr>
          </w:p>
        </w:tc>
        <w:tc>
          <w:tcPr>
            <w:tcW w:w="0" w:type="auto"/>
            <w:gridSpan w:val="3"/>
            <w:shd w:val="clear" w:color="auto" w:fill="auto"/>
          </w:tcPr>
          <w:p w14:paraId="00BACC22" w14:textId="77777777" w:rsidR="00871BDF" w:rsidRDefault="00871BDF">
            <w:pPr>
              <w:rPr>
                <w:rFonts w:ascii="宋体"/>
                <w:vanish/>
              </w:rPr>
            </w:pPr>
          </w:p>
        </w:tc>
        <w:tc>
          <w:tcPr>
            <w:tcW w:w="0" w:type="auto"/>
            <w:gridSpan w:val="3"/>
            <w:shd w:val="clear" w:color="auto" w:fill="auto"/>
          </w:tcPr>
          <w:p w14:paraId="00BACC23" w14:textId="77777777" w:rsidR="00871BDF" w:rsidRDefault="00871BDF">
            <w:pPr>
              <w:rPr>
                <w:rFonts w:ascii="宋体"/>
                <w:vanish/>
              </w:rPr>
            </w:pPr>
          </w:p>
        </w:tc>
        <w:tc>
          <w:tcPr>
            <w:tcW w:w="0" w:type="auto"/>
            <w:gridSpan w:val="3"/>
            <w:shd w:val="clear" w:color="auto" w:fill="auto"/>
          </w:tcPr>
          <w:p w14:paraId="00BACC24" w14:textId="77777777" w:rsidR="00871BDF" w:rsidRDefault="00871BDF">
            <w:pPr>
              <w:rPr>
                <w:rFonts w:ascii="宋体"/>
                <w:vanish/>
              </w:rPr>
            </w:pPr>
          </w:p>
        </w:tc>
      </w:tr>
      <w:tr w:rsidR="00871BDF" w14:paraId="00BACC32" w14:textId="77777777">
        <w:trPr>
          <w:hidden/>
        </w:trPr>
        <w:tc>
          <w:tcPr>
            <w:tcW w:w="0" w:type="auto"/>
            <w:gridSpan w:val="3"/>
            <w:shd w:val="clear" w:color="auto" w:fill="auto"/>
          </w:tcPr>
          <w:p w14:paraId="00BACC26" w14:textId="77777777" w:rsidR="00871BDF" w:rsidRDefault="00871BDF">
            <w:pPr>
              <w:rPr>
                <w:rFonts w:ascii="宋体"/>
                <w:vanish/>
              </w:rPr>
            </w:pPr>
          </w:p>
        </w:tc>
        <w:tc>
          <w:tcPr>
            <w:tcW w:w="0" w:type="auto"/>
            <w:gridSpan w:val="3"/>
            <w:shd w:val="clear" w:color="auto" w:fill="auto"/>
          </w:tcPr>
          <w:p w14:paraId="00BACC27" w14:textId="77777777" w:rsidR="00871BDF" w:rsidRDefault="00871BDF">
            <w:pPr>
              <w:rPr>
                <w:rFonts w:ascii="宋体"/>
                <w:vanish/>
              </w:rPr>
            </w:pPr>
          </w:p>
        </w:tc>
        <w:tc>
          <w:tcPr>
            <w:tcW w:w="0" w:type="auto"/>
            <w:gridSpan w:val="3"/>
            <w:shd w:val="clear" w:color="auto" w:fill="auto"/>
          </w:tcPr>
          <w:p w14:paraId="00BACC28" w14:textId="77777777" w:rsidR="00871BDF" w:rsidRDefault="00871BDF">
            <w:pPr>
              <w:rPr>
                <w:rFonts w:ascii="宋体"/>
                <w:vanish/>
              </w:rPr>
            </w:pPr>
          </w:p>
        </w:tc>
        <w:tc>
          <w:tcPr>
            <w:tcW w:w="0" w:type="auto"/>
            <w:gridSpan w:val="3"/>
            <w:shd w:val="clear" w:color="auto" w:fill="auto"/>
          </w:tcPr>
          <w:p w14:paraId="00BACC29" w14:textId="77777777" w:rsidR="00871BDF" w:rsidRDefault="00871BDF">
            <w:pPr>
              <w:rPr>
                <w:rFonts w:ascii="宋体"/>
                <w:vanish/>
              </w:rPr>
            </w:pPr>
          </w:p>
        </w:tc>
        <w:tc>
          <w:tcPr>
            <w:tcW w:w="0" w:type="auto"/>
            <w:gridSpan w:val="3"/>
            <w:shd w:val="clear" w:color="auto" w:fill="auto"/>
          </w:tcPr>
          <w:p w14:paraId="00BACC2A" w14:textId="77777777" w:rsidR="00871BDF" w:rsidRDefault="00871BDF">
            <w:pPr>
              <w:rPr>
                <w:rFonts w:ascii="宋体"/>
                <w:vanish/>
              </w:rPr>
            </w:pPr>
          </w:p>
        </w:tc>
        <w:tc>
          <w:tcPr>
            <w:tcW w:w="0" w:type="auto"/>
            <w:gridSpan w:val="3"/>
            <w:shd w:val="clear" w:color="auto" w:fill="auto"/>
          </w:tcPr>
          <w:p w14:paraId="00BACC2B" w14:textId="77777777" w:rsidR="00871BDF" w:rsidRDefault="00871BDF">
            <w:pPr>
              <w:rPr>
                <w:rFonts w:ascii="宋体"/>
                <w:vanish/>
              </w:rPr>
            </w:pPr>
          </w:p>
        </w:tc>
        <w:tc>
          <w:tcPr>
            <w:tcW w:w="0" w:type="auto"/>
            <w:gridSpan w:val="3"/>
            <w:shd w:val="clear" w:color="auto" w:fill="auto"/>
          </w:tcPr>
          <w:p w14:paraId="00BACC2C" w14:textId="77777777" w:rsidR="00871BDF" w:rsidRDefault="00871BDF">
            <w:pPr>
              <w:rPr>
                <w:rFonts w:ascii="宋体"/>
                <w:vanish/>
              </w:rPr>
            </w:pPr>
          </w:p>
        </w:tc>
        <w:tc>
          <w:tcPr>
            <w:tcW w:w="0" w:type="auto"/>
            <w:gridSpan w:val="3"/>
            <w:shd w:val="clear" w:color="auto" w:fill="auto"/>
          </w:tcPr>
          <w:p w14:paraId="00BACC2D" w14:textId="77777777" w:rsidR="00871BDF" w:rsidRDefault="00871BDF">
            <w:pPr>
              <w:rPr>
                <w:rFonts w:ascii="宋体"/>
                <w:vanish/>
              </w:rPr>
            </w:pPr>
          </w:p>
        </w:tc>
        <w:tc>
          <w:tcPr>
            <w:tcW w:w="0" w:type="auto"/>
            <w:gridSpan w:val="3"/>
            <w:shd w:val="clear" w:color="auto" w:fill="auto"/>
          </w:tcPr>
          <w:p w14:paraId="00BACC2E" w14:textId="77777777" w:rsidR="00871BDF" w:rsidRDefault="00871BDF">
            <w:pPr>
              <w:rPr>
                <w:rFonts w:ascii="宋体"/>
                <w:vanish/>
              </w:rPr>
            </w:pPr>
          </w:p>
        </w:tc>
        <w:tc>
          <w:tcPr>
            <w:tcW w:w="0" w:type="auto"/>
            <w:gridSpan w:val="3"/>
            <w:shd w:val="clear" w:color="auto" w:fill="auto"/>
          </w:tcPr>
          <w:p w14:paraId="00BACC2F" w14:textId="77777777" w:rsidR="00871BDF" w:rsidRDefault="00871BDF">
            <w:pPr>
              <w:rPr>
                <w:rFonts w:ascii="宋体"/>
                <w:vanish/>
              </w:rPr>
            </w:pPr>
          </w:p>
        </w:tc>
        <w:tc>
          <w:tcPr>
            <w:tcW w:w="0" w:type="auto"/>
            <w:gridSpan w:val="3"/>
            <w:shd w:val="clear" w:color="auto" w:fill="auto"/>
          </w:tcPr>
          <w:p w14:paraId="00BACC30" w14:textId="77777777" w:rsidR="00871BDF" w:rsidRDefault="00871BDF">
            <w:pPr>
              <w:rPr>
                <w:rFonts w:ascii="宋体"/>
                <w:vanish/>
              </w:rPr>
            </w:pPr>
          </w:p>
        </w:tc>
        <w:tc>
          <w:tcPr>
            <w:tcW w:w="0" w:type="auto"/>
            <w:gridSpan w:val="3"/>
            <w:shd w:val="clear" w:color="auto" w:fill="auto"/>
          </w:tcPr>
          <w:p w14:paraId="00BACC31" w14:textId="77777777" w:rsidR="00871BDF" w:rsidRDefault="00871BDF">
            <w:pPr>
              <w:rPr>
                <w:rFonts w:ascii="宋体"/>
                <w:vanish/>
              </w:rPr>
            </w:pPr>
          </w:p>
        </w:tc>
      </w:tr>
      <w:tr w:rsidR="00871BDF" w14:paraId="00BACC3F" w14:textId="77777777">
        <w:trPr>
          <w:hidden/>
        </w:trPr>
        <w:tc>
          <w:tcPr>
            <w:tcW w:w="0" w:type="auto"/>
            <w:gridSpan w:val="3"/>
            <w:shd w:val="clear" w:color="auto" w:fill="auto"/>
          </w:tcPr>
          <w:p w14:paraId="00BACC33" w14:textId="77777777" w:rsidR="00871BDF" w:rsidRDefault="00871BDF">
            <w:pPr>
              <w:rPr>
                <w:rFonts w:ascii="宋体"/>
                <w:vanish/>
              </w:rPr>
            </w:pPr>
          </w:p>
        </w:tc>
        <w:tc>
          <w:tcPr>
            <w:tcW w:w="0" w:type="auto"/>
            <w:gridSpan w:val="3"/>
            <w:shd w:val="clear" w:color="auto" w:fill="auto"/>
          </w:tcPr>
          <w:p w14:paraId="00BACC34" w14:textId="77777777" w:rsidR="00871BDF" w:rsidRDefault="00871BDF">
            <w:pPr>
              <w:rPr>
                <w:rFonts w:ascii="宋体"/>
                <w:vanish/>
              </w:rPr>
            </w:pPr>
          </w:p>
        </w:tc>
        <w:tc>
          <w:tcPr>
            <w:tcW w:w="0" w:type="auto"/>
            <w:gridSpan w:val="3"/>
            <w:shd w:val="clear" w:color="auto" w:fill="auto"/>
          </w:tcPr>
          <w:p w14:paraId="00BACC35" w14:textId="77777777" w:rsidR="00871BDF" w:rsidRDefault="00871BDF">
            <w:pPr>
              <w:rPr>
                <w:rFonts w:ascii="宋体"/>
                <w:vanish/>
              </w:rPr>
            </w:pPr>
          </w:p>
        </w:tc>
        <w:tc>
          <w:tcPr>
            <w:tcW w:w="0" w:type="auto"/>
            <w:gridSpan w:val="3"/>
            <w:shd w:val="clear" w:color="auto" w:fill="auto"/>
          </w:tcPr>
          <w:p w14:paraId="00BACC36" w14:textId="77777777" w:rsidR="00871BDF" w:rsidRDefault="00871BDF">
            <w:pPr>
              <w:rPr>
                <w:rFonts w:ascii="宋体"/>
                <w:vanish/>
              </w:rPr>
            </w:pPr>
          </w:p>
        </w:tc>
        <w:tc>
          <w:tcPr>
            <w:tcW w:w="0" w:type="auto"/>
            <w:gridSpan w:val="3"/>
            <w:shd w:val="clear" w:color="auto" w:fill="auto"/>
          </w:tcPr>
          <w:p w14:paraId="00BACC37" w14:textId="77777777" w:rsidR="00871BDF" w:rsidRDefault="00871BDF">
            <w:pPr>
              <w:rPr>
                <w:rFonts w:ascii="宋体"/>
                <w:vanish/>
              </w:rPr>
            </w:pPr>
          </w:p>
        </w:tc>
        <w:tc>
          <w:tcPr>
            <w:tcW w:w="0" w:type="auto"/>
            <w:gridSpan w:val="3"/>
            <w:shd w:val="clear" w:color="auto" w:fill="auto"/>
          </w:tcPr>
          <w:p w14:paraId="00BACC38" w14:textId="77777777" w:rsidR="00871BDF" w:rsidRDefault="00871BDF">
            <w:pPr>
              <w:rPr>
                <w:rFonts w:ascii="宋体"/>
                <w:vanish/>
              </w:rPr>
            </w:pPr>
          </w:p>
        </w:tc>
        <w:tc>
          <w:tcPr>
            <w:tcW w:w="0" w:type="auto"/>
            <w:gridSpan w:val="3"/>
            <w:shd w:val="clear" w:color="auto" w:fill="auto"/>
          </w:tcPr>
          <w:p w14:paraId="00BACC39" w14:textId="77777777" w:rsidR="00871BDF" w:rsidRDefault="00871BDF">
            <w:pPr>
              <w:rPr>
                <w:rFonts w:ascii="宋体"/>
                <w:vanish/>
              </w:rPr>
            </w:pPr>
          </w:p>
        </w:tc>
        <w:tc>
          <w:tcPr>
            <w:tcW w:w="0" w:type="auto"/>
            <w:gridSpan w:val="3"/>
            <w:shd w:val="clear" w:color="auto" w:fill="auto"/>
          </w:tcPr>
          <w:p w14:paraId="00BACC3A" w14:textId="77777777" w:rsidR="00871BDF" w:rsidRDefault="00871BDF">
            <w:pPr>
              <w:rPr>
                <w:rFonts w:ascii="宋体"/>
                <w:vanish/>
              </w:rPr>
            </w:pPr>
          </w:p>
        </w:tc>
        <w:tc>
          <w:tcPr>
            <w:tcW w:w="0" w:type="auto"/>
            <w:gridSpan w:val="3"/>
            <w:shd w:val="clear" w:color="auto" w:fill="auto"/>
          </w:tcPr>
          <w:p w14:paraId="00BACC3B" w14:textId="77777777" w:rsidR="00871BDF" w:rsidRDefault="00871BDF">
            <w:pPr>
              <w:rPr>
                <w:rFonts w:ascii="宋体"/>
                <w:vanish/>
              </w:rPr>
            </w:pPr>
          </w:p>
        </w:tc>
        <w:tc>
          <w:tcPr>
            <w:tcW w:w="0" w:type="auto"/>
            <w:gridSpan w:val="3"/>
            <w:shd w:val="clear" w:color="auto" w:fill="auto"/>
          </w:tcPr>
          <w:p w14:paraId="00BACC3C" w14:textId="77777777" w:rsidR="00871BDF" w:rsidRDefault="00871BDF">
            <w:pPr>
              <w:rPr>
                <w:rFonts w:ascii="宋体"/>
                <w:vanish/>
              </w:rPr>
            </w:pPr>
          </w:p>
        </w:tc>
        <w:tc>
          <w:tcPr>
            <w:tcW w:w="0" w:type="auto"/>
            <w:gridSpan w:val="3"/>
            <w:shd w:val="clear" w:color="auto" w:fill="auto"/>
          </w:tcPr>
          <w:p w14:paraId="00BACC3D" w14:textId="77777777" w:rsidR="00871BDF" w:rsidRDefault="00871BDF">
            <w:pPr>
              <w:rPr>
                <w:rFonts w:ascii="宋体"/>
                <w:vanish/>
              </w:rPr>
            </w:pPr>
          </w:p>
        </w:tc>
        <w:tc>
          <w:tcPr>
            <w:tcW w:w="0" w:type="auto"/>
            <w:gridSpan w:val="3"/>
            <w:shd w:val="clear" w:color="auto" w:fill="auto"/>
          </w:tcPr>
          <w:p w14:paraId="00BACC3E" w14:textId="77777777" w:rsidR="00871BDF" w:rsidRDefault="00871BDF">
            <w:pPr>
              <w:rPr>
                <w:rFonts w:ascii="宋体"/>
                <w:vanish/>
              </w:rPr>
            </w:pPr>
          </w:p>
        </w:tc>
      </w:tr>
      <w:tr w:rsidR="00871BDF" w14:paraId="00BACC52" w14:textId="77777777">
        <w:tc>
          <w:tcPr>
            <w:tcW w:w="0" w:type="auto"/>
            <w:gridSpan w:val="3"/>
            <w:shd w:val="clear" w:color="auto" w:fill="D7E4BC"/>
            <w:tcMar>
              <w:top w:w="40" w:type="dxa"/>
              <w:left w:w="20" w:type="dxa"/>
              <w:bottom w:w="40" w:type="dxa"/>
              <w:right w:w="20" w:type="dxa"/>
            </w:tcMar>
            <w:vAlign w:val="bottom"/>
          </w:tcPr>
          <w:p w14:paraId="00BACC40" w14:textId="77777777" w:rsidR="00871BDF" w:rsidRDefault="005C5088">
            <w:pPr>
              <w:textAlignment w:val="bottom"/>
            </w:pPr>
            <w:r>
              <w:rPr>
                <w:rFonts w:ascii="Times New Roman" w:eastAsia="宋体" w:hAnsi="Times New Roman"/>
                <w:b/>
                <w:bCs/>
                <w:color w:val="000000"/>
                <w:sz w:val="20"/>
                <w:szCs w:val="20"/>
              </w:rPr>
              <w:t xml:space="preserve">Total </w:t>
            </w:r>
            <w:r>
              <w:rPr>
                <w:rFonts w:ascii="Times New Roman" w:eastAsia="宋体" w:hAnsi="Times New Roman"/>
                <w:b/>
                <w:bCs/>
                <w:color w:val="000000"/>
                <w:sz w:val="20"/>
                <w:szCs w:val="20"/>
              </w:rPr>
              <w:t>licensed</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C41" w14:textId="77777777" w:rsidR="00871BDF" w:rsidRDefault="005C5088">
            <w:pPr>
              <w:jc w:val="right"/>
              <w:textAlignment w:val="bottom"/>
            </w:pPr>
            <w:r>
              <w:rPr>
                <w:rFonts w:ascii="Times New Roman" w:eastAsia="宋体" w:hAnsi="Times New Roman"/>
                <w:b/>
                <w:bCs/>
                <w:color w:val="000000"/>
                <w:sz w:val="20"/>
                <w:szCs w:val="20"/>
              </w:rPr>
              <w:t>15,422</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C4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C43"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C44" w14:textId="77777777" w:rsidR="00871BDF" w:rsidRDefault="005C5088">
            <w:pPr>
              <w:jc w:val="right"/>
              <w:textAlignment w:val="bottom"/>
            </w:pPr>
            <w:r>
              <w:rPr>
                <w:rFonts w:ascii="Times New Roman" w:eastAsia="宋体" w:hAnsi="Times New Roman"/>
                <w:b/>
                <w:bCs/>
                <w:color w:val="000000"/>
                <w:sz w:val="20"/>
                <w:szCs w:val="20"/>
              </w:rPr>
              <w:t>901</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C4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C46"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C47" w14:textId="77777777" w:rsidR="00871BDF" w:rsidRDefault="005C5088">
            <w:pPr>
              <w:jc w:val="right"/>
              <w:textAlignment w:val="bottom"/>
            </w:pPr>
            <w:r>
              <w:rPr>
                <w:rFonts w:ascii="Times New Roman" w:eastAsia="宋体" w:hAnsi="Times New Roman"/>
                <w:b/>
                <w:bCs/>
                <w:color w:val="000000"/>
                <w:sz w:val="20"/>
                <w:szCs w:val="20"/>
              </w:rPr>
              <w:t>(304)</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C4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C49"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C4A" w14:textId="77777777" w:rsidR="00871BDF" w:rsidRDefault="005C5088">
            <w:pPr>
              <w:jc w:val="right"/>
              <w:textAlignment w:val="bottom"/>
            </w:pPr>
            <w:r>
              <w:rPr>
                <w:rFonts w:ascii="Times New Roman" w:eastAsia="宋体" w:hAnsi="Times New Roman"/>
                <w:b/>
                <w:bCs/>
                <w:color w:val="000000"/>
                <w:sz w:val="20"/>
                <w:szCs w:val="20"/>
              </w:rPr>
              <w:t>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C4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C4C"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C4D" w14:textId="77777777" w:rsidR="00871BDF" w:rsidRDefault="005C5088">
            <w:pPr>
              <w:jc w:val="right"/>
              <w:textAlignment w:val="bottom"/>
            </w:pPr>
            <w:r>
              <w:rPr>
                <w:rFonts w:ascii="Times New Roman" w:eastAsia="宋体" w:hAnsi="Times New Roman"/>
                <w:b/>
                <w:bCs/>
                <w:color w:val="000000"/>
                <w:sz w:val="20"/>
                <w:szCs w:val="20"/>
              </w:rPr>
              <w:t>601</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C4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C4F"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CC50" w14:textId="77777777" w:rsidR="00871BDF" w:rsidRDefault="005C5088">
            <w:pPr>
              <w:jc w:val="right"/>
              <w:textAlignment w:val="bottom"/>
            </w:pPr>
            <w:r>
              <w:rPr>
                <w:rFonts w:ascii="Times New Roman" w:eastAsia="宋体" w:hAnsi="Times New Roman"/>
                <w:b/>
                <w:bCs/>
                <w:color w:val="000000"/>
                <w:sz w:val="20"/>
                <w:szCs w:val="20"/>
              </w:rPr>
              <w:t>16,023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CC51" w14:textId="77777777" w:rsidR="00871BDF" w:rsidRDefault="00871BDF">
            <w:pPr>
              <w:jc w:val="right"/>
              <w:rPr>
                <w:rFonts w:ascii="宋体"/>
              </w:rPr>
            </w:pPr>
          </w:p>
        </w:tc>
      </w:tr>
    </w:tbl>
    <w:p w14:paraId="00BACC53" w14:textId="77777777" w:rsidR="00871BDF" w:rsidRDefault="005C5088">
      <w:pPr>
        <w:spacing w:before="120"/>
        <w:ind w:hanging="540"/>
      </w:pPr>
      <w:r>
        <w:rPr>
          <w:rFonts w:ascii="Times New Roman" w:eastAsia="宋体" w:hAnsi="Times New Roman"/>
          <w:b/>
          <w:bCs/>
          <w:color w:val="000000"/>
          <w:sz w:val="20"/>
          <w:szCs w:val="20"/>
        </w:rPr>
        <w:t xml:space="preserve">Other Revenues </w:t>
      </w:r>
    </w:p>
    <w:p w14:paraId="00BACC54" w14:textId="77777777" w:rsidR="00871BDF" w:rsidRDefault="005C5088">
      <w:pPr>
        <w:spacing w:before="120"/>
      </w:pPr>
      <w:r>
        <w:rPr>
          <w:rFonts w:ascii="Times New Roman" w:eastAsia="宋体" w:hAnsi="Times New Roman"/>
          <w:color w:val="000000"/>
          <w:sz w:val="20"/>
          <w:szCs w:val="20"/>
        </w:rPr>
        <w:t>Other revenues primarily are recorded in our Channel Development segment and include sales of packaged coffee, tea and ready-to-drink beverages to customers outside of our company-operated and licensed stores, as well as royalties received from Nestlé unde</w:t>
      </w:r>
      <w:r>
        <w:rPr>
          <w:rFonts w:ascii="Times New Roman" w:eastAsia="宋体" w:hAnsi="Times New Roman"/>
          <w:color w:val="000000"/>
          <w:sz w:val="20"/>
          <w:szCs w:val="20"/>
        </w:rPr>
        <w:t>r the Global Coffee Alliance and other collaborative partnerships.</w:t>
      </w:r>
    </w:p>
    <w:p w14:paraId="00BACC55" w14:textId="77777777" w:rsidR="00871BDF" w:rsidRDefault="005C5088">
      <w:pPr>
        <w:spacing w:before="120"/>
      </w:pPr>
      <w:r>
        <w:rPr>
          <w:rFonts w:ascii="Times New Roman" w:eastAsia="宋体" w:hAnsi="Times New Roman"/>
          <w:b/>
          <w:bCs/>
          <w:color w:val="000000"/>
          <w:sz w:val="20"/>
          <w:szCs w:val="20"/>
        </w:rPr>
        <w:t>Product Supply</w:t>
      </w:r>
    </w:p>
    <w:p w14:paraId="00BACC56" w14:textId="77777777" w:rsidR="00871BDF" w:rsidRDefault="005C5088">
      <w:pPr>
        <w:spacing w:before="120"/>
      </w:pPr>
      <w:r>
        <w:rPr>
          <w:rFonts w:ascii="Times New Roman" w:eastAsia="宋体" w:hAnsi="Times New Roman"/>
          <w:color w:val="000000"/>
          <w:sz w:val="20"/>
          <w:szCs w:val="20"/>
        </w:rPr>
        <w:t xml:space="preserve">Starbucks is committed to selling the finest whole bean coffees and coffee beverages. To ensure compliance with our rigorous coffee standards, we control </w:t>
      </w:r>
      <w:r>
        <w:rPr>
          <w:rFonts w:ascii="Times New Roman" w:eastAsia="宋体" w:hAnsi="Times New Roman"/>
          <w:color w:val="000000"/>
          <w:sz w:val="20"/>
          <w:szCs w:val="20"/>
        </w:rPr>
        <w:t>substantially all coffee purchasing, roasting and packaging and the global distribution of coffee used in our operations. We purchase green coffee beans from multiple coffee-producing regions around the world and custom roast them to our exacting standards</w:t>
      </w:r>
      <w:r>
        <w:rPr>
          <w:rFonts w:ascii="Times New Roman" w:eastAsia="宋体" w:hAnsi="Times New Roman"/>
          <w:color w:val="000000"/>
          <w:sz w:val="20"/>
          <w:szCs w:val="20"/>
        </w:rPr>
        <w:t xml:space="preserve"> for our many blends and single origin coffees.</w:t>
      </w:r>
    </w:p>
    <w:p w14:paraId="00BACC57" w14:textId="77777777" w:rsidR="00871BDF" w:rsidRDefault="005C5088">
      <w:pPr>
        <w:spacing w:before="120"/>
      </w:pPr>
      <w:r>
        <w:rPr>
          <w:rFonts w:ascii="Times New Roman" w:eastAsia="宋体" w:hAnsi="Times New Roman"/>
          <w:color w:val="000000"/>
          <w:sz w:val="20"/>
          <w:szCs w:val="20"/>
        </w:rPr>
        <w:t xml:space="preserve">The price of coffee is subject to significant volatility. Although most coffee trades in the commodity market, high-altitude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of the quality sought by Starbucks tends to trade on a negotiated ba</w:t>
      </w:r>
      <w:r>
        <w:rPr>
          <w:rFonts w:ascii="Times New Roman" w:eastAsia="宋体" w:hAnsi="Times New Roman"/>
          <w:color w:val="000000"/>
          <w:sz w:val="20"/>
          <w:szCs w:val="20"/>
        </w:rPr>
        <w:t>sis at a premium above the “C” coffee commodity price. Both the premium and the commodity price depend upon the supply and demand at the time of purchase. Supply and price can be affected by multiple factors in the producing countries, including weather, n</w:t>
      </w:r>
      <w:r>
        <w:rPr>
          <w:rFonts w:ascii="Times New Roman" w:eastAsia="宋体" w:hAnsi="Times New Roman"/>
          <w:color w:val="000000"/>
          <w:sz w:val="20"/>
          <w:szCs w:val="20"/>
        </w:rPr>
        <w:t xml:space="preserve">atural disasters, crop disease, general increase in farm inputs and costs of production, inventory levels and political and economic conditions. Price is also impacted by trading activities in the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futures market, including hedge funds and co</w:t>
      </w:r>
      <w:r>
        <w:rPr>
          <w:rFonts w:ascii="Times New Roman" w:eastAsia="宋体" w:hAnsi="Times New Roman"/>
          <w:color w:val="000000"/>
          <w:sz w:val="20"/>
          <w:szCs w:val="20"/>
        </w:rPr>
        <w:t>mmodity index funds. In addition, green coffee prices have been affected in the past, and may be affected in the future, by the actions of certain organizations and associations that have historically attempted to influence prices of green coffee through a</w:t>
      </w:r>
      <w:r>
        <w:rPr>
          <w:rFonts w:ascii="Times New Roman" w:eastAsia="宋体" w:hAnsi="Times New Roman"/>
          <w:color w:val="000000"/>
          <w:sz w:val="20"/>
          <w:szCs w:val="20"/>
        </w:rPr>
        <w:t>greements establishing export quotas or by restricting coffee supplies.</w:t>
      </w:r>
    </w:p>
    <w:p w14:paraId="00BACC58" w14:textId="77777777" w:rsidR="00871BDF" w:rsidRDefault="005C5088">
      <w:pPr>
        <w:spacing w:before="120"/>
      </w:pPr>
      <w:r>
        <w:rPr>
          <w:rFonts w:ascii="Times New Roman" w:eastAsia="宋体" w:hAnsi="Times New Roman"/>
          <w:color w:val="000000"/>
          <w:sz w:val="20"/>
          <w:szCs w:val="20"/>
        </w:rPr>
        <w:t>We buy coffee using fixed-price and price-to-be-fixed purchase commitments, depending on market conditions, to secure an adequate supply of quality green coffee. We also utilize forwar</w:t>
      </w:r>
      <w:r>
        <w:rPr>
          <w:rFonts w:ascii="Times New Roman" w:eastAsia="宋体" w:hAnsi="Times New Roman"/>
          <w:color w:val="000000"/>
          <w:sz w:val="20"/>
          <w:szCs w:val="20"/>
        </w:rPr>
        <w:t>d contracts, futures contracts and collars to hedge "C" price exposure under our price-to-be-fixed green coffee contracts and our long-term forecasted coffee demand where underlying fixed price and price-to-be-fixed contracts are not yet available. Total p</w:t>
      </w:r>
      <w:r>
        <w:rPr>
          <w:rFonts w:ascii="Times New Roman" w:eastAsia="宋体" w:hAnsi="Times New Roman"/>
          <w:color w:val="000000"/>
          <w:sz w:val="20"/>
          <w:szCs w:val="20"/>
        </w:rPr>
        <w:t>urchase commitments, together with existing inventory, are expected to provide an adequate supply of green coffee through fiscal 2022.</w:t>
      </w:r>
    </w:p>
    <w:p w14:paraId="00BACC59" w14:textId="77777777" w:rsidR="00871BDF" w:rsidRDefault="005C5088">
      <w:pPr>
        <w:spacing w:before="120"/>
      </w:pPr>
      <w:r>
        <w:rPr>
          <w:rFonts w:ascii="Times New Roman" w:eastAsia="宋体" w:hAnsi="Times New Roman"/>
          <w:color w:val="000000"/>
          <w:sz w:val="20"/>
          <w:szCs w:val="20"/>
        </w:rPr>
        <w:t>We depend upon our relationships with coffee producers, outside trading companies and exporters for our supply of green c</w:t>
      </w:r>
      <w:r>
        <w:rPr>
          <w:rFonts w:ascii="Times New Roman" w:eastAsia="宋体" w:hAnsi="Times New Roman"/>
          <w:color w:val="000000"/>
          <w:sz w:val="20"/>
          <w:szCs w:val="20"/>
        </w:rPr>
        <w:t>offee. We believe, based on relationships established with our suppliers, the risk of non-delivery on such purchase commitments is remote.</w:t>
      </w:r>
    </w:p>
    <w:p w14:paraId="00BACC5A" w14:textId="77777777" w:rsidR="00871BDF" w:rsidRDefault="005C5088">
      <w:pPr>
        <w:spacing w:before="120"/>
      </w:pPr>
      <w:r>
        <w:rPr>
          <w:rFonts w:ascii="Times New Roman" w:eastAsia="宋体" w:hAnsi="Times New Roman"/>
          <w:color w:val="000000"/>
          <w:sz w:val="20"/>
          <w:szCs w:val="20"/>
        </w:rPr>
        <w:t xml:space="preserve">To help ensure the future supply of high-quality green coffee and to reinforce our leadership role in the coffee industry, Starbucks operates nine farmer support centers, including our China Farmer Support Center located in the Yunnan Province of </w:t>
      </w:r>
    </w:p>
    <w:p w14:paraId="00BACC5B" w14:textId="77777777" w:rsidR="00871BDF" w:rsidRDefault="005C5088">
      <w:pPr>
        <w:jc w:val="center"/>
      </w:pPr>
      <w:r>
        <w:rPr>
          <w:rFonts w:ascii="Times New Roman" w:eastAsia="宋体" w:hAnsi="Times New Roman"/>
          <w:color w:val="000000"/>
          <w:sz w:val="20"/>
          <w:szCs w:val="20"/>
        </w:rPr>
        <w:t>5</w:t>
      </w:r>
    </w:p>
    <w:p w14:paraId="00BACC5C" w14:textId="77777777" w:rsidR="00871BDF" w:rsidRDefault="005C5088">
      <w:r>
        <w:pict w14:anchorId="00BB1468">
          <v:rect id="_x0000_i1032" style="width:415.3pt;height:1.5pt" o:hralign="center" o:hrstd="t" o:hr="t" fillcolor="#a0a0a0" stroked="f"/>
        </w:pict>
      </w:r>
    </w:p>
    <w:p w14:paraId="00BACC5D" w14:textId="77777777" w:rsidR="00871BDF" w:rsidRDefault="005C5088">
      <w:hyperlink r:id="rId65" w:anchor="i54ccc64cb5384be5a4849ef1cdef4dde_7" w:history="1">
        <w:r>
          <w:rPr>
            <w:rStyle w:val="a5"/>
            <w:rFonts w:ascii="Times New Roman" w:eastAsia="宋体" w:hAnsi="Times New Roman"/>
            <w:sz w:val="20"/>
            <w:szCs w:val="20"/>
          </w:rPr>
          <w:t>Table of Contents</w:t>
        </w:r>
      </w:hyperlink>
    </w:p>
    <w:p w14:paraId="00BACC5E" w14:textId="77777777" w:rsidR="00871BDF" w:rsidRDefault="005C5088">
      <w:pPr>
        <w:spacing w:before="120"/>
      </w:pPr>
      <w:r>
        <w:rPr>
          <w:rFonts w:ascii="Times New Roman" w:eastAsia="宋体" w:hAnsi="Times New Roman"/>
          <w:color w:val="000000"/>
          <w:sz w:val="20"/>
          <w:szCs w:val="20"/>
        </w:rPr>
        <w:t>this high-growth market. All farmer support centers are staffed with agronomists and sust</w:t>
      </w:r>
      <w:r>
        <w:rPr>
          <w:rFonts w:ascii="Times New Roman" w:eastAsia="宋体" w:hAnsi="Times New Roman"/>
          <w:color w:val="000000"/>
          <w:sz w:val="20"/>
          <w:szCs w:val="20"/>
        </w:rPr>
        <w:t>ainability experts who work with coffee farming communities to promote best practices in coffee production designed to improve both coffee quality and yields and agronomy support to address climate and other impacts.</w:t>
      </w:r>
    </w:p>
    <w:p w14:paraId="00BACC5F" w14:textId="77777777" w:rsidR="00871BDF" w:rsidRDefault="005C5088">
      <w:pPr>
        <w:spacing w:before="120"/>
      </w:pPr>
      <w:r>
        <w:rPr>
          <w:rFonts w:ascii="Times New Roman" w:eastAsia="宋体" w:hAnsi="Times New Roman"/>
          <w:color w:val="000000"/>
          <w:sz w:val="20"/>
          <w:szCs w:val="20"/>
        </w:rPr>
        <w:t>In addition to coffee, we also purchase</w:t>
      </w:r>
      <w:r>
        <w:rPr>
          <w:rFonts w:ascii="Times New Roman" w:eastAsia="宋体" w:hAnsi="Times New Roman"/>
          <w:color w:val="000000"/>
          <w:sz w:val="20"/>
          <w:szCs w:val="20"/>
        </w:rPr>
        <w:t xml:space="preserve"> significant amounts of dairy products, particularly fluid milk, to support the needs of our company-operated stores. We believe, based on relationships established with our dairy suppliers, that the risk of non-delivery of sufficient fluid milk to support</w:t>
      </w:r>
      <w:r>
        <w:rPr>
          <w:rFonts w:ascii="Times New Roman" w:eastAsia="宋体" w:hAnsi="Times New Roman"/>
          <w:color w:val="000000"/>
          <w:sz w:val="20"/>
          <w:szCs w:val="20"/>
        </w:rPr>
        <w:t xml:space="preserve"> our stores is remote.</w:t>
      </w:r>
    </w:p>
    <w:p w14:paraId="00BACC60" w14:textId="77777777" w:rsidR="00871BDF" w:rsidRDefault="005C5088">
      <w:pPr>
        <w:spacing w:before="120"/>
      </w:pPr>
      <w:r>
        <w:rPr>
          <w:rFonts w:ascii="Times New Roman" w:eastAsia="宋体" w:hAnsi="Times New Roman"/>
          <w:color w:val="000000"/>
          <w:sz w:val="20"/>
          <w:szCs w:val="20"/>
        </w:rPr>
        <w:t>Products other than whole bean coffees and coffee beverages sold in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stores include tea and a number of ready-to-drink beverages that are purchased from several specialty suppliers, usually under long-term supply contracts.</w:t>
      </w:r>
      <w:r>
        <w:rPr>
          <w:rFonts w:ascii="Times New Roman" w:eastAsia="宋体" w:hAnsi="Times New Roman"/>
          <w:color w:val="000000"/>
          <w:sz w:val="20"/>
          <w:szCs w:val="20"/>
        </w:rPr>
        <w:t xml:space="preserve"> Food products, such as pastries, breakfast sandwiches and lunch items, are purchased from national, regional and local sources. We also purchase a broad range of paper and plastic products, such as cups and cutlery, from several companies to support the n</w:t>
      </w:r>
      <w:r>
        <w:rPr>
          <w:rFonts w:ascii="Times New Roman" w:eastAsia="宋体" w:hAnsi="Times New Roman"/>
          <w:color w:val="000000"/>
          <w:sz w:val="20"/>
          <w:szCs w:val="20"/>
        </w:rPr>
        <w:t>eeds of our retail stores as well as our manufacturing and distribution operations. We believe, based on relationships established with these suppliers and manufacturers, that the risk of non-delivery of sufficient amounts of these items is remote.</w:t>
      </w:r>
    </w:p>
    <w:p w14:paraId="00BACC61" w14:textId="77777777" w:rsidR="00871BDF" w:rsidRDefault="005C5088">
      <w:pPr>
        <w:spacing w:before="120"/>
      </w:pPr>
      <w:r>
        <w:rPr>
          <w:rFonts w:ascii="Times New Roman" w:eastAsia="宋体" w:hAnsi="Times New Roman"/>
          <w:b/>
          <w:bCs/>
          <w:color w:val="000000"/>
          <w:sz w:val="20"/>
          <w:szCs w:val="20"/>
        </w:rPr>
        <w:t>Competi</w:t>
      </w:r>
      <w:r>
        <w:rPr>
          <w:rFonts w:ascii="Times New Roman" w:eastAsia="宋体" w:hAnsi="Times New Roman"/>
          <w:b/>
          <w:bCs/>
          <w:color w:val="000000"/>
          <w:sz w:val="20"/>
          <w:szCs w:val="20"/>
        </w:rPr>
        <w:t>tion</w:t>
      </w:r>
    </w:p>
    <w:p w14:paraId="00BACC62" w14:textId="77777777" w:rsidR="00871BDF" w:rsidRDefault="005C5088">
      <w:pPr>
        <w:spacing w:before="120"/>
      </w:pPr>
      <w:r>
        <w:rPr>
          <w:rFonts w:ascii="Times New Roman" w:eastAsia="宋体" w:hAnsi="Times New Roman"/>
          <w:color w:val="000000"/>
          <w:sz w:val="20"/>
          <w:szCs w:val="20"/>
        </w:rPr>
        <w:t>Our primary competitors for coffee beverage sales are specialty coffee shops. We believe that our customers choose among specialty coffee retailers primarily on the basis of product quality, service and convenience, as well as price. We continue to ex</w:t>
      </w:r>
      <w:r>
        <w:rPr>
          <w:rFonts w:ascii="Times New Roman" w:eastAsia="宋体" w:hAnsi="Times New Roman"/>
          <w:color w:val="000000"/>
          <w:sz w:val="20"/>
          <w:szCs w:val="20"/>
        </w:rPr>
        <w:t>perience direct competition from large competitors in the quick-service restaurant sector and the ready-to-drink coffee beverage market, in addition to both well-established and start-up companies in many international markets. We also compete with restaur</w:t>
      </w:r>
      <w:r>
        <w:rPr>
          <w:rFonts w:ascii="Times New Roman" w:eastAsia="宋体" w:hAnsi="Times New Roman"/>
          <w:color w:val="000000"/>
          <w:sz w:val="20"/>
          <w:szCs w:val="20"/>
        </w:rPr>
        <w:t>ants and other specialty retailers for prime retail locations and qualified personnel to operate both new and existing stores.</w:t>
      </w:r>
    </w:p>
    <w:p w14:paraId="00BACC63" w14:textId="77777777" w:rsidR="00871BDF" w:rsidRDefault="005C5088">
      <w:pPr>
        <w:spacing w:before="120"/>
      </w:pPr>
      <w:r>
        <w:rPr>
          <w:rFonts w:ascii="Times New Roman" w:eastAsia="宋体" w:hAnsi="Times New Roman"/>
          <w:color w:val="000000"/>
          <w:sz w:val="20"/>
          <w:szCs w:val="20"/>
        </w:rPr>
        <w:t>Our coffee and tea products sold through our Channel Development segment compete directly against specialty coffees and teas sold</w:t>
      </w:r>
      <w:r>
        <w:rPr>
          <w:rFonts w:ascii="Times New Roman" w:eastAsia="宋体" w:hAnsi="Times New Roman"/>
          <w:color w:val="000000"/>
          <w:sz w:val="20"/>
          <w:szCs w:val="20"/>
        </w:rPr>
        <w:t xml:space="preserve"> through grocery stores, warehouse clubs, specialty retailers, convenience stores and foodservice accounts and compete indirectly against all other coffees and teas on the market. </w:t>
      </w:r>
    </w:p>
    <w:p w14:paraId="00BACC64" w14:textId="77777777" w:rsidR="00871BDF" w:rsidRDefault="005C5088">
      <w:pPr>
        <w:spacing w:before="120"/>
      </w:pPr>
      <w:r>
        <w:rPr>
          <w:rFonts w:ascii="Times New Roman" w:eastAsia="宋体" w:hAnsi="Times New Roman"/>
          <w:b/>
          <w:bCs/>
          <w:color w:val="000000"/>
          <w:sz w:val="20"/>
          <w:szCs w:val="20"/>
        </w:rPr>
        <w:t>Trademarks, Copyrights, Patents and Domain Names</w:t>
      </w:r>
    </w:p>
    <w:p w14:paraId="00BACC65" w14:textId="77777777" w:rsidR="00871BDF" w:rsidRDefault="005C5088">
      <w:pPr>
        <w:spacing w:before="120"/>
      </w:pPr>
      <w:r>
        <w:rPr>
          <w:rFonts w:ascii="Times New Roman" w:eastAsia="宋体" w:hAnsi="Times New Roman"/>
          <w:color w:val="000000"/>
          <w:sz w:val="20"/>
          <w:szCs w:val="20"/>
        </w:rPr>
        <w:t xml:space="preserve">Starbucks owns and has </w:t>
      </w:r>
      <w:r>
        <w:rPr>
          <w:rFonts w:ascii="Times New Roman" w:eastAsia="宋体" w:hAnsi="Times New Roman"/>
          <w:color w:val="000000"/>
          <w:sz w:val="20"/>
          <w:szCs w:val="20"/>
        </w:rPr>
        <w:t>applied to register numerous trademarks and service marks in the U.S. and in other countries throughout the world. Some of our trademarks, including Starbucks, the Starbucks logo, Starbucks Reserve, Seattle’s Best Coffee, Teavana and Frappuccino are of mat</w:t>
      </w:r>
      <w:r>
        <w:rPr>
          <w:rFonts w:ascii="Times New Roman" w:eastAsia="宋体" w:hAnsi="Times New Roman"/>
          <w:color w:val="000000"/>
          <w:sz w:val="20"/>
          <w:szCs w:val="20"/>
        </w:rPr>
        <w:t>erial importance. The duration of trademark registrations varies from country to country. However, trademarks are generally valid and may be renewed indefinitely as long as they are in use and/or their registrations are properly maintained.</w:t>
      </w:r>
    </w:p>
    <w:p w14:paraId="00BACC66" w14:textId="77777777" w:rsidR="00871BDF" w:rsidRDefault="005C5088">
      <w:pPr>
        <w:spacing w:before="120"/>
      </w:pPr>
      <w:r>
        <w:rPr>
          <w:rFonts w:ascii="Times New Roman" w:eastAsia="宋体" w:hAnsi="Times New Roman"/>
          <w:color w:val="000000"/>
          <w:sz w:val="20"/>
          <w:szCs w:val="20"/>
        </w:rPr>
        <w:t>We own numerous</w:t>
      </w:r>
      <w:r>
        <w:rPr>
          <w:rFonts w:ascii="Times New Roman" w:eastAsia="宋体" w:hAnsi="Times New Roman"/>
          <w:color w:val="000000"/>
          <w:sz w:val="20"/>
          <w:szCs w:val="20"/>
        </w:rPr>
        <w:t xml:space="preserve"> copyrights for items such as product packaging, promotional materials, in-store graphics and training materials. We also hold patents on certain products, systems and designs. In addition, Starbucks has registered and maintains numerous Internet domain na</w:t>
      </w:r>
      <w:r>
        <w:rPr>
          <w:rFonts w:ascii="Times New Roman" w:eastAsia="宋体" w:hAnsi="Times New Roman"/>
          <w:color w:val="000000"/>
          <w:sz w:val="20"/>
          <w:szCs w:val="20"/>
        </w:rPr>
        <w:t>mes, including “Starbucks.com,” “Starbucks.net,” “Starbucksreserve.com,” “Seattlesbest.com” and “Teavana.com.”</w:t>
      </w:r>
    </w:p>
    <w:p w14:paraId="00BACC67" w14:textId="77777777" w:rsidR="00871BDF" w:rsidRDefault="005C5088">
      <w:pPr>
        <w:spacing w:before="120"/>
      </w:pPr>
      <w:r>
        <w:rPr>
          <w:rFonts w:ascii="Times New Roman" w:eastAsia="宋体" w:hAnsi="Times New Roman"/>
          <w:b/>
          <w:bCs/>
          <w:color w:val="000000"/>
          <w:sz w:val="20"/>
          <w:szCs w:val="20"/>
        </w:rPr>
        <w:t>Seasonality and Quarterly Results</w:t>
      </w:r>
    </w:p>
    <w:p w14:paraId="00BACC68" w14:textId="77777777" w:rsidR="00871BDF" w:rsidRDefault="005C5088">
      <w:pPr>
        <w:spacing w:before="120"/>
      </w:pPr>
      <w:r>
        <w:rPr>
          <w:rFonts w:ascii="Times New Roman" w:eastAsia="宋体" w:hAnsi="Times New Roman"/>
          <w:color w:val="000000"/>
          <w:sz w:val="20"/>
          <w:szCs w:val="20"/>
        </w:rPr>
        <w:t>Our business is subject to moderate seasonal fluctuations, of which our fiscal second quarter typically experie</w:t>
      </w:r>
      <w:r>
        <w:rPr>
          <w:rFonts w:ascii="Times New Roman" w:eastAsia="宋体" w:hAnsi="Times New Roman"/>
          <w:color w:val="000000"/>
          <w:sz w:val="20"/>
          <w:szCs w:val="20"/>
        </w:rPr>
        <w:t>nces lower revenues and operating income. However, the COVID-19 outbreak may have an impact on consumer behaviors and customer traffic that may result in temporary changes in the seasonal fluctuations of our business. Additionally, as Starbucks Cards are i</w:t>
      </w:r>
      <w:r>
        <w:rPr>
          <w:rFonts w:ascii="Times New Roman" w:eastAsia="宋体" w:hAnsi="Times New Roman"/>
          <w:color w:val="000000"/>
          <w:sz w:val="20"/>
          <w:szCs w:val="20"/>
        </w:rPr>
        <w:t>ssued to and loaded by customers during the holiday season, we tend to have higher cash flows from operations during the first quarter of the fiscal year. However, since revenues from Starbucks Cards are recognized upon redemption and not when cash is load</w:t>
      </w:r>
      <w:r>
        <w:rPr>
          <w:rFonts w:ascii="Times New Roman" w:eastAsia="宋体" w:hAnsi="Times New Roman"/>
          <w:color w:val="000000"/>
          <w:sz w:val="20"/>
          <w:szCs w:val="20"/>
        </w:rPr>
        <w:t>ed onto the Card, the impact of seasonal fluctuations on the consolidated statements of earnings is much less pronounced. As a result of moderate seasonal fluctuations, results for any quarter are not necessarily indicative of the results that may be achie</w:t>
      </w:r>
      <w:r>
        <w:rPr>
          <w:rFonts w:ascii="Times New Roman" w:eastAsia="宋体" w:hAnsi="Times New Roman"/>
          <w:color w:val="000000"/>
          <w:sz w:val="20"/>
          <w:szCs w:val="20"/>
        </w:rPr>
        <w:t>ved for the full fiscal year.</w:t>
      </w:r>
    </w:p>
    <w:p w14:paraId="00BACC69" w14:textId="77777777" w:rsidR="00871BDF" w:rsidRDefault="005C5088">
      <w:pPr>
        <w:spacing w:before="120"/>
      </w:pPr>
      <w:r>
        <w:rPr>
          <w:rFonts w:ascii="Times New Roman" w:eastAsia="宋体" w:hAnsi="Times New Roman"/>
          <w:b/>
          <w:bCs/>
          <w:color w:val="000000"/>
          <w:sz w:val="20"/>
          <w:szCs w:val="20"/>
        </w:rPr>
        <w:t xml:space="preserve">Government Regulation </w:t>
      </w:r>
    </w:p>
    <w:p w14:paraId="00BACC6A" w14:textId="77777777" w:rsidR="00871BDF" w:rsidRDefault="005C5088">
      <w:pPr>
        <w:spacing w:before="120"/>
      </w:pPr>
      <w:r>
        <w:rPr>
          <w:rFonts w:ascii="Times New Roman" w:eastAsia="宋体" w:hAnsi="Times New Roman"/>
          <w:color w:val="000000"/>
          <w:sz w:val="20"/>
          <w:szCs w:val="20"/>
        </w:rPr>
        <w:t>As a company with global operations, we are subject to the laws of the United States and multiple foreign jurisdictions in which we operate and the rules and regulations of various governing bodies, whic</w:t>
      </w:r>
      <w:r>
        <w:rPr>
          <w:rFonts w:ascii="Times New Roman" w:eastAsia="宋体" w:hAnsi="Times New Roman"/>
          <w:color w:val="000000"/>
          <w:sz w:val="20"/>
          <w:szCs w:val="20"/>
        </w:rPr>
        <w:t>h may differ among jurisdictions. Compliance with these laws, rules and regulation has not had, and is not expected to have, a material effect on our capital expenditures, results of operations and competitive position as compared to prior periods.</w:t>
      </w:r>
    </w:p>
    <w:p w14:paraId="00BACC6B" w14:textId="77777777" w:rsidR="00871BDF" w:rsidRDefault="005C5088">
      <w:pPr>
        <w:jc w:val="center"/>
      </w:pPr>
      <w:r>
        <w:rPr>
          <w:rFonts w:ascii="Times New Roman" w:eastAsia="宋体" w:hAnsi="Times New Roman"/>
          <w:color w:val="000000"/>
          <w:sz w:val="20"/>
          <w:szCs w:val="20"/>
        </w:rPr>
        <w:t>6</w:t>
      </w:r>
    </w:p>
    <w:p w14:paraId="00BACC6C" w14:textId="77777777" w:rsidR="00871BDF" w:rsidRDefault="005C5088">
      <w:r>
        <w:pict w14:anchorId="00BB1469">
          <v:rect id="_x0000_i1033" style="width:415.3pt;height:1.5pt" o:hralign="center" o:hrstd="t" o:hr="t" fillcolor="#a0a0a0" stroked="f"/>
        </w:pict>
      </w:r>
    </w:p>
    <w:p w14:paraId="00BACC6D" w14:textId="77777777" w:rsidR="00871BDF" w:rsidRDefault="005C5088">
      <w:hyperlink r:id="rId66" w:anchor="i54ccc64cb5384be5a4849ef1cdef4dde_7" w:history="1">
        <w:r>
          <w:rPr>
            <w:rStyle w:val="a5"/>
            <w:rFonts w:ascii="Times New Roman" w:eastAsia="宋体" w:hAnsi="Times New Roman"/>
            <w:sz w:val="20"/>
            <w:szCs w:val="20"/>
          </w:rPr>
          <w:t>Table of Contents</w:t>
        </w:r>
      </w:hyperlink>
    </w:p>
    <w:p w14:paraId="00BACC6E" w14:textId="77777777" w:rsidR="00871BDF" w:rsidRDefault="005C5088">
      <w:pPr>
        <w:spacing w:before="120"/>
      </w:pPr>
      <w:r>
        <w:rPr>
          <w:rFonts w:ascii="Times New Roman" w:eastAsia="宋体" w:hAnsi="Times New Roman"/>
          <w:b/>
          <w:bCs/>
          <w:color w:val="000000"/>
          <w:sz w:val="20"/>
          <w:szCs w:val="20"/>
        </w:rPr>
        <w:t>Human Capital Management</w:t>
      </w:r>
    </w:p>
    <w:p w14:paraId="00BACC6F" w14:textId="77777777" w:rsidR="00871BDF" w:rsidRDefault="005C5088">
      <w:pPr>
        <w:spacing w:before="120"/>
      </w:pPr>
      <w:r>
        <w:rPr>
          <w:rFonts w:ascii="Times New Roman" w:eastAsia="宋体" w:hAnsi="Times New Roman"/>
          <w:color w:val="000000"/>
          <w:sz w:val="20"/>
          <w:szCs w:val="20"/>
        </w:rPr>
        <w:t>As a company, Starbucks mission is not only to deliver outstand</w:t>
      </w:r>
      <w:r>
        <w:rPr>
          <w:rFonts w:ascii="Times New Roman" w:eastAsia="宋体" w:hAnsi="Times New Roman"/>
          <w:color w:val="000000"/>
          <w:sz w:val="20"/>
          <w:szCs w:val="20"/>
        </w:rPr>
        <w:t xml:space="preserve">ing financial results by offering exceptional and unique products and services, but to also create a strong connection with the communities where we operate. We believe the strength of our workforce is one of the significant contributors to our success as </w:t>
      </w:r>
      <w:r>
        <w:rPr>
          <w:rFonts w:ascii="Times New Roman" w:eastAsia="宋体" w:hAnsi="Times New Roman"/>
          <w:color w:val="000000"/>
          <w:sz w:val="20"/>
          <w:szCs w:val="20"/>
        </w:rPr>
        <w:t>a global brand that leads with purpose. This is largely attributed to our partners (employees) who strive every day to create a welcoming and inclusive environment for our customers. Therefore, one of our core strategies is to invest in and support our par</w:t>
      </w:r>
      <w:r>
        <w:rPr>
          <w:rFonts w:ascii="Times New Roman" w:eastAsia="宋体" w:hAnsi="Times New Roman"/>
          <w:color w:val="000000"/>
          <w:sz w:val="20"/>
          <w:szCs w:val="20"/>
        </w:rPr>
        <w:t xml:space="preserve">tners to differentiate our brand, products and services in the competitive specialty coffee market, including the following areas of focus: </w:t>
      </w:r>
    </w:p>
    <w:p w14:paraId="00BACC70" w14:textId="77777777" w:rsidR="00871BDF" w:rsidRDefault="005C5088">
      <w:pPr>
        <w:spacing w:before="120"/>
      </w:pPr>
      <w:r>
        <w:rPr>
          <w:rFonts w:ascii="Times New Roman" w:eastAsia="宋体" w:hAnsi="Times New Roman"/>
          <w:i/>
          <w:iCs/>
          <w:color w:val="000000"/>
          <w:sz w:val="20"/>
          <w:szCs w:val="20"/>
        </w:rPr>
        <w:t xml:space="preserve">Oversight and Management </w:t>
      </w:r>
    </w:p>
    <w:p w14:paraId="00BACC71" w14:textId="77777777" w:rsidR="00871BDF" w:rsidRDefault="005C5088">
      <w:pPr>
        <w:spacing w:before="120"/>
      </w:pPr>
      <w:r>
        <w:rPr>
          <w:rFonts w:ascii="Times New Roman" w:eastAsia="宋体" w:hAnsi="Times New Roman"/>
          <w:color w:val="000000"/>
          <w:sz w:val="20"/>
          <w:szCs w:val="20"/>
        </w:rPr>
        <w:t>We recognize the diversity of customers, partners and communities, and believe in creatin</w:t>
      </w:r>
      <w:r>
        <w:rPr>
          <w:rFonts w:ascii="Times New Roman" w:eastAsia="宋体" w:hAnsi="Times New Roman"/>
          <w:color w:val="000000"/>
          <w:sz w:val="20"/>
          <w:szCs w:val="20"/>
        </w:rPr>
        <w:t>g an inclusive and equitable environment that represents a broad spectrum of backgrounds and cultures. Working under these principles, our Partner Resources Organization is tasked with managing employment-related matters, including recruiting and hiring, o</w:t>
      </w:r>
      <w:r>
        <w:rPr>
          <w:rFonts w:ascii="Times New Roman" w:eastAsia="宋体" w:hAnsi="Times New Roman"/>
          <w:color w:val="000000"/>
          <w:sz w:val="20"/>
          <w:szCs w:val="20"/>
        </w:rPr>
        <w:t>nboarding and training, compensation planning, performance management and professional development. Our Board of Directors and Board committees provide oversight on certain human capital matters, including our Inclusion and Diversity programs and initiativ</w:t>
      </w:r>
      <w:r>
        <w:rPr>
          <w:rFonts w:ascii="Times New Roman" w:eastAsia="宋体" w:hAnsi="Times New Roman"/>
          <w:color w:val="000000"/>
          <w:sz w:val="20"/>
          <w:szCs w:val="20"/>
        </w:rPr>
        <w:t>es. As noted in its charter, our Compensation and Management Development Committee is responsible for periodically reviewing Starbucks partner resource programs and initiatives, including healthcare and other benefits, as well as our management development</w:t>
      </w:r>
      <w:r>
        <w:rPr>
          <w:rFonts w:ascii="Times New Roman" w:eastAsia="宋体" w:hAnsi="Times New Roman"/>
          <w:color w:val="000000"/>
          <w:sz w:val="20"/>
          <w:szCs w:val="20"/>
        </w:rPr>
        <w:t xml:space="preserve"> and succession planning practices and strategies. Our Audit and Compliance Committee works closely with the Risk Management Committee, led by Starbucks cfo and general counsel, to monitor current and emerging labor and human capital management risks and t</w:t>
      </w:r>
      <w:r>
        <w:rPr>
          <w:rFonts w:ascii="Times New Roman" w:eastAsia="宋体" w:hAnsi="Times New Roman"/>
          <w:color w:val="000000"/>
          <w:sz w:val="20"/>
          <w:szCs w:val="20"/>
        </w:rPr>
        <w:t xml:space="preserve">o mitigate exposure to those risks. Furthermore, our Nominating and Corporate Governance Committee annually evaluates the effectiveness of our social responsibility policies, goals and programs, which also include partner-related issues. These reports and </w:t>
      </w:r>
      <w:r>
        <w:rPr>
          <w:rFonts w:ascii="Times New Roman" w:eastAsia="宋体" w:hAnsi="Times New Roman"/>
          <w:color w:val="000000"/>
          <w:sz w:val="20"/>
          <w:szCs w:val="20"/>
        </w:rPr>
        <w:t xml:space="preserve">recommendations to the Board and its committees are part of the broader framework that guides how Starbucks should attract, retain and develop a workforce that aligns with our values and strategies. </w:t>
      </w:r>
    </w:p>
    <w:p w14:paraId="00BACC72" w14:textId="77777777" w:rsidR="00871BDF" w:rsidRDefault="005C5088">
      <w:pPr>
        <w:spacing w:before="120"/>
      </w:pPr>
      <w:r>
        <w:rPr>
          <w:rFonts w:ascii="Times New Roman" w:eastAsia="宋体" w:hAnsi="Times New Roman"/>
          <w:color w:val="000000"/>
          <w:sz w:val="20"/>
          <w:szCs w:val="20"/>
        </w:rPr>
        <w:t xml:space="preserve">We regularly conduct anonymous surveys to seek feedback </w:t>
      </w:r>
      <w:r>
        <w:rPr>
          <w:rFonts w:ascii="Times New Roman" w:eastAsia="宋体" w:hAnsi="Times New Roman"/>
          <w:color w:val="000000"/>
          <w:sz w:val="20"/>
          <w:szCs w:val="20"/>
        </w:rPr>
        <w:t xml:space="preserve">from our retail and non-retail partners on a variety of topics, including but not limited to, confidence in company leadership, competitiveness of our compensation and benefits package, career growth opportunities and improvements on how we could make our </w:t>
      </w:r>
      <w:r>
        <w:rPr>
          <w:rFonts w:ascii="Times New Roman" w:eastAsia="宋体" w:hAnsi="Times New Roman"/>
          <w:color w:val="000000"/>
          <w:sz w:val="20"/>
          <w:szCs w:val="20"/>
        </w:rPr>
        <w:t>company an employer of choice. The results are shared with our partners and reviewed by senior leadership, who analyze areas of progress or deterioration and prioritize actions and activities in response to this feedback to drive meaningful improvements in</w:t>
      </w:r>
      <w:r>
        <w:rPr>
          <w:rFonts w:ascii="Times New Roman" w:eastAsia="宋体" w:hAnsi="Times New Roman"/>
          <w:color w:val="000000"/>
          <w:sz w:val="20"/>
          <w:szCs w:val="20"/>
        </w:rPr>
        <w:t xml:space="preserve"> partner engagement. Our management and cross-functional teams also work closely to evaluate human capital management issues such as partner retention, workplace safety, harassment and bullying, as well as to implement measures to mitigate these risks. </w:t>
      </w:r>
    </w:p>
    <w:p w14:paraId="00BACC73" w14:textId="77777777" w:rsidR="00871BDF" w:rsidRDefault="005C5088">
      <w:pPr>
        <w:spacing w:before="120"/>
      </w:pPr>
      <w:r>
        <w:rPr>
          <w:rFonts w:ascii="Times New Roman" w:eastAsia="宋体" w:hAnsi="Times New Roman"/>
          <w:i/>
          <w:iCs/>
          <w:color w:val="000000"/>
          <w:sz w:val="20"/>
          <w:szCs w:val="20"/>
        </w:rPr>
        <w:t>To</w:t>
      </w:r>
      <w:r>
        <w:rPr>
          <w:rFonts w:ascii="Times New Roman" w:eastAsia="宋体" w:hAnsi="Times New Roman"/>
          <w:i/>
          <w:iCs/>
          <w:color w:val="000000"/>
          <w:sz w:val="20"/>
          <w:szCs w:val="20"/>
        </w:rPr>
        <w:t>tal Rewards</w:t>
      </w:r>
    </w:p>
    <w:p w14:paraId="00BACC74" w14:textId="77777777" w:rsidR="00871BDF" w:rsidRDefault="005C5088">
      <w:pPr>
        <w:spacing w:before="120"/>
      </w:pPr>
      <w:r>
        <w:rPr>
          <w:rFonts w:ascii="Times New Roman" w:eastAsia="宋体" w:hAnsi="Times New Roman"/>
          <w:color w:val="000000"/>
          <w:sz w:val="20"/>
          <w:szCs w:val="20"/>
        </w:rPr>
        <w:t>We have demonstrated a history of investing in our workforce by offering competitive salaries and wages. To foster a stronger sense of ownership and align the interests of partners with shareholders, restricted stock units are provided to eligi</w:t>
      </w:r>
      <w:r>
        <w:rPr>
          <w:rFonts w:ascii="Times New Roman" w:eastAsia="宋体" w:hAnsi="Times New Roman"/>
          <w:color w:val="000000"/>
          <w:sz w:val="20"/>
          <w:szCs w:val="20"/>
        </w:rPr>
        <w:t>ble non-executive partners under our broad-based stock incentive programs. Furthermore, we offer comprehensive, locally relevant and innovative benefits to all eligible partners. In the U.S</w:t>
      </w:r>
      <w:r>
        <w:rPr>
          <w:rFonts w:ascii="Times New Roman" w:eastAsia="宋体" w:hAnsi="Times New Roman"/>
          <w:color w:val="000000"/>
          <w:sz w:val="20"/>
          <w:szCs w:val="20"/>
          <w:u w:val="single"/>
        </w:rPr>
        <w:t>,</w:t>
      </w:r>
      <w:r>
        <w:rPr>
          <w:rFonts w:ascii="Times New Roman" w:eastAsia="宋体" w:hAnsi="Times New Roman"/>
          <w:color w:val="000000"/>
          <w:sz w:val="20"/>
          <w:szCs w:val="20"/>
        </w:rPr>
        <w:t xml:space="preserve"> our largest and most mature market, these include, among other be</w:t>
      </w:r>
      <w:r>
        <w:rPr>
          <w:rFonts w:ascii="Times New Roman" w:eastAsia="宋体" w:hAnsi="Times New Roman"/>
          <w:color w:val="000000"/>
          <w:sz w:val="20"/>
          <w:szCs w:val="20"/>
        </w:rPr>
        <w:t xml:space="preserve">nefits: </w:t>
      </w:r>
    </w:p>
    <w:p w14:paraId="00BACC75" w14:textId="77777777" w:rsidR="00871BDF" w:rsidRDefault="005C5088">
      <w:pPr>
        <w:spacing w:before="120"/>
        <w:ind w:hanging="180"/>
      </w:pPr>
      <w:r>
        <w:rPr>
          <w:rFonts w:ascii="Times New Roman" w:eastAsia="宋体" w:hAnsi="Times New Roman"/>
          <w:color w:val="000000"/>
          <w:sz w:val="20"/>
          <w:szCs w:val="20"/>
        </w:rPr>
        <w:t xml:space="preserve">•Comprehensive health insurance coverage is offered to partners working an average of 20 hours or more each week. </w:t>
      </w:r>
    </w:p>
    <w:p w14:paraId="00BACC76" w14:textId="77777777" w:rsidR="00871BDF" w:rsidRDefault="005C5088">
      <w:pPr>
        <w:spacing w:before="120"/>
        <w:ind w:hanging="180"/>
      </w:pPr>
      <w:r>
        <w:rPr>
          <w:rFonts w:ascii="Times New Roman" w:eastAsia="宋体" w:hAnsi="Times New Roman"/>
          <w:color w:val="000000"/>
          <w:sz w:val="20"/>
          <w:szCs w:val="20"/>
        </w:rPr>
        <w:t xml:space="preserve">•100% tuition coverage is provided to partners who earn a bachelor's degree online at Arizona State University through the </w:t>
      </w:r>
      <w:r>
        <w:rPr>
          <w:rFonts w:ascii="Times New Roman" w:eastAsia="宋体" w:hAnsi="Times New Roman"/>
          <w:color w:val="000000"/>
          <w:sz w:val="20"/>
          <w:szCs w:val="20"/>
        </w:rPr>
        <w:t>Starbucks College Achievement Program.</w:t>
      </w:r>
    </w:p>
    <w:p w14:paraId="00BACC77" w14:textId="77777777" w:rsidR="00871BDF" w:rsidRDefault="005C5088">
      <w:pPr>
        <w:spacing w:before="120"/>
        <w:ind w:hanging="180"/>
      </w:pPr>
      <w:r>
        <w:rPr>
          <w:rFonts w:ascii="Times New Roman" w:eastAsia="宋体" w:hAnsi="Times New Roman"/>
          <w:color w:val="000000"/>
          <w:sz w:val="20"/>
          <w:szCs w:val="20"/>
        </w:rPr>
        <w:t xml:space="preserve">•Parental leaves are provided to all new parents for birth, adoption or foster placement. </w:t>
      </w:r>
    </w:p>
    <w:p w14:paraId="00BACC78" w14:textId="77777777" w:rsidR="00871BDF" w:rsidRDefault="005C5088">
      <w:pPr>
        <w:spacing w:before="120"/>
        <w:ind w:hanging="180"/>
      </w:pPr>
      <w:r>
        <w:rPr>
          <w:rFonts w:ascii="Times New Roman" w:eastAsia="宋体" w:hAnsi="Times New Roman"/>
          <w:color w:val="000000"/>
          <w:sz w:val="20"/>
          <w:szCs w:val="20"/>
        </w:rPr>
        <w:t>•A Partner and Family Sick Time program is provided and allows partners to accrue paid sick time based on hours worked and use</w:t>
      </w:r>
      <w:r>
        <w:rPr>
          <w:rFonts w:ascii="Times New Roman" w:eastAsia="宋体" w:hAnsi="Times New Roman"/>
          <w:color w:val="000000"/>
          <w:sz w:val="20"/>
          <w:szCs w:val="20"/>
        </w:rPr>
        <w:t xml:space="preserve"> that time for themselves or family members in need of care. </w:t>
      </w:r>
    </w:p>
    <w:p w14:paraId="00BACC79" w14:textId="77777777" w:rsidR="00871BDF" w:rsidRDefault="005C5088">
      <w:pPr>
        <w:spacing w:before="120"/>
        <w:ind w:hanging="180"/>
      </w:pPr>
      <w:r>
        <w:rPr>
          <w:rFonts w:ascii="Times New Roman" w:eastAsia="宋体" w:hAnsi="Times New Roman"/>
          <w:color w:val="000000"/>
          <w:sz w:val="20"/>
          <w:szCs w:val="20"/>
        </w:rPr>
        <w:t>•Care@Work benefit provides partners with subsidized child, adult or senior care planning services. This benefit includes up to 20 days of subsidized backup care services through the end of fisc</w:t>
      </w:r>
      <w:r>
        <w:rPr>
          <w:rFonts w:ascii="Times New Roman" w:eastAsia="宋体" w:hAnsi="Times New Roman"/>
          <w:color w:val="000000"/>
          <w:sz w:val="20"/>
          <w:szCs w:val="20"/>
        </w:rPr>
        <w:t xml:space="preserve">al 2021, in light of the COVID-19 pandemic. </w:t>
      </w:r>
    </w:p>
    <w:p w14:paraId="00BACC7A" w14:textId="77777777" w:rsidR="00871BDF" w:rsidRDefault="005C5088">
      <w:pPr>
        <w:spacing w:before="120"/>
        <w:ind w:hanging="180"/>
      </w:pPr>
      <w:r>
        <w:rPr>
          <w:rFonts w:ascii="Times New Roman" w:eastAsia="宋体" w:hAnsi="Times New Roman"/>
          <w:color w:val="000000"/>
          <w:sz w:val="20"/>
          <w:szCs w:val="20"/>
        </w:rPr>
        <w:t>•We view mental health as a fundamental part of our humanity and implemented a comprehensive suite of related programs and benefits in fiscal 2020. These include Headspace, an online application that enables gui</w:t>
      </w:r>
      <w:r>
        <w:rPr>
          <w:rFonts w:ascii="Times New Roman" w:eastAsia="宋体" w:hAnsi="Times New Roman"/>
          <w:color w:val="000000"/>
          <w:sz w:val="20"/>
          <w:szCs w:val="20"/>
        </w:rPr>
        <w:t xml:space="preserve">ded mediation, Lyra, which provides mental health coaching, and Starbucks Mental Health Fundamental Training, created in partnership with National Council for Behavioral Health, which offers ongoing training to help partners recognize and respond to signs </w:t>
      </w:r>
      <w:r>
        <w:rPr>
          <w:rFonts w:ascii="Times New Roman" w:eastAsia="宋体" w:hAnsi="Times New Roman"/>
          <w:color w:val="000000"/>
          <w:sz w:val="20"/>
          <w:szCs w:val="20"/>
        </w:rPr>
        <w:t xml:space="preserve">of mental health and substance use issues. </w:t>
      </w:r>
    </w:p>
    <w:p w14:paraId="00BACC7B" w14:textId="77777777" w:rsidR="00871BDF" w:rsidRDefault="005C5088">
      <w:pPr>
        <w:spacing w:before="120"/>
      </w:pPr>
      <w:r>
        <w:rPr>
          <w:rFonts w:ascii="Times New Roman" w:eastAsia="宋体" w:hAnsi="Times New Roman"/>
          <w:color w:val="000000"/>
          <w:sz w:val="20"/>
          <w:szCs w:val="20"/>
        </w:rPr>
        <w:t>Outside of the U.S., we have provided other innovative benefits to help address market-specific needs, such as providing interest-free loans to our U.K. partners to help cover rental deposits, mental health servi</w:t>
      </w:r>
      <w:r>
        <w:rPr>
          <w:rFonts w:ascii="Times New Roman" w:eastAsia="宋体" w:hAnsi="Times New Roman"/>
          <w:color w:val="000000"/>
          <w:sz w:val="20"/>
          <w:szCs w:val="20"/>
        </w:rPr>
        <w:t>ces in Canada, and in China, a monthly housing subsidy for full-time Starbucks baristas and shift supervisor</w:t>
      </w:r>
      <w:r>
        <w:rPr>
          <w:rFonts w:ascii="Times New Roman" w:eastAsia="宋体" w:hAnsi="Times New Roman"/>
          <w:color w:val="000000"/>
          <w:sz w:val="20"/>
          <w:szCs w:val="20"/>
          <w:u w:val="single"/>
        </w:rPr>
        <w:t>s</w:t>
      </w:r>
      <w:r>
        <w:rPr>
          <w:rFonts w:ascii="Times New Roman" w:eastAsia="宋体" w:hAnsi="Times New Roman"/>
          <w:color w:val="000000"/>
          <w:sz w:val="20"/>
          <w:szCs w:val="20"/>
        </w:rPr>
        <w:t xml:space="preserve">, as well as comprehensive health insurance coverage for parents of partners. </w:t>
      </w:r>
    </w:p>
    <w:p w14:paraId="00BACC7C" w14:textId="77777777" w:rsidR="00871BDF" w:rsidRDefault="005C5088">
      <w:pPr>
        <w:jc w:val="center"/>
      </w:pPr>
      <w:r>
        <w:rPr>
          <w:rFonts w:ascii="Times New Roman" w:eastAsia="宋体" w:hAnsi="Times New Roman"/>
          <w:color w:val="000000"/>
          <w:sz w:val="20"/>
          <w:szCs w:val="20"/>
        </w:rPr>
        <w:t>7</w:t>
      </w:r>
    </w:p>
    <w:p w14:paraId="00BACC7D" w14:textId="77777777" w:rsidR="00871BDF" w:rsidRDefault="005C5088">
      <w:r>
        <w:pict w14:anchorId="00BB146A">
          <v:rect id="_x0000_i1034" style="width:415.3pt;height:1.5pt" o:hralign="center" o:hrstd="t" o:hr="t" fillcolor="#a0a0a0" stroked="f"/>
        </w:pict>
      </w:r>
    </w:p>
    <w:p w14:paraId="00BACC7E" w14:textId="77777777" w:rsidR="00871BDF" w:rsidRDefault="005C5088">
      <w:hyperlink r:id="rId67" w:anchor="i54ccc64cb5384be5a4849ef1cdef4dde_7" w:history="1">
        <w:r>
          <w:rPr>
            <w:rStyle w:val="a5"/>
            <w:rFonts w:ascii="Times New Roman" w:eastAsia="宋体" w:hAnsi="Times New Roman"/>
            <w:sz w:val="20"/>
            <w:szCs w:val="20"/>
          </w:rPr>
          <w:t>Table of Contents</w:t>
        </w:r>
      </w:hyperlink>
    </w:p>
    <w:p w14:paraId="00BACC7F" w14:textId="77777777" w:rsidR="00871BDF" w:rsidRDefault="005C5088">
      <w:pPr>
        <w:spacing w:before="120"/>
      </w:pPr>
      <w:r>
        <w:rPr>
          <w:rFonts w:ascii="Times New Roman" w:eastAsia="宋体" w:hAnsi="Times New Roman"/>
          <w:i/>
          <w:iCs/>
          <w:color w:val="000000"/>
          <w:sz w:val="20"/>
          <w:szCs w:val="20"/>
        </w:rPr>
        <w:t xml:space="preserve">Role-based Support </w:t>
      </w:r>
    </w:p>
    <w:p w14:paraId="00BACC80" w14:textId="77777777" w:rsidR="00871BDF" w:rsidRDefault="005C5088">
      <w:pPr>
        <w:spacing w:before="120"/>
      </w:pPr>
      <w:r>
        <w:rPr>
          <w:rFonts w:ascii="Times New Roman" w:eastAsia="宋体" w:hAnsi="Times New Roman"/>
          <w:color w:val="000000"/>
          <w:sz w:val="20"/>
          <w:szCs w:val="20"/>
        </w:rPr>
        <w:t>To help our partners succeed in their roles, we emphasize continuous training and development opportunities. These include, but a</w:t>
      </w:r>
      <w:r>
        <w:rPr>
          <w:rFonts w:ascii="Times New Roman" w:eastAsia="宋体" w:hAnsi="Times New Roman"/>
          <w:color w:val="000000"/>
          <w:sz w:val="20"/>
          <w:szCs w:val="20"/>
        </w:rPr>
        <w:t>re not limited to, safety and security protocols, updates on new products and service offerings and deployment of technologies. Training provided through our Pour Over sessions include a wide variety of topics such as achievable goal setting, giving and re</w:t>
      </w:r>
      <w:r>
        <w:rPr>
          <w:rFonts w:ascii="Times New Roman" w:eastAsia="宋体" w:hAnsi="Times New Roman"/>
          <w:color w:val="000000"/>
          <w:sz w:val="20"/>
          <w:szCs w:val="20"/>
        </w:rPr>
        <w:t>ceiving constructive feedback and effective engagement with customers and communities. To help further promote an inclusive culture and to better serve our customers, we encourage U.S.-based partners to enroll in the To Be Welcoming courses we created in p</w:t>
      </w:r>
      <w:r>
        <w:rPr>
          <w:rFonts w:ascii="Times New Roman" w:eastAsia="宋体" w:hAnsi="Times New Roman"/>
          <w:color w:val="000000"/>
          <w:sz w:val="20"/>
          <w:szCs w:val="20"/>
        </w:rPr>
        <w:t xml:space="preserve">artnership with Arizona State University to address different forms of bias and discrimination. </w:t>
      </w:r>
    </w:p>
    <w:p w14:paraId="00BACC81" w14:textId="77777777" w:rsidR="00871BDF" w:rsidRDefault="005C5088">
      <w:pPr>
        <w:spacing w:before="120"/>
      </w:pPr>
      <w:r>
        <w:rPr>
          <w:rFonts w:ascii="Times New Roman" w:eastAsia="宋体" w:hAnsi="Times New Roman"/>
          <w:i/>
          <w:iCs/>
          <w:color w:val="000000"/>
          <w:sz w:val="20"/>
          <w:szCs w:val="20"/>
        </w:rPr>
        <w:t>Pay Equity</w:t>
      </w:r>
      <w:r>
        <w:rPr>
          <w:rFonts w:ascii="Times New Roman" w:eastAsia="宋体" w:hAnsi="Times New Roman"/>
          <w:color w:val="000000"/>
          <w:sz w:val="20"/>
          <w:szCs w:val="20"/>
        </w:rPr>
        <w:t xml:space="preserve"> </w:t>
      </w:r>
    </w:p>
    <w:p w14:paraId="00BACC82" w14:textId="77777777" w:rsidR="00871BDF" w:rsidRDefault="005C5088">
      <w:pPr>
        <w:spacing w:before="120"/>
      </w:pPr>
      <w:r>
        <w:rPr>
          <w:rFonts w:ascii="Times New Roman" w:eastAsia="宋体" w:hAnsi="Times New Roman"/>
          <w:color w:val="000000"/>
          <w:sz w:val="20"/>
          <w:szCs w:val="20"/>
        </w:rPr>
        <w:t>To be an employer of choice and maintain the strength of our workforce, we consistently assess the current business environment and labor market to</w:t>
      </w:r>
      <w:r>
        <w:rPr>
          <w:rFonts w:ascii="Times New Roman" w:eastAsia="宋体" w:hAnsi="Times New Roman"/>
          <w:color w:val="000000"/>
          <w:sz w:val="20"/>
          <w:szCs w:val="20"/>
        </w:rPr>
        <w:t xml:space="preserve"> refine our compensation and benefits programs and other resources available to our partners. </w:t>
      </w:r>
    </w:p>
    <w:p w14:paraId="00BACC83" w14:textId="77777777" w:rsidR="00871BDF" w:rsidRDefault="005C5088">
      <w:pPr>
        <w:spacing w:before="120"/>
      </w:pPr>
      <w:r>
        <w:rPr>
          <w:rFonts w:ascii="Times New Roman" w:eastAsia="宋体" w:hAnsi="Times New Roman"/>
          <w:color w:val="000000"/>
          <w:sz w:val="20"/>
          <w:szCs w:val="20"/>
        </w:rPr>
        <w:t xml:space="preserve">We previously achieved and currently maintain 100 percent pay equity in the U.S. for women and men and people of all races for partners performing similar work. </w:t>
      </w:r>
      <w:r>
        <w:rPr>
          <w:rFonts w:ascii="Times New Roman" w:eastAsia="宋体" w:hAnsi="Times New Roman"/>
          <w:color w:val="000000"/>
          <w:sz w:val="20"/>
          <w:szCs w:val="20"/>
        </w:rPr>
        <w:t>We have also achieved gender pay equity in China and Canada, two of our largest markets outside of the U.S., and we made a commitment to achieve gender pay equity in all company-operated markets.</w:t>
      </w:r>
    </w:p>
    <w:p w14:paraId="00BACC84" w14:textId="77777777" w:rsidR="00871BDF" w:rsidRDefault="005C5088">
      <w:pPr>
        <w:spacing w:before="120"/>
      </w:pPr>
      <w:r>
        <w:rPr>
          <w:rFonts w:ascii="Times New Roman" w:eastAsia="宋体" w:hAnsi="Times New Roman"/>
          <w:color w:val="000000"/>
          <w:sz w:val="20"/>
          <w:szCs w:val="20"/>
        </w:rPr>
        <w:t>As of September 27, 2020, Starbucks employed approximately 3</w:t>
      </w:r>
      <w:r>
        <w:rPr>
          <w:rFonts w:ascii="Times New Roman" w:eastAsia="宋体" w:hAnsi="Times New Roman"/>
          <w:color w:val="000000"/>
          <w:sz w:val="20"/>
          <w:szCs w:val="20"/>
        </w:rPr>
        <w:t>49,000 people worldwide. In the U.S., Starbucks employed approximately 228,000 people, with approximately 220,000 in company-operated stores and the remainder in corporate support, store development, roasting, manufacturing, warehousing and distribution op</w:t>
      </w:r>
      <w:r>
        <w:rPr>
          <w:rFonts w:ascii="Times New Roman" w:eastAsia="宋体" w:hAnsi="Times New Roman"/>
          <w:color w:val="000000"/>
          <w:sz w:val="20"/>
          <w:szCs w:val="20"/>
        </w:rPr>
        <w:t xml:space="preserve">erations. Approximately 121,000 employees were employed outside of the U.S., with approximately 118,000 in company-operated stores and the remainder in regional support operations. The number of Starbucks partners represented by unions is not significant. </w:t>
      </w:r>
      <w:r>
        <w:rPr>
          <w:rFonts w:ascii="Times New Roman" w:eastAsia="宋体" w:hAnsi="Times New Roman"/>
          <w:color w:val="000000"/>
          <w:sz w:val="20"/>
          <w:szCs w:val="20"/>
        </w:rPr>
        <w:t xml:space="preserve">We believe our efforts in managing our workforce have been effective, evidenced by a strong Starbucks culture and a good relationship between the company and our partners. </w:t>
      </w:r>
    </w:p>
    <w:p w14:paraId="00BACC85" w14:textId="77777777" w:rsidR="00871BDF" w:rsidRDefault="005C5088">
      <w:pPr>
        <w:spacing w:before="120"/>
      </w:pPr>
      <w:r>
        <w:rPr>
          <w:rFonts w:ascii="Times New Roman" w:eastAsia="宋体" w:hAnsi="Times New Roman"/>
          <w:b/>
          <w:bCs/>
          <w:color w:val="000000"/>
          <w:sz w:val="20"/>
          <w:szCs w:val="20"/>
        </w:rPr>
        <w:t>Information about our Executive Officers</w:t>
      </w:r>
    </w:p>
    <w:tbl>
      <w:tblPr>
        <w:tblW w:w="4985" w:type="pct"/>
        <w:tblCellMar>
          <w:top w:w="15" w:type="dxa"/>
          <w:left w:w="15" w:type="dxa"/>
          <w:bottom w:w="15" w:type="dxa"/>
          <w:right w:w="15" w:type="dxa"/>
        </w:tblCellMar>
        <w:tblLook w:val="04A0" w:firstRow="1" w:lastRow="0" w:firstColumn="1" w:lastColumn="0" w:noHBand="0" w:noVBand="1"/>
      </w:tblPr>
      <w:tblGrid>
        <w:gridCol w:w="58"/>
        <w:gridCol w:w="2761"/>
        <w:gridCol w:w="37"/>
        <w:gridCol w:w="36"/>
        <w:gridCol w:w="36"/>
        <w:gridCol w:w="36"/>
        <w:gridCol w:w="41"/>
        <w:gridCol w:w="749"/>
        <w:gridCol w:w="36"/>
        <w:gridCol w:w="36"/>
        <w:gridCol w:w="36"/>
        <w:gridCol w:w="36"/>
        <w:gridCol w:w="42"/>
        <w:gridCol w:w="4334"/>
        <w:gridCol w:w="37"/>
      </w:tblGrid>
      <w:tr w:rsidR="00871BDF" w14:paraId="00BACC95" w14:textId="77777777">
        <w:tc>
          <w:tcPr>
            <w:tcW w:w="50" w:type="pct"/>
            <w:shd w:val="clear" w:color="auto" w:fill="auto"/>
          </w:tcPr>
          <w:p w14:paraId="00BACC86" w14:textId="77777777" w:rsidR="00871BDF" w:rsidRDefault="00871BDF">
            <w:pPr>
              <w:rPr>
                <w:rFonts w:ascii="宋体"/>
              </w:rPr>
            </w:pPr>
          </w:p>
        </w:tc>
        <w:tc>
          <w:tcPr>
            <w:tcW w:w="1675" w:type="pct"/>
            <w:shd w:val="clear" w:color="auto" w:fill="auto"/>
          </w:tcPr>
          <w:p w14:paraId="00BACC87" w14:textId="77777777" w:rsidR="00871BDF" w:rsidRDefault="00871BDF">
            <w:pPr>
              <w:rPr>
                <w:rFonts w:ascii="宋体"/>
              </w:rPr>
            </w:pPr>
          </w:p>
        </w:tc>
        <w:tc>
          <w:tcPr>
            <w:tcW w:w="5" w:type="pct"/>
            <w:shd w:val="clear" w:color="auto" w:fill="auto"/>
          </w:tcPr>
          <w:p w14:paraId="00BACC88" w14:textId="77777777" w:rsidR="00871BDF" w:rsidRDefault="00871BDF">
            <w:pPr>
              <w:rPr>
                <w:rFonts w:ascii="宋体"/>
              </w:rPr>
            </w:pPr>
          </w:p>
        </w:tc>
        <w:tc>
          <w:tcPr>
            <w:tcW w:w="5" w:type="pct"/>
            <w:shd w:val="clear" w:color="auto" w:fill="auto"/>
          </w:tcPr>
          <w:p w14:paraId="00BACC89" w14:textId="77777777" w:rsidR="00871BDF" w:rsidRDefault="00871BDF">
            <w:pPr>
              <w:rPr>
                <w:rFonts w:ascii="宋体"/>
              </w:rPr>
            </w:pPr>
          </w:p>
        </w:tc>
        <w:tc>
          <w:tcPr>
            <w:tcW w:w="26" w:type="pct"/>
            <w:shd w:val="clear" w:color="auto" w:fill="auto"/>
          </w:tcPr>
          <w:p w14:paraId="00BACC8A" w14:textId="77777777" w:rsidR="00871BDF" w:rsidRDefault="00871BDF">
            <w:pPr>
              <w:rPr>
                <w:rFonts w:ascii="宋体"/>
              </w:rPr>
            </w:pPr>
          </w:p>
        </w:tc>
        <w:tc>
          <w:tcPr>
            <w:tcW w:w="5" w:type="pct"/>
            <w:shd w:val="clear" w:color="auto" w:fill="auto"/>
          </w:tcPr>
          <w:p w14:paraId="00BACC8B" w14:textId="77777777" w:rsidR="00871BDF" w:rsidRDefault="00871BDF">
            <w:pPr>
              <w:rPr>
                <w:rFonts w:ascii="宋体"/>
              </w:rPr>
            </w:pPr>
          </w:p>
        </w:tc>
        <w:tc>
          <w:tcPr>
            <w:tcW w:w="50" w:type="pct"/>
            <w:shd w:val="clear" w:color="auto" w:fill="auto"/>
          </w:tcPr>
          <w:p w14:paraId="00BACC8C" w14:textId="77777777" w:rsidR="00871BDF" w:rsidRDefault="00871BDF">
            <w:pPr>
              <w:rPr>
                <w:rFonts w:ascii="宋体"/>
              </w:rPr>
            </w:pPr>
          </w:p>
        </w:tc>
        <w:tc>
          <w:tcPr>
            <w:tcW w:w="465" w:type="pct"/>
            <w:shd w:val="clear" w:color="auto" w:fill="auto"/>
          </w:tcPr>
          <w:p w14:paraId="00BACC8D" w14:textId="77777777" w:rsidR="00871BDF" w:rsidRDefault="00871BDF">
            <w:pPr>
              <w:rPr>
                <w:rFonts w:ascii="宋体"/>
              </w:rPr>
            </w:pPr>
          </w:p>
        </w:tc>
        <w:tc>
          <w:tcPr>
            <w:tcW w:w="5" w:type="pct"/>
            <w:shd w:val="clear" w:color="auto" w:fill="auto"/>
          </w:tcPr>
          <w:p w14:paraId="00BACC8E" w14:textId="77777777" w:rsidR="00871BDF" w:rsidRDefault="00871BDF">
            <w:pPr>
              <w:rPr>
                <w:rFonts w:ascii="宋体"/>
              </w:rPr>
            </w:pPr>
          </w:p>
        </w:tc>
        <w:tc>
          <w:tcPr>
            <w:tcW w:w="5" w:type="pct"/>
            <w:shd w:val="clear" w:color="auto" w:fill="auto"/>
          </w:tcPr>
          <w:p w14:paraId="00BACC8F" w14:textId="77777777" w:rsidR="00871BDF" w:rsidRDefault="00871BDF">
            <w:pPr>
              <w:rPr>
                <w:rFonts w:ascii="宋体"/>
              </w:rPr>
            </w:pPr>
          </w:p>
        </w:tc>
        <w:tc>
          <w:tcPr>
            <w:tcW w:w="26" w:type="pct"/>
            <w:shd w:val="clear" w:color="auto" w:fill="auto"/>
          </w:tcPr>
          <w:p w14:paraId="00BACC90" w14:textId="77777777" w:rsidR="00871BDF" w:rsidRDefault="00871BDF">
            <w:pPr>
              <w:rPr>
                <w:rFonts w:ascii="宋体"/>
              </w:rPr>
            </w:pPr>
          </w:p>
        </w:tc>
        <w:tc>
          <w:tcPr>
            <w:tcW w:w="5" w:type="pct"/>
            <w:shd w:val="clear" w:color="auto" w:fill="auto"/>
          </w:tcPr>
          <w:p w14:paraId="00BACC91" w14:textId="77777777" w:rsidR="00871BDF" w:rsidRDefault="00871BDF">
            <w:pPr>
              <w:rPr>
                <w:rFonts w:ascii="宋体"/>
              </w:rPr>
            </w:pPr>
          </w:p>
        </w:tc>
        <w:tc>
          <w:tcPr>
            <w:tcW w:w="50" w:type="pct"/>
            <w:shd w:val="clear" w:color="auto" w:fill="auto"/>
          </w:tcPr>
          <w:p w14:paraId="00BACC92" w14:textId="77777777" w:rsidR="00871BDF" w:rsidRDefault="00871BDF">
            <w:pPr>
              <w:rPr>
                <w:rFonts w:ascii="宋体"/>
              </w:rPr>
            </w:pPr>
          </w:p>
        </w:tc>
        <w:tc>
          <w:tcPr>
            <w:tcW w:w="2621" w:type="pct"/>
            <w:shd w:val="clear" w:color="auto" w:fill="auto"/>
          </w:tcPr>
          <w:p w14:paraId="00BACC93" w14:textId="77777777" w:rsidR="00871BDF" w:rsidRDefault="00871BDF">
            <w:pPr>
              <w:rPr>
                <w:rFonts w:ascii="宋体"/>
              </w:rPr>
            </w:pPr>
          </w:p>
        </w:tc>
        <w:tc>
          <w:tcPr>
            <w:tcW w:w="5" w:type="pct"/>
            <w:shd w:val="clear" w:color="auto" w:fill="auto"/>
          </w:tcPr>
          <w:p w14:paraId="00BACC94" w14:textId="77777777" w:rsidR="00871BDF" w:rsidRDefault="00871BDF">
            <w:pPr>
              <w:rPr>
                <w:rFonts w:ascii="宋体"/>
              </w:rPr>
            </w:pPr>
          </w:p>
        </w:tc>
      </w:tr>
      <w:tr w:rsidR="00871BDF" w14:paraId="00BACC9B" w14:textId="77777777">
        <w:tc>
          <w:tcPr>
            <w:tcW w:w="0" w:type="auto"/>
            <w:gridSpan w:val="3"/>
            <w:shd w:val="clear" w:color="auto" w:fill="00704A"/>
            <w:tcMar>
              <w:top w:w="40" w:type="dxa"/>
              <w:left w:w="20" w:type="dxa"/>
              <w:bottom w:w="40" w:type="dxa"/>
              <w:right w:w="20" w:type="dxa"/>
            </w:tcMar>
            <w:vAlign w:val="bottom"/>
          </w:tcPr>
          <w:p w14:paraId="00BACC96" w14:textId="77777777" w:rsidR="00871BDF" w:rsidRDefault="005C5088">
            <w:pPr>
              <w:textAlignment w:val="bottom"/>
            </w:pPr>
            <w:r>
              <w:rPr>
                <w:rFonts w:ascii="Times New Roman" w:eastAsia="宋体" w:hAnsi="Times New Roman"/>
                <w:b/>
                <w:bCs/>
                <w:color w:val="FFFFFF"/>
                <w:sz w:val="16"/>
                <w:szCs w:val="16"/>
              </w:rPr>
              <w:t>Name</w:t>
            </w:r>
          </w:p>
        </w:tc>
        <w:tc>
          <w:tcPr>
            <w:tcW w:w="0" w:type="auto"/>
            <w:gridSpan w:val="3"/>
            <w:shd w:val="clear" w:color="auto" w:fill="auto"/>
            <w:tcMar>
              <w:top w:w="0" w:type="dxa"/>
              <w:left w:w="20" w:type="dxa"/>
              <w:bottom w:w="0" w:type="dxa"/>
              <w:right w:w="20" w:type="dxa"/>
            </w:tcMar>
          </w:tcPr>
          <w:p w14:paraId="00BACC97"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C98" w14:textId="77777777" w:rsidR="00871BDF" w:rsidRDefault="005C5088">
            <w:pPr>
              <w:jc w:val="center"/>
              <w:textAlignment w:val="bottom"/>
            </w:pPr>
            <w:r>
              <w:rPr>
                <w:rFonts w:ascii="Times New Roman" w:eastAsia="宋体" w:hAnsi="Times New Roman"/>
                <w:b/>
                <w:bCs/>
                <w:color w:val="FFFFFF"/>
                <w:sz w:val="16"/>
                <w:szCs w:val="16"/>
              </w:rPr>
              <w:t>Age</w:t>
            </w:r>
          </w:p>
        </w:tc>
        <w:tc>
          <w:tcPr>
            <w:tcW w:w="0" w:type="auto"/>
            <w:gridSpan w:val="3"/>
            <w:shd w:val="clear" w:color="auto" w:fill="auto"/>
            <w:tcMar>
              <w:top w:w="0" w:type="dxa"/>
              <w:left w:w="20" w:type="dxa"/>
              <w:bottom w:w="0" w:type="dxa"/>
              <w:right w:w="20" w:type="dxa"/>
            </w:tcMar>
          </w:tcPr>
          <w:p w14:paraId="00BACC99"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C9A" w14:textId="77777777" w:rsidR="00871BDF" w:rsidRDefault="005C5088">
            <w:pPr>
              <w:jc w:val="center"/>
              <w:textAlignment w:val="bottom"/>
            </w:pPr>
            <w:r>
              <w:rPr>
                <w:rFonts w:ascii="Times New Roman" w:eastAsia="宋体" w:hAnsi="Times New Roman"/>
                <w:b/>
                <w:bCs/>
                <w:color w:val="FFFFFF"/>
                <w:sz w:val="16"/>
                <w:szCs w:val="16"/>
              </w:rPr>
              <w:t>Position</w:t>
            </w:r>
          </w:p>
        </w:tc>
      </w:tr>
      <w:tr w:rsidR="00871BDF" w14:paraId="00BACCA1"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00BACC9C" w14:textId="77777777" w:rsidR="00871BDF" w:rsidRDefault="005C5088">
            <w:pPr>
              <w:textAlignment w:val="top"/>
            </w:pPr>
            <w:r>
              <w:rPr>
                <w:rFonts w:ascii="Times New Roman" w:eastAsia="宋体" w:hAnsi="Times New Roman"/>
                <w:color w:val="000000"/>
                <w:sz w:val="20"/>
                <w:szCs w:val="20"/>
              </w:rPr>
              <w:t>Kevin R. Johnson</w:t>
            </w:r>
          </w:p>
        </w:tc>
        <w:tc>
          <w:tcPr>
            <w:tcW w:w="0" w:type="auto"/>
            <w:gridSpan w:val="3"/>
            <w:shd w:val="clear" w:color="auto" w:fill="D7E4BC"/>
            <w:tcMar>
              <w:top w:w="0" w:type="dxa"/>
              <w:left w:w="20" w:type="dxa"/>
              <w:bottom w:w="0" w:type="dxa"/>
              <w:right w:w="20" w:type="dxa"/>
            </w:tcMar>
          </w:tcPr>
          <w:p w14:paraId="00BACC9D"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ACC9E" w14:textId="77777777" w:rsidR="00871BDF" w:rsidRDefault="005C5088">
            <w:pPr>
              <w:jc w:val="center"/>
              <w:textAlignment w:val="top"/>
            </w:pPr>
            <w:r>
              <w:rPr>
                <w:rFonts w:ascii="Times New Roman" w:eastAsia="宋体" w:hAnsi="Times New Roman"/>
                <w:color w:val="000000"/>
                <w:sz w:val="20"/>
                <w:szCs w:val="20"/>
              </w:rPr>
              <w:t>60</w:t>
            </w:r>
          </w:p>
        </w:tc>
        <w:tc>
          <w:tcPr>
            <w:tcW w:w="0" w:type="auto"/>
            <w:gridSpan w:val="3"/>
            <w:shd w:val="clear" w:color="auto" w:fill="D7E4BC"/>
            <w:tcMar>
              <w:top w:w="0" w:type="dxa"/>
              <w:left w:w="20" w:type="dxa"/>
              <w:bottom w:w="0" w:type="dxa"/>
              <w:right w:w="20" w:type="dxa"/>
            </w:tcMar>
          </w:tcPr>
          <w:p w14:paraId="00BACC9F"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ACCA0" w14:textId="77777777" w:rsidR="00871BDF" w:rsidRDefault="005C5088">
            <w:pPr>
              <w:textAlignment w:val="top"/>
            </w:pPr>
            <w:r>
              <w:rPr>
                <w:rFonts w:ascii="Times New Roman" w:eastAsia="宋体" w:hAnsi="Times New Roman"/>
                <w:color w:val="000000"/>
                <w:sz w:val="20"/>
                <w:szCs w:val="20"/>
              </w:rPr>
              <w:t>president and chief executive officer</w:t>
            </w:r>
          </w:p>
        </w:tc>
      </w:tr>
      <w:tr w:rsidR="00871BDF" w14:paraId="00BACCA7" w14:textId="77777777">
        <w:tc>
          <w:tcPr>
            <w:tcW w:w="0" w:type="auto"/>
            <w:gridSpan w:val="3"/>
            <w:shd w:val="clear" w:color="auto" w:fill="FFFFFF"/>
            <w:tcMar>
              <w:top w:w="40" w:type="dxa"/>
              <w:left w:w="20" w:type="dxa"/>
              <w:bottom w:w="40" w:type="dxa"/>
              <w:right w:w="20" w:type="dxa"/>
            </w:tcMar>
          </w:tcPr>
          <w:p w14:paraId="00BACCA2" w14:textId="77777777" w:rsidR="00871BDF" w:rsidRDefault="005C5088">
            <w:pPr>
              <w:textAlignment w:val="top"/>
            </w:pPr>
            <w:r>
              <w:rPr>
                <w:rFonts w:ascii="Times New Roman" w:eastAsia="宋体" w:hAnsi="Times New Roman"/>
                <w:color w:val="000000"/>
                <w:sz w:val="20"/>
                <w:szCs w:val="20"/>
              </w:rPr>
              <w:t>Rosalind G. Brewer</w:t>
            </w:r>
          </w:p>
        </w:tc>
        <w:tc>
          <w:tcPr>
            <w:tcW w:w="0" w:type="auto"/>
            <w:gridSpan w:val="3"/>
            <w:shd w:val="clear" w:color="auto" w:fill="FFFFFF"/>
            <w:tcMar>
              <w:top w:w="0" w:type="dxa"/>
              <w:left w:w="20" w:type="dxa"/>
              <w:bottom w:w="0" w:type="dxa"/>
              <w:right w:w="20" w:type="dxa"/>
            </w:tcMar>
          </w:tcPr>
          <w:p w14:paraId="00BACCA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ACCA4" w14:textId="77777777" w:rsidR="00871BDF" w:rsidRDefault="005C5088">
            <w:pPr>
              <w:jc w:val="center"/>
              <w:textAlignment w:val="top"/>
            </w:pPr>
            <w:r>
              <w:rPr>
                <w:rFonts w:ascii="Times New Roman" w:eastAsia="宋体" w:hAnsi="Times New Roman"/>
                <w:color w:val="000000"/>
                <w:sz w:val="20"/>
                <w:szCs w:val="20"/>
              </w:rPr>
              <w:t>58</w:t>
            </w:r>
          </w:p>
        </w:tc>
        <w:tc>
          <w:tcPr>
            <w:tcW w:w="0" w:type="auto"/>
            <w:gridSpan w:val="3"/>
            <w:shd w:val="clear" w:color="auto" w:fill="FFFFFF"/>
            <w:tcMar>
              <w:top w:w="0" w:type="dxa"/>
              <w:left w:w="20" w:type="dxa"/>
              <w:bottom w:w="0" w:type="dxa"/>
              <w:right w:w="20" w:type="dxa"/>
            </w:tcMar>
          </w:tcPr>
          <w:p w14:paraId="00BACCA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ACCA6" w14:textId="77777777" w:rsidR="00871BDF" w:rsidRDefault="005C5088">
            <w:pPr>
              <w:textAlignment w:val="top"/>
            </w:pPr>
            <w:r>
              <w:rPr>
                <w:rFonts w:ascii="Times New Roman" w:eastAsia="宋体" w:hAnsi="Times New Roman"/>
                <w:color w:val="000000"/>
                <w:sz w:val="20"/>
                <w:szCs w:val="20"/>
              </w:rPr>
              <w:t>group president, Americas and chief operating officer</w:t>
            </w:r>
          </w:p>
        </w:tc>
      </w:tr>
      <w:tr w:rsidR="00871BDF" w14:paraId="00BACCAD" w14:textId="77777777">
        <w:tc>
          <w:tcPr>
            <w:tcW w:w="0" w:type="auto"/>
            <w:gridSpan w:val="3"/>
            <w:shd w:val="clear" w:color="auto" w:fill="D7E4BC"/>
            <w:tcMar>
              <w:top w:w="40" w:type="dxa"/>
              <w:left w:w="20" w:type="dxa"/>
              <w:bottom w:w="40" w:type="dxa"/>
              <w:right w:w="20" w:type="dxa"/>
            </w:tcMar>
            <w:vAlign w:val="center"/>
          </w:tcPr>
          <w:p w14:paraId="00BACCA8" w14:textId="77777777" w:rsidR="00871BDF" w:rsidRDefault="005C5088">
            <w:pPr>
              <w:textAlignment w:val="center"/>
            </w:pPr>
            <w:r>
              <w:rPr>
                <w:rFonts w:ascii="Times New Roman" w:eastAsia="宋体" w:hAnsi="Times New Roman"/>
                <w:color w:val="000000"/>
                <w:sz w:val="20"/>
                <w:szCs w:val="20"/>
              </w:rPr>
              <w:t>John Culver</w:t>
            </w:r>
          </w:p>
        </w:tc>
        <w:tc>
          <w:tcPr>
            <w:tcW w:w="0" w:type="auto"/>
            <w:gridSpan w:val="3"/>
            <w:shd w:val="clear" w:color="auto" w:fill="D7E4BC"/>
            <w:tcMar>
              <w:top w:w="0" w:type="dxa"/>
              <w:left w:w="20" w:type="dxa"/>
              <w:bottom w:w="0" w:type="dxa"/>
              <w:right w:w="20" w:type="dxa"/>
            </w:tcMar>
          </w:tcPr>
          <w:p w14:paraId="00BACCA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center"/>
          </w:tcPr>
          <w:p w14:paraId="00BACCAA" w14:textId="77777777" w:rsidR="00871BDF" w:rsidRDefault="005C5088">
            <w:pPr>
              <w:jc w:val="center"/>
              <w:textAlignment w:val="center"/>
            </w:pPr>
            <w:r>
              <w:rPr>
                <w:rFonts w:ascii="Times New Roman" w:eastAsia="宋体" w:hAnsi="Times New Roman"/>
                <w:color w:val="000000"/>
                <w:sz w:val="20"/>
                <w:szCs w:val="20"/>
              </w:rPr>
              <w:t>60</w:t>
            </w:r>
          </w:p>
        </w:tc>
        <w:tc>
          <w:tcPr>
            <w:tcW w:w="0" w:type="auto"/>
            <w:gridSpan w:val="3"/>
            <w:shd w:val="clear" w:color="auto" w:fill="D7E4BC"/>
            <w:tcMar>
              <w:top w:w="0" w:type="dxa"/>
              <w:left w:w="20" w:type="dxa"/>
              <w:bottom w:w="0" w:type="dxa"/>
              <w:right w:w="20" w:type="dxa"/>
            </w:tcMar>
          </w:tcPr>
          <w:p w14:paraId="00BACCA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ACCAC" w14:textId="77777777" w:rsidR="00871BDF" w:rsidRDefault="005C5088">
            <w:pPr>
              <w:textAlignment w:val="top"/>
            </w:pPr>
            <w:r>
              <w:rPr>
                <w:rFonts w:ascii="Times New Roman" w:eastAsia="宋体" w:hAnsi="Times New Roman"/>
                <w:color w:val="000000"/>
                <w:sz w:val="20"/>
                <w:szCs w:val="20"/>
              </w:rPr>
              <w:t>group president, International, Channel Development and Global Coffee &amp; Tea</w:t>
            </w:r>
          </w:p>
        </w:tc>
      </w:tr>
      <w:tr w:rsidR="00871BDF" w14:paraId="00BACCB3" w14:textId="77777777">
        <w:tc>
          <w:tcPr>
            <w:tcW w:w="0" w:type="auto"/>
            <w:gridSpan w:val="3"/>
            <w:shd w:val="clear" w:color="auto" w:fill="FFFFFF"/>
            <w:tcMar>
              <w:top w:w="40" w:type="dxa"/>
              <w:left w:w="20" w:type="dxa"/>
              <w:bottom w:w="40" w:type="dxa"/>
              <w:right w:w="20" w:type="dxa"/>
            </w:tcMar>
          </w:tcPr>
          <w:p w14:paraId="00BACCAE" w14:textId="77777777" w:rsidR="00871BDF" w:rsidRDefault="005C5088">
            <w:pPr>
              <w:textAlignment w:val="top"/>
            </w:pPr>
            <w:r>
              <w:rPr>
                <w:rFonts w:ascii="Times New Roman" w:eastAsia="宋体" w:hAnsi="Times New Roman"/>
                <w:color w:val="000000"/>
                <w:sz w:val="20"/>
                <w:szCs w:val="20"/>
              </w:rPr>
              <w:t xml:space="preserve">Rachel A. </w:t>
            </w:r>
            <w:r>
              <w:rPr>
                <w:rFonts w:ascii="Times New Roman" w:eastAsia="宋体" w:hAnsi="Times New Roman"/>
                <w:color w:val="000000"/>
                <w:sz w:val="20"/>
                <w:szCs w:val="20"/>
              </w:rPr>
              <w:t>Gonzalez</w:t>
            </w:r>
          </w:p>
        </w:tc>
        <w:tc>
          <w:tcPr>
            <w:tcW w:w="0" w:type="auto"/>
            <w:gridSpan w:val="3"/>
            <w:shd w:val="clear" w:color="auto" w:fill="FFFFFF"/>
            <w:tcMar>
              <w:top w:w="0" w:type="dxa"/>
              <w:left w:w="20" w:type="dxa"/>
              <w:bottom w:w="0" w:type="dxa"/>
              <w:right w:w="20" w:type="dxa"/>
            </w:tcMar>
          </w:tcPr>
          <w:p w14:paraId="00BACCA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ACCB0" w14:textId="77777777" w:rsidR="00871BDF" w:rsidRDefault="005C5088">
            <w:pPr>
              <w:jc w:val="center"/>
              <w:textAlignment w:val="top"/>
            </w:pPr>
            <w:r>
              <w:rPr>
                <w:rFonts w:ascii="Times New Roman" w:eastAsia="宋体" w:hAnsi="Times New Roman"/>
                <w:color w:val="000000"/>
                <w:sz w:val="20"/>
                <w:szCs w:val="20"/>
              </w:rPr>
              <w:t>51</w:t>
            </w:r>
          </w:p>
        </w:tc>
        <w:tc>
          <w:tcPr>
            <w:tcW w:w="0" w:type="auto"/>
            <w:gridSpan w:val="3"/>
            <w:shd w:val="clear" w:color="auto" w:fill="FFFFFF"/>
            <w:tcMar>
              <w:top w:w="0" w:type="dxa"/>
              <w:left w:w="20" w:type="dxa"/>
              <w:bottom w:w="0" w:type="dxa"/>
              <w:right w:w="20" w:type="dxa"/>
            </w:tcMar>
          </w:tcPr>
          <w:p w14:paraId="00BACCB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ACCB2" w14:textId="77777777" w:rsidR="00871BDF" w:rsidRDefault="005C5088">
            <w:pPr>
              <w:textAlignment w:val="top"/>
            </w:pPr>
            <w:r>
              <w:rPr>
                <w:rFonts w:ascii="Times New Roman" w:eastAsia="宋体" w:hAnsi="Times New Roman"/>
                <w:color w:val="000000"/>
                <w:sz w:val="20"/>
                <w:szCs w:val="20"/>
              </w:rPr>
              <w:t>executive vice president, general counsel and secretary</w:t>
            </w:r>
          </w:p>
        </w:tc>
      </w:tr>
      <w:tr w:rsidR="00871BDF" w14:paraId="00BACCB9" w14:textId="77777777">
        <w:tc>
          <w:tcPr>
            <w:tcW w:w="0" w:type="auto"/>
            <w:gridSpan w:val="3"/>
            <w:shd w:val="clear" w:color="auto" w:fill="D7E4BC"/>
            <w:tcMar>
              <w:top w:w="40" w:type="dxa"/>
              <w:left w:w="20" w:type="dxa"/>
              <w:bottom w:w="40" w:type="dxa"/>
              <w:right w:w="20" w:type="dxa"/>
            </w:tcMar>
          </w:tcPr>
          <w:p w14:paraId="00BACCB4" w14:textId="77777777" w:rsidR="00871BDF" w:rsidRDefault="005C5088">
            <w:pPr>
              <w:textAlignment w:val="top"/>
            </w:pPr>
            <w:r>
              <w:rPr>
                <w:rFonts w:ascii="Times New Roman" w:eastAsia="宋体" w:hAnsi="Times New Roman"/>
                <w:color w:val="000000"/>
                <w:sz w:val="20"/>
                <w:szCs w:val="20"/>
              </w:rPr>
              <w:t>Patrick J. Grismer</w:t>
            </w:r>
          </w:p>
        </w:tc>
        <w:tc>
          <w:tcPr>
            <w:tcW w:w="0" w:type="auto"/>
            <w:gridSpan w:val="3"/>
            <w:shd w:val="clear" w:color="auto" w:fill="D7E4BC"/>
            <w:tcMar>
              <w:top w:w="0" w:type="dxa"/>
              <w:left w:w="20" w:type="dxa"/>
              <w:bottom w:w="0" w:type="dxa"/>
              <w:right w:w="20" w:type="dxa"/>
            </w:tcMar>
          </w:tcPr>
          <w:p w14:paraId="00BACCB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ACCB6" w14:textId="77777777" w:rsidR="00871BDF" w:rsidRDefault="005C5088">
            <w:pPr>
              <w:jc w:val="center"/>
              <w:textAlignment w:val="top"/>
            </w:pPr>
            <w:r>
              <w:rPr>
                <w:rFonts w:ascii="Times New Roman" w:eastAsia="宋体" w:hAnsi="Times New Roman"/>
                <w:color w:val="000000"/>
                <w:sz w:val="20"/>
                <w:szCs w:val="20"/>
              </w:rPr>
              <w:t>58</w:t>
            </w:r>
          </w:p>
        </w:tc>
        <w:tc>
          <w:tcPr>
            <w:tcW w:w="0" w:type="auto"/>
            <w:gridSpan w:val="3"/>
            <w:shd w:val="clear" w:color="auto" w:fill="D7E4BC"/>
            <w:tcMar>
              <w:top w:w="0" w:type="dxa"/>
              <w:left w:w="20" w:type="dxa"/>
              <w:bottom w:w="0" w:type="dxa"/>
              <w:right w:w="20" w:type="dxa"/>
            </w:tcMar>
          </w:tcPr>
          <w:p w14:paraId="00BACCB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ACCB8" w14:textId="77777777" w:rsidR="00871BDF" w:rsidRDefault="005C5088">
            <w:pPr>
              <w:textAlignment w:val="top"/>
            </w:pPr>
            <w:r>
              <w:rPr>
                <w:rFonts w:ascii="Times New Roman" w:eastAsia="宋体" w:hAnsi="Times New Roman"/>
                <w:color w:val="000000"/>
                <w:sz w:val="20"/>
                <w:szCs w:val="20"/>
              </w:rPr>
              <w:t xml:space="preserve">executive vice president, chief financial officer </w:t>
            </w:r>
          </w:p>
        </w:tc>
      </w:tr>
      <w:tr w:rsidR="00871BDF" w14:paraId="00BACCBF" w14:textId="77777777">
        <w:tc>
          <w:tcPr>
            <w:tcW w:w="0" w:type="auto"/>
            <w:gridSpan w:val="3"/>
            <w:shd w:val="clear" w:color="auto" w:fill="FFFFFF"/>
            <w:tcMar>
              <w:top w:w="40" w:type="dxa"/>
              <w:left w:w="20" w:type="dxa"/>
              <w:bottom w:w="40" w:type="dxa"/>
              <w:right w:w="20" w:type="dxa"/>
            </w:tcMar>
          </w:tcPr>
          <w:p w14:paraId="00BACCBA" w14:textId="77777777" w:rsidR="00871BDF" w:rsidRDefault="005C5088">
            <w:pPr>
              <w:textAlignment w:val="top"/>
            </w:pPr>
            <w:r>
              <w:rPr>
                <w:rFonts w:ascii="Times New Roman" w:eastAsia="宋体" w:hAnsi="Times New Roman"/>
                <w:color w:val="000000"/>
                <w:sz w:val="20"/>
                <w:szCs w:val="20"/>
              </w:rPr>
              <w:t>Angela Lis</w:t>
            </w:r>
          </w:p>
        </w:tc>
        <w:tc>
          <w:tcPr>
            <w:tcW w:w="0" w:type="auto"/>
            <w:gridSpan w:val="3"/>
            <w:shd w:val="clear" w:color="auto" w:fill="FFFFFF"/>
            <w:tcMar>
              <w:top w:w="0" w:type="dxa"/>
              <w:left w:w="20" w:type="dxa"/>
              <w:bottom w:w="0" w:type="dxa"/>
              <w:right w:w="20" w:type="dxa"/>
            </w:tcMar>
          </w:tcPr>
          <w:p w14:paraId="00BACCB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ACCBC" w14:textId="77777777" w:rsidR="00871BDF" w:rsidRDefault="005C5088">
            <w:pPr>
              <w:jc w:val="center"/>
              <w:textAlignment w:val="top"/>
            </w:pPr>
            <w:r>
              <w:rPr>
                <w:rFonts w:ascii="Times New Roman" w:eastAsia="宋体" w:hAnsi="Times New Roman"/>
                <w:color w:val="000000"/>
                <w:sz w:val="20"/>
                <w:szCs w:val="20"/>
              </w:rPr>
              <w:t>53</w:t>
            </w:r>
          </w:p>
        </w:tc>
        <w:tc>
          <w:tcPr>
            <w:tcW w:w="0" w:type="auto"/>
            <w:gridSpan w:val="3"/>
            <w:shd w:val="clear" w:color="auto" w:fill="FFFFFF"/>
            <w:tcMar>
              <w:top w:w="0" w:type="dxa"/>
              <w:left w:w="20" w:type="dxa"/>
              <w:bottom w:w="0" w:type="dxa"/>
              <w:right w:w="20" w:type="dxa"/>
            </w:tcMar>
          </w:tcPr>
          <w:p w14:paraId="00BACCB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ACCBE" w14:textId="77777777" w:rsidR="00871BDF" w:rsidRDefault="005C5088">
            <w:pPr>
              <w:textAlignment w:val="bottom"/>
            </w:pPr>
            <w:r>
              <w:rPr>
                <w:rFonts w:ascii="Times New Roman" w:eastAsia="宋体" w:hAnsi="Times New Roman"/>
                <w:color w:val="000000"/>
                <w:sz w:val="20"/>
                <w:szCs w:val="20"/>
              </w:rPr>
              <w:t xml:space="preserve">executive vice president, chief partner officer </w:t>
            </w:r>
          </w:p>
        </w:tc>
      </w:tr>
      <w:tr w:rsidR="00871BDF" w14:paraId="00BACCC5" w14:textId="77777777">
        <w:trPr>
          <w:hidden/>
        </w:trPr>
        <w:tc>
          <w:tcPr>
            <w:tcW w:w="0" w:type="auto"/>
            <w:gridSpan w:val="3"/>
            <w:shd w:val="clear" w:color="auto" w:fill="auto"/>
          </w:tcPr>
          <w:p w14:paraId="00BACCC0" w14:textId="77777777" w:rsidR="00871BDF" w:rsidRDefault="00871BDF">
            <w:pPr>
              <w:rPr>
                <w:rFonts w:ascii="宋体"/>
                <w:vanish/>
              </w:rPr>
            </w:pPr>
          </w:p>
        </w:tc>
        <w:tc>
          <w:tcPr>
            <w:tcW w:w="0" w:type="auto"/>
            <w:gridSpan w:val="3"/>
            <w:shd w:val="clear" w:color="auto" w:fill="auto"/>
          </w:tcPr>
          <w:p w14:paraId="00BACCC1" w14:textId="77777777" w:rsidR="00871BDF" w:rsidRDefault="00871BDF">
            <w:pPr>
              <w:rPr>
                <w:rFonts w:ascii="宋体"/>
                <w:vanish/>
              </w:rPr>
            </w:pPr>
          </w:p>
        </w:tc>
        <w:tc>
          <w:tcPr>
            <w:tcW w:w="0" w:type="auto"/>
            <w:gridSpan w:val="3"/>
            <w:shd w:val="clear" w:color="auto" w:fill="auto"/>
          </w:tcPr>
          <w:p w14:paraId="00BACCC2" w14:textId="77777777" w:rsidR="00871BDF" w:rsidRDefault="00871BDF">
            <w:pPr>
              <w:rPr>
                <w:rFonts w:ascii="宋体"/>
                <w:vanish/>
              </w:rPr>
            </w:pPr>
          </w:p>
        </w:tc>
        <w:tc>
          <w:tcPr>
            <w:tcW w:w="0" w:type="auto"/>
            <w:gridSpan w:val="3"/>
            <w:shd w:val="clear" w:color="auto" w:fill="auto"/>
          </w:tcPr>
          <w:p w14:paraId="00BACCC3" w14:textId="77777777" w:rsidR="00871BDF" w:rsidRDefault="00871BDF">
            <w:pPr>
              <w:rPr>
                <w:rFonts w:ascii="宋体"/>
                <w:vanish/>
              </w:rPr>
            </w:pPr>
          </w:p>
        </w:tc>
        <w:tc>
          <w:tcPr>
            <w:tcW w:w="0" w:type="auto"/>
            <w:gridSpan w:val="3"/>
            <w:shd w:val="clear" w:color="auto" w:fill="auto"/>
          </w:tcPr>
          <w:p w14:paraId="00BACCC4" w14:textId="77777777" w:rsidR="00871BDF" w:rsidRDefault="00871BDF">
            <w:pPr>
              <w:rPr>
                <w:rFonts w:ascii="宋体"/>
                <w:vanish/>
              </w:rPr>
            </w:pPr>
          </w:p>
        </w:tc>
      </w:tr>
      <w:tr w:rsidR="00871BDF" w14:paraId="00BACCCB" w14:textId="77777777">
        <w:trPr>
          <w:hidden/>
        </w:trPr>
        <w:tc>
          <w:tcPr>
            <w:tcW w:w="0" w:type="auto"/>
            <w:gridSpan w:val="3"/>
            <w:shd w:val="clear" w:color="auto" w:fill="auto"/>
          </w:tcPr>
          <w:p w14:paraId="00BACCC6" w14:textId="77777777" w:rsidR="00871BDF" w:rsidRDefault="00871BDF">
            <w:pPr>
              <w:rPr>
                <w:rFonts w:ascii="宋体"/>
                <w:vanish/>
              </w:rPr>
            </w:pPr>
          </w:p>
        </w:tc>
        <w:tc>
          <w:tcPr>
            <w:tcW w:w="0" w:type="auto"/>
            <w:gridSpan w:val="3"/>
            <w:shd w:val="clear" w:color="auto" w:fill="auto"/>
          </w:tcPr>
          <w:p w14:paraId="00BACCC7" w14:textId="77777777" w:rsidR="00871BDF" w:rsidRDefault="00871BDF">
            <w:pPr>
              <w:rPr>
                <w:rFonts w:ascii="宋体"/>
                <w:vanish/>
              </w:rPr>
            </w:pPr>
          </w:p>
        </w:tc>
        <w:tc>
          <w:tcPr>
            <w:tcW w:w="0" w:type="auto"/>
            <w:gridSpan w:val="3"/>
            <w:shd w:val="clear" w:color="auto" w:fill="auto"/>
          </w:tcPr>
          <w:p w14:paraId="00BACCC8" w14:textId="77777777" w:rsidR="00871BDF" w:rsidRDefault="00871BDF">
            <w:pPr>
              <w:rPr>
                <w:rFonts w:ascii="宋体"/>
                <w:vanish/>
              </w:rPr>
            </w:pPr>
          </w:p>
        </w:tc>
        <w:tc>
          <w:tcPr>
            <w:tcW w:w="0" w:type="auto"/>
            <w:gridSpan w:val="3"/>
            <w:shd w:val="clear" w:color="auto" w:fill="auto"/>
          </w:tcPr>
          <w:p w14:paraId="00BACCC9" w14:textId="77777777" w:rsidR="00871BDF" w:rsidRDefault="00871BDF">
            <w:pPr>
              <w:rPr>
                <w:rFonts w:ascii="宋体"/>
                <w:vanish/>
              </w:rPr>
            </w:pPr>
          </w:p>
        </w:tc>
        <w:tc>
          <w:tcPr>
            <w:tcW w:w="0" w:type="auto"/>
            <w:gridSpan w:val="3"/>
            <w:shd w:val="clear" w:color="auto" w:fill="auto"/>
          </w:tcPr>
          <w:p w14:paraId="00BACCCA" w14:textId="77777777" w:rsidR="00871BDF" w:rsidRDefault="00871BDF">
            <w:pPr>
              <w:rPr>
                <w:rFonts w:ascii="宋体"/>
                <w:vanish/>
              </w:rPr>
            </w:pPr>
          </w:p>
        </w:tc>
      </w:tr>
    </w:tbl>
    <w:p w14:paraId="00BACCCC" w14:textId="77777777" w:rsidR="00871BDF" w:rsidRDefault="005C5088">
      <w:pPr>
        <w:spacing w:before="120"/>
      </w:pPr>
      <w:r>
        <w:rPr>
          <w:rFonts w:ascii="Times New Roman" w:eastAsia="宋体" w:hAnsi="Times New Roman"/>
          <w:b/>
          <w:bCs/>
          <w:i/>
          <w:iCs/>
          <w:color w:val="00704A"/>
          <w:sz w:val="20"/>
          <w:szCs w:val="20"/>
        </w:rPr>
        <w:t>Kevin R. Johnson</w:t>
      </w:r>
      <w:r>
        <w:rPr>
          <w:rFonts w:ascii="Times New Roman" w:eastAsia="宋体" w:hAnsi="Times New Roman"/>
          <w:color w:val="000000"/>
          <w:sz w:val="20"/>
          <w:szCs w:val="20"/>
        </w:rPr>
        <w:t xml:space="preserve"> has served as president and chief executive officer since April 2017, and has been a Starbucks director since March 2009. Mr. Johnson served as president and chief operating officer from March 2015 to April 2017. Mr. Johnson served as Chief Executive Offi</w:t>
      </w:r>
      <w:r>
        <w:rPr>
          <w:rFonts w:ascii="Times New Roman" w:eastAsia="宋体" w:hAnsi="Times New Roman"/>
          <w:color w:val="000000"/>
          <w:sz w:val="20"/>
          <w:szCs w:val="20"/>
        </w:rPr>
        <w:t>cer of Juniper Networks, Inc., a leading provider of high-performance networking products and services, from September 2008 to December 2013. He also served on the Board of Directors of Juniper Networks from September 2008 through February 2014. Prior to j</w:t>
      </w:r>
      <w:r>
        <w:rPr>
          <w:rFonts w:ascii="Times New Roman" w:eastAsia="宋体" w:hAnsi="Times New Roman"/>
          <w:color w:val="000000"/>
          <w:sz w:val="20"/>
          <w:szCs w:val="20"/>
        </w:rPr>
        <w:t>oining Juniper Networks, Mr. Johnson served as President, Platforms and Services Division for Microsoft Corporation, a worldwide provider of software, services and solutions. Mr. Johnson was a member of Microsoft’s Senior Leadership Team and held several s</w:t>
      </w:r>
      <w:r>
        <w:rPr>
          <w:rFonts w:ascii="Times New Roman" w:eastAsia="宋体" w:hAnsi="Times New Roman"/>
          <w:color w:val="000000"/>
          <w:sz w:val="20"/>
          <w:szCs w:val="20"/>
        </w:rPr>
        <w:t xml:space="preserve">enior executive positions over the course of his 16 years at Microsoft. Prior to joining Microsoft in 1992, Mr. Johnson worked in International Business Machine Corp.’s systems integration and consulting business. </w:t>
      </w:r>
    </w:p>
    <w:p w14:paraId="00BACCCD" w14:textId="77777777" w:rsidR="00871BDF" w:rsidRDefault="005C5088">
      <w:pPr>
        <w:spacing w:before="120"/>
      </w:pPr>
      <w:r>
        <w:rPr>
          <w:rFonts w:ascii="Times New Roman" w:eastAsia="宋体" w:hAnsi="Times New Roman"/>
          <w:b/>
          <w:bCs/>
          <w:i/>
          <w:iCs/>
          <w:color w:val="00704A"/>
          <w:sz w:val="20"/>
          <w:szCs w:val="20"/>
        </w:rPr>
        <w:t xml:space="preserve">Rosalind G. Brewer </w:t>
      </w:r>
      <w:r>
        <w:rPr>
          <w:rFonts w:ascii="Times New Roman" w:eastAsia="宋体" w:hAnsi="Times New Roman"/>
          <w:color w:val="000000"/>
          <w:sz w:val="20"/>
          <w:szCs w:val="20"/>
        </w:rPr>
        <w:t>has served as group pr</w:t>
      </w:r>
      <w:r>
        <w:rPr>
          <w:rFonts w:ascii="Times New Roman" w:eastAsia="宋体" w:hAnsi="Times New Roman"/>
          <w:color w:val="000000"/>
          <w:sz w:val="20"/>
          <w:szCs w:val="20"/>
        </w:rPr>
        <w:t>esident, Americas and chief operating officer since October 2017, and has been a director of Starbucks since March 2017. Ms. Brewer served as President and Chief Executive Officer of Sam's Club, a membership-only retail warehouse club and a division of Wal</w:t>
      </w:r>
      <w:r>
        <w:rPr>
          <w:rFonts w:ascii="Times New Roman" w:eastAsia="宋体" w:hAnsi="Times New Roman"/>
          <w:color w:val="000000"/>
          <w:sz w:val="20"/>
          <w:szCs w:val="20"/>
        </w:rPr>
        <w:t>mart Inc., a multinational retail corporation, from February 2012 to February 2017. Previously, Ms. Brewer was Executive Vice President and President of Walmart's East Business Unit from February 2011 to January 2012; Executive Vice President and President</w:t>
      </w:r>
      <w:r>
        <w:rPr>
          <w:rFonts w:ascii="Times New Roman" w:eastAsia="宋体" w:hAnsi="Times New Roman"/>
          <w:color w:val="000000"/>
          <w:sz w:val="20"/>
          <w:szCs w:val="20"/>
        </w:rPr>
        <w:t xml:space="preserve"> of Walmart South from February 2010 to February 2011; Senior Vice President and Division President of the Southeast Operating Division from March 2007 to January 2010; and Regional General Manager, Georgia Operations, from 2006 to February 2007. Prior to </w:t>
      </w:r>
      <w:r>
        <w:rPr>
          <w:rFonts w:ascii="Times New Roman" w:eastAsia="宋体" w:hAnsi="Times New Roman"/>
          <w:color w:val="000000"/>
          <w:sz w:val="20"/>
          <w:szCs w:val="20"/>
        </w:rPr>
        <w:t>joining Walmart, Ms. Brewer was President of Global Nonwovens Division for Kimberly-Clark Corporation, a global health and hygiene products company, from 2004 to 2006 and held various management positions at Kimberly-Clark Corporation from 1984 to 2006. Sh</w:t>
      </w:r>
      <w:r>
        <w:rPr>
          <w:rFonts w:ascii="Times New Roman" w:eastAsia="宋体" w:hAnsi="Times New Roman"/>
          <w:color w:val="000000"/>
          <w:sz w:val="20"/>
          <w:szCs w:val="20"/>
        </w:rPr>
        <w:t>e currently serves as the Chair of the Board of Trustees for Spelman College and as a director on the Board of Directors of Amazon.com, Inc. She formerly served on the Board of Directors for Lockheed Martin Corporation and Molson Coors Brewing Company.</w:t>
      </w:r>
    </w:p>
    <w:p w14:paraId="00BACCCE" w14:textId="77777777" w:rsidR="00871BDF" w:rsidRDefault="005C5088">
      <w:pPr>
        <w:spacing w:before="120"/>
      </w:pPr>
      <w:r>
        <w:rPr>
          <w:rFonts w:ascii="Times New Roman" w:eastAsia="宋体" w:hAnsi="Times New Roman"/>
          <w:b/>
          <w:bCs/>
          <w:i/>
          <w:iCs/>
          <w:color w:val="00704A"/>
          <w:sz w:val="20"/>
          <w:szCs w:val="20"/>
        </w:rPr>
        <w:t>Joh</w:t>
      </w:r>
      <w:r>
        <w:rPr>
          <w:rFonts w:ascii="Times New Roman" w:eastAsia="宋体" w:hAnsi="Times New Roman"/>
          <w:b/>
          <w:bCs/>
          <w:i/>
          <w:iCs/>
          <w:color w:val="00704A"/>
          <w:sz w:val="20"/>
          <w:szCs w:val="20"/>
        </w:rPr>
        <w:t>n Culver</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joined Starbucks in August 2002 and has served as group president, International, Channel Development and Global Coffee &amp; Tea, since July 2018. From October 2017 to July 2018, Mr. Culver served as group president, International and Channels. From </w:t>
      </w:r>
      <w:r>
        <w:rPr>
          <w:rFonts w:ascii="Times New Roman" w:eastAsia="宋体" w:hAnsi="Times New Roman"/>
          <w:color w:val="000000"/>
          <w:sz w:val="20"/>
          <w:szCs w:val="20"/>
        </w:rPr>
        <w:t xml:space="preserve">September 2016 to October 2017, he served as group president, Starbucks Global Retail. From May 2013 </w:t>
      </w:r>
    </w:p>
    <w:p w14:paraId="00BACCCF" w14:textId="77777777" w:rsidR="00871BDF" w:rsidRDefault="005C5088">
      <w:pPr>
        <w:jc w:val="center"/>
      </w:pPr>
      <w:r>
        <w:rPr>
          <w:rFonts w:ascii="Times New Roman" w:eastAsia="宋体" w:hAnsi="Times New Roman"/>
          <w:color w:val="000000"/>
          <w:sz w:val="20"/>
          <w:szCs w:val="20"/>
        </w:rPr>
        <w:t>8</w:t>
      </w:r>
    </w:p>
    <w:p w14:paraId="00BACCD0" w14:textId="77777777" w:rsidR="00871BDF" w:rsidRDefault="005C5088">
      <w:r>
        <w:pict w14:anchorId="00BB146B">
          <v:rect id="_x0000_i1035" style="width:415.3pt;height:1.5pt" o:hralign="center" o:hrstd="t" o:hr="t" fillcolor="#a0a0a0" stroked="f"/>
        </w:pict>
      </w:r>
    </w:p>
    <w:p w14:paraId="00BACCD1" w14:textId="77777777" w:rsidR="00871BDF" w:rsidRDefault="005C5088">
      <w:hyperlink r:id="rId68" w:anchor="i54ccc64cb5384be5a4849ef1cdef4dde_7" w:history="1">
        <w:r>
          <w:rPr>
            <w:rStyle w:val="a5"/>
            <w:rFonts w:ascii="Times New Roman" w:eastAsia="宋体" w:hAnsi="Times New Roman"/>
            <w:sz w:val="20"/>
            <w:szCs w:val="20"/>
          </w:rPr>
          <w:t>Table of Contents</w:t>
        </w:r>
      </w:hyperlink>
    </w:p>
    <w:p w14:paraId="00BACCD2" w14:textId="77777777" w:rsidR="00871BDF" w:rsidRDefault="005C5088">
      <w:pPr>
        <w:spacing w:before="120"/>
      </w:pPr>
      <w:r>
        <w:rPr>
          <w:rFonts w:ascii="Times New Roman" w:eastAsia="宋体" w:hAnsi="Times New Roman"/>
          <w:color w:val="000000"/>
          <w:sz w:val="20"/>
          <w:szCs w:val="20"/>
        </w:rPr>
        <w:t>to September 2016, he served as group president, China, Asia Pacific, Channel Development and Emerging Brands. Mr. Culver served as president, Starbucks Coffee China and Asia Pacific from October 2011 to May 2013. From December 2009 to</w:t>
      </w:r>
      <w:r>
        <w:rPr>
          <w:rFonts w:ascii="Times New Roman" w:eastAsia="宋体" w:hAnsi="Times New Roman"/>
          <w:color w:val="000000"/>
          <w:sz w:val="20"/>
          <w:szCs w:val="20"/>
        </w:rPr>
        <w:t xml:space="preserve"> October 2011, he served as president, Starbucks Coffee International. Mr. Culver served as executive vice president; president, Global Consumer Products, Foodservice and Seattle’s Best Coffee from February 2009 to September 2009, and then as president, Gl</w:t>
      </w:r>
      <w:r>
        <w:rPr>
          <w:rFonts w:ascii="Times New Roman" w:eastAsia="宋体" w:hAnsi="Times New Roman"/>
          <w:color w:val="000000"/>
          <w:sz w:val="20"/>
          <w:szCs w:val="20"/>
        </w:rPr>
        <w:t>obal Consumer Products and Foodservice from October 2009 to November 2009. He previously served as senior vice president; president, Starbucks Coffee Asia Pacific from January 2007 to February 2009, and vice president; general manager, Foodservice from Aug</w:t>
      </w:r>
      <w:r>
        <w:rPr>
          <w:rFonts w:ascii="Times New Roman" w:eastAsia="宋体" w:hAnsi="Times New Roman"/>
          <w:color w:val="000000"/>
          <w:sz w:val="20"/>
          <w:szCs w:val="20"/>
        </w:rPr>
        <w:t>ust 2002 to January 2007. Mr. Culver serves on the Board of Directors of Kimberly-Clark Corporation.</w:t>
      </w:r>
    </w:p>
    <w:p w14:paraId="00BACCD3" w14:textId="77777777" w:rsidR="00871BDF" w:rsidRDefault="005C5088">
      <w:pPr>
        <w:spacing w:before="120"/>
      </w:pPr>
      <w:r>
        <w:rPr>
          <w:rFonts w:ascii="Times New Roman" w:eastAsia="宋体" w:hAnsi="Times New Roman"/>
          <w:b/>
          <w:bCs/>
          <w:i/>
          <w:iCs/>
          <w:color w:val="00704A"/>
          <w:sz w:val="20"/>
          <w:szCs w:val="20"/>
        </w:rPr>
        <w:t>Rachel A. Gonzalez</w:t>
      </w:r>
      <w:r>
        <w:rPr>
          <w:rFonts w:ascii="Times New Roman" w:eastAsia="宋体" w:hAnsi="Times New Roman"/>
          <w:color w:val="000000"/>
          <w:sz w:val="20"/>
          <w:szCs w:val="20"/>
        </w:rPr>
        <w:t xml:space="preserve"> joined Starbucks and has served as executive vice president, general counsel and secretary since joining Starbucks in April 2018. Prior </w:t>
      </w:r>
      <w:r>
        <w:rPr>
          <w:rFonts w:ascii="Times New Roman" w:eastAsia="宋体" w:hAnsi="Times New Roman"/>
          <w:color w:val="000000"/>
          <w:sz w:val="20"/>
          <w:szCs w:val="20"/>
        </w:rPr>
        <w:t>to joining Starbucks, Ms. Gonzalez served as executive vice president and chief administrative officer of Sabre Corporation, a technology provider to the travel industry, from May 2017 to April 2018 and as Sabre’s executive vice president and general couns</w:t>
      </w:r>
      <w:r>
        <w:rPr>
          <w:rFonts w:ascii="Times New Roman" w:eastAsia="宋体" w:hAnsi="Times New Roman"/>
          <w:color w:val="000000"/>
          <w:sz w:val="20"/>
          <w:szCs w:val="20"/>
        </w:rPr>
        <w:t>el from September 2014 to May 2017. From March 2013 to September 2014, Ms. Gonzalez served as executive vice president, general counsel and corporate secretary of Dean Foods Company, a food and beverage company, and as its executive vice president, general</w:t>
      </w:r>
      <w:r>
        <w:rPr>
          <w:rFonts w:ascii="Times New Roman" w:eastAsia="宋体" w:hAnsi="Times New Roman"/>
          <w:color w:val="000000"/>
          <w:sz w:val="20"/>
          <w:szCs w:val="20"/>
        </w:rPr>
        <w:t xml:space="preserve"> counsel designate from November 2012 to March 2013. She served as chief counsel, corporate and securities of Dean Foods from 2008 to November 2012. From 2006 to 2008, Ms. Gonzalez served as senior vice president and group counsel for Affiliated Computer S</w:t>
      </w:r>
      <w:r>
        <w:rPr>
          <w:rFonts w:ascii="Times New Roman" w:eastAsia="宋体" w:hAnsi="Times New Roman"/>
          <w:color w:val="000000"/>
          <w:sz w:val="20"/>
          <w:szCs w:val="20"/>
        </w:rPr>
        <w:t>ervices, Inc., an information technology service provider. Prior to that, Ms. Gonzalez was a partner with the law firm of Morgan, Lewis &amp; Bockius LLP, where she focused on corporate finance, mergers and acquisitions, SEC compliance and corporate governance</w:t>
      </w:r>
      <w:r>
        <w:rPr>
          <w:rFonts w:ascii="Times New Roman" w:eastAsia="宋体" w:hAnsi="Times New Roman"/>
          <w:color w:val="000000"/>
          <w:sz w:val="20"/>
          <w:szCs w:val="20"/>
        </w:rPr>
        <w:t xml:space="preserve">. Ms. Gonzalez serves on the Board of Directors of Dana Incorporated. </w:t>
      </w:r>
    </w:p>
    <w:p w14:paraId="00BACCD4" w14:textId="77777777" w:rsidR="00871BDF" w:rsidRDefault="005C5088">
      <w:pPr>
        <w:spacing w:before="120"/>
      </w:pPr>
      <w:r>
        <w:rPr>
          <w:rFonts w:ascii="Times New Roman" w:eastAsia="宋体" w:hAnsi="Times New Roman"/>
          <w:b/>
          <w:bCs/>
          <w:i/>
          <w:iCs/>
          <w:color w:val="00704A"/>
          <w:sz w:val="20"/>
          <w:szCs w:val="20"/>
        </w:rPr>
        <w:t>Patrick J. Grismer</w:t>
      </w:r>
      <w:r>
        <w:rPr>
          <w:rFonts w:ascii="Times New Roman" w:eastAsia="宋体" w:hAnsi="Times New Roman"/>
          <w:color w:val="000000"/>
          <w:sz w:val="20"/>
          <w:szCs w:val="20"/>
        </w:rPr>
        <w:t xml:space="preserve"> joined Starbucks in November 2018 as executive vice president, chief financial officer. From March 2016 to November 2018, Mr. Grismer served as Executive Vice Preside</w:t>
      </w:r>
      <w:r>
        <w:rPr>
          <w:rFonts w:ascii="Times New Roman" w:eastAsia="宋体" w:hAnsi="Times New Roman"/>
          <w:color w:val="000000"/>
          <w:sz w:val="20"/>
          <w:szCs w:val="20"/>
        </w:rPr>
        <w:t xml:space="preserve">nt, Chief Financial Officer of Hyatt Hotels Corporation, a global hospitality company. From May 2012 to February 2016, Mr. Grismer served as Chief Financial Officer at Yum! Brands, Inc., a global restaurant company. He previously held a number of roles at </w:t>
      </w:r>
      <w:r>
        <w:rPr>
          <w:rFonts w:ascii="Times New Roman" w:eastAsia="宋体" w:hAnsi="Times New Roman"/>
          <w:color w:val="000000"/>
          <w:sz w:val="20"/>
          <w:szCs w:val="20"/>
        </w:rPr>
        <w:t>Yum!, including Chief Planning and Control Officer and Chief Financial Officer for Yum! Restaurants International. Prior to that, Mr. Grismer served in various roles at The Walt Disney Company including Vice President, Business Planning and Development for</w:t>
      </w:r>
      <w:r>
        <w:rPr>
          <w:rFonts w:ascii="Times New Roman" w:eastAsia="宋体" w:hAnsi="Times New Roman"/>
          <w:color w:val="000000"/>
          <w:sz w:val="20"/>
          <w:szCs w:val="20"/>
        </w:rPr>
        <w:t xml:space="preserve"> The Disneyland Resort and Chief Financial Officer for the Disney Vacation Club. Mr. Grismer began his career with Price Waterhouse.</w:t>
      </w:r>
    </w:p>
    <w:p w14:paraId="00BACCD5" w14:textId="77777777" w:rsidR="00871BDF" w:rsidRDefault="005C5088">
      <w:pPr>
        <w:spacing w:before="120"/>
      </w:pPr>
      <w:r>
        <w:rPr>
          <w:rFonts w:ascii="Times New Roman" w:eastAsia="宋体" w:hAnsi="Times New Roman"/>
          <w:b/>
          <w:bCs/>
          <w:i/>
          <w:iCs/>
          <w:color w:val="00704A"/>
          <w:sz w:val="20"/>
          <w:szCs w:val="20"/>
        </w:rPr>
        <w:t>Angela Lis</w:t>
      </w:r>
      <w:r>
        <w:rPr>
          <w:rFonts w:ascii="Times New Roman" w:eastAsia="宋体" w:hAnsi="Times New Roman"/>
          <w:color w:val="000000"/>
          <w:sz w:val="20"/>
          <w:szCs w:val="20"/>
        </w:rPr>
        <w:t xml:space="preserve"> joined Starbucks in 1992 as a part-time barista and has served as executive vice president, chief partner office</w:t>
      </w:r>
      <w:r>
        <w:rPr>
          <w:rFonts w:ascii="Times New Roman" w:eastAsia="宋体" w:hAnsi="Times New Roman"/>
          <w:color w:val="000000"/>
          <w:sz w:val="20"/>
          <w:szCs w:val="20"/>
        </w:rPr>
        <w:t xml:space="preserve">r since November 2, 2020. From September 2016 to October 2020, Ms. Lis served as senior vice president, global business partners. In this role she was responsible for talent and partner strategies that drive our global retail operations business. Prior to </w:t>
      </w:r>
      <w:r>
        <w:rPr>
          <w:rFonts w:ascii="Times New Roman" w:eastAsia="宋体" w:hAnsi="Times New Roman"/>
          <w:color w:val="000000"/>
          <w:sz w:val="20"/>
          <w:szCs w:val="20"/>
        </w:rPr>
        <w:t>this role, she served as a vice president of partner resources for corporate business functions and global supply chain. During her tenure at Starbucks, Ms. Lis has led partner resources business partners across the globe. She has supported both retail and</w:t>
      </w:r>
      <w:r>
        <w:rPr>
          <w:rFonts w:ascii="Times New Roman" w:eastAsia="宋体" w:hAnsi="Times New Roman"/>
          <w:color w:val="000000"/>
          <w:sz w:val="20"/>
          <w:szCs w:val="20"/>
        </w:rPr>
        <w:t xml:space="preserve"> all non-retail business units and was instrumental in the startup of our Channel Development business. </w:t>
      </w:r>
    </w:p>
    <w:p w14:paraId="00BACCD6" w14:textId="77777777" w:rsidR="00871BDF" w:rsidRDefault="005C5088">
      <w:pPr>
        <w:spacing w:before="120"/>
      </w:pPr>
      <w:r>
        <w:rPr>
          <w:rFonts w:ascii="Times New Roman" w:eastAsia="宋体" w:hAnsi="Times New Roman"/>
          <w:b/>
          <w:bCs/>
          <w:color w:val="000000"/>
          <w:sz w:val="20"/>
          <w:szCs w:val="20"/>
        </w:rPr>
        <w:t>Global Social Impact</w:t>
      </w:r>
    </w:p>
    <w:p w14:paraId="00BACCD7" w14:textId="77777777" w:rsidR="00871BDF" w:rsidRDefault="005C5088">
      <w:pPr>
        <w:spacing w:before="120"/>
      </w:pPr>
      <w:r>
        <w:rPr>
          <w:rFonts w:ascii="Times New Roman" w:eastAsia="宋体" w:hAnsi="Times New Roman"/>
          <w:color w:val="000000"/>
          <w:sz w:val="20"/>
          <w:szCs w:val="20"/>
        </w:rPr>
        <w:t xml:space="preserve">We are committed to being a deeply responsible company in the communities where we do business. Our focus is on ethically </w:t>
      </w:r>
      <w:r>
        <w:rPr>
          <w:rFonts w:ascii="Times New Roman" w:eastAsia="宋体" w:hAnsi="Times New Roman"/>
          <w:color w:val="000000"/>
          <w:sz w:val="20"/>
          <w:szCs w:val="20"/>
        </w:rPr>
        <w:t>sourcing high-quality coffee and tea, reducing our environmental impacts and contributing positively to communities around the world. Starbucks Global Social Impact strategy and commitments are integral to our overall business strategy. As a result, we bel</w:t>
      </w:r>
      <w:r>
        <w:rPr>
          <w:rFonts w:ascii="Times New Roman" w:eastAsia="宋体" w:hAnsi="Times New Roman"/>
          <w:color w:val="000000"/>
          <w:sz w:val="20"/>
          <w:szCs w:val="20"/>
        </w:rPr>
        <w:t>ieve we deliver benefits to our stakeholders, including employees, business partners, customers, suppliers, shareholders, community members and others. For an overview of Starbucks Global Social Impact strategy and commitments, please visit www.starbucks.c</w:t>
      </w:r>
      <w:r>
        <w:rPr>
          <w:rFonts w:ascii="Times New Roman" w:eastAsia="宋体" w:hAnsi="Times New Roman"/>
          <w:color w:val="000000"/>
          <w:sz w:val="20"/>
          <w:szCs w:val="20"/>
        </w:rPr>
        <w:t>om/responsibility.</w:t>
      </w:r>
    </w:p>
    <w:p w14:paraId="00BACCD8" w14:textId="77777777" w:rsidR="00871BDF" w:rsidRDefault="005C5088">
      <w:pPr>
        <w:spacing w:before="120"/>
      </w:pPr>
      <w:r>
        <w:rPr>
          <w:rFonts w:ascii="Times New Roman" w:eastAsia="宋体" w:hAnsi="Times New Roman"/>
          <w:b/>
          <w:bCs/>
          <w:color w:val="000000"/>
          <w:sz w:val="20"/>
          <w:szCs w:val="20"/>
        </w:rPr>
        <w:t>Available Information</w:t>
      </w:r>
    </w:p>
    <w:p w14:paraId="00BACCD9" w14:textId="77777777" w:rsidR="00871BDF" w:rsidRDefault="005C5088">
      <w:pPr>
        <w:spacing w:before="120"/>
      </w:pPr>
      <w:r>
        <w:rPr>
          <w:rFonts w:ascii="Times New Roman" w:eastAsia="宋体" w:hAnsi="Times New Roman"/>
          <w:color w:val="000000"/>
          <w:sz w:val="20"/>
          <w:szCs w:val="20"/>
        </w:rPr>
        <w:t xml:space="preserve">Starbucks 10-K reports, along with all other reports and amendments filed with or furnished to the Securities and Exchange Commission (“SEC”), are publicly available free of charge on the Investor Relations section </w:t>
      </w:r>
      <w:r>
        <w:rPr>
          <w:rFonts w:ascii="Times New Roman" w:eastAsia="宋体" w:hAnsi="Times New Roman"/>
          <w:color w:val="000000"/>
          <w:sz w:val="20"/>
          <w:szCs w:val="20"/>
        </w:rPr>
        <w:t xml:space="preserve">of our website at investor.starbucks.com or at www.sec.gov as soon as reasonably practicable after these materials are filed with or furnished to the SEC. Our corporate governance policies, code of ethics and Board committee charters and policies are also </w:t>
      </w:r>
      <w:r>
        <w:rPr>
          <w:rFonts w:ascii="Times New Roman" w:eastAsia="宋体" w:hAnsi="Times New Roman"/>
          <w:color w:val="000000"/>
          <w:sz w:val="20"/>
          <w:szCs w:val="20"/>
        </w:rPr>
        <w:t>posted on the Investor Relations section of Starbucks website. The information on our website is not part of this or any other report Starbucks files with, or furnishes to, the SEC.</w:t>
      </w:r>
    </w:p>
    <w:p w14:paraId="00BACCDA" w14:textId="77777777" w:rsidR="00871BDF" w:rsidRDefault="005C5088">
      <w:pPr>
        <w:spacing w:before="120"/>
      </w:pPr>
      <w:r>
        <w:rPr>
          <w:rFonts w:ascii="Times New Roman" w:eastAsia="宋体" w:hAnsi="Times New Roman"/>
          <w:b/>
          <w:bCs/>
          <w:color w:val="00704A"/>
          <w:sz w:val="20"/>
          <w:szCs w:val="20"/>
        </w:rPr>
        <w:t xml:space="preserve">Item 1A. </w:t>
      </w:r>
      <w:r>
        <w:rPr>
          <w:rFonts w:ascii="Times New Roman" w:eastAsia="宋体" w:hAnsi="Times New Roman"/>
          <w:b/>
          <w:bCs/>
          <w:i/>
          <w:iCs/>
          <w:color w:val="00704A"/>
          <w:sz w:val="20"/>
          <w:szCs w:val="20"/>
        </w:rPr>
        <w:t>Risk Factors</w:t>
      </w:r>
      <w:r>
        <w:rPr>
          <w:rFonts w:ascii="Times New Roman" w:eastAsia="宋体" w:hAnsi="Times New Roman"/>
          <w:b/>
          <w:bCs/>
          <w:color w:val="00704A"/>
          <w:sz w:val="20"/>
          <w:szCs w:val="20"/>
        </w:rPr>
        <w:t xml:space="preserve"> </w:t>
      </w:r>
    </w:p>
    <w:p w14:paraId="00BACCDB" w14:textId="77777777" w:rsidR="00871BDF" w:rsidRDefault="005C5088">
      <w:pPr>
        <w:spacing w:before="120"/>
      </w:pPr>
      <w:r>
        <w:rPr>
          <w:rFonts w:ascii="Times New Roman" w:eastAsia="宋体" w:hAnsi="Times New Roman"/>
          <w:color w:val="000000"/>
          <w:sz w:val="20"/>
          <w:szCs w:val="20"/>
        </w:rPr>
        <w:t xml:space="preserve">You should carefully consider the risks described below in addition to the other information set forth in this Annual Report on Form 10-K, including the Management’s Discussion and Analysis of Financial Conditions and Results of Operations section and the </w:t>
      </w:r>
      <w:r>
        <w:rPr>
          <w:rFonts w:ascii="Times New Roman" w:eastAsia="宋体" w:hAnsi="Times New Roman"/>
          <w:color w:val="000000"/>
          <w:sz w:val="20"/>
          <w:szCs w:val="20"/>
        </w:rPr>
        <w:t xml:space="preserve">consolidated financial statements and related notes. If any of the risks and uncertainties described in the cautionary factors described below actually occur or continue to occur, our business, financial condition and results of operations and the trading </w:t>
      </w:r>
      <w:r>
        <w:rPr>
          <w:rFonts w:ascii="Times New Roman" w:eastAsia="宋体" w:hAnsi="Times New Roman"/>
          <w:color w:val="000000"/>
          <w:sz w:val="20"/>
          <w:szCs w:val="20"/>
        </w:rPr>
        <w:t xml:space="preserve">price of our common stock could be materially and adversely affected. Moreover, the risks below are not the only risks we face and additional risks not currently known to us or that we presently deem immaterial may emerge or become material at </w:t>
      </w:r>
    </w:p>
    <w:p w14:paraId="00BACCDC" w14:textId="77777777" w:rsidR="00871BDF" w:rsidRDefault="005C5088">
      <w:pPr>
        <w:jc w:val="center"/>
      </w:pPr>
      <w:r>
        <w:rPr>
          <w:rFonts w:ascii="Times New Roman" w:eastAsia="宋体" w:hAnsi="Times New Roman"/>
          <w:color w:val="000000"/>
          <w:sz w:val="20"/>
          <w:szCs w:val="20"/>
        </w:rPr>
        <w:t>9</w:t>
      </w:r>
    </w:p>
    <w:p w14:paraId="00BACCDD" w14:textId="77777777" w:rsidR="00871BDF" w:rsidRDefault="005C5088">
      <w:r>
        <w:pict w14:anchorId="00BB146C">
          <v:rect id="_x0000_i1036" style="width:415.3pt;height:1.5pt" o:hralign="center" o:hrstd="t" o:hr="t" fillcolor="#a0a0a0" stroked="f"/>
        </w:pict>
      </w:r>
    </w:p>
    <w:p w14:paraId="00BACCDE" w14:textId="77777777" w:rsidR="00871BDF" w:rsidRDefault="005C5088">
      <w:hyperlink r:id="rId69" w:anchor="i54ccc64cb5384be5a4849ef1cdef4dde_7" w:history="1">
        <w:r>
          <w:rPr>
            <w:rStyle w:val="a5"/>
            <w:rFonts w:ascii="Times New Roman" w:eastAsia="宋体" w:hAnsi="Times New Roman"/>
            <w:sz w:val="20"/>
            <w:szCs w:val="20"/>
          </w:rPr>
          <w:t>Table of Contents</w:t>
        </w:r>
      </w:hyperlink>
    </w:p>
    <w:p w14:paraId="00BACCDF" w14:textId="77777777" w:rsidR="00871BDF" w:rsidRDefault="005C5088">
      <w:pPr>
        <w:spacing w:before="120"/>
      </w:pPr>
      <w:r>
        <w:rPr>
          <w:rFonts w:ascii="Times New Roman" w:eastAsia="宋体" w:hAnsi="Times New Roman"/>
          <w:color w:val="000000"/>
          <w:sz w:val="20"/>
          <w:szCs w:val="20"/>
        </w:rPr>
        <w:t>any time and may negatively impact our business, reputation, financial condition, results of</w:t>
      </w:r>
      <w:r>
        <w:rPr>
          <w:rFonts w:ascii="Times New Roman" w:eastAsia="宋体" w:hAnsi="Times New Roman"/>
          <w:color w:val="000000"/>
          <w:sz w:val="20"/>
          <w:szCs w:val="20"/>
        </w:rPr>
        <w:t xml:space="preserve"> operations or the trading price of our common stock.</w:t>
      </w:r>
    </w:p>
    <w:p w14:paraId="00BACCE0" w14:textId="77777777" w:rsidR="00871BDF" w:rsidRDefault="005C5088">
      <w:pPr>
        <w:spacing w:before="120"/>
      </w:pPr>
      <w:r>
        <w:rPr>
          <w:rFonts w:ascii="Times New Roman" w:eastAsia="宋体" w:hAnsi="Times New Roman"/>
          <w:b/>
          <w:bCs/>
          <w:color w:val="000000"/>
          <w:sz w:val="20"/>
          <w:szCs w:val="20"/>
          <w:u w:val="single"/>
        </w:rPr>
        <w:t>Risks Related to Macroeconomic Conditions</w:t>
      </w:r>
    </w:p>
    <w:p w14:paraId="00BACCE1" w14:textId="77777777" w:rsidR="00871BDF" w:rsidRDefault="005C5088">
      <w:pPr>
        <w:spacing w:before="120"/>
        <w:ind w:hanging="180"/>
      </w:pPr>
      <w:r>
        <w:rPr>
          <w:rFonts w:ascii="Times New Roman" w:eastAsia="宋体" w:hAnsi="Times New Roman"/>
          <w:b/>
          <w:bCs/>
          <w:i/>
          <w:iCs/>
          <w:color w:val="000000"/>
          <w:sz w:val="20"/>
          <w:szCs w:val="20"/>
        </w:rPr>
        <w:t>•Our financial condition and results of operations have been and are expected to continue to be adversely affected by the COVID-19 pandemic.</w:t>
      </w:r>
    </w:p>
    <w:p w14:paraId="00BACCE2" w14:textId="77777777" w:rsidR="00871BDF" w:rsidRDefault="005C5088">
      <w:pPr>
        <w:spacing w:before="120"/>
      </w:pPr>
      <w:r>
        <w:rPr>
          <w:rFonts w:ascii="Times New Roman" w:eastAsia="宋体" w:hAnsi="Times New Roman"/>
          <w:color w:val="000000"/>
          <w:sz w:val="20"/>
          <w:szCs w:val="20"/>
        </w:rPr>
        <w:t>In December 2019, a</w:t>
      </w:r>
      <w:r>
        <w:rPr>
          <w:rFonts w:ascii="Times New Roman" w:eastAsia="宋体" w:hAnsi="Times New Roman"/>
          <w:color w:val="000000"/>
          <w:sz w:val="20"/>
          <w:szCs w:val="20"/>
        </w:rPr>
        <w:t xml:space="preserve"> novel strain of coronavirus, known as COVID-19, was first reported and was subsequently declared a pandemic by the World Health Organization in March 2020. To date, this outbreak has surfaced in nearly all regions around the world, and as the pandemic con</w:t>
      </w:r>
      <w:r>
        <w:rPr>
          <w:rFonts w:ascii="Times New Roman" w:eastAsia="宋体" w:hAnsi="Times New Roman"/>
          <w:color w:val="000000"/>
          <w:sz w:val="20"/>
          <w:szCs w:val="20"/>
        </w:rPr>
        <w:t>tinues to spread, particularly in the United States, businesses as well as federal, state and local governments have implemented significant actions to attempt to mitigate this public health crisis. Our operations have been and will continue to be disrupte</w:t>
      </w:r>
      <w:r>
        <w:rPr>
          <w:rFonts w:ascii="Times New Roman" w:eastAsia="宋体" w:hAnsi="Times New Roman"/>
          <w:color w:val="000000"/>
          <w:sz w:val="20"/>
          <w:szCs w:val="20"/>
        </w:rPr>
        <w:t>d to varying degrees in many markets (from limited operations including only drive-thru and delivery to full store closures in some markets). While we cannot predict the duration or scope of the COVID-19 pandemic, it has negatively impacted our business an</w:t>
      </w:r>
      <w:r>
        <w:rPr>
          <w:rFonts w:ascii="Times New Roman" w:eastAsia="宋体" w:hAnsi="Times New Roman"/>
          <w:color w:val="000000"/>
          <w:sz w:val="20"/>
          <w:szCs w:val="20"/>
        </w:rPr>
        <w:t xml:space="preserve">d such impact has been and is expected to continue to be material to our financial results, condition and outlook. </w:t>
      </w:r>
    </w:p>
    <w:p w14:paraId="00BACCE3" w14:textId="77777777" w:rsidR="00871BDF" w:rsidRDefault="005C5088">
      <w:pPr>
        <w:spacing w:before="120"/>
      </w:pPr>
      <w:r>
        <w:rPr>
          <w:rFonts w:ascii="Times New Roman" w:eastAsia="宋体" w:hAnsi="Times New Roman"/>
          <w:color w:val="000000"/>
          <w:sz w:val="20"/>
          <w:szCs w:val="20"/>
        </w:rPr>
        <w:t>The further spread of COVID-19, and the requirements to take action to mitigate the spread of the pandemic, will impact our ability to carry</w:t>
      </w:r>
      <w:r>
        <w:rPr>
          <w:rFonts w:ascii="Times New Roman" w:eastAsia="宋体" w:hAnsi="Times New Roman"/>
          <w:color w:val="000000"/>
          <w:sz w:val="20"/>
          <w:szCs w:val="20"/>
        </w:rPr>
        <w:t xml:space="preserve"> out our business as usual and may materially adversely impact our business, results of operations, cash flows and financial condition. Even in regions where we have reopened stores, our stores may be subject to modified hours and operations and/or reduced</w:t>
      </w:r>
      <w:r>
        <w:rPr>
          <w:rFonts w:ascii="Times New Roman" w:eastAsia="宋体" w:hAnsi="Times New Roman"/>
          <w:color w:val="000000"/>
          <w:sz w:val="20"/>
          <w:szCs w:val="20"/>
        </w:rPr>
        <w:t xml:space="preserve"> customer traffic. Moreover, certain of those regions, including parts of China and the United States, have suffered a COVID-19 relapse after reopening. If those regions fail to fully contain COVID-19, or if additional regions suffer multiple COVID-19 rela</w:t>
      </w:r>
      <w:r>
        <w:rPr>
          <w:rFonts w:ascii="Times New Roman" w:eastAsia="宋体" w:hAnsi="Times New Roman"/>
          <w:color w:val="000000"/>
          <w:sz w:val="20"/>
          <w:szCs w:val="20"/>
        </w:rPr>
        <w:t>pses, any of those markets may not recover quickly or at all, which could have a material adverse effect on our business and results of operations. As a result, we may incur additional impairment charges to our inventory, store and corporate assets— and ou</w:t>
      </w:r>
      <w:r>
        <w:rPr>
          <w:rFonts w:ascii="Times New Roman" w:eastAsia="宋体" w:hAnsi="Times New Roman"/>
          <w:color w:val="000000"/>
          <w:sz w:val="20"/>
          <w:szCs w:val="20"/>
        </w:rPr>
        <w:t>r ability to realize the benefits from deferred tax assets may become limited— any of which may have a significant or material impact on our financial results. On March 27, 2020, the U.S. government enacted the Coronavirus Aid, Relief and Economic Security</w:t>
      </w:r>
      <w:r>
        <w:rPr>
          <w:rFonts w:ascii="Times New Roman" w:eastAsia="宋体" w:hAnsi="Times New Roman"/>
          <w:color w:val="000000"/>
          <w:sz w:val="20"/>
          <w:szCs w:val="20"/>
        </w:rPr>
        <w:t xml:space="preserve"> Act (“CARES Act”), which among other things, provides employer payroll tax credits for wages paid to employees who are unable to work during the COVID-19 outbreak and options to defer payroll tax payments for a limited period. Based on our evaluation of t</w:t>
      </w:r>
      <w:r>
        <w:rPr>
          <w:rFonts w:ascii="Times New Roman" w:eastAsia="宋体" w:hAnsi="Times New Roman"/>
          <w:color w:val="000000"/>
          <w:sz w:val="20"/>
          <w:szCs w:val="20"/>
        </w:rPr>
        <w:t xml:space="preserve">he CARES Act, we qualify for certain employer payroll tax credits as well as the deferral of payroll tax payments in the future. Additionally, the Canadian government enacted the Canada Emergency Wage Subsidy (“CEWS”) to help employers offset a portion of </w:t>
      </w:r>
      <w:r>
        <w:rPr>
          <w:rFonts w:ascii="Times New Roman" w:eastAsia="宋体" w:hAnsi="Times New Roman"/>
          <w:color w:val="000000"/>
          <w:sz w:val="20"/>
          <w:szCs w:val="20"/>
        </w:rPr>
        <w:t>their employee wages for a limited period. We elected to treat qualified government subsidies from the U.S., Canada and other governments as offsets to the related operating expenses. There is no guarantee that we will continue to meet the eligibility requ</w:t>
      </w:r>
      <w:r>
        <w:rPr>
          <w:rFonts w:ascii="Times New Roman" w:eastAsia="宋体" w:hAnsi="Times New Roman"/>
          <w:color w:val="000000"/>
          <w:sz w:val="20"/>
          <w:szCs w:val="20"/>
        </w:rPr>
        <w:t>irements to participate in any current or future government relief programs or that the benefits will meaningfully offset the lost revenues and incremental costs incurred. Increased volatility or significant disruption of global financial markets due in pa</w:t>
      </w:r>
      <w:r>
        <w:rPr>
          <w:rFonts w:ascii="Times New Roman" w:eastAsia="宋体" w:hAnsi="Times New Roman"/>
          <w:color w:val="000000"/>
          <w:sz w:val="20"/>
          <w:szCs w:val="20"/>
        </w:rPr>
        <w:t>rt to the COVID-19 pandemic could have a negative impact on our ability to access capital markets and other funding sources, on acceptable terms or at all and impede our ability to comply with debt covenants.</w:t>
      </w:r>
    </w:p>
    <w:p w14:paraId="00BACCE4" w14:textId="77777777" w:rsidR="00871BDF" w:rsidRDefault="005C5088">
      <w:pPr>
        <w:spacing w:before="120"/>
      </w:pPr>
      <w:r>
        <w:rPr>
          <w:rFonts w:ascii="Times New Roman" w:eastAsia="宋体" w:hAnsi="Times New Roman"/>
          <w:color w:val="000000"/>
          <w:sz w:val="20"/>
          <w:szCs w:val="20"/>
        </w:rPr>
        <w:t xml:space="preserve">The extent to which COVID-19 impacts our </w:t>
      </w:r>
      <w:r>
        <w:rPr>
          <w:rFonts w:ascii="Times New Roman" w:eastAsia="宋体" w:hAnsi="Times New Roman"/>
          <w:color w:val="000000"/>
          <w:sz w:val="20"/>
          <w:szCs w:val="20"/>
        </w:rPr>
        <w:t>business, results of operations, cash flows and financial condition will depend on future developments, which are highly uncertain and cannot be predicted, including new information which may emerge concerning the severity of COVID-19 and the efficacy, sco</w:t>
      </w:r>
      <w:r>
        <w:rPr>
          <w:rFonts w:ascii="Times New Roman" w:eastAsia="宋体" w:hAnsi="Times New Roman"/>
          <w:color w:val="000000"/>
          <w:sz w:val="20"/>
          <w:szCs w:val="20"/>
        </w:rPr>
        <w:t>pe and duration of actions to limit the spread of COVID-19 or treat its impact, among others. While such actions have been relaxed or rolled back in certain markets, the actions have been reinstated in certain regions that have suffered relapse, and may be</w:t>
      </w:r>
      <w:r>
        <w:rPr>
          <w:rFonts w:ascii="Times New Roman" w:eastAsia="宋体" w:hAnsi="Times New Roman"/>
          <w:color w:val="000000"/>
          <w:sz w:val="20"/>
          <w:szCs w:val="20"/>
        </w:rPr>
        <w:t xml:space="preserve"> reinstated in additional regions as the pandemic continues to evolve. The scope and timing of any such reinstatements are difficult to predict and may materially affect our future operations.</w:t>
      </w:r>
    </w:p>
    <w:p w14:paraId="00BACCE5" w14:textId="77777777" w:rsidR="00871BDF" w:rsidRDefault="005C5088">
      <w:pPr>
        <w:spacing w:before="120"/>
        <w:ind w:hanging="180"/>
      </w:pPr>
      <w:r>
        <w:rPr>
          <w:rFonts w:ascii="Times New Roman" w:eastAsia="宋体" w:hAnsi="Times New Roman"/>
          <w:b/>
          <w:bCs/>
          <w:i/>
          <w:iCs/>
          <w:color w:val="000000"/>
          <w:sz w:val="20"/>
          <w:szCs w:val="20"/>
        </w:rPr>
        <w:t xml:space="preserve">•Our financial condition and results of operations are subject </w:t>
      </w:r>
      <w:r>
        <w:rPr>
          <w:rFonts w:ascii="Times New Roman" w:eastAsia="宋体" w:hAnsi="Times New Roman"/>
          <w:b/>
          <w:bCs/>
          <w:i/>
          <w:iCs/>
          <w:color w:val="000000"/>
          <w:sz w:val="20"/>
          <w:szCs w:val="20"/>
        </w:rPr>
        <w:t>to, and may be adversely affected by, a number of other factors, many of which are also largely outside our control.</w:t>
      </w:r>
    </w:p>
    <w:p w14:paraId="00BACCE6" w14:textId="77777777" w:rsidR="00871BDF" w:rsidRDefault="005C5088">
      <w:pPr>
        <w:spacing w:before="120"/>
      </w:pPr>
      <w:r>
        <w:rPr>
          <w:rFonts w:ascii="Times New Roman" w:eastAsia="宋体" w:hAnsi="Times New Roman"/>
          <w:color w:val="000000"/>
          <w:sz w:val="20"/>
          <w:szCs w:val="20"/>
        </w:rPr>
        <w:t>In addition to the COVID-19 pandemic, our operating results have been in the past and will continue to be subject to a number of other fact</w:t>
      </w:r>
      <w:r>
        <w:rPr>
          <w:rFonts w:ascii="Times New Roman" w:eastAsia="宋体" w:hAnsi="Times New Roman"/>
          <w:color w:val="000000"/>
          <w:sz w:val="20"/>
          <w:szCs w:val="20"/>
        </w:rPr>
        <w:t>ors, many of which are largely outside our control. Any one or more of the factors listed below or described elsewhere in this risk factors section could have a material adverse impact our business, financial condition and/or results of operations:</w:t>
      </w:r>
    </w:p>
    <w:p w14:paraId="00BACCE7" w14:textId="77777777" w:rsidR="00871BDF" w:rsidRDefault="005C5088">
      <w:pPr>
        <w:spacing w:before="120"/>
        <w:ind w:hanging="180"/>
      </w:pPr>
      <w:r>
        <w:rPr>
          <w:rFonts w:ascii="Times New Roman" w:eastAsia="宋体" w:hAnsi="Times New Roman"/>
          <w:color w:val="000000"/>
          <w:sz w:val="20"/>
          <w:szCs w:val="20"/>
        </w:rPr>
        <w:t>•increa</w:t>
      </w:r>
      <w:r>
        <w:rPr>
          <w:rFonts w:ascii="Times New Roman" w:eastAsia="宋体" w:hAnsi="Times New Roman"/>
          <w:color w:val="000000"/>
          <w:sz w:val="20"/>
          <w:szCs w:val="20"/>
        </w:rPr>
        <w:t>ses in real estate costs in certain domestic and international markets;</w:t>
      </w:r>
    </w:p>
    <w:p w14:paraId="00BACCE8" w14:textId="77777777" w:rsidR="00871BDF" w:rsidRDefault="005C5088">
      <w:pPr>
        <w:spacing w:before="120"/>
        <w:ind w:hanging="180"/>
      </w:pPr>
      <w:r>
        <w:rPr>
          <w:rFonts w:ascii="Times New Roman" w:eastAsia="宋体" w:hAnsi="Times New Roman"/>
          <w:color w:val="000000"/>
          <w:sz w:val="20"/>
          <w:szCs w:val="20"/>
        </w:rPr>
        <w:t>•adverse outcomes of litigation;</w:t>
      </w:r>
    </w:p>
    <w:p w14:paraId="00BACCE9" w14:textId="77777777" w:rsidR="00871BDF" w:rsidRDefault="005C5088">
      <w:pPr>
        <w:spacing w:before="120"/>
        <w:ind w:hanging="180"/>
      </w:pPr>
      <w:r>
        <w:rPr>
          <w:rFonts w:ascii="Times New Roman" w:eastAsia="宋体" w:hAnsi="Times New Roman"/>
          <w:color w:val="000000"/>
          <w:sz w:val="20"/>
          <w:szCs w:val="20"/>
        </w:rPr>
        <w:t>•severe weather or other natural or man-made disasters affecting a large market or several closely located markets that may temporarily but significant</w:t>
      </w:r>
      <w:r>
        <w:rPr>
          <w:rFonts w:ascii="Times New Roman" w:eastAsia="宋体" w:hAnsi="Times New Roman"/>
          <w:color w:val="000000"/>
          <w:sz w:val="20"/>
          <w:szCs w:val="20"/>
        </w:rPr>
        <w:t>ly affect our retail business in such markets; and</w:t>
      </w:r>
    </w:p>
    <w:p w14:paraId="00BACCEA" w14:textId="77777777" w:rsidR="00871BDF" w:rsidRDefault="005C5088">
      <w:pPr>
        <w:spacing w:before="120"/>
        <w:ind w:hanging="180"/>
      </w:pPr>
      <w:r>
        <w:rPr>
          <w:rFonts w:ascii="Times New Roman" w:eastAsia="宋体" w:hAnsi="Times New Roman"/>
          <w:color w:val="000000"/>
          <w:sz w:val="20"/>
          <w:szCs w:val="20"/>
        </w:rPr>
        <w:t>•especially in our large markets, labor discord or disruption, geopolitical events (including escalating U.S.-China tensions), war, terrorism (including incidents targeting us), political instability, acts</w:t>
      </w:r>
      <w:r>
        <w:rPr>
          <w:rFonts w:ascii="Times New Roman" w:eastAsia="宋体" w:hAnsi="Times New Roman"/>
          <w:color w:val="000000"/>
          <w:sz w:val="20"/>
          <w:szCs w:val="20"/>
        </w:rPr>
        <w:t xml:space="preserve"> of public violence, boycotts, increasing anti-American sentiment in certain markets, hostilities and social unrest and other health pandemics that lead to avoidance of public places or restrictions on public gatherings such as in our stores.</w:t>
      </w:r>
    </w:p>
    <w:p w14:paraId="00BACCEB" w14:textId="77777777" w:rsidR="00871BDF" w:rsidRDefault="005C5088">
      <w:pPr>
        <w:jc w:val="center"/>
      </w:pPr>
      <w:r>
        <w:rPr>
          <w:rFonts w:ascii="Times New Roman" w:eastAsia="宋体" w:hAnsi="Times New Roman"/>
          <w:color w:val="000000"/>
          <w:sz w:val="20"/>
          <w:szCs w:val="20"/>
        </w:rPr>
        <w:t>10</w:t>
      </w:r>
    </w:p>
    <w:p w14:paraId="00BACCEC" w14:textId="77777777" w:rsidR="00871BDF" w:rsidRDefault="005C5088">
      <w:r>
        <w:pict w14:anchorId="00BB146D">
          <v:rect id="_x0000_i1037" style="width:415.3pt;height:1.5pt" o:hralign="center" o:hrstd="t" o:hr="t" fillcolor="#a0a0a0" stroked="f"/>
        </w:pict>
      </w:r>
    </w:p>
    <w:p w14:paraId="00BACCED" w14:textId="77777777" w:rsidR="00871BDF" w:rsidRDefault="005C5088">
      <w:hyperlink r:id="rId70" w:anchor="i54ccc64cb5384be5a4849ef1cdef4dde_7" w:history="1">
        <w:r>
          <w:rPr>
            <w:rStyle w:val="a5"/>
            <w:rFonts w:ascii="Times New Roman" w:eastAsia="宋体" w:hAnsi="Times New Roman"/>
            <w:sz w:val="20"/>
            <w:szCs w:val="20"/>
          </w:rPr>
          <w:t>Table of Contents</w:t>
        </w:r>
      </w:hyperlink>
    </w:p>
    <w:p w14:paraId="00BACCEE"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Economic conditions in the U.S. and international markets could adversely affect our busines</w:t>
      </w:r>
      <w:r>
        <w:rPr>
          <w:rFonts w:ascii="Times New Roman" w:eastAsia="宋体" w:hAnsi="Times New Roman"/>
          <w:b/>
          <w:bCs/>
          <w:i/>
          <w:iCs/>
          <w:color w:val="000000"/>
          <w:sz w:val="20"/>
          <w:szCs w:val="20"/>
        </w:rPr>
        <w:t xml:space="preserve">s and financial results. </w:t>
      </w:r>
    </w:p>
    <w:p w14:paraId="00BACCEF" w14:textId="77777777" w:rsidR="00871BDF" w:rsidRDefault="005C5088">
      <w:pPr>
        <w:spacing w:before="120"/>
      </w:pPr>
      <w:r>
        <w:rPr>
          <w:rFonts w:ascii="Times New Roman" w:eastAsia="宋体" w:hAnsi="Times New Roman"/>
          <w:color w:val="000000"/>
          <w:sz w:val="20"/>
          <w:szCs w:val="20"/>
        </w:rPr>
        <w:t>As a retailer that is dependent upon consumer discretionary spending, our results of operations are sensitive to changes in or uncertainty about macro-economic conditions. Our customers may have or in the future have less money fo</w:t>
      </w:r>
      <w:r>
        <w:rPr>
          <w:rFonts w:ascii="Times New Roman" w:eastAsia="宋体" w:hAnsi="Times New Roman"/>
          <w:color w:val="000000"/>
          <w:sz w:val="20"/>
          <w:szCs w:val="20"/>
        </w:rPr>
        <w:t>r discretionary purchases and may stop or reduce their purchases of our products or switch to Starbucks or competitors' lower-priced products as a result of various factors, including job losses, inflation, higher taxes, reduced access to credit, changes i</w:t>
      </w:r>
      <w:r>
        <w:rPr>
          <w:rFonts w:ascii="Times New Roman" w:eastAsia="宋体" w:hAnsi="Times New Roman"/>
          <w:color w:val="000000"/>
          <w:sz w:val="20"/>
          <w:szCs w:val="20"/>
        </w:rPr>
        <w:t>n federal economic policy and recent international trade disputes. Due to the COVID-19 pandemic, we may experience a reduction and/or increased volatility in demand for our products, which may be caused by, among other things: store closures or modified op</w:t>
      </w:r>
      <w:r>
        <w:rPr>
          <w:rFonts w:ascii="Times New Roman" w:eastAsia="宋体" w:hAnsi="Times New Roman"/>
          <w:color w:val="000000"/>
          <w:sz w:val="20"/>
          <w:szCs w:val="20"/>
        </w:rPr>
        <w:t>erating hours and business model, reduced customer traffic due to illness, quarantine or government or self-imposed restrictions placed on our stores' operations and changes in consumer spending behaviors (e.g. continued practice of social distancing, decr</w:t>
      </w:r>
      <w:r>
        <w:rPr>
          <w:rFonts w:ascii="Times New Roman" w:eastAsia="宋体" w:hAnsi="Times New Roman"/>
          <w:color w:val="000000"/>
          <w:sz w:val="20"/>
          <w:szCs w:val="20"/>
        </w:rPr>
        <w:t xml:space="preserve">ease in consumer confidence in general macroeconomic conditions and a decrease in consumer discretionary spending). Decreases in customer traffic and/or average value per transaction without a corresponding decrease in costs would put downward pressure on </w:t>
      </w:r>
      <w:r>
        <w:rPr>
          <w:rFonts w:ascii="Times New Roman" w:eastAsia="宋体" w:hAnsi="Times New Roman"/>
          <w:color w:val="000000"/>
          <w:sz w:val="20"/>
          <w:szCs w:val="20"/>
        </w:rPr>
        <w:t>margins and would negatively impact our financial results. There is also a risk that if negative economic conditions or uncertainty, as a result of the COVID-19 pandemic or otherwise, persist for a long period of time or worsen, consumers may make long-las</w:t>
      </w:r>
      <w:r>
        <w:rPr>
          <w:rFonts w:ascii="Times New Roman" w:eastAsia="宋体" w:hAnsi="Times New Roman"/>
          <w:color w:val="000000"/>
          <w:sz w:val="20"/>
          <w:szCs w:val="20"/>
        </w:rPr>
        <w:t>ting changes to their discretionary purchasing behavior, including less frequent discretionary purchases on a more permanent basis or there may be a general downturn in the restaurant industry.</w:t>
      </w:r>
    </w:p>
    <w:p w14:paraId="00BACCF0"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Failure to meet market expectations for our financial perform</w:t>
      </w:r>
      <w:r>
        <w:rPr>
          <w:rFonts w:ascii="Times New Roman" w:eastAsia="宋体" w:hAnsi="Times New Roman"/>
          <w:b/>
          <w:bCs/>
          <w:i/>
          <w:iCs/>
          <w:color w:val="000000"/>
          <w:sz w:val="20"/>
          <w:szCs w:val="20"/>
        </w:rPr>
        <w:t xml:space="preserve">ance and fluctuations in the stock market as a whole will likely adversely affect the market price and volatility of our stock. </w:t>
      </w:r>
    </w:p>
    <w:p w14:paraId="00BACCF1" w14:textId="77777777" w:rsidR="00871BDF" w:rsidRDefault="005C5088">
      <w:pPr>
        <w:spacing w:before="120"/>
      </w:pPr>
      <w:r>
        <w:rPr>
          <w:rFonts w:ascii="Times New Roman" w:eastAsia="宋体" w:hAnsi="Times New Roman"/>
          <w:color w:val="000000"/>
          <w:sz w:val="20"/>
          <w:szCs w:val="20"/>
        </w:rPr>
        <w:t>Failure to meet market expectations going forward, particularly with respect to net revenues, operating margins, earnings per s</w:t>
      </w:r>
      <w:r>
        <w:rPr>
          <w:rFonts w:ascii="Times New Roman" w:eastAsia="宋体" w:hAnsi="Times New Roman"/>
          <w:color w:val="000000"/>
          <w:sz w:val="20"/>
          <w:szCs w:val="20"/>
        </w:rPr>
        <w:t>hare, comparable store sales growth, operating cash flows and shareholder returns, will likely result in a decline and/or increased volatility in the market price of our stock. In addition, price and volume fluctuations in the stock market as a whole may a</w:t>
      </w:r>
      <w:r>
        <w:rPr>
          <w:rFonts w:ascii="Times New Roman" w:eastAsia="宋体" w:hAnsi="Times New Roman"/>
          <w:color w:val="000000"/>
          <w:sz w:val="20"/>
          <w:szCs w:val="20"/>
        </w:rPr>
        <w:t>ffect the market price of our stock in ways that may be unrelated to our financial performance.</w:t>
      </w:r>
    </w:p>
    <w:p w14:paraId="00BACCF2" w14:textId="77777777" w:rsidR="00871BDF" w:rsidRDefault="005C5088">
      <w:pPr>
        <w:spacing w:before="120"/>
      </w:pPr>
      <w:r>
        <w:rPr>
          <w:rFonts w:ascii="Times New Roman" w:eastAsia="宋体" w:hAnsi="Times New Roman"/>
          <w:b/>
          <w:bCs/>
          <w:color w:val="000000"/>
          <w:sz w:val="20"/>
          <w:szCs w:val="20"/>
          <w:u w:val="single"/>
        </w:rPr>
        <w:t>Risks Related to Brand Relevance and Brand Execution</w:t>
      </w:r>
    </w:p>
    <w:p w14:paraId="00BACCF3"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Our success depends substantially on the value of our brands and failure to preserve their value could have a negative impact on our financial results. </w:t>
      </w:r>
    </w:p>
    <w:p w14:paraId="00BACCF4" w14:textId="77777777" w:rsidR="00871BDF" w:rsidRDefault="005C5088">
      <w:pPr>
        <w:spacing w:before="120"/>
      </w:pPr>
      <w:r>
        <w:rPr>
          <w:rFonts w:ascii="Times New Roman" w:eastAsia="宋体" w:hAnsi="Times New Roman"/>
          <w:color w:val="000000"/>
          <w:sz w:val="20"/>
          <w:szCs w:val="20"/>
        </w:rPr>
        <w:t>We believe we have built an excellent reputation globally for the quality of our products, for delivery</w:t>
      </w:r>
      <w:r>
        <w:rPr>
          <w:rFonts w:ascii="Times New Roman" w:eastAsia="宋体" w:hAnsi="Times New Roman"/>
          <w:color w:val="000000"/>
          <w:sz w:val="20"/>
          <w:szCs w:val="20"/>
        </w:rPr>
        <w:t xml:space="preserve"> of a consistently positive consumer experience and for our global social impact programs. The Starbucks brand is recognized throughout the world, and we have received high ratings in global brand value studies. To be successful in the future, particularly</w:t>
      </w:r>
      <w:r>
        <w:rPr>
          <w:rFonts w:ascii="Times New Roman" w:eastAsia="宋体" w:hAnsi="Times New Roman"/>
          <w:color w:val="000000"/>
          <w:sz w:val="20"/>
          <w:szCs w:val="20"/>
        </w:rPr>
        <w:t xml:space="preserve"> outside of the U.S. where the Starbucks brand and our other brands are less well-known, we believe we must preserve, grow and leverage the value of our brands across all sales channels. Brand value is based in part on consumer perceptions on a variety of </w:t>
      </w:r>
      <w:r>
        <w:rPr>
          <w:rFonts w:ascii="Times New Roman" w:eastAsia="宋体" w:hAnsi="Times New Roman"/>
          <w:color w:val="000000"/>
          <w:sz w:val="20"/>
          <w:szCs w:val="20"/>
        </w:rPr>
        <w:t>subjective qualities.</w:t>
      </w:r>
    </w:p>
    <w:p w14:paraId="00BACCF5" w14:textId="77777777" w:rsidR="00871BDF" w:rsidRDefault="005C5088">
      <w:pPr>
        <w:spacing w:before="120"/>
      </w:pPr>
      <w:r>
        <w:rPr>
          <w:rFonts w:ascii="Times New Roman" w:eastAsia="宋体" w:hAnsi="Times New Roman"/>
          <w:color w:val="000000"/>
          <w:sz w:val="20"/>
          <w:szCs w:val="20"/>
        </w:rPr>
        <w:t xml:space="preserve">Business incidents, whether isolated or recurring and whether originating from us or our business partners, that erode consumer trust can significantly reduce brand value, potentially trigger boycotts of our stores or result in civil </w:t>
      </w:r>
      <w:r>
        <w:rPr>
          <w:rFonts w:ascii="Times New Roman" w:eastAsia="宋体" w:hAnsi="Times New Roman"/>
          <w:color w:val="000000"/>
          <w:sz w:val="20"/>
          <w:szCs w:val="20"/>
        </w:rPr>
        <w:t>or criminal liability and can have a negative impact on our financial results. Such incidents include actual or perceived breaches of privacy or violations of domestic or international privacy laws, contaminated food, product recalls, store employees or ot</w:t>
      </w:r>
      <w:r>
        <w:rPr>
          <w:rFonts w:ascii="Times New Roman" w:eastAsia="宋体" w:hAnsi="Times New Roman"/>
          <w:color w:val="000000"/>
          <w:sz w:val="20"/>
          <w:szCs w:val="20"/>
        </w:rPr>
        <w:t xml:space="preserve">her food handlers infected with communicable diseases, such as COVID-19, or other potential incidents discussed in this risk factors section. The impact of such incidents may be exacerbated if they receive considerable publicity, including rapidly through </w:t>
      </w:r>
      <w:r>
        <w:rPr>
          <w:rFonts w:ascii="Times New Roman" w:eastAsia="宋体" w:hAnsi="Times New Roman"/>
          <w:color w:val="000000"/>
          <w:sz w:val="20"/>
          <w:szCs w:val="20"/>
        </w:rPr>
        <w:t>social or digital media (including for malicious reasons) or result in litigation. Consumer demand for our products and our brand equity could diminish significantly if we, our employees, licensees or other business partners fail to preserve the quality of</w:t>
      </w:r>
      <w:r>
        <w:rPr>
          <w:rFonts w:ascii="Times New Roman" w:eastAsia="宋体" w:hAnsi="Times New Roman"/>
          <w:color w:val="000000"/>
          <w:sz w:val="20"/>
          <w:szCs w:val="20"/>
        </w:rPr>
        <w:t xml:space="preserve"> our products, act or are perceived to act in an unethical, illegal, racially-biased, unequal or socially irresponsible manner, including with respect to the sourcing, content or sale of our products, service and treatment of customers at Starbucks stores,</w:t>
      </w:r>
      <w:r>
        <w:rPr>
          <w:rFonts w:ascii="Times New Roman" w:eastAsia="宋体" w:hAnsi="Times New Roman"/>
          <w:color w:val="000000"/>
          <w:sz w:val="20"/>
          <w:szCs w:val="20"/>
        </w:rPr>
        <w:t xml:space="preserve"> or the use of customer data for general or direct marketing or other purposes. Additionally, if we fail to comply with laws and regulations, publicly take controversial positions or actions or fail to deliver a consistently positive consumer experience in</w:t>
      </w:r>
      <w:r>
        <w:rPr>
          <w:rFonts w:ascii="Times New Roman" w:eastAsia="宋体" w:hAnsi="Times New Roman"/>
          <w:color w:val="000000"/>
          <w:sz w:val="20"/>
          <w:szCs w:val="20"/>
        </w:rPr>
        <w:t xml:space="preserve"> each of our markets, including by failing to invest in the right balance of wages and benefits to attract and retain employees that represent the brand well or foster an inclusive and diverse environment, our brand value may be diminished.</w:t>
      </w:r>
    </w:p>
    <w:p w14:paraId="00BACCF6" w14:textId="77777777" w:rsidR="00871BDF" w:rsidRDefault="005C5088">
      <w:pPr>
        <w:jc w:val="center"/>
      </w:pPr>
      <w:r>
        <w:rPr>
          <w:rFonts w:ascii="Times New Roman" w:eastAsia="宋体" w:hAnsi="Times New Roman"/>
          <w:color w:val="000000"/>
          <w:sz w:val="20"/>
          <w:szCs w:val="20"/>
        </w:rPr>
        <w:t>11</w:t>
      </w:r>
    </w:p>
    <w:p w14:paraId="00BACCF7" w14:textId="77777777" w:rsidR="00871BDF" w:rsidRDefault="005C5088">
      <w:r>
        <w:pict w14:anchorId="00BB146E">
          <v:rect id="_x0000_i1038" style="width:415.3pt;height:1.5pt" o:hralign="center" o:hrstd="t" o:hr="t" fillcolor="#a0a0a0" stroked="f"/>
        </w:pict>
      </w:r>
    </w:p>
    <w:p w14:paraId="00BACCF8" w14:textId="77777777" w:rsidR="00871BDF" w:rsidRDefault="005C5088">
      <w:hyperlink r:id="rId71" w:anchor="i54ccc64cb5384be5a4849ef1cdef4dde_7" w:history="1">
        <w:r>
          <w:rPr>
            <w:rStyle w:val="a5"/>
            <w:rFonts w:ascii="Times New Roman" w:eastAsia="宋体" w:hAnsi="Times New Roman"/>
            <w:sz w:val="20"/>
            <w:szCs w:val="20"/>
          </w:rPr>
          <w:t>Table of Contents</w:t>
        </w:r>
      </w:hyperlink>
    </w:p>
    <w:p w14:paraId="00BACCF9"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If our business partners and third-party providers do not satisfactorily fulfill the</w:t>
      </w:r>
      <w:r>
        <w:rPr>
          <w:rFonts w:ascii="Times New Roman" w:eastAsia="宋体" w:hAnsi="Times New Roman"/>
          <w:b/>
          <w:bCs/>
          <w:i/>
          <w:iCs/>
          <w:color w:val="000000"/>
          <w:sz w:val="20"/>
          <w:szCs w:val="20"/>
        </w:rPr>
        <w:t xml:space="preserve">ir responsibilities and commitments, it could damage our brand and our financial results could suffer. </w:t>
      </w:r>
    </w:p>
    <w:p w14:paraId="00BACCFA" w14:textId="77777777" w:rsidR="00871BDF" w:rsidRDefault="005C5088">
      <w:pPr>
        <w:spacing w:before="120"/>
      </w:pPr>
      <w:r>
        <w:rPr>
          <w:rFonts w:ascii="Times New Roman" w:eastAsia="宋体" w:hAnsi="Times New Roman"/>
          <w:color w:val="000000"/>
          <w:sz w:val="20"/>
          <w:szCs w:val="20"/>
        </w:rPr>
        <w:t xml:space="preserve">Our global business strategy, including our plans for new stores, branded products and other initiatives, relies significantly on a variety of business </w:t>
      </w:r>
      <w:r>
        <w:rPr>
          <w:rFonts w:ascii="Times New Roman" w:eastAsia="宋体" w:hAnsi="Times New Roman"/>
          <w:color w:val="000000"/>
          <w:sz w:val="20"/>
          <w:szCs w:val="20"/>
        </w:rPr>
        <w:t>partners, including licensee and joint venture relationships, third-party manufacturers, distributors and retailers, particularly for our entire global Channel Development business. Licensees, retailers and foodservice operators are often authorized to use</w:t>
      </w:r>
      <w:r>
        <w:rPr>
          <w:rFonts w:ascii="Times New Roman" w:eastAsia="宋体" w:hAnsi="Times New Roman"/>
          <w:color w:val="000000"/>
          <w:sz w:val="20"/>
          <w:szCs w:val="20"/>
        </w:rPr>
        <w:t xml:space="preserve"> our logos and provide branded food, beverage and other products directly to customers. We believe our customers expect the same quality of service regardless of whether they visit a licensed or company-operated store, so we provide training and support to</w:t>
      </w:r>
      <w:r>
        <w:rPr>
          <w:rFonts w:ascii="Times New Roman" w:eastAsia="宋体" w:hAnsi="Times New Roman"/>
          <w:color w:val="000000"/>
          <w:sz w:val="20"/>
          <w:szCs w:val="20"/>
        </w:rPr>
        <w:t>, and monitor the operations of, certain of these licensees and other business partners. However, the product quality and service they deliver may still be diminished by any number of factors beyond our control. We do not have direct control over our busin</w:t>
      </w:r>
      <w:r>
        <w:rPr>
          <w:rFonts w:ascii="Times New Roman" w:eastAsia="宋体" w:hAnsi="Times New Roman"/>
          <w:color w:val="000000"/>
          <w:sz w:val="20"/>
          <w:szCs w:val="20"/>
        </w:rPr>
        <w:t>ess partners, including in their adherence to additional sanitation protocols and guidelines as a result of the COVID-19 pandemic, and may not have visibility into their practices.</w:t>
      </w:r>
    </w:p>
    <w:p w14:paraId="00BACCFB" w14:textId="77777777" w:rsidR="00871BDF" w:rsidRDefault="005C5088">
      <w:pPr>
        <w:spacing w:before="120"/>
      </w:pPr>
      <w:r>
        <w:rPr>
          <w:rFonts w:ascii="Times New Roman" w:eastAsia="宋体" w:hAnsi="Times New Roman"/>
          <w:color w:val="000000"/>
          <w:sz w:val="20"/>
          <w:szCs w:val="20"/>
        </w:rPr>
        <w:t>We also source our food, beverage and other products from a wide variety of</w:t>
      </w:r>
      <w:r>
        <w:rPr>
          <w:rFonts w:ascii="Times New Roman" w:eastAsia="宋体" w:hAnsi="Times New Roman"/>
          <w:color w:val="000000"/>
          <w:sz w:val="20"/>
          <w:szCs w:val="20"/>
        </w:rPr>
        <w:t xml:space="preserve"> domestic and international business partners and in certain cases such products are produced or sourced by our licensees directly. And although foodservice operators are authorized to use our logos and provide branded products as part of their foodservice</w:t>
      </w:r>
      <w:r>
        <w:rPr>
          <w:rFonts w:ascii="Times New Roman" w:eastAsia="宋体" w:hAnsi="Times New Roman"/>
          <w:color w:val="000000"/>
          <w:sz w:val="20"/>
          <w:szCs w:val="20"/>
        </w:rPr>
        <w:t xml:space="preserve"> business, we do not monitor the quality of non-Starbucks products served in those locations. Additionally, inconsistent uses of our brand and other of our intellectual property assets, as well as failure to protect our intellectual property, can erode con</w:t>
      </w:r>
      <w:r>
        <w:rPr>
          <w:rFonts w:ascii="Times New Roman" w:eastAsia="宋体" w:hAnsi="Times New Roman"/>
          <w:color w:val="000000"/>
          <w:sz w:val="20"/>
          <w:szCs w:val="20"/>
        </w:rPr>
        <w:t>sumer trust and our brand value and have a material negative impact on our financial results.</w:t>
      </w:r>
    </w:p>
    <w:p w14:paraId="00BACCFC"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Incidents involving food or beverage-borne illnesses, tampering, adulteration, contamination or mislabeling, whether or not accurate, as well as adverse public o</w:t>
      </w:r>
      <w:r>
        <w:rPr>
          <w:rFonts w:ascii="Times New Roman" w:eastAsia="宋体" w:hAnsi="Times New Roman"/>
          <w:b/>
          <w:bCs/>
          <w:i/>
          <w:iCs/>
          <w:color w:val="000000"/>
          <w:sz w:val="20"/>
          <w:szCs w:val="20"/>
        </w:rPr>
        <w:t xml:space="preserve">r medical opinions about the health effects of consuming our products, could harm our business. </w:t>
      </w:r>
    </w:p>
    <w:p w14:paraId="00BACCFD" w14:textId="77777777" w:rsidR="00871BDF" w:rsidRDefault="005C5088">
      <w:pPr>
        <w:spacing w:before="120"/>
      </w:pPr>
      <w:r>
        <w:rPr>
          <w:rFonts w:ascii="Times New Roman" w:eastAsia="宋体" w:hAnsi="Times New Roman"/>
          <w:color w:val="000000"/>
          <w:sz w:val="20"/>
          <w:szCs w:val="20"/>
        </w:rPr>
        <w:t>Instances or reports, whether true or not, of unclean water supply or food-safety issues, such as food or beverage-borne illnesses, tampering, adulteration, co</w:t>
      </w:r>
      <w:r>
        <w:rPr>
          <w:rFonts w:ascii="Times New Roman" w:eastAsia="宋体" w:hAnsi="Times New Roman"/>
          <w:color w:val="000000"/>
          <w:sz w:val="20"/>
          <w:szCs w:val="20"/>
        </w:rPr>
        <w:t>ntamination or mislabeling, either during growing, manufacturing, packaging, storing or preparation, have in the past severely injured the reputations of companies in the food and beverage processing, grocery and quick-service restaurant sectors. Any repor</w:t>
      </w:r>
      <w:r>
        <w:rPr>
          <w:rFonts w:ascii="Times New Roman" w:eastAsia="宋体" w:hAnsi="Times New Roman"/>
          <w:color w:val="000000"/>
          <w:sz w:val="20"/>
          <w:szCs w:val="20"/>
        </w:rPr>
        <w:t>t linking us to such instances could severely hurt our sales and could possibly lead to product liability claims, litigation (including class actions) and/or temporary store closures. Clean water is critical to the preparation of coffee, tea and other beve</w:t>
      </w:r>
      <w:r>
        <w:rPr>
          <w:rFonts w:ascii="Times New Roman" w:eastAsia="宋体" w:hAnsi="Times New Roman"/>
          <w:color w:val="000000"/>
          <w:sz w:val="20"/>
          <w:szCs w:val="20"/>
        </w:rPr>
        <w:t>rages, as well as ice for our cold beverages, and our ability to ensure a clean water and ice supply to our stores can be limited, particularly in some international locations. We are also continuing to incorporate more products in our food and beverage li</w:t>
      </w:r>
      <w:r>
        <w:rPr>
          <w:rFonts w:ascii="Times New Roman" w:eastAsia="宋体" w:hAnsi="Times New Roman"/>
          <w:color w:val="000000"/>
          <w:sz w:val="20"/>
          <w:szCs w:val="20"/>
        </w:rPr>
        <w:t xml:space="preserve">neup that require freezing or refrigeration, which increases the risk of food safety related incidents if correct temperatures are not maintained due to mechanical malfunction or human error. </w:t>
      </w:r>
    </w:p>
    <w:p w14:paraId="00BACCFE" w14:textId="77777777" w:rsidR="00871BDF" w:rsidRDefault="005C5088">
      <w:pPr>
        <w:spacing w:before="120"/>
      </w:pPr>
      <w:r>
        <w:rPr>
          <w:rFonts w:ascii="Times New Roman" w:eastAsia="宋体" w:hAnsi="Times New Roman"/>
          <w:color w:val="000000"/>
          <w:sz w:val="20"/>
          <w:szCs w:val="20"/>
        </w:rPr>
        <w:t>We also face risk by relying on third-party food suppliers to p</w:t>
      </w:r>
      <w:r>
        <w:rPr>
          <w:rFonts w:ascii="Times New Roman" w:eastAsia="宋体" w:hAnsi="Times New Roman"/>
          <w:color w:val="000000"/>
          <w:sz w:val="20"/>
          <w:szCs w:val="20"/>
        </w:rPr>
        <w:t>rovide and transport ingredients and finished products to our stores. We monitor the operations of certain of these business partners, but the product quality and service they deliver may be diminished by any number of factors beyond our control and it may</w:t>
      </w:r>
      <w:r>
        <w:rPr>
          <w:rFonts w:ascii="Times New Roman" w:eastAsia="宋体" w:hAnsi="Times New Roman"/>
          <w:color w:val="000000"/>
          <w:sz w:val="20"/>
          <w:szCs w:val="20"/>
        </w:rPr>
        <w:t xml:space="preserve"> be difficult to detect contamination or other defect in these products. Furthermore, due to the COVID-19 pandemic, there are stricter health regulations and guidelines and increased public concern over food safety standards and controls. Potential food sa</w:t>
      </w:r>
      <w:r>
        <w:rPr>
          <w:rFonts w:ascii="Times New Roman" w:eastAsia="宋体" w:hAnsi="Times New Roman"/>
          <w:color w:val="000000"/>
          <w:sz w:val="20"/>
          <w:szCs w:val="20"/>
        </w:rPr>
        <w:t>fety incidents, whether at our stores or involving our business partners, could lead to wide public exposure, which could materially harm our business.</w:t>
      </w:r>
    </w:p>
    <w:p w14:paraId="00BACCFF" w14:textId="77777777" w:rsidR="00871BDF" w:rsidRDefault="005C5088">
      <w:pPr>
        <w:spacing w:before="120"/>
      </w:pPr>
      <w:r>
        <w:rPr>
          <w:rFonts w:ascii="Times New Roman" w:eastAsia="宋体" w:hAnsi="Times New Roman"/>
          <w:color w:val="000000"/>
          <w:sz w:val="20"/>
          <w:szCs w:val="20"/>
        </w:rPr>
        <w:t xml:space="preserve">Additionally, we are evolving our product lineup to include more local or smaller suppliers for some of </w:t>
      </w:r>
      <w:r>
        <w:rPr>
          <w:rFonts w:ascii="Times New Roman" w:eastAsia="宋体" w:hAnsi="Times New Roman"/>
          <w:color w:val="000000"/>
          <w:sz w:val="20"/>
          <w:szCs w:val="20"/>
        </w:rPr>
        <w:t>our products who may not have as rigorous quality and safety systems and protocols as larger or more national suppliers, especially in light of the heightened safety protocols as a result of the COVID-19 pandemic. In addition, instances of food or beverage</w:t>
      </w:r>
      <w:r>
        <w:rPr>
          <w:rFonts w:ascii="Times New Roman" w:eastAsia="宋体" w:hAnsi="Times New Roman"/>
          <w:color w:val="000000"/>
          <w:sz w:val="20"/>
          <w:szCs w:val="20"/>
        </w:rPr>
        <w:t>-safety issues, even those involving solely the restaurants or stores of competitors or of suppliers or distributors (regardless of whether we use or have used those suppliers or distributors), could, by resulting in negative publicity about us or the food</w:t>
      </w:r>
      <w:r>
        <w:rPr>
          <w:rFonts w:ascii="Times New Roman" w:eastAsia="宋体" w:hAnsi="Times New Roman"/>
          <w:color w:val="000000"/>
          <w:sz w:val="20"/>
          <w:szCs w:val="20"/>
        </w:rPr>
        <w:t>service industry in general, adversely affect our sales on a regional or global basis. A decrease in customer traffic as a result of food-safety concerns or negative publicity, or as a result of a temporary closure of any of our stores, product recalls, vi</w:t>
      </w:r>
      <w:r>
        <w:rPr>
          <w:rFonts w:ascii="Times New Roman" w:eastAsia="宋体" w:hAnsi="Times New Roman"/>
          <w:color w:val="000000"/>
          <w:sz w:val="20"/>
          <w:szCs w:val="20"/>
        </w:rPr>
        <w:t>ral-contaminated food or beverage claims or other food or beverage-safety claims or litigation, could materially harm our business and results of operations.</w:t>
      </w:r>
    </w:p>
    <w:p w14:paraId="00BACD00"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We may not be successful in implementing important strategic initiatives or effectively managing </w:t>
      </w:r>
      <w:r>
        <w:rPr>
          <w:rFonts w:ascii="Times New Roman" w:eastAsia="宋体" w:hAnsi="Times New Roman"/>
          <w:b/>
          <w:bCs/>
          <w:i/>
          <w:iCs/>
          <w:color w:val="000000"/>
          <w:sz w:val="20"/>
          <w:szCs w:val="20"/>
        </w:rPr>
        <w:t xml:space="preserve">growth, which may have an adverse impact on our business and financial results. </w:t>
      </w:r>
    </w:p>
    <w:p w14:paraId="00BACD01" w14:textId="77777777" w:rsidR="00871BDF" w:rsidRDefault="005C5088">
      <w:pPr>
        <w:spacing w:before="120"/>
      </w:pPr>
      <w:r>
        <w:rPr>
          <w:rFonts w:ascii="Times New Roman" w:eastAsia="宋体" w:hAnsi="Times New Roman"/>
          <w:color w:val="000000"/>
          <w:sz w:val="20"/>
          <w:szCs w:val="20"/>
        </w:rPr>
        <w:t xml:space="preserve">There is no assurance that we will be able to implement important strategic initiatives in accordance with our expectations or that they will generate expected returns, which </w:t>
      </w:r>
      <w:r>
        <w:rPr>
          <w:rFonts w:ascii="Times New Roman" w:eastAsia="宋体" w:hAnsi="Times New Roman"/>
          <w:color w:val="000000"/>
          <w:sz w:val="20"/>
          <w:szCs w:val="20"/>
        </w:rPr>
        <w:t>may result in an adverse impact on our business and financial results. These strategic initiatives are designed to create growth, improve our results of operations and drive long-term shareholder value, and include:</w:t>
      </w:r>
    </w:p>
    <w:p w14:paraId="00BACD02" w14:textId="77777777" w:rsidR="00871BDF" w:rsidRDefault="005C5088">
      <w:pPr>
        <w:spacing w:before="120"/>
        <w:ind w:hanging="180"/>
      </w:pPr>
      <w:r>
        <w:rPr>
          <w:rFonts w:ascii="Times New Roman" w:eastAsia="宋体" w:hAnsi="Times New Roman"/>
          <w:color w:val="000000"/>
          <w:sz w:val="20"/>
          <w:szCs w:val="20"/>
        </w:rPr>
        <w:t>•being an employer of choice and investi</w:t>
      </w:r>
      <w:r>
        <w:rPr>
          <w:rFonts w:ascii="Times New Roman" w:eastAsia="宋体" w:hAnsi="Times New Roman"/>
          <w:color w:val="000000"/>
          <w:sz w:val="20"/>
          <w:szCs w:val="20"/>
        </w:rPr>
        <w:t>ng in employees to deliver a superior customer experience;</w:t>
      </w:r>
    </w:p>
    <w:p w14:paraId="00BACD03" w14:textId="77777777" w:rsidR="00871BDF" w:rsidRDefault="005C5088">
      <w:pPr>
        <w:spacing w:before="120"/>
        <w:ind w:hanging="180"/>
      </w:pPr>
      <w:r>
        <w:rPr>
          <w:rFonts w:ascii="Times New Roman" w:eastAsia="宋体" w:hAnsi="Times New Roman"/>
          <w:color w:val="000000"/>
          <w:sz w:val="20"/>
          <w:szCs w:val="20"/>
        </w:rPr>
        <w:t>•building our leadership position around coffee;</w:t>
      </w:r>
    </w:p>
    <w:p w14:paraId="00BACD04" w14:textId="77777777" w:rsidR="00871BDF" w:rsidRDefault="005C5088">
      <w:pPr>
        <w:jc w:val="center"/>
      </w:pPr>
      <w:r>
        <w:rPr>
          <w:rFonts w:ascii="Times New Roman" w:eastAsia="宋体" w:hAnsi="Times New Roman"/>
          <w:color w:val="000000"/>
          <w:sz w:val="20"/>
          <w:szCs w:val="20"/>
        </w:rPr>
        <w:t>12</w:t>
      </w:r>
    </w:p>
    <w:p w14:paraId="00BACD05" w14:textId="77777777" w:rsidR="00871BDF" w:rsidRDefault="005C5088">
      <w:r>
        <w:pict w14:anchorId="00BB146F">
          <v:rect id="_x0000_i1039" style="width:415.3pt;height:1.5pt" o:hralign="center" o:hrstd="t" o:hr="t" fillcolor="#a0a0a0" stroked="f"/>
        </w:pict>
      </w:r>
    </w:p>
    <w:p w14:paraId="00BACD06" w14:textId="77777777" w:rsidR="00871BDF" w:rsidRDefault="005C5088">
      <w:hyperlink r:id="rId72" w:anchor="i54ccc64cb5384be5a4849ef1cdef4dde_7" w:history="1">
        <w:r>
          <w:rPr>
            <w:rStyle w:val="a5"/>
            <w:rFonts w:ascii="Times New Roman" w:eastAsia="宋体" w:hAnsi="Times New Roman"/>
            <w:sz w:val="20"/>
            <w:szCs w:val="20"/>
          </w:rPr>
          <w:t>Table of Contents</w:t>
        </w:r>
      </w:hyperlink>
    </w:p>
    <w:p w14:paraId="00BACD07" w14:textId="77777777" w:rsidR="00871BDF" w:rsidRDefault="005C5088">
      <w:pPr>
        <w:spacing w:before="120"/>
        <w:ind w:hanging="180"/>
      </w:pPr>
      <w:r>
        <w:rPr>
          <w:rFonts w:ascii="Times New Roman" w:eastAsia="宋体" w:hAnsi="Times New Roman"/>
          <w:color w:val="000000"/>
          <w:sz w:val="20"/>
          <w:szCs w:val="20"/>
        </w:rPr>
        <w:t>•driving convenience, brand engagement and digital relationships through our mobile, loyalty, delivery and digital capabilities both domestically and internationally;</w:t>
      </w:r>
    </w:p>
    <w:p w14:paraId="00BACD08" w14:textId="77777777" w:rsidR="00871BDF" w:rsidRDefault="005C5088">
      <w:pPr>
        <w:spacing w:before="120"/>
        <w:ind w:hanging="180"/>
      </w:pPr>
      <w:r>
        <w:rPr>
          <w:rFonts w:ascii="Times New Roman" w:eastAsia="宋体" w:hAnsi="Times New Roman"/>
          <w:color w:val="000000"/>
          <w:sz w:val="20"/>
          <w:szCs w:val="20"/>
        </w:rPr>
        <w:t>•simplifying store administrative tasks to allow store partne</w:t>
      </w:r>
      <w:r>
        <w:rPr>
          <w:rFonts w:ascii="Times New Roman" w:eastAsia="宋体" w:hAnsi="Times New Roman"/>
          <w:color w:val="000000"/>
          <w:sz w:val="20"/>
          <w:szCs w:val="20"/>
        </w:rPr>
        <w:t>rs to better engage with customers;</w:t>
      </w:r>
    </w:p>
    <w:p w14:paraId="00BACD09" w14:textId="77777777" w:rsidR="00871BDF" w:rsidRDefault="005C5088">
      <w:pPr>
        <w:spacing w:before="120"/>
        <w:ind w:hanging="180"/>
      </w:pPr>
      <w:r>
        <w:rPr>
          <w:rFonts w:ascii="Times New Roman" w:eastAsia="宋体" w:hAnsi="Times New Roman"/>
          <w:color w:val="000000"/>
          <w:sz w:val="20"/>
          <w:szCs w:val="20"/>
        </w:rPr>
        <w:t>•increasing the scale of the Starbucks store footprint with disciplined global expansion and introducing flexible and unique store formats, including the accelerated development of alternative store formats (such as Star</w:t>
      </w:r>
      <w:r>
        <w:rPr>
          <w:rFonts w:ascii="Times New Roman" w:eastAsia="宋体" w:hAnsi="Times New Roman"/>
          <w:color w:val="000000"/>
          <w:sz w:val="20"/>
          <w:szCs w:val="20"/>
        </w:rPr>
        <w:t>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Pickup stores, Starbucks Now stores and curbside pickup) in light of the COVID-19 pandemic;</w:t>
      </w:r>
    </w:p>
    <w:p w14:paraId="00BACD0A" w14:textId="77777777" w:rsidR="00871BDF" w:rsidRDefault="005C5088">
      <w:pPr>
        <w:spacing w:before="120"/>
        <w:ind w:hanging="180"/>
      </w:pPr>
      <w:r>
        <w:rPr>
          <w:rFonts w:ascii="Times New Roman" w:eastAsia="宋体" w:hAnsi="Times New Roman"/>
          <w:color w:val="000000"/>
          <w:sz w:val="20"/>
          <w:szCs w:val="20"/>
        </w:rPr>
        <w:t>•adjusting rapidly to changing customer preferences and behaviors in light of the COVID-19 pandemic; </w:t>
      </w:r>
    </w:p>
    <w:p w14:paraId="00BACD0B" w14:textId="77777777" w:rsidR="00871BDF" w:rsidRDefault="005C5088">
      <w:pPr>
        <w:spacing w:before="120"/>
        <w:ind w:hanging="180"/>
      </w:pPr>
      <w:r>
        <w:rPr>
          <w:rFonts w:ascii="Times New Roman" w:eastAsia="宋体" w:hAnsi="Times New Roman"/>
          <w:color w:val="000000"/>
          <w:sz w:val="20"/>
          <w:szCs w:val="20"/>
        </w:rPr>
        <w:t xml:space="preserve">•moving to a more licensed store model in some </w:t>
      </w:r>
      <w:r>
        <w:rPr>
          <w:rFonts w:ascii="Times New Roman" w:eastAsia="宋体" w:hAnsi="Times New Roman"/>
          <w:color w:val="000000"/>
          <w:sz w:val="20"/>
          <w:szCs w:val="20"/>
        </w:rPr>
        <w:t>markets and a more company-owned model in other markets;</w:t>
      </w:r>
    </w:p>
    <w:p w14:paraId="00BACD0C" w14:textId="77777777" w:rsidR="00871BDF" w:rsidRDefault="005C5088">
      <w:pPr>
        <w:spacing w:before="120"/>
        <w:ind w:hanging="180"/>
      </w:pPr>
      <w:r>
        <w:rPr>
          <w:rFonts w:ascii="Times New Roman" w:eastAsia="宋体" w:hAnsi="Times New Roman"/>
          <w:color w:val="000000"/>
          <w:sz w:val="20"/>
          <w:szCs w:val="20"/>
        </w:rPr>
        <w:t xml:space="preserve">•creating new occasions in stores across all dayparts with new product offerings, including our growing lunch food and beverage product lineup; </w:t>
      </w:r>
    </w:p>
    <w:p w14:paraId="00BACD0D" w14:textId="77777777" w:rsidR="00871BDF" w:rsidRDefault="005C5088">
      <w:pPr>
        <w:spacing w:before="120"/>
        <w:ind w:hanging="180"/>
      </w:pPr>
      <w:r>
        <w:rPr>
          <w:rFonts w:ascii="Times New Roman" w:eastAsia="宋体" w:hAnsi="Times New Roman"/>
          <w:color w:val="000000"/>
          <w:sz w:val="20"/>
          <w:szCs w:val="20"/>
        </w:rPr>
        <w:t xml:space="preserve">•continuing the global growth of our Channel Development business through our supply, distribution and licensing agreements with Nestlé and other Channel Development business partners; </w:t>
      </w:r>
    </w:p>
    <w:p w14:paraId="00BACD0E" w14:textId="77777777" w:rsidR="00871BDF" w:rsidRDefault="005C5088">
      <w:pPr>
        <w:spacing w:before="120"/>
        <w:ind w:hanging="180"/>
      </w:pPr>
      <w:r>
        <w:rPr>
          <w:rFonts w:ascii="Times New Roman" w:eastAsia="宋体" w:hAnsi="Times New Roman"/>
          <w:color w:val="000000"/>
          <w:sz w:val="20"/>
          <w:szCs w:val="20"/>
        </w:rPr>
        <w:t xml:space="preserve">•delivering continued growth in our cold beverage business, including </w:t>
      </w:r>
      <w:r>
        <w:rPr>
          <w:rFonts w:ascii="Times New Roman" w:eastAsia="宋体" w:hAnsi="Times New Roman"/>
          <w:color w:val="000000"/>
          <w:sz w:val="20"/>
          <w:szCs w:val="20"/>
        </w:rPr>
        <w:t>our tea business through the Teavana brand in our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retail stores and other channels and internationally; and</w:t>
      </w:r>
    </w:p>
    <w:p w14:paraId="00BACD0F" w14:textId="77777777" w:rsidR="00871BDF" w:rsidRDefault="005C5088">
      <w:pPr>
        <w:spacing w:before="120"/>
        <w:ind w:hanging="180"/>
      </w:pPr>
      <w:r>
        <w:rPr>
          <w:rFonts w:ascii="Times New Roman" w:eastAsia="宋体" w:hAnsi="Times New Roman"/>
          <w:color w:val="000000"/>
          <w:sz w:val="20"/>
          <w:szCs w:val="20"/>
        </w:rPr>
        <w:t>•reducing our operating costs, particularly general and administrative expenses.</w:t>
      </w:r>
    </w:p>
    <w:p w14:paraId="00BACD10" w14:textId="77777777" w:rsidR="00871BDF" w:rsidRDefault="005C5088">
      <w:pPr>
        <w:spacing w:before="120"/>
      </w:pPr>
      <w:r>
        <w:rPr>
          <w:rFonts w:ascii="Times New Roman" w:eastAsia="宋体" w:hAnsi="Times New Roman"/>
          <w:color w:val="000000"/>
          <w:sz w:val="20"/>
          <w:szCs w:val="20"/>
        </w:rPr>
        <w:t>In addition to other factors listed in this risk factors</w:t>
      </w:r>
      <w:r>
        <w:rPr>
          <w:rFonts w:ascii="Times New Roman" w:eastAsia="宋体" w:hAnsi="Times New Roman"/>
          <w:color w:val="000000"/>
          <w:sz w:val="20"/>
          <w:szCs w:val="20"/>
        </w:rPr>
        <w:t xml:space="preserve"> section, factors that may adversely affect the successful implementation of these initiatives, which could have a material adverse impact on our business and financial results, include the following:</w:t>
      </w:r>
    </w:p>
    <w:p w14:paraId="00BACD11" w14:textId="77777777" w:rsidR="00871BDF" w:rsidRDefault="005C5088">
      <w:pPr>
        <w:spacing w:before="120"/>
        <w:ind w:hanging="180"/>
      </w:pPr>
      <w:r>
        <w:rPr>
          <w:rFonts w:ascii="Times New Roman" w:eastAsia="宋体" w:hAnsi="Times New Roman"/>
          <w:color w:val="000000"/>
          <w:sz w:val="20"/>
          <w:szCs w:val="20"/>
        </w:rPr>
        <w:t xml:space="preserve">•imposition of additional taxes by jurisdictions, such </w:t>
      </w:r>
      <w:r>
        <w:rPr>
          <w:rFonts w:ascii="Times New Roman" w:eastAsia="宋体" w:hAnsi="Times New Roman"/>
          <w:color w:val="000000"/>
          <w:sz w:val="20"/>
          <w:szCs w:val="20"/>
        </w:rPr>
        <w:t>as on certain types of beverages or based on number of employees;</w:t>
      </w:r>
    </w:p>
    <w:p w14:paraId="00BACD12" w14:textId="77777777" w:rsidR="00871BDF" w:rsidRDefault="005C5088">
      <w:pPr>
        <w:spacing w:before="120"/>
        <w:ind w:hanging="180"/>
      </w:pPr>
      <w:r>
        <w:rPr>
          <w:rFonts w:ascii="Times New Roman" w:eastAsia="宋体" w:hAnsi="Times New Roman"/>
          <w:color w:val="000000"/>
          <w:sz w:val="20"/>
          <w:szCs w:val="20"/>
        </w:rPr>
        <w:t xml:space="preserve">•construction cost increases associated with new store openings and remodeling of existing stores; delays in store openings for reasons beyond our control or a lack of desirable real estate </w:t>
      </w:r>
      <w:r>
        <w:rPr>
          <w:rFonts w:ascii="Times New Roman" w:eastAsia="宋体" w:hAnsi="Times New Roman"/>
          <w:color w:val="000000"/>
          <w:sz w:val="20"/>
          <w:szCs w:val="20"/>
        </w:rPr>
        <w:t>locations available for lease at reasonable rates, either of which could keep us from meeting annual store opening targets in the U.S. and internationally;</w:t>
      </w:r>
    </w:p>
    <w:p w14:paraId="00BACD13" w14:textId="77777777" w:rsidR="00871BDF" w:rsidRDefault="005C5088">
      <w:pPr>
        <w:spacing w:before="120"/>
        <w:ind w:hanging="180"/>
      </w:pPr>
      <w:r>
        <w:rPr>
          <w:rFonts w:ascii="Times New Roman" w:eastAsia="宋体" w:hAnsi="Times New Roman"/>
          <w:color w:val="000000"/>
          <w:sz w:val="20"/>
          <w:szCs w:val="20"/>
        </w:rPr>
        <w:t>•governmental regulations or other health guidelines concerning operations of stores due to the COVI</w:t>
      </w:r>
      <w:r>
        <w:rPr>
          <w:rFonts w:ascii="Times New Roman" w:eastAsia="宋体" w:hAnsi="Times New Roman"/>
          <w:color w:val="000000"/>
          <w:sz w:val="20"/>
          <w:szCs w:val="20"/>
        </w:rPr>
        <w:t xml:space="preserve">D-19 pandemic; </w:t>
      </w:r>
    </w:p>
    <w:p w14:paraId="00BACD14" w14:textId="77777777" w:rsidR="00871BDF" w:rsidRDefault="005C5088">
      <w:pPr>
        <w:spacing w:before="120"/>
        <w:ind w:hanging="180"/>
      </w:pPr>
      <w:r>
        <w:rPr>
          <w:rFonts w:ascii="Times New Roman" w:eastAsia="宋体" w:hAnsi="Times New Roman"/>
          <w:color w:val="000000"/>
          <w:sz w:val="20"/>
          <w:szCs w:val="20"/>
        </w:rPr>
        <w:t xml:space="preserve">•not successfully scaling our supply chain infrastructure as our product offerings increase and as we continue to expand, including our emphasis on a broad range of high-quality food offerings; and </w:t>
      </w:r>
    </w:p>
    <w:p w14:paraId="00BACD15" w14:textId="77777777" w:rsidR="00871BDF" w:rsidRDefault="005C5088">
      <w:pPr>
        <w:spacing w:before="120"/>
        <w:ind w:hanging="180"/>
      </w:pPr>
      <w:r>
        <w:rPr>
          <w:rFonts w:ascii="Times New Roman" w:eastAsia="宋体" w:hAnsi="Times New Roman"/>
          <w:color w:val="000000"/>
          <w:sz w:val="20"/>
          <w:szCs w:val="20"/>
        </w:rPr>
        <w:t>•the deterioration in our credit ratings,</w:t>
      </w:r>
      <w:r>
        <w:rPr>
          <w:rFonts w:ascii="Times New Roman" w:eastAsia="宋体" w:hAnsi="Times New Roman"/>
          <w:color w:val="000000"/>
          <w:sz w:val="20"/>
          <w:szCs w:val="20"/>
        </w:rPr>
        <w:t xml:space="preserve"> which could limit the availability of additional financing and increase the cost of obtaining financing to fund our initiatives. </w:t>
      </w:r>
    </w:p>
    <w:p w14:paraId="00BACD16" w14:textId="77777777" w:rsidR="00871BDF" w:rsidRDefault="005C5088">
      <w:pPr>
        <w:spacing w:before="120"/>
      </w:pPr>
      <w:r>
        <w:rPr>
          <w:rFonts w:ascii="Times New Roman" w:eastAsia="宋体" w:hAnsi="Times New Roman"/>
          <w:color w:val="000000"/>
          <w:sz w:val="20"/>
          <w:szCs w:val="20"/>
        </w:rPr>
        <w:t>Effectively managing growth can be challenging, particularly as we expand into new markets internationally where we must bala</w:t>
      </w:r>
      <w:r>
        <w:rPr>
          <w:rFonts w:ascii="Times New Roman" w:eastAsia="宋体" w:hAnsi="Times New Roman"/>
          <w:color w:val="000000"/>
          <w:sz w:val="20"/>
          <w:szCs w:val="20"/>
        </w:rPr>
        <w:t>nce the need for flexibility and a degree of autonomy for local management against the need for consistency with our goals, philosophy and standards. If we are not successful in implementing our strategic initiatives, such as large acquisitions and integra</w:t>
      </w:r>
      <w:r>
        <w:rPr>
          <w:rFonts w:ascii="Times New Roman" w:eastAsia="宋体" w:hAnsi="Times New Roman"/>
          <w:color w:val="000000"/>
          <w:sz w:val="20"/>
          <w:szCs w:val="20"/>
        </w:rPr>
        <w:t>tions, we may be required to evaluate whether certain assets, including goodwill and other intangibles, have become impaired. In the event we record an impairment charge, it could have a material impact on our financial results.</w:t>
      </w:r>
    </w:p>
    <w:p w14:paraId="00BACD17"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Evolving consumer preferen</w:t>
      </w:r>
      <w:r>
        <w:rPr>
          <w:rFonts w:ascii="Times New Roman" w:eastAsia="宋体" w:hAnsi="Times New Roman"/>
          <w:b/>
          <w:bCs/>
          <w:i/>
          <w:iCs/>
          <w:color w:val="000000"/>
          <w:sz w:val="20"/>
          <w:szCs w:val="20"/>
        </w:rPr>
        <w:t>ces and tastes may adversely affect our business.</w:t>
      </w:r>
    </w:p>
    <w:p w14:paraId="00BACD18" w14:textId="77777777" w:rsidR="00871BDF" w:rsidRDefault="005C5088">
      <w:pPr>
        <w:spacing w:before="120"/>
      </w:pPr>
      <w:r>
        <w:rPr>
          <w:rFonts w:ascii="Times New Roman" w:eastAsia="宋体" w:hAnsi="Times New Roman"/>
          <w:color w:val="000000"/>
          <w:sz w:val="20"/>
          <w:szCs w:val="20"/>
        </w:rPr>
        <w:t xml:space="preserve">Our continued success depends on our ability to retain and convert customers. Our financial results could be adversely affected by a shift in consumer spending away from outside-the-home food and beverages </w:t>
      </w:r>
      <w:r>
        <w:rPr>
          <w:rFonts w:ascii="Times New Roman" w:eastAsia="宋体" w:hAnsi="Times New Roman"/>
          <w:color w:val="000000"/>
          <w:sz w:val="20"/>
          <w:szCs w:val="20"/>
        </w:rPr>
        <w:t xml:space="preserve">(such as the disruption caused by online commerce that results in reduced foot traffic to “brick &amp; mortar” retail stores); lack of customer acceptance of new products (including due to price increases necessary to cover the costs of new products or higher </w:t>
      </w:r>
      <w:r>
        <w:rPr>
          <w:rFonts w:ascii="Times New Roman" w:eastAsia="宋体" w:hAnsi="Times New Roman"/>
          <w:color w:val="000000"/>
          <w:sz w:val="20"/>
          <w:szCs w:val="20"/>
        </w:rPr>
        <w:t xml:space="preserve">input costs), brands (such as the global expansion of the Starbucks brand) and platforms (such as features of our mobile technology, changes in our loyalty rewards programs and our delivery services initiatives); or customers reducing their demand for our </w:t>
      </w:r>
      <w:r>
        <w:rPr>
          <w:rFonts w:ascii="Times New Roman" w:eastAsia="宋体" w:hAnsi="Times New Roman"/>
          <w:color w:val="000000"/>
          <w:sz w:val="20"/>
          <w:szCs w:val="20"/>
        </w:rPr>
        <w:t>current offerings as new products are introduced. In addition, some of our products contain caffeine, dairy products, sugar and other compounds and allergens, the health effects of which are the subject of public and regulatory scrutiny, including the sugg</w:t>
      </w:r>
      <w:r>
        <w:rPr>
          <w:rFonts w:ascii="Times New Roman" w:eastAsia="宋体" w:hAnsi="Times New Roman"/>
          <w:color w:val="000000"/>
          <w:sz w:val="20"/>
          <w:szCs w:val="20"/>
        </w:rPr>
        <w:t xml:space="preserve">estion of linkages to a variety of adverse health effects. Particularly in the U.S., there is increasing consumer awareness of health risks, including obesity, as well as increased consumer litigation based on alleged adverse health impacts of consumption </w:t>
      </w:r>
      <w:r>
        <w:rPr>
          <w:rFonts w:ascii="Times New Roman" w:eastAsia="宋体" w:hAnsi="Times New Roman"/>
          <w:color w:val="000000"/>
          <w:sz w:val="20"/>
          <w:szCs w:val="20"/>
        </w:rPr>
        <w:t>of various food and beverage products. While we have a variety of beverage and food items, including items that are coffee-free and have reduced calories, an unfavorable report on the health effects of caffeine or other compounds present in our products, w</w:t>
      </w:r>
      <w:r>
        <w:rPr>
          <w:rFonts w:ascii="Times New Roman" w:eastAsia="宋体" w:hAnsi="Times New Roman"/>
          <w:color w:val="000000"/>
          <w:sz w:val="20"/>
          <w:szCs w:val="20"/>
        </w:rPr>
        <w:t>hether accurate or not, imposition of additional taxes on certain types of food and beverage components, or negative publicity or litigation arising from certain health risks could significantly reduce the demand for our beverages and food products and cou</w:t>
      </w:r>
      <w:r>
        <w:rPr>
          <w:rFonts w:ascii="Times New Roman" w:eastAsia="宋体" w:hAnsi="Times New Roman"/>
          <w:color w:val="000000"/>
          <w:sz w:val="20"/>
          <w:szCs w:val="20"/>
        </w:rPr>
        <w:t xml:space="preserve">ld materially harm our business and results of operations. Furthermore, our financial results have been and could continue to be adversely affected by the impact of the COVID-19 pandemic, which has resulted in a disruption of customer routines, changes to </w:t>
      </w:r>
      <w:r>
        <w:rPr>
          <w:rFonts w:ascii="Times New Roman" w:eastAsia="宋体" w:hAnsi="Times New Roman"/>
          <w:color w:val="000000"/>
          <w:sz w:val="20"/>
          <w:szCs w:val="20"/>
        </w:rPr>
        <w:t>employer “work-</w:t>
      </w:r>
    </w:p>
    <w:p w14:paraId="00BACD19" w14:textId="77777777" w:rsidR="00871BDF" w:rsidRDefault="005C5088">
      <w:pPr>
        <w:jc w:val="center"/>
      </w:pPr>
      <w:r>
        <w:rPr>
          <w:rFonts w:ascii="Times New Roman" w:eastAsia="宋体" w:hAnsi="Times New Roman"/>
          <w:color w:val="000000"/>
          <w:sz w:val="20"/>
          <w:szCs w:val="20"/>
        </w:rPr>
        <w:t>13</w:t>
      </w:r>
    </w:p>
    <w:p w14:paraId="00BACD1A" w14:textId="77777777" w:rsidR="00871BDF" w:rsidRDefault="005C5088">
      <w:r>
        <w:pict w14:anchorId="00BB1470">
          <v:rect id="_x0000_i1040" style="width:415.3pt;height:1.5pt" o:hralign="center" o:hrstd="t" o:hr="t" fillcolor="#a0a0a0" stroked="f"/>
        </w:pict>
      </w:r>
    </w:p>
    <w:p w14:paraId="00BACD1B" w14:textId="77777777" w:rsidR="00871BDF" w:rsidRDefault="005C5088">
      <w:hyperlink r:id="rId73" w:anchor="i54ccc64cb5384be5a4849ef1cdef4dde_7" w:history="1">
        <w:r>
          <w:rPr>
            <w:rStyle w:val="a5"/>
            <w:rFonts w:ascii="Times New Roman" w:eastAsia="宋体" w:hAnsi="Times New Roman"/>
            <w:sz w:val="20"/>
            <w:szCs w:val="20"/>
          </w:rPr>
          <w:t>Table of Contents</w:t>
        </w:r>
      </w:hyperlink>
    </w:p>
    <w:p w14:paraId="00BACD1C" w14:textId="77777777" w:rsidR="00871BDF" w:rsidRDefault="005C5088">
      <w:pPr>
        <w:spacing w:before="120"/>
      </w:pPr>
      <w:r>
        <w:rPr>
          <w:rFonts w:ascii="Times New Roman" w:eastAsia="宋体" w:hAnsi="Times New Roman"/>
          <w:color w:val="000000"/>
          <w:sz w:val="20"/>
          <w:szCs w:val="20"/>
        </w:rPr>
        <w:t>from-home” policies, reduced business and recreational travel an</w:t>
      </w:r>
      <w:r>
        <w:rPr>
          <w:rFonts w:ascii="Times New Roman" w:eastAsia="宋体" w:hAnsi="Times New Roman"/>
          <w:color w:val="000000"/>
          <w:sz w:val="20"/>
          <w:szCs w:val="20"/>
        </w:rPr>
        <w:t>d changes in consumer behavior and the ability or willingness to spend discretionary income on our products.</w:t>
      </w:r>
    </w:p>
    <w:p w14:paraId="00BACD1D" w14:textId="77777777" w:rsidR="00871BDF" w:rsidRDefault="005C5088">
      <w:pPr>
        <w:spacing w:before="120"/>
      </w:pPr>
      <w:r>
        <w:rPr>
          <w:rFonts w:ascii="Times New Roman" w:eastAsia="宋体" w:hAnsi="Times New Roman"/>
          <w:b/>
          <w:bCs/>
          <w:color w:val="000000"/>
          <w:sz w:val="20"/>
          <w:szCs w:val="20"/>
          <w:u w:val="single"/>
        </w:rPr>
        <w:t>Risks Related to Cybersecurity and Data Privacy</w:t>
      </w:r>
    </w:p>
    <w:p w14:paraId="00BACD1E"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The unauthorized access, use, theft or destruction of customer or employee personal, </w:t>
      </w:r>
      <w:r>
        <w:rPr>
          <w:rFonts w:ascii="Times New Roman" w:eastAsia="宋体" w:hAnsi="Times New Roman"/>
          <w:b/>
          <w:bCs/>
          <w:i/>
          <w:iCs/>
          <w:color w:val="000000"/>
          <w:sz w:val="20"/>
          <w:szCs w:val="20"/>
        </w:rPr>
        <w:t>financial or other data or of Starbucks proprietary or confidential information that is stored in our information systems or by third parties on our behalf could impact our reputation and brand and expose us to potential liability and loss of revenues.</w:t>
      </w:r>
    </w:p>
    <w:p w14:paraId="00BACD1F" w14:textId="77777777" w:rsidR="00871BDF" w:rsidRDefault="005C5088">
      <w:pPr>
        <w:spacing w:before="120"/>
      </w:pPr>
      <w:r>
        <w:rPr>
          <w:rFonts w:ascii="Times New Roman" w:eastAsia="宋体" w:hAnsi="Times New Roman"/>
          <w:color w:val="000000"/>
          <w:sz w:val="20"/>
          <w:szCs w:val="20"/>
        </w:rPr>
        <w:t>Man</w:t>
      </w:r>
      <w:r>
        <w:rPr>
          <w:rFonts w:ascii="Times New Roman" w:eastAsia="宋体" w:hAnsi="Times New Roman"/>
          <w:color w:val="000000"/>
          <w:sz w:val="20"/>
          <w:szCs w:val="20"/>
        </w:rPr>
        <w:t>y of our information technology systems (and those of our licensees and other third-party business partners, whether cloud-based or hosted in proprietary servers), including those used for our point-of-sale, web and mobile platforms, online and mobile paym</w:t>
      </w:r>
      <w:r>
        <w:rPr>
          <w:rFonts w:ascii="Times New Roman" w:eastAsia="宋体" w:hAnsi="Times New Roman"/>
          <w:color w:val="000000"/>
          <w:sz w:val="20"/>
          <w:szCs w:val="20"/>
        </w:rPr>
        <w:t>ent systems, delivery services and rewards programs and administrative functions, contain personal, financial or other information that is entrusted to us by our customers and employees. Many of our information technology systems also contain Starbucks pro</w:t>
      </w:r>
      <w:r>
        <w:rPr>
          <w:rFonts w:ascii="Times New Roman" w:eastAsia="宋体" w:hAnsi="Times New Roman"/>
          <w:color w:val="000000"/>
          <w:sz w:val="20"/>
          <w:szCs w:val="20"/>
        </w:rPr>
        <w:t>prietary and other confidential information related to our business, such as business plans, product development initiatives and designs. Similar to many other retail companies and because of the prominence of our brand, we are consistently subject to atte</w:t>
      </w:r>
      <w:r>
        <w:rPr>
          <w:rFonts w:ascii="Times New Roman" w:eastAsia="宋体" w:hAnsi="Times New Roman"/>
          <w:color w:val="000000"/>
          <w:sz w:val="20"/>
          <w:szCs w:val="20"/>
        </w:rPr>
        <w:t>mpts to compromise our information technology systems. Similar to other companies, the number and frequency of these attempts varies from year to year but could be exacerbated to some extent by an increase in our digital operations in our efforts to comply</w:t>
      </w:r>
      <w:r>
        <w:rPr>
          <w:rFonts w:ascii="Times New Roman" w:eastAsia="宋体" w:hAnsi="Times New Roman"/>
          <w:color w:val="000000"/>
          <w:sz w:val="20"/>
          <w:szCs w:val="20"/>
        </w:rPr>
        <w:t xml:space="preserve"> with state and local mandates in response to COVID-19. To the extent we or a third party were to experience a material breach of our or such third parties' information technology systems that result in the unauthorized access, theft, use, destruction or o</w:t>
      </w:r>
      <w:r>
        <w:rPr>
          <w:rFonts w:ascii="Times New Roman" w:eastAsia="宋体" w:hAnsi="Times New Roman"/>
          <w:color w:val="000000"/>
          <w:sz w:val="20"/>
          <w:szCs w:val="20"/>
        </w:rPr>
        <w:t>ther compromises of customers' or employees' data or confidential information of the Company stored in such systems, including through cyber-attacks or other external or internal methods, it could result in a material loss of revenues from the potential ad</w:t>
      </w:r>
      <w:r>
        <w:rPr>
          <w:rFonts w:ascii="Times New Roman" w:eastAsia="宋体" w:hAnsi="Times New Roman"/>
          <w:color w:val="000000"/>
          <w:sz w:val="20"/>
          <w:szCs w:val="20"/>
        </w:rPr>
        <w:t xml:space="preserve">verse impact to our reputation and brand, our ability to retain or attract new customers and the potential disruption to our business and plans. Such security breaches also could result in a violation of applicable U.S. and international privacy and other </w:t>
      </w:r>
      <w:r>
        <w:rPr>
          <w:rFonts w:ascii="Times New Roman" w:eastAsia="宋体" w:hAnsi="Times New Roman"/>
          <w:color w:val="000000"/>
          <w:sz w:val="20"/>
          <w:szCs w:val="20"/>
        </w:rPr>
        <w:t>laws, and subject us to private consumer, business partner, or securities litigation and governmental investigations and proceedings, any of which could result in our exposure to material civil or criminal liability. For example, the European Union adopted</w:t>
      </w:r>
      <w:r>
        <w:rPr>
          <w:rFonts w:ascii="Times New Roman" w:eastAsia="宋体" w:hAnsi="Times New Roman"/>
          <w:color w:val="000000"/>
          <w:sz w:val="20"/>
          <w:szCs w:val="20"/>
        </w:rPr>
        <w:t xml:space="preserve"> a new regulation that became effective in May 2018, called the General Data Protection Regulation (“GDPR”), which requires companies to meet new requirements regarding the handling of personal data, including its use, protection and transfer and the abili</w:t>
      </w:r>
      <w:r>
        <w:rPr>
          <w:rFonts w:ascii="Times New Roman" w:eastAsia="宋体" w:hAnsi="Times New Roman"/>
          <w:color w:val="000000"/>
          <w:sz w:val="20"/>
          <w:szCs w:val="20"/>
        </w:rPr>
        <w:t>ty of persons whose data is stored to correct or delete such data about themselves. Failure to meet the GDPR requirements could result in penalties of up to 4% of annual worldwide revenue. The GDPR also confers a private right of action on certain individu</w:t>
      </w:r>
      <w:r>
        <w:rPr>
          <w:rFonts w:ascii="Times New Roman" w:eastAsia="宋体" w:hAnsi="Times New Roman"/>
          <w:color w:val="000000"/>
          <w:sz w:val="20"/>
          <w:szCs w:val="20"/>
        </w:rPr>
        <w:t>als and associations. Additionally, the California Privacy Act of 2018 (“CCPA”), which was enacted in June 2018 and came into effect on January 1, 2020, provides a new private right of action for data breaches and requires companies that process informatio</w:t>
      </w:r>
      <w:r>
        <w:rPr>
          <w:rFonts w:ascii="Times New Roman" w:eastAsia="宋体" w:hAnsi="Times New Roman"/>
          <w:color w:val="000000"/>
          <w:sz w:val="20"/>
          <w:szCs w:val="20"/>
        </w:rPr>
        <w:t>n on California residents to make new disclosures to consumers about their data collection, use and sharing practices and allow consumers to opt out of certain data sharing with third parties. Our reputation and brand and our ability to attract new custome</w:t>
      </w:r>
      <w:r>
        <w:rPr>
          <w:rFonts w:ascii="Times New Roman" w:eastAsia="宋体" w:hAnsi="Times New Roman"/>
          <w:color w:val="000000"/>
          <w:sz w:val="20"/>
          <w:szCs w:val="20"/>
        </w:rPr>
        <w:t>rs could also be adversely impacted if we fail, or are perceived to have failed, to properly respond to security breaches of our or third party’s information technology systems. Such failure to properly respond could also result in similar exposure to liab</w:t>
      </w:r>
      <w:r>
        <w:rPr>
          <w:rFonts w:ascii="Times New Roman" w:eastAsia="宋体" w:hAnsi="Times New Roman"/>
          <w:color w:val="000000"/>
          <w:sz w:val="20"/>
          <w:szCs w:val="20"/>
        </w:rPr>
        <w:t>ility.</w:t>
      </w:r>
    </w:p>
    <w:p w14:paraId="00BACD20" w14:textId="77777777" w:rsidR="00871BDF" w:rsidRDefault="005C5088">
      <w:pPr>
        <w:spacing w:before="120"/>
      </w:pPr>
      <w:r>
        <w:rPr>
          <w:rFonts w:ascii="Times New Roman" w:eastAsia="宋体" w:hAnsi="Times New Roman"/>
          <w:color w:val="000000"/>
          <w:sz w:val="20"/>
          <w:szCs w:val="20"/>
        </w:rPr>
        <w:t>Compliance with the GDPR, the CCPA and other current and future applicable international and U.S. privacy, cybersecurity and related laws can be costly and time-consuming. Significant capital investments and other expenditures could also be required</w:t>
      </w:r>
      <w:r>
        <w:rPr>
          <w:rFonts w:ascii="Times New Roman" w:eastAsia="宋体" w:hAnsi="Times New Roman"/>
          <w:color w:val="000000"/>
          <w:sz w:val="20"/>
          <w:szCs w:val="20"/>
        </w:rPr>
        <w:t xml:space="preserve"> to remedy cybersecurity problems and prevent future breaches, including costs associated with additional security technologies, personnel, experts and credit monitoring services for those whose data has been breached. These costs, which could be material,</w:t>
      </w:r>
      <w:r>
        <w:rPr>
          <w:rFonts w:ascii="Times New Roman" w:eastAsia="宋体" w:hAnsi="Times New Roman"/>
          <w:color w:val="000000"/>
          <w:sz w:val="20"/>
          <w:szCs w:val="20"/>
        </w:rPr>
        <w:t xml:space="preserve"> could adversely impact our results of operations in the period in which they are incurred and may not meaningfully limit the success of future attempts to breach our information technology systems.</w:t>
      </w:r>
    </w:p>
    <w:p w14:paraId="00BACD21" w14:textId="77777777" w:rsidR="00871BDF" w:rsidRDefault="005C5088">
      <w:pPr>
        <w:spacing w:before="120"/>
      </w:pPr>
      <w:r>
        <w:rPr>
          <w:rFonts w:ascii="Times New Roman" w:eastAsia="宋体" w:hAnsi="Times New Roman"/>
          <w:color w:val="000000"/>
          <w:sz w:val="20"/>
          <w:szCs w:val="20"/>
        </w:rPr>
        <w:t xml:space="preserve">Media or other reports of existing or perceived security </w:t>
      </w:r>
      <w:r>
        <w:rPr>
          <w:rFonts w:ascii="Times New Roman" w:eastAsia="宋体" w:hAnsi="Times New Roman"/>
          <w:color w:val="000000"/>
          <w:sz w:val="20"/>
          <w:szCs w:val="20"/>
        </w:rPr>
        <w:t>vulnerabilities in our systems or those of our third-party business partners or service providers can also adversely impact our brand and reputation and materially impact our business. Additionally, the techniques and sophistication used to conduct cyber-a</w:t>
      </w:r>
      <w:r>
        <w:rPr>
          <w:rFonts w:ascii="Times New Roman" w:eastAsia="宋体" w:hAnsi="Times New Roman"/>
          <w:color w:val="000000"/>
          <w:sz w:val="20"/>
          <w:szCs w:val="20"/>
        </w:rPr>
        <w:t>ttacks and breach information technology systems, as well as the sources and targets of these attacks, change frequently and are often not recognized until such attacks are launched or have been in place for a period of time. We continue to make significan</w:t>
      </w:r>
      <w:r>
        <w:rPr>
          <w:rFonts w:ascii="Times New Roman" w:eastAsia="宋体" w:hAnsi="Times New Roman"/>
          <w:color w:val="000000"/>
          <w:sz w:val="20"/>
          <w:szCs w:val="20"/>
        </w:rPr>
        <w:t>t investments in technology, third-party services and personnel to develop and implement systems and processes that are designed to anticipate cyber-attacks and to prevent or minimize breaches of our information technology systems or data loss, but these s</w:t>
      </w:r>
      <w:r>
        <w:rPr>
          <w:rFonts w:ascii="Times New Roman" w:eastAsia="宋体" w:hAnsi="Times New Roman"/>
          <w:color w:val="000000"/>
          <w:sz w:val="20"/>
          <w:szCs w:val="20"/>
        </w:rPr>
        <w:t>ecurity measures cannot provide assurance that we will be successful in preventing such breaches or data loss.</w:t>
      </w:r>
    </w:p>
    <w:p w14:paraId="00BACD22"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We rely heavily on information technology in our operations and growth initiatives, and any material failure, inadequacy, interruption or securi</w:t>
      </w:r>
      <w:r>
        <w:rPr>
          <w:rFonts w:ascii="Times New Roman" w:eastAsia="宋体" w:hAnsi="Times New Roman"/>
          <w:b/>
          <w:bCs/>
          <w:i/>
          <w:iCs/>
          <w:color w:val="000000"/>
          <w:sz w:val="20"/>
          <w:szCs w:val="20"/>
        </w:rPr>
        <w:t>ty failure of that technology could harm our ability to effectively operate and grow our business and could adversely affect our financial results.</w:t>
      </w:r>
    </w:p>
    <w:p w14:paraId="00BACD23" w14:textId="77777777" w:rsidR="00871BDF" w:rsidRDefault="005C5088">
      <w:pPr>
        <w:spacing w:before="120"/>
      </w:pPr>
      <w:r>
        <w:rPr>
          <w:rFonts w:ascii="Times New Roman" w:eastAsia="宋体" w:hAnsi="Times New Roman"/>
          <w:color w:val="000000"/>
          <w:sz w:val="20"/>
          <w:szCs w:val="20"/>
        </w:rPr>
        <w:t xml:space="preserve">We rely heavily on information technology systems across our operations for numerous purposes including for </w:t>
      </w:r>
      <w:r>
        <w:rPr>
          <w:rFonts w:ascii="Times New Roman" w:eastAsia="宋体" w:hAnsi="Times New Roman"/>
          <w:color w:val="000000"/>
          <w:sz w:val="20"/>
          <w:szCs w:val="20"/>
        </w:rPr>
        <w:t>administrative functions, point-of-sale processing and payment in our stores and online, management of our supply chain, Starbucks Cards, online business, delivery services, mobile technology, including mobile payments and ordering apps, reloads and loyalt</w:t>
      </w:r>
      <w:r>
        <w:rPr>
          <w:rFonts w:ascii="Times New Roman" w:eastAsia="宋体" w:hAnsi="Times New Roman"/>
          <w:color w:val="000000"/>
          <w:sz w:val="20"/>
          <w:szCs w:val="20"/>
        </w:rPr>
        <w:t>y functionality and various other processes and transactions, and many of these systems are interdependent on one another for their functionality. Additionally, the success of several of our initiatives to drive growth, including our ability to increase di</w:t>
      </w:r>
      <w:r>
        <w:rPr>
          <w:rFonts w:ascii="Times New Roman" w:eastAsia="宋体" w:hAnsi="Times New Roman"/>
          <w:color w:val="000000"/>
          <w:sz w:val="20"/>
          <w:szCs w:val="20"/>
        </w:rPr>
        <w:t xml:space="preserve">gital </w:t>
      </w:r>
    </w:p>
    <w:p w14:paraId="00BACD24" w14:textId="77777777" w:rsidR="00871BDF" w:rsidRDefault="005C5088">
      <w:pPr>
        <w:jc w:val="center"/>
      </w:pPr>
      <w:r>
        <w:rPr>
          <w:rFonts w:ascii="Times New Roman" w:eastAsia="宋体" w:hAnsi="Times New Roman"/>
          <w:color w:val="000000"/>
          <w:sz w:val="20"/>
          <w:szCs w:val="20"/>
        </w:rPr>
        <w:t>14</w:t>
      </w:r>
    </w:p>
    <w:p w14:paraId="00BACD25" w14:textId="77777777" w:rsidR="00871BDF" w:rsidRDefault="005C5088">
      <w:r>
        <w:pict w14:anchorId="00BB1471">
          <v:rect id="_x0000_i1041" style="width:415.3pt;height:1.5pt" o:hralign="center" o:hrstd="t" o:hr="t" fillcolor="#a0a0a0" stroked="f"/>
        </w:pict>
      </w:r>
    </w:p>
    <w:p w14:paraId="00BACD26" w14:textId="77777777" w:rsidR="00871BDF" w:rsidRDefault="005C5088">
      <w:hyperlink r:id="rId74" w:anchor="i54ccc64cb5384be5a4849ef1cdef4dde_7" w:history="1">
        <w:r>
          <w:rPr>
            <w:rStyle w:val="a5"/>
            <w:rFonts w:ascii="Times New Roman" w:eastAsia="宋体" w:hAnsi="Times New Roman"/>
            <w:sz w:val="20"/>
            <w:szCs w:val="20"/>
          </w:rPr>
          <w:t>Table of Contents</w:t>
        </w:r>
      </w:hyperlink>
    </w:p>
    <w:p w14:paraId="00BACD27" w14:textId="77777777" w:rsidR="00871BDF" w:rsidRDefault="005C5088">
      <w:pPr>
        <w:spacing w:before="120"/>
      </w:pPr>
      <w:r>
        <w:rPr>
          <w:rFonts w:ascii="Times New Roman" w:eastAsia="宋体" w:hAnsi="Times New Roman"/>
          <w:color w:val="000000"/>
          <w:sz w:val="20"/>
          <w:szCs w:val="20"/>
        </w:rPr>
        <w:t xml:space="preserve">relationships with our customers to drive incremental traffic and spend, </w:t>
      </w:r>
      <w:r>
        <w:rPr>
          <w:rFonts w:ascii="Times New Roman" w:eastAsia="宋体" w:hAnsi="Times New Roman"/>
          <w:color w:val="000000"/>
          <w:sz w:val="20"/>
          <w:szCs w:val="20"/>
        </w:rPr>
        <w:t>is highly dependent on our technology systems. Furthermore, due to social distancing measures put in place as a result of the COVID-19 pandemic, we have accelerated the transformation of our store portfolio by expanding convenience-led formats, which depen</w:t>
      </w:r>
      <w:r>
        <w:rPr>
          <w:rFonts w:ascii="Times New Roman" w:eastAsia="宋体" w:hAnsi="Times New Roman"/>
          <w:color w:val="000000"/>
          <w:sz w:val="20"/>
          <w:szCs w:val="20"/>
        </w:rPr>
        <w:t>d heavily on our mobile ordering capabilities. We also rely on third-party providers and platforms for some of these information technology systems and support. Additionally, our systems hardware, software and services provided by third-party service provi</w:t>
      </w:r>
      <w:r>
        <w:rPr>
          <w:rFonts w:ascii="Times New Roman" w:eastAsia="宋体" w:hAnsi="Times New Roman"/>
          <w:color w:val="000000"/>
          <w:sz w:val="20"/>
          <w:szCs w:val="20"/>
        </w:rPr>
        <w:t>ders are not fully redundant within a market or across our markets. Although we have operational safeguards in place, they may not be effective in preventing the failure of these systems or platforms to operate effectively and be available. Such failures m</w:t>
      </w:r>
      <w:r>
        <w:rPr>
          <w:rFonts w:ascii="Times New Roman" w:eastAsia="宋体" w:hAnsi="Times New Roman"/>
          <w:color w:val="000000"/>
          <w:sz w:val="20"/>
          <w:szCs w:val="20"/>
        </w:rPr>
        <w:t>ay be caused by various factors, including power outages, catastrophic events, physical theft, computer and network failures, inadequate or ineffective redundancy, problems with transitioning to upgraded or replacement systems or platforms, flaws in third-</w:t>
      </w:r>
      <w:r>
        <w:rPr>
          <w:rFonts w:ascii="Times New Roman" w:eastAsia="宋体" w:hAnsi="Times New Roman"/>
          <w:color w:val="000000"/>
          <w:sz w:val="20"/>
          <w:szCs w:val="20"/>
        </w:rPr>
        <w:t>party software or services, errors or improper use by our employees or third party service providers, or a breach in the security of these systems or platforms, including through cyber-attacks such as those that result in the blockage of our or our third-p</w:t>
      </w:r>
      <w:r>
        <w:rPr>
          <w:rFonts w:ascii="Times New Roman" w:eastAsia="宋体" w:hAnsi="Times New Roman"/>
          <w:color w:val="000000"/>
          <w:sz w:val="20"/>
          <w:szCs w:val="20"/>
        </w:rPr>
        <w:t>arty business partners’ or service providers’ systems and platforms and those discussed in more detail in this risk factors section. If our incident response, disaster recovery and business continuity plans do not resolve these issues in an effective manne</w:t>
      </w:r>
      <w:r>
        <w:rPr>
          <w:rFonts w:ascii="Times New Roman" w:eastAsia="宋体" w:hAnsi="Times New Roman"/>
          <w:color w:val="000000"/>
          <w:sz w:val="20"/>
          <w:szCs w:val="20"/>
        </w:rPr>
        <w:t xml:space="preserve">r they could result in an interruption in our operations and could cause material negative impacts to our product availability and sales, the efficiency of our operations and our financial results. In addition, remediation of any problems with our systems </w:t>
      </w:r>
      <w:r>
        <w:rPr>
          <w:rFonts w:ascii="Times New Roman" w:eastAsia="宋体" w:hAnsi="Times New Roman"/>
          <w:color w:val="000000"/>
          <w:sz w:val="20"/>
          <w:szCs w:val="20"/>
        </w:rPr>
        <w:t>could result in significant, unplanned expenses.</w:t>
      </w:r>
    </w:p>
    <w:p w14:paraId="00BACD28" w14:textId="77777777" w:rsidR="00871BDF" w:rsidRDefault="005C5088">
      <w:pPr>
        <w:spacing w:before="120"/>
      </w:pPr>
      <w:r>
        <w:rPr>
          <w:rFonts w:ascii="Times New Roman" w:eastAsia="宋体" w:hAnsi="Times New Roman"/>
          <w:b/>
          <w:bCs/>
          <w:color w:val="000000"/>
          <w:sz w:val="20"/>
          <w:szCs w:val="20"/>
          <w:u w:val="single"/>
        </w:rPr>
        <w:t>Risks Related to Labor and Supply Chain</w:t>
      </w:r>
    </w:p>
    <w:p w14:paraId="00BACD29"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Our reliance on key business partners may adversely affect our business and operations. </w:t>
      </w:r>
    </w:p>
    <w:p w14:paraId="00BACD2A" w14:textId="77777777" w:rsidR="00871BDF" w:rsidRDefault="005C5088">
      <w:pPr>
        <w:spacing w:before="120"/>
      </w:pPr>
      <w:r>
        <w:rPr>
          <w:rFonts w:ascii="Times New Roman" w:eastAsia="宋体" w:hAnsi="Times New Roman"/>
          <w:color w:val="000000"/>
          <w:sz w:val="20"/>
          <w:szCs w:val="20"/>
        </w:rPr>
        <w:t xml:space="preserve">The growth of our business relies on the ability of our licensee partners to implement our growth platforms and product innovations as well as on the degree to which </w:t>
      </w:r>
      <w:r>
        <w:rPr>
          <w:rFonts w:ascii="Times New Roman" w:eastAsia="宋体" w:hAnsi="Times New Roman"/>
          <w:color w:val="000000"/>
          <w:sz w:val="20"/>
          <w:szCs w:val="20"/>
        </w:rPr>
        <w:t>we are able to enter into, maintain, develop and negotiate appropriate terms and conditions of, and enforce, commercial and other agreements and the performance of our business partners under such agreements. Our international joint venture partners or lic</w:t>
      </w:r>
      <w:r>
        <w:rPr>
          <w:rFonts w:ascii="Times New Roman" w:eastAsia="宋体" w:hAnsi="Times New Roman"/>
          <w:color w:val="000000"/>
          <w:sz w:val="20"/>
          <w:szCs w:val="20"/>
        </w:rPr>
        <w:t>ensees may face capital constraints or other factors that may limit the speed at which they are able to expand and develop in a certain market. Our Channel Development business is heavily reliant on Nestlé, which acquired the right to sell and distribute o</w:t>
      </w:r>
      <w:r>
        <w:rPr>
          <w:rFonts w:ascii="Times New Roman" w:eastAsia="宋体" w:hAnsi="Times New Roman"/>
          <w:color w:val="000000"/>
          <w:sz w:val="20"/>
          <w:szCs w:val="20"/>
        </w:rPr>
        <w:t>ur packaged goods and foodservice products to retailers and operators, with few exceptions. If Nestlé fails to perform its distribution and marketing commitments under our agreements and/or fails to support, protect and grow our brand in Channel Developmen</w:t>
      </w:r>
      <w:r>
        <w:rPr>
          <w:rFonts w:ascii="Times New Roman" w:eastAsia="宋体" w:hAnsi="Times New Roman"/>
          <w:color w:val="000000"/>
          <w:sz w:val="20"/>
          <w:szCs w:val="20"/>
        </w:rPr>
        <w:t>t, our Channel Development business could be adversely impacted for a period of time, present long-term challenges to our brand, limit our ability to grow our Channel Development business and have a material adverse impact on our business and financial res</w:t>
      </w:r>
      <w:r>
        <w:rPr>
          <w:rFonts w:ascii="Times New Roman" w:eastAsia="宋体" w:hAnsi="Times New Roman"/>
          <w:color w:val="000000"/>
          <w:sz w:val="20"/>
          <w:szCs w:val="20"/>
        </w:rPr>
        <w:t>ults. Additionally, the growth of our Channel Development business is in part dependent on the level of discretionary support provided by our retail and licensed store businesses.</w:t>
      </w:r>
    </w:p>
    <w:p w14:paraId="00BACD2B" w14:textId="77777777" w:rsidR="00871BDF" w:rsidRDefault="005C5088">
      <w:pPr>
        <w:spacing w:before="120"/>
      </w:pPr>
      <w:r>
        <w:rPr>
          <w:rFonts w:ascii="Times New Roman" w:eastAsia="宋体" w:hAnsi="Times New Roman"/>
          <w:color w:val="000000"/>
          <w:sz w:val="20"/>
          <w:szCs w:val="20"/>
        </w:rPr>
        <w:t>There are generally a relatively small number of licensee partners operating</w:t>
      </w:r>
      <w:r>
        <w:rPr>
          <w:rFonts w:ascii="Times New Roman" w:eastAsia="宋体" w:hAnsi="Times New Roman"/>
          <w:color w:val="000000"/>
          <w:sz w:val="20"/>
          <w:szCs w:val="20"/>
        </w:rPr>
        <w:t xml:space="preserve"> in specific markets. If they are not able to access sufficient funds or financing, or are otherwise unable or unwilling to successfully operate and grow their businesses it could have a material adverse effect on our results in the markets. Our business p</w:t>
      </w:r>
      <w:r>
        <w:rPr>
          <w:rFonts w:ascii="Times New Roman" w:eastAsia="宋体" w:hAnsi="Times New Roman"/>
          <w:color w:val="000000"/>
          <w:sz w:val="20"/>
          <w:szCs w:val="20"/>
        </w:rPr>
        <w:t>artners may be materially adversely impacted by the COVID-19 pandemic and may not have sufficient financial support and capital to remain financially solvent and may not have the ability to meet their development goals and targets.</w:t>
      </w:r>
    </w:p>
    <w:p w14:paraId="00BACD2C" w14:textId="77777777" w:rsidR="00871BDF" w:rsidRDefault="005C5088">
      <w:pPr>
        <w:spacing w:before="120"/>
      </w:pPr>
      <w:r>
        <w:rPr>
          <w:rFonts w:ascii="Times New Roman" w:eastAsia="宋体" w:hAnsi="Times New Roman"/>
          <w:color w:val="000000"/>
          <w:sz w:val="20"/>
          <w:szCs w:val="20"/>
        </w:rPr>
        <w:t>Due to the COVID-19 pand</w:t>
      </w:r>
      <w:r>
        <w:rPr>
          <w:rFonts w:ascii="Times New Roman" w:eastAsia="宋体" w:hAnsi="Times New Roman"/>
          <w:color w:val="000000"/>
          <w:sz w:val="20"/>
          <w:szCs w:val="20"/>
        </w:rPr>
        <w:t>emic, our financial results have been and could continue to be adversely affected by the disruption to the operations of our business partners, including licensee and joint venture relationships, third-party manufacturers, distributors and retailers, throu</w:t>
      </w:r>
      <w:r>
        <w:rPr>
          <w:rFonts w:ascii="Times New Roman" w:eastAsia="宋体" w:hAnsi="Times New Roman"/>
          <w:color w:val="000000"/>
          <w:sz w:val="20"/>
          <w:szCs w:val="20"/>
        </w:rPr>
        <w:t xml:space="preserve">gh the effects of business and facilities closures, reductions in operating hours, social, economic, political or labor instability in affected areas, transportation delays, travel restrictions and changes in operating procedures, including for additional </w:t>
      </w:r>
      <w:r>
        <w:rPr>
          <w:rFonts w:ascii="Times New Roman" w:eastAsia="宋体" w:hAnsi="Times New Roman"/>
          <w:color w:val="000000"/>
          <w:sz w:val="20"/>
          <w:szCs w:val="20"/>
        </w:rPr>
        <w:t xml:space="preserve">cleaning and safety protocols. </w:t>
      </w:r>
    </w:p>
    <w:p w14:paraId="00BACD2D"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Increases in the cost of high-quality </w:t>
      </w:r>
      <w:r>
        <w:rPr>
          <w:rFonts w:ascii="Times New Roman" w:eastAsia="宋体" w:hAnsi="Times New Roman"/>
          <w:b/>
          <w:bCs/>
          <w:color w:val="000000"/>
          <w:sz w:val="20"/>
          <w:szCs w:val="20"/>
        </w:rPr>
        <w:t>arabica</w:t>
      </w:r>
      <w:r>
        <w:rPr>
          <w:rFonts w:ascii="Times New Roman" w:eastAsia="宋体" w:hAnsi="Times New Roman"/>
          <w:b/>
          <w:bCs/>
          <w:i/>
          <w:iCs/>
          <w:color w:val="000000"/>
          <w:sz w:val="20"/>
          <w:szCs w:val="20"/>
        </w:rPr>
        <w:t xml:space="preserve"> coffee beans or other commodities or decreases in the availability of high-quality </w:t>
      </w:r>
      <w:r>
        <w:rPr>
          <w:rFonts w:ascii="Times New Roman" w:eastAsia="宋体" w:hAnsi="Times New Roman"/>
          <w:b/>
          <w:bCs/>
          <w:color w:val="000000"/>
          <w:sz w:val="20"/>
          <w:szCs w:val="20"/>
        </w:rPr>
        <w:t>arabica</w:t>
      </w:r>
      <w:r>
        <w:rPr>
          <w:rFonts w:ascii="Times New Roman" w:eastAsia="宋体" w:hAnsi="Times New Roman"/>
          <w:b/>
          <w:bCs/>
          <w:i/>
          <w:iCs/>
          <w:color w:val="000000"/>
          <w:sz w:val="20"/>
          <w:szCs w:val="20"/>
        </w:rPr>
        <w:t xml:space="preserve"> coffee beans or other commodities could have an adverse impact on our business and financial results. </w:t>
      </w:r>
    </w:p>
    <w:p w14:paraId="00BACD2E" w14:textId="77777777" w:rsidR="00871BDF" w:rsidRDefault="005C5088">
      <w:pPr>
        <w:spacing w:before="120"/>
      </w:pPr>
      <w:r>
        <w:rPr>
          <w:rFonts w:ascii="Times New Roman" w:eastAsia="宋体" w:hAnsi="Times New Roman"/>
          <w:color w:val="000000"/>
          <w:sz w:val="20"/>
          <w:szCs w:val="20"/>
        </w:rPr>
        <w:t xml:space="preserve">The availability and prices of coffee beans and other commodities are subject to significant volatility. We purchase, roast and sell high-quality whole </w:t>
      </w:r>
      <w:r>
        <w:rPr>
          <w:rFonts w:ascii="Times New Roman" w:eastAsia="宋体" w:hAnsi="Times New Roman"/>
          <w:color w:val="000000"/>
          <w:sz w:val="20"/>
          <w:szCs w:val="20"/>
        </w:rPr>
        <w:t xml:space="preserve">bean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beans and related coffee products. The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of the quality we seek tends to trade on a negotiated basis at a premium above the “C” price. This premium depends upon the supply and demand at the time of purchase and</w:t>
      </w:r>
      <w:r>
        <w:rPr>
          <w:rFonts w:ascii="Times New Roman" w:eastAsia="宋体" w:hAnsi="Times New Roman"/>
          <w:color w:val="000000"/>
          <w:sz w:val="20"/>
          <w:szCs w:val="20"/>
        </w:rPr>
        <w:t xml:space="preserve"> the amount of the premium can vary significantly. Increases in the “C” coffee commodity price increase the price of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also impact our ability to enter into fixed-price purchase commitments. We frequently enter into supply con</w:t>
      </w:r>
      <w:r>
        <w:rPr>
          <w:rFonts w:ascii="Times New Roman" w:eastAsia="宋体" w:hAnsi="Times New Roman"/>
          <w:color w:val="000000"/>
          <w:sz w:val="20"/>
          <w:szCs w:val="20"/>
        </w:rPr>
        <w:t xml:space="preserve">tracts whereby the quality, quantity, delivery period and other negotiated terms are agreed upon, but the date, and therefore price, at which the base “C” coffee commodity price component will be fixed has not yet been established. </w:t>
      </w:r>
    </w:p>
    <w:p w14:paraId="00BACD2F" w14:textId="77777777" w:rsidR="00871BDF" w:rsidRDefault="005C5088">
      <w:pPr>
        <w:spacing w:before="120"/>
      </w:pPr>
      <w:r>
        <w:rPr>
          <w:rFonts w:ascii="Times New Roman" w:eastAsia="宋体" w:hAnsi="Times New Roman"/>
          <w:color w:val="000000"/>
          <w:sz w:val="20"/>
          <w:szCs w:val="20"/>
        </w:rPr>
        <w:t>The supply and price of</w:t>
      </w:r>
      <w:r>
        <w:rPr>
          <w:rFonts w:ascii="Times New Roman" w:eastAsia="宋体" w:hAnsi="Times New Roman"/>
          <w:color w:val="000000"/>
          <w:sz w:val="20"/>
          <w:szCs w:val="20"/>
        </w:rPr>
        <w:t xml:space="preserve"> coffee we purchase can also be affected by multiple factors in the producing countries, such as weather (including the potential effects of climate change), natural disasters, crop disease, general increase in farm inputs and costs of production, inventor</w:t>
      </w:r>
      <w:r>
        <w:rPr>
          <w:rFonts w:ascii="Times New Roman" w:eastAsia="宋体" w:hAnsi="Times New Roman"/>
          <w:color w:val="000000"/>
          <w:sz w:val="20"/>
          <w:szCs w:val="20"/>
        </w:rPr>
        <w:t>y levels, political and economic conditions and the actions of certain organizations and associations that have historically attempted to influence prices of green coffee through agreements establishing export quotas or by restricting coffee supplies. Spec</w:t>
      </w:r>
      <w:r>
        <w:rPr>
          <w:rFonts w:ascii="Times New Roman" w:eastAsia="宋体" w:hAnsi="Times New Roman"/>
          <w:color w:val="000000"/>
          <w:sz w:val="20"/>
          <w:szCs w:val="20"/>
        </w:rPr>
        <w:t xml:space="preserve">ulative trading in coffee commodities can also influence coffee prices. Because of the significance of </w:t>
      </w:r>
    </w:p>
    <w:p w14:paraId="00BACD30" w14:textId="77777777" w:rsidR="00871BDF" w:rsidRDefault="005C5088">
      <w:pPr>
        <w:jc w:val="center"/>
      </w:pPr>
      <w:r>
        <w:rPr>
          <w:rFonts w:ascii="Times New Roman" w:eastAsia="宋体" w:hAnsi="Times New Roman"/>
          <w:color w:val="000000"/>
          <w:sz w:val="20"/>
          <w:szCs w:val="20"/>
        </w:rPr>
        <w:t>15</w:t>
      </w:r>
    </w:p>
    <w:p w14:paraId="00BACD31" w14:textId="77777777" w:rsidR="00871BDF" w:rsidRDefault="005C5088">
      <w:r>
        <w:pict w14:anchorId="00BB1472">
          <v:rect id="_x0000_i1042" style="width:415.3pt;height:1.5pt" o:hralign="center" o:hrstd="t" o:hr="t" fillcolor="#a0a0a0" stroked="f"/>
        </w:pict>
      </w:r>
    </w:p>
    <w:p w14:paraId="00BACD32" w14:textId="77777777" w:rsidR="00871BDF" w:rsidRDefault="005C5088">
      <w:hyperlink r:id="rId75" w:anchor="i54ccc64cb5384be5a4849ef1cdef4dde_7" w:history="1">
        <w:r>
          <w:rPr>
            <w:rStyle w:val="a5"/>
            <w:rFonts w:ascii="Times New Roman" w:eastAsia="宋体" w:hAnsi="Times New Roman"/>
            <w:sz w:val="20"/>
            <w:szCs w:val="20"/>
          </w:rPr>
          <w:t>Table of Contents</w:t>
        </w:r>
      </w:hyperlink>
    </w:p>
    <w:p w14:paraId="00BACD33" w14:textId="77777777" w:rsidR="00871BDF" w:rsidRDefault="005C5088">
      <w:pPr>
        <w:spacing w:before="120"/>
      </w:pPr>
      <w:r>
        <w:rPr>
          <w:rFonts w:ascii="Times New Roman" w:eastAsia="宋体" w:hAnsi="Times New Roman"/>
          <w:color w:val="000000"/>
          <w:sz w:val="20"/>
          <w:szCs w:val="20"/>
        </w:rPr>
        <w:t xml:space="preserve">coffee beans to our operations, combined with our ability to only partially mitigate future price risk through purchasing practices and hedging activities, increases in the cost of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beans could have a mate</w:t>
      </w:r>
      <w:r>
        <w:rPr>
          <w:rFonts w:ascii="Times New Roman" w:eastAsia="宋体" w:hAnsi="Times New Roman"/>
          <w:color w:val="000000"/>
          <w:sz w:val="20"/>
          <w:szCs w:val="20"/>
        </w:rPr>
        <w:t>rial adverse impact on our profitability. In addition, if we are not able to purchase sufficient quantities of green coffee due to any of the above factors or to a worldwide or regional shortage, we may not be able to fulfill the demand for our coffee, whi</w:t>
      </w:r>
      <w:r>
        <w:rPr>
          <w:rFonts w:ascii="Times New Roman" w:eastAsia="宋体" w:hAnsi="Times New Roman"/>
          <w:color w:val="000000"/>
          <w:sz w:val="20"/>
          <w:szCs w:val="20"/>
        </w:rPr>
        <w:t>ch could have a material adverse impact on our profitability.</w:t>
      </w:r>
    </w:p>
    <w:p w14:paraId="00BACD34" w14:textId="77777777" w:rsidR="00871BDF" w:rsidRDefault="005C5088">
      <w:pPr>
        <w:spacing w:before="120"/>
      </w:pPr>
      <w:r>
        <w:rPr>
          <w:rFonts w:ascii="Times New Roman" w:eastAsia="宋体" w:hAnsi="Times New Roman"/>
          <w:color w:val="000000"/>
          <w:sz w:val="20"/>
          <w:szCs w:val="20"/>
        </w:rPr>
        <w:t>We also purchase significant amounts of dairy products, particularly fluid milk, to support the needs of our company-operated retail stores. Additionally, and although less significant to our op</w:t>
      </w:r>
      <w:r>
        <w:rPr>
          <w:rFonts w:ascii="Times New Roman" w:eastAsia="宋体" w:hAnsi="Times New Roman"/>
          <w:color w:val="000000"/>
          <w:sz w:val="20"/>
          <w:szCs w:val="20"/>
        </w:rPr>
        <w:t>erations than coffee or dairy, other commodities, including but not limited to tea and those related to food and beverage inputs, such as cocoa, produce, baking ingredients, meats, eggs and energy, as well as the processing of these inputs, are important t</w:t>
      </w:r>
      <w:r>
        <w:rPr>
          <w:rFonts w:ascii="Times New Roman" w:eastAsia="宋体" w:hAnsi="Times New Roman"/>
          <w:color w:val="000000"/>
          <w:sz w:val="20"/>
          <w:szCs w:val="20"/>
        </w:rPr>
        <w:t>o our operations. Increases in the cost of dairy products and other commodities, or lack of availability, whether due to supply shortages, delays or interruptions in processing, or otherwise, especially in international markets, could have a material adver</w:t>
      </w:r>
      <w:r>
        <w:rPr>
          <w:rFonts w:ascii="Times New Roman" w:eastAsia="宋体" w:hAnsi="Times New Roman"/>
          <w:color w:val="000000"/>
          <w:sz w:val="20"/>
          <w:szCs w:val="20"/>
        </w:rPr>
        <w:t>se impact on our profitability.</w:t>
      </w:r>
    </w:p>
    <w:p w14:paraId="00BACD35"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Interruption of our supply chain could affect our ability to produce or deliver our products and could negatively impact our business and profitability. </w:t>
      </w:r>
    </w:p>
    <w:p w14:paraId="00BACD36" w14:textId="77777777" w:rsidR="00871BDF" w:rsidRDefault="005C5088">
      <w:pPr>
        <w:spacing w:before="120"/>
      </w:pPr>
      <w:r>
        <w:rPr>
          <w:rFonts w:ascii="Times New Roman" w:eastAsia="宋体" w:hAnsi="Times New Roman"/>
          <w:color w:val="000000"/>
          <w:sz w:val="20"/>
          <w:szCs w:val="20"/>
        </w:rPr>
        <w:t>Any material interruption in our supply chain, such as material inter</w:t>
      </w:r>
      <w:r>
        <w:rPr>
          <w:rFonts w:ascii="Times New Roman" w:eastAsia="宋体" w:hAnsi="Times New Roman"/>
          <w:color w:val="000000"/>
          <w:sz w:val="20"/>
          <w:szCs w:val="20"/>
        </w:rPr>
        <w:t>ruption of roasted coffee supply due to the casualty loss of any of our roasting plants, interruptions in service by our third-party logistic service providers or common carriers that ship goods within our distribution channels, trade restrictions, such as</w:t>
      </w:r>
      <w:r>
        <w:rPr>
          <w:rFonts w:ascii="Times New Roman" w:eastAsia="宋体" w:hAnsi="Times New Roman"/>
          <w:color w:val="000000"/>
          <w:sz w:val="20"/>
          <w:szCs w:val="20"/>
        </w:rPr>
        <w:t xml:space="preserve"> increased tariffs or quotas, embargoes or customs restrictions, pandemics, social or labor unrest, natural disasters or political disputes and military conflicts that cause a material disruption in our supply chain could have a negative material impact on</w:t>
      </w:r>
      <w:r>
        <w:rPr>
          <w:rFonts w:ascii="Times New Roman" w:eastAsia="宋体" w:hAnsi="Times New Roman"/>
          <w:color w:val="000000"/>
          <w:sz w:val="20"/>
          <w:szCs w:val="20"/>
        </w:rPr>
        <w:t xml:space="preserve"> our business and our profitability. Additionally, our food, beverage and other products are sourced from a wide variety of domestic and international business partners in our supply chain operations, and in certain cases are produced or sourced by our lic</w:t>
      </w:r>
      <w:r>
        <w:rPr>
          <w:rFonts w:ascii="Times New Roman" w:eastAsia="宋体" w:hAnsi="Times New Roman"/>
          <w:color w:val="000000"/>
          <w:sz w:val="20"/>
          <w:szCs w:val="20"/>
        </w:rPr>
        <w:t xml:space="preserve">ensees directly. We rely on these suppliers to provide high quality products and to comply with applicable laws. Our ability to find qualified suppliers who meet our standards and supply products in a timely and efficient manner is a significant challenge </w:t>
      </w:r>
      <w:r>
        <w:rPr>
          <w:rFonts w:ascii="Times New Roman" w:eastAsia="宋体" w:hAnsi="Times New Roman"/>
          <w:color w:val="000000"/>
          <w:sz w:val="20"/>
          <w:szCs w:val="20"/>
        </w:rPr>
        <w:t>as we increase our fresh and prepared food offerings, especially with respect to goods sourced from outside the U.S. and from countries or regions with diminished infrastructure, developing or failing economies or which are experiencing political instabili</w:t>
      </w:r>
      <w:r>
        <w:rPr>
          <w:rFonts w:ascii="Times New Roman" w:eastAsia="宋体" w:hAnsi="Times New Roman"/>
          <w:color w:val="000000"/>
          <w:sz w:val="20"/>
          <w:szCs w:val="20"/>
        </w:rPr>
        <w:t>ty or social unrest. For certain products, we may rely on one or very few suppliers. A supplier's failure to meet our standards, provide products in a timely and efficient manner, or comply with applicable laws is beyond our control. These issues could hav</w:t>
      </w:r>
      <w:r>
        <w:rPr>
          <w:rFonts w:ascii="Times New Roman" w:eastAsia="宋体" w:hAnsi="Times New Roman"/>
          <w:color w:val="000000"/>
          <w:sz w:val="20"/>
          <w:szCs w:val="20"/>
        </w:rPr>
        <w:t xml:space="preserve">e a material negative impact on our business and profitability. </w:t>
      </w:r>
    </w:p>
    <w:p w14:paraId="00BACD37"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Changes in the availability of and the cost of labor could adversely affect our business. </w:t>
      </w:r>
    </w:p>
    <w:p w14:paraId="00BACD38" w14:textId="77777777" w:rsidR="00871BDF" w:rsidRDefault="005C5088">
      <w:pPr>
        <w:spacing w:before="120"/>
      </w:pPr>
      <w:r>
        <w:rPr>
          <w:rFonts w:ascii="Times New Roman" w:eastAsia="宋体" w:hAnsi="Times New Roman"/>
          <w:color w:val="000000"/>
          <w:sz w:val="20"/>
          <w:szCs w:val="20"/>
        </w:rPr>
        <w:t xml:space="preserve">Our business could be adversely impacted by increases in labor costs, including wages and </w:t>
      </w:r>
      <w:r>
        <w:rPr>
          <w:rFonts w:ascii="Times New Roman" w:eastAsia="宋体" w:hAnsi="Times New Roman"/>
          <w:color w:val="000000"/>
          <w:sz w:val="20"/>
          <w:szCs w:val="20"/>
        </w:rPr>
        <w:t xml:space="preserve">benefits, which, in a retail business such as ours, are two of our most significant costs, both domestically and internationally, including those increases triggered by regulatory actions regarding wages, scheduling and benefits; increased health care and </w:t>
      </w:r>
      <w:r>
        <w:rPr>
          <w:rFonts w:ascii="Times New Roman" w:eastAsia="宋体" w:hAnsi="Times New Roman"/>
          <w:color w:val="000000"/>
          <w:sz w:val="20"/>
          <w:szCs w:val="20"/>
        </w:rPr>
        <w:t xml:space="preserve">workers’ compensation insurance costs; increased wages and costs of other benefits necessary to attract and retain high quality employees with the right skill sets and increased wages, benefits and costs related to the COVID-19 pandemic. The growth of our </w:t>
      </w:r>
      <w:r>
        <w:rPr>
          <w:rFonts w:ascii="Times New Roman" w:eastAsia="宋体" w:hAnsi="Times New Roman"/>
          <w:color w:val="000000"/>
          <w:sz w:val="20"/>
          <w:szCs w:val="20"/>
        </w:rPr>
        <w:t>business can make it increasingly difficult to locate and hire sufficient numbers of key employees, to maintain an effective system of internal controls for a globally dispersed enterprise and to train employees worldwide to deliver a consistently high-qua</w:t>
      </w:r>
      <w:r>
        <w:rPr>
          <w:rFonts w:ascii="Times New Roman" w:eastAsia="宋体" w:hAnsi="Times New Roman"/>
          <w:color w:val="000000"/>
          <w:sz w:val="20"/>
          <w:szCs w:val="20"/>
        </w:rPr>
        <w:t xml:space="preserve">lity product and customer experience, which could materially harm our business and results of operations. Furthermore, due to the COVID-19 pandemic, we could experience a shortage of labor for store positions as concern over exposure to COVID-19 and other </w:t>
      </w:r>
      <w:r>
        <w:rPr>
          <w:rFonts w:ascii="Times New Roman" w:eastAsia="宋体" w:hAnsi="Times New Roman"/>
          <w:color w:val="000000"/>
          <w:sz w:val="20"/>
          <w:szCs w:val="20"/>
        </w:rPr>
        <w:t>factors could decrease the pool of available qualified talent for key functions. In addition, our wages and benefits programs, combined with the challenging conditions due to the COVID-19 pandemic, may be insufficient to attract and retain the best talent.</w:t>
      </w:r>
    </w:p>
    <w:p w14:paraId="00BACD39"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The loss of key personnel or difficulties recruiting and retaining qualified personnel could adversely impact our business and financial results. </w:t>
      </w:r>
    </w:p>
    <w:p w14:paraId="00BACD3A" w14:textId="77777777" w:rsidR="00871BDF" w:rsidRDefault="005C5088">
      <w:pPr>
        <w:spacing w:before="120"/>
      </w:pPr>
      <w:r>
        <w:rPr>
          <w:rFonts w:ascii="Times New Roman" w:eastAsia="宋体" w:hAnsi="Times New Roman"/>
          <w:color w:val="000000"/>
          <w:sz w:val="20"/>
          <w:szCs w:val="20"/>
        </w:rPr>
        <w:t>Much of our future success depends on the continued availability and service of senior management personnel</w:t>
      </w:r>
      <w:r>
        <w:rPr>
          <w:rFonts w:ascii="Times New Roman" w:eastAsia="宋体" w:hAnsi="Times New Roman"/>
          <w:color w:val="000000"/>
          <w:sz w:val="20"/>
          <w:szCs w:val="20"/>
        </w:rPr>
        <w:t>. The loss of any of our executive officers or other key senior management personnel could harm our business. Our success also depends substantially on the contributions and abilities of our retail store employees on whom we rely to give customers a superi</w:t>
      </w:r>
      <w:r>
        <w:rPr>
          <w:rFonts w:ascii="Times New Roman" w:eastAsia="宋体" w:hAnsi="Times New Roman"/>
          <w:color w:val="000000"/>
          <w:sz w:val="20"/>
          <w:szCs w:val="20"/>
        </w:rPr>
        <w:t>or in-store experience and elevate our brand. Accordingly, our performance depends on our ability to recruit and retain high quality management personnel and other employees to work in and manage our stores, both domestically and internationally. Our abili</w:t>
      </w:r>
      <w:r>
        <w:rPr>
          <w:rFonts w:ascii="Times New Roman" w:eastAsia="宋体" w:hAnsi="Times New Roman"/>
          <w:color w:val="000000"/>
          <w:sz w:val="20"/>
          <w:szCs w:val="20"/>
        </w:rPr>
        <w:t>ty to attract and retain both corporate and retail personnel is also acutely impacted in certain international and domestic markets where the competition for a relatively small number of qualified employees is intense or in markets where large high-tech co</w:t>
      </w:r>
      <w:r>
        <w:rPr>
          <w:rFonts w:ascii="Times New Roman" w:eastAsia="宋体" w:hAnsi="Times New Roman"/>
          <w:color w:val="000000"/>
          <w:sz w:val="20"/>
          <w:szCs w:val="20"/>
        </w:rPr>
        <w:t>mpanies are able to offer more competitive salaries and benefits. Additionally, there is intense competition for qualified technology systems developers necessary to develop and implement new technologies for our growth initiatives, including increasing ou</w:t>
      </w:r>
      <w:r>
        <w:rPr>
          <w:rFonts w:ascii="Times New Roman" w:eastAsia="宋体" w:hAnsi="Times New Roman"/>
          <w:color w:val="000000"/>
          <w:sz w:val="20"/>
          <w:szCs w:val="20"/>
        </w:rPr>
        <w:t>r digital relationships with customers. If we are unable to recruit, retain and motivate employees sufficiently to maintain our current business and support our projected growth, our business and financial performance may be adversely affected.</w:t>
      </w:r>
    </w:p>
    <w:p w14:paraId="00BACD3B" w14:textId="77777777" w:rsidR="00871BDF" w:rsidRDefault="005C5088">
      <w:pPr>
        <w:jc w:val="center"/>
      </w:pPr>
      <w:r>
        <w:rPr>
          <w:rFonts w:ascii="Times New Roman" w:eastAsia="宋体" w:hAnsi="Times New Roman"/>
          <w:color w:val="000000"/>
          <w:sz w:val="20"/>
          <w:szCs w:val="20"/>
        </w:rPr>
        <w:t>16</w:t>
      </w:r>
    </w:p>
    <w:p w14:paraId="00BACD3C" w14:textId="77777777" w:rsidR="00871BDF" w:rsidRDefault="005C5088">
      <w:r>
        <w:pict w14:anchorId="00BB1473">
          <v:rect id="_x0000_i1043" style="width:415.3pt;height:1.5pt" o:hralign="center" o:hrstd="t" o:hr="t" fillcolor="#a0a0a0" stroked="f"/>
        </w:pict>
      </w:r>
    </w:p>
    <w:p w14:paraId="00BACD3D" w14:textId="77777777" w:rsidR="00871BDF" w:rsidRDefault="005C5088">
      <w:hyperlink r:id="rId76" w:anchor="i54ccc64cb5384be5a4849ef1cdef4dde_7" w:history="1">
        <w:r>
          <w:rPr>
            <w:rStyle w:val="a5"/>
            <w:rFonts w:ascii="Times New Roman" w:eastAsia="宋体" w:hAnsi="Times New Roman"/>
            <w:sz w:val="20"/>
            <w:szCs w:val="20"/>
          </w:rPr>
          <w:t>Table of Contents</w:t>
        </w:r>
      </w:hyperlink>
    </w:p>
    <w:p w14:paraId="00BACD3E" w14:textId="77777777" w:rsidR="00871BDF" w:rsidRDefault="005C5088">
      <w:pPr>
        <w:spacing w:before="120"/>
      </w:pPr>
      <w:r>
        <w:rPr>
          <w:rFonts w:ascii="Times New Roman" w:eastAsia="宋体" w:hAnsi="Times New Roman"/>
          <w:b/>
          <w:bCs/>
          <w:color w:val="000000"/>
          <w:sz w:val="20"/>
          <w:szCs w:val="20"/>
          <w:u w:val="single"/>
        </w:rPr>
        <w:t>Risks Related to Competition</w:t>
      </w:r>
    </w:p>
    <w:p w14:paraId="00BACD3F"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We face intense competition in each of our channels and marke</w:t>
      </w:r>
      <w:r>
        <w:rPr>
          <w:rFonts w:ascii="Times New Roman" w:eastAsia="宋体" w:hAnsi="Times New Roman"/>
          <w:b/>
          <w:bCs/>
          <w:i/>
          <w:iCs/>
          <w:color w:val="000000"/>
          <w:sz w:val="20"/>
          <w:szCs w:val="20"/>
        </w:rPr>
        <w:t xml:space="preserve">ts, which could lead to reduced profitability. </w:t>
      </w:r>
    </w:p>
    <w:p w14:paraId="00BACD40" w14:textId="77777777" w:rsidR="00871BDF" w:rsidRDefault="005C5088">
      <w:pPr>
        <w:spacing w:before="120"/>
      </w:pPr>
      <w:r>
        <w:rPr>
          <w:rFonts w:ascii="Times New Roman" w:eastAsia="宋体" w:hAnsi="Times New Roman"/>
          <w:color w:val="000000"/>
          <w:sz w:val="20"/>
          <w:szCs w:val="20"/>
        </w:rPr>
        <w:t>The specialty coffee market is intensely competitive, including with respect to product quality, innovation, service, convenience, such as delivery service and mobile ordering, and price, and we face signific</w:t>
      </w:r>
      <w:r>
        <w:rPr>
          <w:rFonts w:ascii="Times New Roman" w:eastAsia="宋体" w:hAnsi="Times New Roman"/>
          <w:color w:val="000000"/>
          <w:sz w:val="20"/>
          <w:szCs w:val="20"/>
        </w:rPr>
        <w:t xml:space="preserve">ant and increasing competition in all these areas in each of our channels and markets. Accordingly, we do not have leadership positions in all channels and markets. In the U.S., the ongoing focus by large competitors in the quick-service restaurant sector </w:t>
      </w:r>
      <w:r>
        <w:rPr>
          <w:rFonts w:ascii="Times New Roman" w:eastAsia="宋体" w:hAnsi="Times New Roman"/>
          <w:color w:val="000000"/>
          <w:sz w:val="20"/>
          <w:szCs w:val="20"/>
        </w:rPr>
        <w:t>on selling high-quality specialty coffee beverages could lead to decreases in customer traffic to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stores and/or average value per transaction adversely affecting our sales and results of operations. Similarly, continued competition from well-est</w:t>
      </w:r>
      <w:r>
        <w:rPr>
          <w:rFonts w:ascii="Times New Roman" w:eastAsia="宋体" w:hAnsi="Times New Roman"/>
          <w:color w:val="000000"/>
          <w:sz w:val="20"/>
          <w:szCs w:val="20"/>
        </w:rPr>
        <w:t>ablished competitors, or competition from large new entrants or well-funded smaller companies in our domestic and international markets could hinder growth and adversely affect our sales and results of operations in those markets. Many small competitors al</w:t>
      </w:r>
      <w:r>
        <w:rPr>
          <w:rFonts w:ascii="Times New Roman" w:eastAsia="宋体" w:hAnsi="Times New Roman"/>
          <w:color w:val="000000"/>
          <w:sz w:val="20"/>
          <w:szCs w:val="20"/>
        </w:rPr>
        <w:t>so continue to open coffee specialty stores in many of our markets across the world, which in the aggregate may also lead to significant decreases of customer traffic to our stores in those markets. Increased competition globally in packaged coffee and tea</w:t>
      </w:r>
      <w:r>
        <w:rPr>
          <w:rFonts w:ascii="Times New Roman" w:eastAsia="宋体" w:hAnsi="Times New Roman"/>
          <w:color w:val="000000"/>
          <w:sz w:val="20"/>
          <w:szCs w:val="20"/>
        </w:rPr>
        <w:t xml:space="preserve"> and single-serve and ready-to-drink coffee beverage markets, including from new and large entrants to this market, could adversely affect the profitability of the Channel Development segment. Furthermore, declines in general consumer demand for specialty </w:t>
      </w:r>
      <w:r>
        <w:rPr>
          <w:rFonts w:ascii="Times New Roman" w:eastAsia="宋体" w:hAnsi="Times New Roman"/>
          <w:color w:val="000000"/>
          <w:sz w:val="20"/>
          <w:szCs w:val="20"/>
        </w:rPr>
        <w:t>coffee products for any reason, including due to consumer preference for other products, flattening demand for our products, changed customer daily routines or traffic to stores as a result of the COVID-19 pandemic, or changed customer spending behaviors d</w:t>
      </w:r>
      <w:r>
        <w:rPr>
          <w:rFonts w:ascii="Times New Roman" w:eastAsia="宋体" w:hAnsi="Times New Roman"/>
          <w:color w:val="000000"/>
          <w:sz w:val="20"/>
          <w:szCs w:val="20"/>
        </w:rPr>
        <w:t>ue to challenging economic conditions, could have a negative effect on our business.</w:t>
      </w:r>
    </w:p>
    <w:p w14:paraId="00BACD41" w14:textId="77777777" w:rsidR="00871BDF" w:rsidRDefault="005C5088">
      <w:pPr>
        <w:spacing w:before="120"/>
      </w:pPr>
      <w:r>
        <w:rPr>
          <w:rFonts w:ascii="Times New Roman" w:eastAsia="宋体" w:hAnsi="Times New Roman"/>
          <w:b/>
          <w:bCs/>
          <w:color w:val="000000"/>
          <w:sz w:val="20"/>
          <w:szCs w:val="20"/>
          <w:u w:val="single"/>
        </w:rPr>
        <w:t>Risks Related to Operating a Global Business</w:t>
      </w:r>
    </w:p>
    <w:p w14:paraId="00BACD42"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We are highly dependent on the financial performance of our Americas operating segment. </w:t>
      </w:r>
    </w:p>
    <w:p w14:paraId="00BACD43" w14:textId="77777777" w:rsidR="00871BDF" w:rsidRDefault="005C5088">
      <w:pPr>
        <w:spacing w:before="120"/>
      </w:pPr>
      <w:r>
        <w:rPr>
          <w:rFonts w:ascii="Times New Roman" w:eastAsia="宋体" w:hAnsi="Times New Roman"/>
          <w:color w:val="000000"/>
          <w:sz w:val="20"/>
          <w:szCs w:val="20"/>
        </w:rPr>
        <w:t xml:space="preserve">Our financial performance is </w:t>
      </w:r>
      <w:r>
        <w:rPr>
          <w:rFonts w:ascii="Times New Roman" w:eastAsia="宋体" w:hAnsi="Times New Roman"/>
          <w:color w:val="000000"/>
          <w:sz w:val="20"/>
          <w:szCs w:val="20"/>
        </w:rPr>
        <w:t>highly dependent on our Americas operating segment, as it comprised approximately 70% of consolidated total net revenues in fiscal 2020. If the Americas operating segment revenue trends slow or decline, or does not successfully recover in the post COVID-19</w:t>
      </w:r>
      <w:r>
        <w:rPr>
          <w:rFonts w:ascii="Times New Roman" w:eastAsia="宋体" w:hAnsi="Times New Roman"/>
          <w:color w:val="000000"/>
          <w:sz w:val="20"/>
          <w:szCs w:val="20"/>
        </w:rPr>
        <w:t xml:space="preserve"> environment, especially in our U.S. market, our other segments may be unable to make up any significant shortfall and our business and financial results could be adversely affected. And because the Americas segment is relatively mature and produces the la</w:t>
      </w:r>
      <w:r>
        <w:rPr>
          <w:rFonts w:ascii="Times New Roman" w:eastAsia="宋体" w:hAnsi="Times New Roman"/>
          <w:color w:val="000000"/>
          <w:sz w:val="20"/>
          <w:szCs w:val="20"/>
        </w:rPr>
        <w:t>rge majority of our operating cash flows, such a slowdown or decline could result in reduced cash flows for funding the expansion of our international businesses and other initiatives and for returning cash to shareholders.</w:t>
      </w:r>
    </w:p>
    <w:p w14:paraId="00BACD44"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We are increasingly dependent o</w:t>
      </w:r>
      <w:r>
        <w:rPr>
          <w:rFonts w:ascii="Times New Roman" w:eastAsia="宋体" w:hAnsi="Times New Roman"/>
          <w:b/>
          <w:bCs/>
          <w:i/>
          <w:iCs/>
          <w:color w:val="000000"/>
          <w:sz w:val="20"/>
          <w:szCs w:val="20"/>
        </w:rPr>
        <w:t xml:space="preserve">n the success of certain international markets in order to achieve our growth targets. </w:t>
      </w:r>
    </w:p>
    <w:p w14:paraId="00BACD45" w14:textId="77777777" w:rsidR="00871BDF" w:rsidRDefault="005C5088">
      <w:pPr>
        <w:spacing w:before="120"/>
      </w:pPr>
      <w:r>
        <w:rPr>
          <w:rFonts w:ascii="Times New Roman" w:eastAsia="宋体" w:hAnsi="Times New Roman"/>
          <w:color w:val="000000"/>
          <w:sz w:val="20"/>
          <w:szCs w:val="20"/>
        </w:rPr>
        <w:t xml:space="preserve">Our future growth increasingly depends on the growth and sustained profitability of certain international markets. Some or all of our international market </w:t>
      </w:r>
      <w:r>
        <w:rPr>
          <w:rFonts w:ascii="Times New Roman" w:eastAsia="宋体" w:hAnsi="Times New Roman"/>
          <w:color w:val="000000"/>
          <w:sz w:val="20"/>
          <w:szCs w:val="20"/>
        </w:rPr>
        <w:t>business units (“MBUs”), which we generally define by the countries in which they operate, may not be successful in their operations or in achieving expected growth, which ultimately requires achieving consistent, stable net revenues and earnings. The perf</w:t>
      </w:r>
      <w:r>
        <w:rPr>
          <w:rFonts w:ascii="Times New Roman" w:eastAsia="宋体" w:hAnsi="Times New Roman"/>
          <w:color w:val="000000"/>
          <w:sz w:val="20"/>
          <w:szCs w:val="20"/>
        </w:rPr>
        <w:t>ormance of these international operations may be adversely affected by economic downturns in one or more of the countries in which our large MBUs operate. A decline in performance of one or more of our significant international MBUs could have a material a</w:t>
      </w:r>
      <w:r>
        <w:rPr>
          <w:rFonts w:ascii="Times New Roman" w:eastAsia="宋体" w:hAnsi="Times New Roman"/>
          <w:color w:val="000000"/>
          <w:sz w:val="20"/>
          <w:szCs w:val="20"/>
        </w:rPr>
        <w:t>dverse impact on our consolidated results.</w:t>
      </w:r>
    </w:p>
    <w:p w14:paraId="00BACD46" w14:textId="77777777" w:rsidR="00871BDF" w:rsidRDefault="005C5088">
      <w:pPr>
        <w:spacing w:before="120"/>
      </w:pPr>
      <w:r>
        <w:rPr>
          <w:rFonts w:ascii="Times New Roman" w:eastAsia="宋体" w:hAnsi="Times New Roman"/>
          <w:color w:val="000000"/>
          <w:sz w:val="20"/>
          <w:szCs w:val="20"/>
        </w:rPr>
        <w:t>The International segment is a significant profit center driving our global returns, along with our Americas segment. In particular, our China MBU contributes meaningfully to both consolidated and International ne</w:t>
      </w:r>
      <w:r>
        <w:rPr>
          <w:rFonts w:ascii="Times New Roman" w:eastAsia="宋体" w:hAnsi="Times New Roman"/>
          <w:color w:val="000000"/>
          <w:sz w:val="20"/>
          <w:szCs w:val="20"/>
        </w:rPr>
        <w:t>t revenues and operating income. China is currently our fastest growing market, our second largest market overall and 100% company-owned. Due to the significance of our China market for our profit and growth, we are exposed to risks in China, including the</w:t>
      </w:r>
      <w:r>
        <w:rPr>
          <w:rFonts w:ascii="Times New Roman" w:eastAsia="宋体" w:hAnsi="Times New Roman"/>
          <w:color w:val="000000"/>
          <w:sz w:val="20"/>
          <w:szCs w:val="20"/>
        </w:rPr>
        <w:t xml:space="preserve"> risks mentioned elsewhere and the following:</w:t>
      </w:r>
    </w:p>
    <w:p w14:paraId="00BACD47" w14:textId="77777777" w:rsidR="00871BDF" w:rsidRDefault="005C5088">
      <w:pPr>
        <w:spacing w:before="120"/>
        <w:ind w:hanging="180"/>
      </w:pPr>
      <w:r>
        <w:rPr>
          <w:rFonts w:ascii="Times New Roman" w:eastAsia="宋体" w:hAnsi="Times New Roman"/>
          <w:color w:val="000000"/>
          <w:sz w:val="20"/>
          <w:szCs w:val="20"/>
        </w:rPr>
        <w:t>•the effects of current U.S.-China relations, including rounds of tariff increases and retaliations and increasing restrictive regulations, potential boycotts and increasing anti-Americanism;</w:t>
      </w:r>
    </w:p>
    <w:p w14:paraId="00BACD48" w14:textId="77777777" w:rsidR="00871BDF" w:rsidRDefault="005C5088">
      <w:pPr>
        <w:spacing w:before="120"/>
        <w:ind w:hanging="180"/>
      </w:pPr>
      <w:r>
        <w:rPr>
          <w:rFonts w:ascii="Times New Roman" w:eastAsia="宋体" w:hAnsi="Times New Roman"/>
          <w:color w:val="000000"/>
          <w:sz w:val="20"/>
          <w:szCs w:val="20"/>
        </w:rPr>
        <w:t>•escalating U.S.-C</w:t>
      </w:r>
      <w:r>
        <w:rPr>
          <w:rFonts w:ascii="Times New Roman" w:eastAsia="宋体" w:hAnsi="Times New Roman"/>
          <w:color w:val="000000"/>
          <w:sz w:val="20"/>
          <w:szCs w:val="20"/>
        </w:rPr>
        <w:t>hina tension and increasing political sensitivities in China;</w:t>
      </w:r>
    </w:p>
    <w:p w14:paraId="00BACD49" w14:textId="77777777" w:rsidR="00871BDF" w:rsidRDefault="005C5088">
      <w:pPr>
        <w:spacing w:before="120"/>
        <w:ind w:hanging="180"/>
      </w:pPr>
      <w:r>
        <w:rPr>
          <w:rFonts w:ascii="Times New Roman" w:eastAsia="宋体" w:hAnsi="Times New Roman"/>
          <w:color w:val="000000"/>
          <w:sz w:val="20"/>
          <w:szCs w:val="20"/>
        </w:rPr>
        <w:t>•the effects of the COVID-19 pandemic and related governmental regulations and restrictions on our operations in China;</w:t>
      </w:r>
    </w:p>
    <w:p w14:paraId="00BACD4A" w14:textId="77777777" w:rsidR="00871BDF" w:rsidRDefault="005C5088">
      <w:pPr>
        <w:spacing w:before="120"/>
        <w:ind w:hanging="180"/>
      </w:pPr>
      <w:r>
        <w:rPr>
          <w:rFonts w:ascii="Times New Roman" w:eastAsia="宋体" w:hAnsi="Times New Roman"/>
          <w:color w:val="000000"/>
          <w:sz w:val="20"/>
          <w:szCs w:val="20"/>
        </w:rPr>
        <w:t>•entry of new competitors to the specialty coffee market in China;</w:t>
      </w:r>
    </w:p>
    <w:p w14:paraId="00BACD4B" w14:textId="77777777" w:rsidR="00871BDF" w:rsidRDefault="005C5088">
      <w:pPr>
        <w:spacing w:before="120"/>
        <w:ind w:hanging="180"/>
      </w:pPr>
      <w:r>
        <w:rPr>
          <w:rFonts w:ascii="Times New Roman" w:eastAsia="宋体" w:hAnsi="Times New Roman"/>
          <w:color w:val="000000"/>
          <w:sz w:val="20"/>
          <w:szCs w:val="20"/>
        </w:rPr>
        <w:t>•change</w:t>
      </w:r>
      <w:r>
        <w:rPr>
          <w:rFonts w:ascii="Times New Roman" w:eastAsia="宋体" w:hAnsi="Times New Roman"/>
          <w:color w:val="000000"/>
          <w:sz w:val="20"/>
          <w:szCs w:val="20"/>
        </w:rPr>
        <w:t>s in economic conditions in China and potential negative effects to the growth of its middle class, wages, labor, inflation discretionary spending and real estate and supply chain costs;</w:t>
      </w:r>
    </w:p>
    <w:p w14:paraId="00BACD4C" w14:textId="77777777" w:rsidR="00871BDF" w:rsidRDefault="005C5088">
      <w:pPr>
        <w:spacing w:before="120"/>
        <w:ind w:hanging="180"/>
      </w:pPr>
      <w:r>
        <w:rPr>
          <w:rFonts w:ascii="Times New Roman" w:eastAsia="宋体" w:hAnsi="Times New Roman"/>
          <w:color w:val="000000"/>
          <w:sz w:val="20"/>
          <w:szCs w:val="20"/>
        </w:rPr>
        <w:t>•ongoing government regulatory reform, including relating to public h</w:t>
      </w:r>
      <w:r>
        <w:rPr>
          <w:rFonts w:ascii="Times New Roman" w:eastAsia="宋体" w:hAnsi="Times New Roman"/>
          <w:color w:val="000000"/>
          <w:sz w:val="20"/>
          <w:szCs w:val="20"/>
        </w:rPr>
        <w:t>ealth, food safety, tariffs and tax, sustainability, bringing uncertainty and inconsistent interpretations, which may be contrary to ours, as well as potential significant increases in compliance costs; and</w:t>
      </w:r>
    </w:p>
    <w:p w14:paraId="00BACD4D" w14:textId="77777777" w:rsidR="00871BDF" w:rsidRDefault="005C5088">
      <w:pPr>
        <w:spacing w:before="120"/>
        <w:ind w:hanging="180"/>
      </w:pPr>
      <w:r>
        <w:rPr>
          <w:rFonts w:ascii="Times New Roman" w:eastAsia="宋体" w:hAnsi="Times New Roman"/>
          <w:color w:val="000000"/>
          <w:sz w:val="20"/>
          <w:szCs w:val="20"/>
        </w:rPr>
        <w:t>•food-safety related matters, including complianc</w:t>
      </w:r>
      <w:r>
        <w:rPr>
          <w:rFonts w:ascii="Times New Roman" w:eastAsia="宋体" w:hAnsi="Times New Roman"/>
          <w:color w:val="000000"/>
          <w:sz w:val="20"/>
          <w:szCs w:val="20"/>
        </w:rPr>
        <w:t>e with food-safety regulations and ability to ensure product quality and safety.</w:t>
      </w:r>
    </w:p>
    <w:p w14:paraId="00BACD4E" w14:textId="77777777" w:rsidR="00871BDF" w:rsidRDefault="005C5088">
      <w:pPr>
        <w:jc w:val="center"/>
      </w:pPr>
      <w:r>
        <w:rPr>
          <w:rFonts w:ascii="Times New Roman" w:eastAsia="宋体" w:hAnsi="Times New Roman"/>
          <w:color w:val="000000"/>
          <w:sz w:val="20"/>
          <w:szCs w:val="20"/>
        </w:rPr>
        <w:t>17</w:t>
      </w:r>
    </w:p>
    <w:p w14:paraId="00BACD4F" w14:textId="77777777" w:rsidR="00871BDF" w:rsidRDefault="005C5088">
      <w:r>
        <w:pict w14:anchorId="00BB1474">
          <v:rect id="_x0000_i1044" style="width:415.3pt;height:1.5pt" o:hralign="center" o:hrstd="t" o:hr="t" fillcolor="#a0a0a0" stroked="f"/>
        </w:pict>
      </w:r>
    </w:p>
    <w:p w14:paraId="00BACD50" w14:textId="77777777" w:rsidR="00871BDF" w:rsidRDefault="005C5088">
      <w:hyperlink r:id="rId77" w:anchor="i54ccc64cb5384be5a4849ef1cdef4dde_7" w:history="1">
        <w:r>
          <w:rPr>
            <w:rStyle w:val="a5"/>
            <w:rFonts w:ascii="Times New Roman" w:eastAsia="宋体" w:hAnsi="Times New Roman"/>
            <w:sz w:val="20"/>
            <w:szCs w:val="20"/>
          </w:rPr>
          <w:t>Table of Contents</w:t>
        </w:r>
      </w:hyperlink>
    </w:p>
    <w:p w14:paraId="00BACD51" w14:textId="77777777" w:rsidR="00871BDF" w:rsidRDefault="005C5088">
      <w:pPr>
        <w:spacing w:before="120"/>
      </w:pPr>
      <w:r>
        <w:rPr>
          <w:rFonts w:ascii="Times New Roman" w:eastAsia="宋体" w:hAnsi="Times New Roman"/>
          <w:color w:val="000000"/>
          <w:sz w:val="20"/>
          <w:szCs w:val="20"/>
        </w:rPr>
        <w:t>Additionally, some factors that will be critical to the success of our international operations overall are different than those affecting our U.S. stores and licensees. Tastes naturally vary by region, and consumers in some MBUs may not embrace our produ</w:t>
      </w:r>
      <w:r>
        <w:rPr>
          <w:rFonts w:ascii="Times New Roman" w:eastAsia="宋体" w:hAnsi="Times New Roman"/>
          <w:color w:val="000000"/>
          <w:sz w:val="20"/>
          <w:szCs w:val="20"/>
        </w:rPr>
        <w:t>cts to the same extent as consumers in the U.S. or other international markets. Occupancy costs and store operating expenses can be higher internationally than in the U.S. due to higher rents for prime store locations or costs of compliance with country-sp</w:t>
      </w:r>
      <w:r>
        <w:rPr>
          <w:rFonts w:ascii="Times New Roman" w:eastAsia="宋体" w:hAnsi="Times New Roman"/>
          <w:color w:val="000000"/>
          <w:sz w:val="20"/>
          <w:szCs w:val="20"/>
        </w:rPr>
        <w:t>ecific regulatory requirements. Because many of our international operations are in an early phase of development, operating expenses as a percentage of related revenues are often higher compared to more developed operations.</w:t>
      </w:r>
    </w:p>
    <w:p w14:paraId="00BACD52" w14:textId="77777777" w:rsidR="00871BDF" w:rsidRDefault="005C5088">
      <w:pPr>
        <w:spacing w:before="120"/>
        <w:ind w:hanging="180"/>
      </w:pPr>
      <w:r>
        <w:rPr>
          <w:rFonts w:ascii="Times New Roman" w:eastAsia="宋体" w:hAnsi="Times New Roman"/>
          <w:b/>
          <w:bCs/>
          <w:i/>
          <w:iCs/>
          <w:color w:val="000000"/>
          <w:sz w:val="20"/>
          <w:szCs w:val="20"/>
        </w:rPr>
        <w:t>•We face risks as a global bus</w:t>
      </w:r>
      <w:r>
        <w:rPr>
          <w:rFonts w:ascii="Times New Roman" w:eastAsia="宋体" w:hAnsi="Times New Roman"/>
          <w:b/>
          <w:bCs/>
          <w:i/>
          <w:iCs/>
          <w:color w:val="000000"/>
          <w:sz w:val="20"/>
          <w:szCs w:val="20"/>
        </w:rPr>
        <w:t xml:space="preserve">iness that could adversely affect our financial performance. </w:t>
      </w:r>
    </w:p>
    <w:p w14:paraId="00BACD53" w14:textId="77777777" w:rsidR="00871BDF" w:rsidRDefault="005C5088">
      <w:pPr>
        <w:spacing w:before="120"/>
      </w:pPr>
      <w:r>
        <w:rPr>
          <w:rFonts w:ascii="Times New Roman" w:eastAsia="宋体" w:hAnsi="Times New Roman"/>
          <w:color w:val="000000"/>
          <w:sz w:val="20"/>
          <w:szCs w:val="20"/>
        </w:rPr>
        <w:t xml:space="preserve">We operate in over 80 markets globally. Our international operations are also subject to additional inherent risks of conducting business abroad, such as: </w:t>
      </w:r>
    </w:p>
    <w:p w14:paraId="00BACD54" w14:textId="77777777" w:rsidR="00871BDF" w:rsidRDefault="005C5088">
      <w:pPr>
        <w:spacing w:before="120"/>
        <w:ind w:hanging="180"/>
      </w:pPr>
      <w:r>
        <w:rPr>
          <w:rFonts w:ascii="Times New Roman" w:eastAsia="宋体" w:hAnsi="Times New Roman"/>
          <w:color w:val="000000"/>
          <w:sz w:val="20"/>
          <w:szCs w:val="20"/>
        </w:rPr>
        <w:t>•foreign currency exchange rate fluctu</w:t>
      </w:r>
      <w:r>
        <w:rPr>
          <w:rFonts w:ascii="Times New Roman" w:eastAsia="宋体" w:hAnsi="Times New Roman"/>
          <w:color w:val="000000"/>
          <w:sz w:val="20"/>
          <w:szCs w:val="20"/>
        </w:rPr>
        <w:t xml:space="preserve">ations, or requirements to transact in specific currencies; </w:t>
      </w:r>
    </w:p>
    <w:p w14:paraId="00BACD55" w14:textId="77777777" w:rsidR="00871BDF" w:rsidRDefault="005C5088">
      <w:pPr>
        <w:spacing w:before="120"/>
        <w:ind w:hanging="180"/>
      </w:pPr>
      <w:r>
        <w:rPr>
          <w:rFonts w:ascii="Times New Roman" w:eastAsia="宋体" w:hAnsi="Times New Roman"/>
          <w:color w:val="000000"/>
          <w:sz w:val="20"/>
          <w:szCs w:val="20"/>
        </w:rPr>
        <w:t xml:space="preserve">•changes or uncertainties in economic, legal, regulatory, social and political conditions in our markets, as well as negative effects on U.S. businesses due to increasing anti-American sentiment </w:t>
      </w:r>
      <w:r>
        <w:rPr>
          <w:rFonts w:ascii="Times New Roman" w:eastAsia="宋体" w:hAnsi="Times New Roman"/>
          <w:color w:val="000000"/>
          <w:sz w:val="20"/>
          <w:szCs w:val="20"/>
        </w:rPr>
        <w:t xml:space="preserve">in certain markets; </w:t>
      </w:r>
    </w:p>
    <w:p w14:paraId="00BACD56" w14:textId="77777777" w:rsidR="00871BDF" w:rsidRDefault="005C5088">
      <w:pPr>
        <w:spacing w:before="120"/>
        <w:ind w:hanging="180"/>
      </w:pPr>
      <w:r>
        <w:rPr>
          <w:rFonts w:ascii="Times New Roman" w:eastAsia="宋体" w:hAnsi="Times New Roman"/>
          <w:color w:val="000000"/>
          <w:sz w:val="20"/>
          <w:szCs w:val="20"/>
        </w:rPr>
        <w:t xml:space="preserve">•interpretation and application of laws and regulations, including tax, tariffs, labor, merchandise, anti-bribery and privacy laws and regulations; </w:t>
      </w:r>
    </w:p>
    <w:p w14:paraId="00BACD57" w14:textId="77777777" w:rsidR="00871BDF" w:rsidRDefault="005C5088">
      <w:pPr>
        <w:spacing w:before="120"/>
        <w:ind w:hanging="180"/>
      </w:pPr>
      <w:r>
        <w:rPr>
          <w:rFonts w:ascii="Times New Roman" w:eastAsia="宋体" w:hAnsi="Times New Roman"/>
          <w:color w:val="000000"/>
          <w:sz w:val="20"/>
          <w:szCs w:val="20"/>
        </w:rPr>
        <w:t>•uncertainties and effects of the implementation of the United Kingdom's referendum to</w:t>
      </w:r>
      <w:r>
        <w:rPr>
          <w:rFonts w:ascii="Times New Roman" w:eastAsia="宋体" w:hAnsi="Times New Roman"/>
          <w:color w:val="000000"/>
          <w:sz w:val="20"/>
          <w:szCs w:val="20"/>
        </w:rPr>
        <w:t xml:space="preserve"> withdraw membership from the European Union (referred to as “Brexit”), including financial, legal, tax and trade implications;</w:t>
      </w:r>
    </w:p>
    <w:p w14:paraId="00BACD58" w14:textId="77777777" w:rsidR="00871BDF" w:rsidRDefault="005C5088">
      <w:pPr>
        <w:spacing w:before="120"/>
        <w:ind w:hanging="180"/>
      </w:pPr>
      <w:r>
        <w:rPr>
          <w:rFonts w:ascii="Times New Roman" w:eastAsia="宋体" w:hAnsi="Times New Roman"/>
          <w:color w:val="000000"/>
          <w:sz w:val="20"/>
          <w:szCs w:val="20"/>
        </w:rPr>
        <w:t>•restrictive actions of foreign or U.S. governmental authorities affecting trade and foreign investment, especially during perio</w:t>
      </w:r>
      <w:r>
        <w:rPr>
          <w:rFonts w:ascii="Times New Roman" w:eastAsia="宋体" w:hAnsi="Times New Roman"/>
          <w:color w:val="000000"/>
          <w:sz w:val="20"/>
          <w:szCs w:val="20"/>
        </w:rPr>
        <w:t>ds of heightened tension between the U.S. and such foreign governmental authorities, including protective measures such as export and customs duties and tariffs, government intervention favoring local competitors and restrictions on the level of foreign ow</w:t>
      </w:r>
      <w:r>
        <w:rPr>
          <w:rFonts w:ascii="Times New Roman" w:eastAsia="宋体" w:hAnsi="Times New Roman"/>
          <w:color w:val="000000"/>
          <w:sz w:val="20"/>
          <w:szCs w:val="20"/>
        </w:rPr>
        <w:t xml:space="preserve">nership; </w:t>
      </w:r>
    </w:p>
    <w:p w14:paraId="00BACD59" w14:textId="77777777" w:rsidR="00871BDF" w:rsidRDefault="005C5088">
      <w:pPr>
        <w:spacing w:before="120"/>
        <w:ind w:hanging="180"/>
      </w:pPr>
      <w:r>
        <w:rPr>
          <w:rFonts w:ascii="Times New Roman" w:eastAsia="宋体" w:hAnsi="Times New Roman"/>
          <w:color w:val="000000"/>
          <w:sz w:val="20"/>
          <w:szCs w:val="20"/>
        </w:rPr>
        <w:t>•import or other business licensing requirements;</w:t>
      </w:r>
    </w:p>
    <w:p w14:paraId="00BACD5A" w14:textId="77777777" w:rsidR="00871BDF" w:rsidRDefault="005C5088">
      <w:pPr>
        <w:spacing w:before="120"/>
        <w:ind w:hanging="180"/>
      </w:pPr>
      <w:r>
        <w:rPr>
          <w:rFonts w:ascii="Times New Roman" w:eastAsia="宋体" w:hAnsi="Times New Roman"/>
          <w:color w:val="000000"/>
          <w:sz w:val="20"/>
          <w:szCs w:val="20"/>
        </w:rPr>
        <w:t>•the enforceability of intellectual property and contract rights;</w:t>
      </w:r>
    </w:p>
    <w:p w14:paraId="00BACD5B" w14:textId="77777777" w:rsidR="00871BDF" w:rsidRDefault="005C5088">
      <w:pPr>
        <w:spacing w:before="120"/>
        <w:ind w:hanging="180"/>
      </w:pPr>
      <w:r>
        <w:rPr>
          <w:rFonts w:ascii="Times New Roman" w:eastAsia="宋体" w:hAnsi="Times New Roman"/>
          <w:color w:val="000000"/>
          <w:sz w:val="20"/>
          <w:szCs w:val="20"/>
        </w:rPr>
        <w:t xml:space="preserve">•limitations on the repatriation of funds and foreign currency exchange restrictions due to current or new U.S. and international </w:t>
      </w:r>
      <w:r>
        <w:rPr>
          <w:rFonts w:ascii="Times New Roman" w:eastAsia="宋体" w:hAnsi="Times New Roman"/>
          <w:color w:val="000000"/>
          <w:sz w:val="20"/>
          <w:szCs w:val="20"/>
        </w:rPr>
        <w:t>regulations;</w:t>
      </w:r>
    </w:p>
    <w:p w14:paraId="00BACD5C" w14:textId="77777777" w:rsidR="00871BDF" w:rsidRDefault="005C5088">
      <w:pPr>
        <w:spacing w:before="120"/>
        <w:ind w:hanging="180"/>
      </w:pPr>
      <w:r>
        <w:rPr>
          <w:rFonts w:ascii="Times New Roman" w:eastAsia="宋体" w:hAnsi="Times New Roman"/>
          <w:color w:val="000000"/>
          <w:sz w:val="20"/>
          <w:szCs w:val="20"/>
        </w:rPr>
        <w:t>•in developing economies, the growth rate in the portion of the population achieving sufficient levels of disposable income may not be as fast as we forecast;</w:t>
      </w:r>
    </w:p>
    <w:p w14:paraId="00BACD5D" w14:textId="77777777" w:rsidR="00871BDF" w:rsidRDefault="005C5088">
      <w:pPr>
        <w:spacing w:before="120"/>
        <w:ind w:hanging="180"/>
      </w:pPr>
      <w:r>
        <w:rPr>
          <w:rFonts w:ascii="Times New Roman" w:eastAsia="宋体" w:hAnsi="Times New Roman"/>
          <w:color w:val="000000"/>
          <w:sz w:val="20"/>
          <w:szCs w:val="20"/>
        </w:rPr>
        <w:t>•difficulty in staffing, developing and managing foreign operations and supply chain</w:t>
      </w:r>
      <w:r>
        <w:rPr>
          <w:rFonts w:ascii="Times New Roman" w:eastAsia="宋体" w:hAnsi="Times New Roman"/>
          <w:color w:val="000000"/>
          <w:sz w:val="20"/>
          <w:szCs w:val="20"/>
        </w:rPr>
        <w:t xml:space="preserve"> logistics, including ensuring the consistency of product quality and service, due to governmental actions affecting supply chain logistics, distance, language and cultural differences, as well as challenges in recruiting and retaining high quality employe</w:t>
      </w:r>
      <w:r>
        <w:rPr>
          <w:rFonts w:ascii="Times New Roman" w:eastAsia="宋体" w:hAnsi="Times New Roman"/>
          <w:color w:val="000000"/>
          <w:sz w:val="20"/>
          <w:szCs w:val="20"/>
        </w:rPr>
        <w:t>es in local markets;</w:t>
      </w:r>
    </w:p>
    <w:p w14:paraId="00BACD5E" w14:textId="77777777" w:rsidR="00871BDF" w:rsidRDefault="005C5088">
      <w:pPr>
        <w:spacing w:before="120"/>
        <w:ind w:hanging="180"/>
      </w:pPr>
      <w:r>
        <w:rPr>
          <w:rFonts w:ascii="Times New Roman" w:eastAsia="宋体" w:hAnsi="Times New Roman"/>
          <w:color w:val="000000"/>
          <w:sz w:val="20"/>
          <w:szCs w:val="20"/>
        </w:rPr>
        <w:t>•local laws that make it more expensive and complex to negotiate with, retain or terminate employees;</w:t>
      </w:r>
    </w:p>
    <w:p w14:paraId="00BACD5F" w14:textId="77777777" w:rsidR="00871BDF" w:rsidRDefault="005C5088">
      <w:pPr>
        <w:spacing w:before="120"/>
        <w:ind w:hanging="180"/>
      </w:pPr>
      <w:r>
        <w:rPr>
          <w:rFonts w:ascii="Times New Roman" w:eastAsia="宋体" w:hAnsi="Times New Roman"/>
          <w:color w:val="000000"/>
          <w:sz w:val="20"/>
          <w:szCs w:val="20"/>
        </w:rPr>
        <w:t xml:space="preserve">•local regulations, health guidelines and safety protocols related to the COVID-19 pandemic affecting our store </w:t>
      </w:r>
      <w:r>
        <w:rPr>
          <w:rFonts w:ascii="Times New Roman" w:eastAsia="宋体" w:hAnsi="Times New Roman"/>
          <w:color w:val="000000"/>
          <w:sz w:val="20"/>
          <w:szCs w:val="20"/>
        </w:rPr>
        <w:t>operations; and</w:t>
      </w:r>
    </w:p>
    <w:p w14:paraId="00BACD60" w14:textId="77777777" w:rsidR="00871BDF" w:rsidRDefault="005C5088">
      <w:pPr>
        <w:spacing w:before="120"/>
        <w:ind w:hanging="180"/>
      </w:pPr>
      <w:r>
        <w:rPr>
          <w:rFonts w:ascii="Times New Roman" w:eastAsia="宋体" w:hAnsi="Times New Roman"/>
          <w:color w:val="000000"/>
          <w:sz w:val="20"/>
          <w:szCs w:val="20"/>
        </w:rPr>
        <w:t>•delays in store openings for reasons beyond our control, competition with locally relevant competitors or a lack of desirable real estate locations available for lease at reasonable rates, any of which could keep us from meeting annual sto</w:t>
      </w:r>
      <w:r>
        <w:rPr>
          <w:rFonts w:ascii="Times New Roman" w:eastAsia="宋体" w:hAnsi="Times New Roman"/>
          <w:color w:val="000000"/>
          <w:sz w:val="20"/>
          <w:szCs w:val="20"/>
        </w:rPr>
        <w:t>re opening targets and, in turn, negatively impact net revenues, operating income and earnings per share.</w:t>
      </w:r>
    </w:p>
    <w:p w14:paraId="00BACD61" w14:textId="77777777" w:rsidR="00871BDF" w:rsidRDefault="005C5088">
      <w:pPr>
        <w:spacing w:before="120"/>
      </w:pPr>
      <w:r>
        <w:rPr>
          <w:rFonts w:ascii="Times New Roman" w:eastAsia="宋体" w:hAnsi="Times New Roman"/>
          <w:color w:val="000000"/>
          <w:sz w:val="20"/>
          <w:szCs w:val="20"/>
        </w:rPr>
        <w:t xml:space="preserve">Moreover, many of the foregoing risks are particularly acute in developing countries, which are important to our long-term growth prospects. </w:t>
      </w:r>
    </w:p>
    <w:p w14:paraId="00BACD62" w14:textId="77777777" w:rsidR="00871BDF" w:rsidRDefault="005C5088">
      <w:pPr>
        <w:spacing w:before="120"/>
      </w:pPr>
      <w:r>
        <w:rPr>
          <w:rFonts w:ascii="Times New Roman" w:eastAsia="宋体" w:hAnsi="Times New Roman"/>
          <w:b/>
          <w:bCs/>
          <w:color w:val="000000"/>
          <w:sz w:val="20"/>
          <w:szCs w:val="20"/>
          <w:u w:val="single"/>
        </w:rPr>
        <w:t>Risks Re</w:t>
      </w:r>
      <w:r>
        <w:rPr>
          <w:rFonts w:ascii="Times New Roman" w:eastAsia="宋体" w:hAnsi="Times New Roman"/>
          <w:b/>
          <w:bCs/>
          <w:color w:val="000000"/>
          <w:sz w:val="20"/>
          <w:szCs w:val="20"/>
          <w:u w:val="single"/>
        </w:rPr>
        <w:t>lated to Governmental and Regulatory Changes</w:t>
      </w:r>
    </w:p>
    <w:p w14:paraId="00BACD63" w14:textId="77777777" w:rsidR="00871BDF" w:rsidRDefault="005C5088">
      <w:pPr>
        <w:spacing w:before="120"/>
        <w:ind w:hanging="180"/>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Failure to comply with applicable laws and changing legal and regulatory requirements could harm our business and financial results. </w:t>
      </w:r>
    </w:p>
    <w:p w14:paraId="00BACD64" w14:textId="77777777" w:rsidR="00871BDF" w:rsidRDefault="005C5088">
      <w:pPr>
        <w:spacing w:before="120"/>
      </w:pPr>
      <w:r>
        <w:rPr>
          <w:rFonts w:ascii="Times New Roman" w:eastAsia="宋体" w:hAnsi="Times New Roman"/>
          <w:color w:val="000000"/>
          <w:sz w:val="20"/>
          <w:szCs w:val="20"/>
        </w:rPr>
        <w:t>Our policies and procedures are designed to comply with all applicable laws,</w:t>
      </w:r>
      <w:r>
        <w:rPr>
          <w:rFonts w:ascii="Times New Roman" w:eastAsia="宋体" w:hAnsi="Times New Roman"/>
          <w:color w:val="000000"/>
          <w:sz w:val="20"/>
          <w:szCs w:val="20"/>
        </w:rPr>
        <w:t xml:space="preserve"> accounting and reporting requirements, tax rules and other regulations and requirements, including those imposed by the SEC, Nasdaq and foreign countries, as well as applicable trade, labor, healthcare, food and beverage, sanitation, safety, environmental</w:t>
      </w:r>
      <w:r>
        <w:rPr>
          <w:rFonts w:ascii="Times New Roman" w:eastAsia="宋体" w:hAnsi="Times New Roman"/>
          <w:color w:val="000000"/>
          <w:sz w:val="20"/>
          <w:szCs w:val="20"/>
        </w:rPr>
        <w:t xml:space="preserve">, labeling, anti-bribery and corruption and merchandise laws. Changes in applicable environmental regulations, including increased or additional regulations to limit carbon dioxide and other greenhouse gas emissions, to discourage the use of plastic or to </w:t>
      </w:r>
      <w:r>
        <w:rPr>
          <w:rFonts w:ascii="Times New Roman" w:eastAsia="宋体" w:hAnsi="Times New Roman"/>
          <w:color w:val="000000"/>
          <w:sz w:val="20"/>
          <w:szCs w:val="20"/>
        </w:rPr>
        <w:t>limit or impose additional costs on commercial water use, may result in increased compliance costs, capital expenditures, incremental investments and other financial obligations for us and our business partners, which could affect our profitability. Furthe</w:t>
      </w:r>
      <w:r>
        <w:rPr>
          <w:rFonts w:ascii="Times New Roman" w:eastAsia="宋体" w:hAnsi="Times New Roman"/>
          <w:color w:val="000000"/>
          <w:sz w:val="20"/>
          <w:szCs w:val="20"/>
        </w:rPr>
        <w:t xml:space="preserve">rmore, due to the COVID-19 </w:t>
      </w:r>
    </w:p>
    <w:p w14:paraId="00BACD65" w14:textId="77777777" w:rsidR="00871BDF" w:rsidRDefault="005C5088">
      <w:pPr>
        <w:jc w:val="center"/>
      </w:pPr>
      <w:r>
        <w:rPr>
          <w:rFonts w:ascii="Times New Roman" w:eastAsia="宋体" w:hAnsi="Times New Roman"/>
          <w:color w:val="000000"/>
          <w:sz w:val="20"/>
          <w:szCs w:val="20"/>
        </w:rPr>
        <w:t>18</w:t>
      </w:r>
    </w:p>
    <w:p w14:paraId="00BACD66" w14:textId="77777777" w:rsidR="00871BDF" w:rsidRDefault="005C5088">
      <w:r>
        <w:pict w14:anchorId="00BB1475">
          <v:rect id="_x0000_i1045" style="width:415.3pt;height:1.5pt" o:hralign="center" o:hrstd="t" o:hr="t" fillcolor="#a0a0a0" stroked="f"/>
        </w:pict>
      </w:r>
    </w:p>
    <w:p w14:paraId="00BACD67" w14:textId="77777777" w:rsidR="00871BDF" w:rsidRDefault="005C5088">
      <w:hyperlink r:id="rId78" w:anchor="i54ccc64cb5384be5a4849ef1cdef4dde_7" w:history="1">
        <w:r>
          <w:rPr>
            <w:rStyle w:val="a5"/>
            <w:rFonts w:ascii="Times New Roman" w:eastAsia="宋体" w:hAnsi="Times New Roman"/>
            <w:sz w:val="20"/>
            <w:szCs w:val="20"/>
          </w:rPr>
          <w:t>Table of Contents</w:t>
        </w:r>
      </w:hyperlink>
    </w:p>
    <w:p w14:paraId="00BACD68" w14:textId="77777777" w:rsidR="00871BDF" w:rsidRDefault="005C5088">
      <w:pPr>
        <w:spacing w:before="120"/>
      </w:pPr>
      <w:r>
        <w:rPr>
          <w:rFonts w:ascii="Times New Roman" w:eastAsia="宋体" w:hAnsi="Times New Roman"/>
          <w:color w:val="000000"/>
          <w:sz w:val="20"/>
          <w:szCs w:val="20"/>
        </w:rPr>
        <w:t xml:space="preserve">pandemic, we are subject to additional domestic and </w:t>
      </w:r>
      <w:r>
        <w:rPr>
          <w:rFonts w:ascii="Times New Roman" w:eastAsia="宋体" w:hAnsi="Times New Roman"/>
          <w:color w:val="000000"/>
          <w:sz w:val="20"/>
          <w:szCs w:val="20"/>
        </w:rPr>
        <w:t>foreign governmental regulations and health guidelines, as well as any other voluntary safety protocols.</w:t>
      </w:r>
    </w:p>
    <w:p w14:paraId="00BACD69" w14:textId="77777777" w:rsidR="00871BDF" w:rsidRDefault="005C5088">
      <w:pPr>
        <w:spacing w:before="120"/>
      </w:pPr>
      <w:r>
        <w:rPr>
          <w:rFonts w:ascii="Times New Roman" w:eastAsia="宋体" w:hAnsi="Times New Roman"/>
          <w:color w:val="000000"/>
          <w:sz w:val="20"/>
          <w:szCs w:val="20"/>
        </w:rPr>
        <w:t>In addition, our business is subject to complex and rapidly evolving U.S. and international laws and regulations regarding data privacy and data protec</w:t>
      </w:r>
      <w:r>
        <w:rPr>
          <w:rFonts w:ascii="Times New Roman" w:eastAsia="宋体" w:hAnsi="Times New Roman"/>
          <w:color w:val="000000"/>
          <w:sz w:val="20"/>
          <w:szCs w:val="20"/>
        </w:rPr>
        <w:t>tion, and companies are under increased regulatory scrutiny relating to these matters. The Federal Trade Commission and many state attorneys general are also interpreting federal and state consumer protection laws to impose standards for the online collect</w:t>
      </w:r>
      <w:r>
        <w:rPr>
          <w:rFonts w:ascii="Times New Roman" w:eastAsia="宋体" w:hAnsi="Times New Roman"/>
          <w:color w:val="000000"/>
          <w:sz w:val="20"/>
          <w:szCs w:val="20"/>
        </w:rPr>
        <w:t>ion, use, dissemination and security of data. The interpretation and application of existing laws and regulations regarding data privacy and data protection are in flux and authorities around the world are considering a number of additional legislative and</w:t>
      </w:r>
      <w:r>
        <w:rPr>
          <w:rFonts w:ascii="Times New Roman" w:eastAsia="宋体" w:hAnsi="Times New Roman"/>
          <w:color w:val="000000"/>
          <w:sz w:val="20"/>
          <w:szCs w:val="20"/>
        </w:rPr>
        <w:t xml:space="preserve"> regulatory proposals in this area. Current and future data privacy and data protection laws and regulations (including the GDPR and the CCPA, discussed in more detail in this risk factors section, and other applicable international and U.S. privacy laws),</w:t>
      </w:r>
      <w:r>
        <w:rPr>
          <w:rFonts w:ascii="Times New Roman" w:eastAsia="宋体" w:hAnsi="Times New Roman"/>
          <w:color w:val="000000"/>
          <w:sz w:val="20"/>
          <w:szCs w:val="20"/>
        </w:rPr>
        <w:t xml:space="preserve"> or new interpretations of existing laws and regulations, may limit our ability to collect and use data, require us to otherwise modify our data processing practices and policies or result in the possibility of fines, litigation or orders, which may have a</w:t>
      </w:r>
      <w:r>
        <w:rPr>
          <w:rFonts w:ascii="Times New Roman" w:eastAsia="宋体" w:hAnsi="Times New Roman"/>
          <w:color w:val="000000"/>
          <w:sz w:val="20"/>
          <w:szCs w:val="20"/>
        </w:rPr>
        <w:t xml:space="preserve">n adverse effect on our business and results of operations. The burdens imposed by these and other laws and regulations that may be enacted, or new interpretations of existing and future laws and regulations, may also require us to incur substantial costs </w:t>
      </w:r>
      <w:r>
        <w:rPr>
          <w:rFonts w:ascii="Times New Roman" w:eastAsia="宋体" w:hAnsi="Times New Roman"/>
          <w:color w:val="000000"/>
          <w:sz w:val="20"/>
          <w:szCs w:val="20"/>
        </w:rPr>
        <w:t xml:space="preserve">in reaching compliance in a manner adverse to our business. </w:t>
      </w:r>
    </w:p>
    <w:p w14:paraId="00BACD6A" w14:textId="77777777" w:rsidR="00871BDF" w:rsidRDefault="005C5088">
      <w:pPr>
        <w:spacing w:before="120"/>
      </w:pPr>
      <w:r>
        <w:rPr>
          <w:rFonts w:ascii="Times New Roman" w:eastAsia="宋体" w:hAnsi="Times New Roman"/>
          <w:color w:val="000000"/>
          <w:sz w:val="20"/>
          <w:szCs w:val="20"/>
        </w:rPr>
        <w:t>In addition, the European Commission in July 2016 and the Swiss Government in January 2017 approved the EU-U.S. and the Swiss-U.S. Privacy Shield frameworks, respectively, which are designed to a</w:t>
      </w:r>
      <w:r>
        <w:rPr>
          <w:rFonts w:ascii="Times New Roman" w:eastAsia="宋体" w:hAnsi="Times New Roman"/>
          <w:color w:val="000000"/>
          <w:sz w:val="20"/>
          <w:szCs w:val="20"/>
        </w:rPr>
        <w:t>llow U.S. companies that self-certify to the U.S. Department of Commerce and publicly commit to comply with the Privacy Shield requirements to freely import personal data from the EU and Switzerland. However, these frameworks face a number of legal challen</w:t>
      </w:r>
      <w:r>
        <w:rPr>
          <w:rFonts w:ascii="Times New Roman" w:eastAsia="宋体" w:hAnsi="Times New Roman"/>
          <w:color w:val="000000"/>
          <w:sz w:val="20"/>
          <w:szCs w:val="20"/>
        </w:rPr>
        <w:t>ges and their validity remains subject to legal, regulatory and political developments in both Europe and the U.S. The EU-U.S. Privacy Shield framework approved by the European Commission, which is relied upon for transfers of personal data outside the Eur</w:t>
      </w:r>
      <w:r>
        <w:rPr>
          <w:rFonts w:ascii="Times New Roman" w:eastAsia="宋体" w:hAnsi="Times New Roman"/>
          <w:color w:val="000000"/>
          <w:sz w:val="20"/>
          <w:szCs w:val="20"/>
        </w:rPr>
        <w:t>opean Economic Area could be invalidated by the Court of Justice of the European Union. The potential invalidation of this mechanism could have a significant adverse impact on our ability to process and transfer personal data outside of the European Econom</w:t>
      </w:r>
      <w:r>
        <w:rPr>
          <w:rFonts w:ascii="Times New Roman" w:eastAsia="宋体" w:hAnsi="Times New Roman"/>
          <w:color w:val="000000"/>
          <w:sz w:val="20"/>
          <w:szCs w:val="20"/>
        </w:rPr>
        <w:t xml:space="preserve">ic Area. </w:t>
      </w:r>
    </w:p>
    <w:p w14:paraId="00BACD6B" w14:textId="77777777" w:rsidR="00871BDF" w:rsidRDefault="005C5088">
      <w:pPr>
        <w:spacing w:before="120"/>
      </w:pPr>
      <w:r>
        <w:rPr>
          <w:rFonts w:ascii="Times New Roman" w:eastAsia="宋体" w:hAnsi="Times New Roman"/>
          <w:color w:val="000000"/>
          <w:sz w:val="20"/>
          <w:szCs w:val="20"/>
        </w:rPr>
        <w:t>The complexity of the regulatory environment in which we operate and the related cost of compliance are both increasing due to additional or changing legal and regulatory requirements, our ongoing expansion into new markets and new channels and t</w:t>
      </w:r>
      <w:r>
        <w:rPr>
          <w:rFonts w:ascii="Times New Roman" w:eastAsia="宋体" w:hAnsi="Times New Roman"/>
          <w:color w:val="000000"/>
          <w:sz w:val="20"/>
          <w:szCs w:val="20"/>
        </w:rPr>
        <w:t>he fact that foreign laws occasionally conflict with domestic laws. In addition to potential damage to our reputation and brand, failure by us or our business partners to comply with the various applicable laws and regulations, as well as changes in laws a</w:t>
      </w:r>
      <w:r>
        <w:rPr>
          <w:rFonts w:ascii="Times New Roman" w:eastAsia="宋体" w:hAnsi="Times New Roman"/>
          <w:color w:val="000000"/>
          <w:sz w:val="20"/>
          <w:szCs w:val="20"/>
        </w:rPr>
        <w:t>nd regulations or the manner in which they are interpreted or applied, may result in litigation, civil and criminal liability, damages, fines and penalties, increased cost of regulatory compliance and restatements of our financial statements and have an ad</w:t>
      </w:r>
      <w:r>
        <w:rPr>
          <w:rFonts w:ascii="Times New Roman" w:eastAsia="宋体" w:hAnsi="Times New Roman"/>
          <w:color w:val="000000"/>
          <w:sz w:val="20"/>
          <w:szCs w:val="20"/>
        </w:rPr>
        <w:t>verse impact on our business and financial results.</w:t>
      </w:r>
    </w:p>
    <w:p w14:paraId="00BACD6C" w14:textId="77777777" w:rsidR="00871BDF" w:rsidRDefault="005C5088">
      <w:pPr>
        <w:spacing w:before="120"/>
      </w:pPr>
      <w:r>
        <w:rPr>
          <w:rFonts w:ascii="Times New Roman" w:eastAsia="宋体" w:hAnsi="Times New Roman"/>
          <w:b/>
          <w:bCs/>
          <w:color w:val="00704A"/>
          <w:sz w:val="20"/>
          <w:szCs w:val="20"/>
        </w:rPr>
        <w:t>Item 1B.</w:t>
      </w:r>
      <w:r>
        <w:rPr>
          <w:rFonts w:ascii="Times New Roman" w:eastAsia="宋体" w:hAnsi="Times New Roman"/>
          <w:b/>
          <w:bCs/>
          <w:i/>
          <w:iCs/>
          <w:color w:val="00704A"/>
          <w:sz w:val="20"/>
          <w:szCs w:val="20"/>
        </w:rPr>
        <w:t xml:space="preserve"> Unresolved Staff Comments</w:t>
      </w:r>
    </w:p>
    <w:p w14:paraId="00BACD6D" w14:textId="77777777" w:rsidR="00871BDF" w:rsidRDefault="005C5088">
      <w:pPr>
        <w:spacing w:before="120"/>
      </w:pPr>
      <w:r>
        <w:rPr>
          <w:rFonts w:ascii="Times New Roman" w:eastAsia="宋体" w:hAnsi="Times New Roman"/>
          <w:color w:val="000000"/>
          <w:sz w:val="20"/>
          <w:szCs w:val="20"/>
        </w:rPr>
        <w:t>None.</w:t>
      </w:r>
    </w:p>
    <w:p w14:paraId="00BACD6E" w14:textId="77777777" w:rsidR="00871BDF" w:rsidRDefault="005C5088">
      <w:pPr>
        <w:spacing w:before="120"/>
        <w:ind w:hanging="720"/>
      </w:pPr>
      <w:r>
        <w:rPr>
          <w:rFonts w:ascii="Times New Roman" w:eastAsia="宋体" w:hAnsi="Times New Roman"/>
          <w:b/>
          <w:bCs/>
          <w:color w:val="00704A"/>
          <w:sz w:val="20"/>
          <w:szCs w:val="20"/>
        </w:rPr>
        <w:t>Item 2.</w:t>
      </w:r>
      <w:r>
        <w:rPr>
          <w:rFonts w:ascii="Times New Roman" w:eastAsia="宋体" w:hAnsi="Times New Roman"/>
          <w:b/>
          <w:bCs/>
          <w:i/>
          <w:iCs/>
          <w:color w:val="00704A"/>
          <w:sz w:val="20"/>
          <w:szCs w:val="20"/>
        </w:rPr>
        <w:t>Properties</w:t>
      </w:r>
    </w:p>
    <w:p w14:paraId="00BACD6F" w14:textId="77777777" w:rsidR="00871BDF" w:rsidRDefault="005C5088">
      <w:pPr>
        <w:spacing w:before="120"/>
      </w:pPr>
      <w:r>
        <w:rPr>
          <w:rFonts w:ascii="Times New Roman" w:eastAsia="宋体" w:hAnsi="Times New Roman"/>
          <w:color w:val="000000"/>
          <w:sz w:val="20"/>
          <w:szCs w:val="20"/>
        </w:rPr>
        <w:t xml:space="preserve">The material properties used by Starbucks in connection with its roasting, manufacturing, warehousing, distribution and corporate </w:t>
      </w:r>
      <w:r>
        <w:rPr>
          <w:rFonts w:ascii="Times New Roman" w:eastAsia="宋体" w:hAnsi="Times New Roman"/>
          <w:color w:val="000000"/>
          <w:sz w:val="20"/>
          <w:szCs w:val="20"/>
        </w:rPr>
        <w:t>administrative operations, serving all segments, are as follows: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3459"/>
        <w:gridCol w:w="36"/>
        <w:gridCol w:w="63"/>
        <w:gridCol w:w="1826"/>
        <w:gridCol w:w="36"/>
        <w:gridCol w:w="36"/>
        <w:gridCol w:w="36"/>
        <w:gridCol w:w="36"/>
        <w:gridCol w:w="51"/>
        <w:gridCol w:w="2657"/>
        <w:gridCol w:w="37"/>
      </w:tblGrid>
      <w:tr w:rsidR="00871BDF" w14:paraId="00BACD7C" w14:textId="77777777">
        <w:tc>
          <w:tcPr>
            <w:tcW w:w="50" w:type="pct"/>
            <w:shd w:val="clear" w:color="auto" w:fill="auto"/>
          </w:tcPr>
          <w:p w14:paraId="00BACD70" w14:textId="77777777" w:rsidR="00871BDF" w:rsidRDefault="00871BDF">
            <w:pPr>
              <w:rPr>
                <w:rFonts w:ascii="宋体"/>
              </w:rPr>
            </w:pPr>
          </w:p>
        </w:tc>
        <w:tc>
          <w:tcPr>
            <w:tcW w:w="2086" w:type="pct"/>
            <w:shd w:val="clear" w:color="auto" w:fill="auto"/>
          </w:tcPr>
          <w:p w14:paraId="00BACD71" w14:textId="77777777" w:rsidR="00871BDF" w:rsidRDefault="00871BDF">
            <w:pPr>
              <w:rPr>
                <w:rFonts w:ascii="宋体"/>
              </w:rPr>
            </w:pPr>
          </w:p>
        </w:tc>
        <w:tc>
          <w:tcPr>
            <w:tcW w:w="5" w:type="pct"/>
            <w:shd w:val="clear" w:color="auto" w:fill="auto"/>
          </w:tcPr>
          <w:p w14:paraId="00BACD72" w14:textId="77777777" w:rsidR="00871BDF" w:rsidRDefault="00871BDF">
            <w:pPr>
              <w:rPr>
                <w:rFonts w:ascii="宋体"/>
              </w:rPr>
            </w:pPr>
          </w:p>
        </w:tc>
        <w:tc>
          <w:tcPr>
            <w:tcW w:w="50" w:type="pct"/>
            <w:shd w:val="clear" w:color="auto" w:fill="auto"/>
          </w:tcPr>
          <w:p w14:paraId="00BACD73" w14:textId="77777777" w:rsidR="00871BDF" w:rsidRDefault="00871BDF">
            <w:pPr>
              <w:rPr>
                <w:rFonts w:ascii="宋体"/>
              </w:rPr>
            </w:pPr>
          </w:p>
        </w:tc>
        <w:tc>
          <w:tcPr>
            <w:tcW w:w="1107" w:type="pct"/>
            <w:shd w:val="clear" w:color="auto" w:fill="auto"/>
          </w:tcPr>
          <w:p w14:paraId="00BACD74" w14:textId="77777777" w:rsidR="00871BDF" w:rsidRDefault="00871BDF">
            <w:pPr>
              <w:rPr>
                <w:rFonts w:ascii="宋体"/>
              </w:rPr>
            </w:pPr>
          </w:p>
        </w:tc>
        <w:tc>
          <w:tcPr>
            <w:tcW w:w="5" w:type="pct"/>
            <w:shd w:val="clear" w:color="auto" w:fill="auto"/>
          </w:tcPr>
          <w:p w14:paraId="00BACD75" w14:textId="77777777" w:rsidR="00871BDF" w:rsidRDefault="00871BDF">
            <w:pPr>
              <w:rPr>
                <w:rFonts w:ascii="宋体"/>
              </w:rPr>
            </w:pPr>
          </w:p>
        </w:tc>
        <w:tc>
          <w:tcPr>
            <w:tcW w:w="5" w:type="pct"/>
            <w:shd w:val="clear" w:color="auto" w:fill="auto"/>
          </w:tcPr>
          <w:p w14:paraId="00BACD76" w14:textId="77777777" w:rsidR="00871BDF" w:rsidRDefault="00871BDF">
            <w:pPr>
              <w:rPr>
                <w:rFonts w:ascii="宋体"/>
              </w:rPr>
            </w:pPr>
          </w:p>
        </w:tc>
        <w:tc>
          <w:tcPr>
            <w:tcW w:w="26" w:type="pct"/>
            <w:shd w:val="clear" w:color="auto" w:fill="auto"/>
          </w:tcPr>
          <w:p w14:paraId="00BACD77" w14:textId="77777777" w:rsidR="00871BDF" w:rsidRDefault="00871BDF">
            <w:pPr>
              <w:rPr>
                <w:rFonts w:ascii="宋体"/>
              </w:rPr>
            </w:pPr>
          </w:p>
        </w:tc>
        <w:tc>
          <w:tcPr>
            <w:tcW w:w="5" w:type="pct"/>
            <w:shd w:val="clear" w:color="auto" w:fill="auto"/>
          </w:tcPr>
          <w:p w14:paraId="00BACD78" w14:textId="77777777" w:rsidR="00871BDF" w:rsidRDefault="00871BDF">
            <w:pPr>
              <w:rPr>
                <w:rFonts w:ascii="宋体"/>
              </w:rPr>
            </w:pPr>
          </w:p>
        </w:tc>
        <w:tc>
          <w:tcPr>
            <w:tcW w:w="50" w:type="pct"/>
            <w:shd w:val="clear" w:color="auto" w:fill="auto"/>
          </w:tcPr>
          <w:p w14:paraId="00BACD79" w14:textId="77777777" w:rsidR="00871BDF" w:rsidRDefault="00871BDF">
            <w:pPr>
              <w:rPr>
                <w:rFonts w:ascii="宋体"/>
              </w:rPr>
            </w:pPr>
          </w:p>
        </w:tc>
        <w:tc>
          <w:tcPr>
            <w:tcW w:w="1604" w:type="pct"/>
            <w:shd w:val="clear" w:color="auto" w:fill="auto"/>
          </w:tcPr>
          <w:p w14:paraId="00BACD7A" w14:textId="77777777" w:rsidR="00871BDF" w:rsidRDefault="00871BDF">
            <w:pPr>
              <w:rPr>
                <w:rFonts w:ascii="宋体"/>
              </w:rPr>
            </w:pPr>
          </w:p>
        </w:tc>
        <w:tc>
          <w:tcPr>
            <w:tcW w:w="5" w:type="pct"/>
            <w:shd w:val="clear" w:color="auto" w:fill="auto"/>
          </w:tcPr>
          <w:p w14:paraId="00BACD7B" w14:textId="77777777" w:rsidR="00871BDF" w:rsidRDefault="00871BDF">
            <w:pPr>
              <w:rPr>
                <w:rFonts w:ascii="宋体"/>
              </w:rPr>
            </w:pPr>
          </w:p>
        </w:tc>
      </w:tr>
      <w:tr w:rsidR="00871BDF" w14:paraId="00BACD81" w14:textId="77777777">
        <w:tc>
          <w:tcPr>
            <w:tcW w:w="0" w:type="auto"/>
            <w:gridSpan w:val="3"/>
            <w:shd w:val="clear" w:color="auto" w:fill="auto"/>
            <w:tcMar>
              <w:top w:w="40" w:type="dxa"/>
              <w:left w:w="20" w:type="dxa"/>
              <w:bottom w:w="40" w:type="dxa"/>
              <w:right w:w="20" w:type="dxa"/>
            </w:tcMar>
            <w:vAlign w:val="bottom"/>
          </w:tcPr>
          <w:p w14:paraId="00BACD7D" w14:textId="77777777" w:rsidR="00871BDF" w:rsidRDefault="005C5088">
            <w:pPr>
              <w:textAlignment w:val="bottom"/>
            </w:pPr>
            <w:r>
              <w:rPr>
                <w:rFonts w:ascii="Times New Roman" w:eastAsia="宋体" w:hAnsi="Times New Roman"/>
                <w:b/>
                <w:bCs/>
                <w:color w:val="000000"/>
                <w:sz w:val="20"/>
                <w:szCs w:val="20"/>
                <w:u w:val="single"/>
              </w:rPr>
              <w:t>Location</w:t>
            </w:r>
          </w:p>
        </w:tc>
        <w:tc>
          <w:tcPr>
            <w:tcW w:w="0" w:type="auto"/>
            <w:gridSpan w:val="3"/>
            <w:shd w:val="clear" w:color="auto" w:fill="00704A"/>
            <w:tcMar>
              <w:top w:w="40" w:type="dxa"/>
              <w:left w:w="20" w:type="dxa"/>
              <w:bottom w:w="40" w:type="dxa"/>
              <w:right w:w="20" w:type="dxa"/>
            </w:tcMar>
            <w:vAlign w:val="bottom"/>
          </w:tcPr>
          <w:p w14:paraId="00BACD7E" w14:textId="77777777" w:rsidR="00871BDF" w:rsidRDefault="005C5088">
            <w:pPr>
              <w:jc w:val="center"/>
              <w:textAlignment w:val="bottom"/>
            </w:pPr>
            <w:r>
              <w:rPr>
                <w:rFonts w:ascii="Times New Roman" w:eastAsia="宋体" w:hAnsi="Times New Roman"/>
                <w:b/>
                <w:bCs/>
                <w:color w:val="FFFFFF"/>
                <w:sz w:val="16"/>
                <w:szCs w:val="16"/>
              </w:rPr>
              <w:t>Approximate Size in Square Feet</w:t>
            </w:r>
          </w:p>
        </w:tc>
        <w:tc>
          <w:tcPr>
            <w:tcW w:w="0" w:type="auto"/>
            <w:gridSpan w:val="3"/>
            <w:shd w:val="clear" w:color="auto" w:fill="auto"/>
            <w:tcMar>
              <w:top w:w="0" w:type="dxa"/>
              <w:left w:w="20" w:type="dxa"/>
              <w:bottom w:w="0" w:type="dxa"/>
              <w:right w:w="20" w:type="dxa"/>
            </w:tcMar>
          </w:tcPr>
          <w:p w14:paraId="00BACD7F"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D80" w14:textId="77777777" w:rsidR="00871BDF" w:rsidRDefault="005C5088">
            <w:pPr>
              <w:jc w:val="center"/>
              <w:textAlignment w:val="bottom"/>
            </w:pPr>
            <w:r>
              <w:rPr>
                <w:rFonts w:ascii="Times New Roman" w:eastAsia="宋体" w:hAnsi="Times New Roman"/>
                <w:b/>
                <w:bCs/>
                <w:color w:val="FFFFFF"/>
                <w:sz w:val="16"/>
                <w:szCs w:val="16"/>
              </w:rPr>
              <w:t>Purpose</w:t>
            </w:r>
          </w:p>
        </w:tc>
      </w:tr>
      <w:tr w:rsidR="00871BDF" w14:paraId="00BACD87" w14:textId="77777777">
        <w:tc>
          <w:tcPr>
            <w:tcW w:w="0" w:type="auto"/>
            <w:gridSpan w:val="3"/>
            <w:shd w:val="clear" w:color="auto" w:fill="D7E4BC"/>
            <w:tcMar>
              <w:top w:w="40" w:type="dxa"/>
              <w:left w:w="20" w:type="dxa"/>
              <w:bottom w:w="40" w:type="dxa"/>
              <w:right w:w="20" w:type="dxa"/>
            </w:tcMar>
          </w:tcPr>
          <w:p w14:paraId="00BACD82" w14:textId="77777777" w:rsidR="00871BDF" w:rsidRDefault="005C5088">
            <w:pPr>
              <w:textAlignment w:val="top"/>
            </w:pPr>
            <w:r>
              <w:rPr>
                <w:rFonts w:ascii="Times New Roman" w:eastAsia="宋体" w:hAnsi="Times New Roman"/>
                <w:color w:val="000000"/>
                <w:sz w:val="20"/>
                <w:szCs w:val="20"/>
              </w:rPr>
              <w:t>York, PA</w:t>
            </w:r>
          </w:p>
        </w:tc>
        <w:tc>
          <w:tcPr>
            <w:tcW w:w="0" w:type="auto"/>
            <w:gridSpan w:val="2"/>
            <w:shd w:val="clear" w:color="auto" w:fill="D7E4BC"/>
            <w:tcMar>
              <w:top w:w="40" w:type="dxa"/>
              <w:left w:w="20" w:type="dxa"/>
              <w:bottom w:w="40" w:type="dxa"/>
              <w:right w:w="0" w:type="dxa"/>
            </w:tcMar>
            <w:vAlign w:val="bottom"/>
          </w:tcPr>
          <w:p w14:paraId="00BACD83" w14:textId="77777777" w:rsidR="00871BDF" w:rsidRDefault="005C5088">
            <w:pPr>
              <w:jc w:val="right"/>
              <w:textAlignment w:val="bottom"/>
            </w:pPr>
            <w:r>
              <w:rPr>
                <w:rFonts w:ascii="Times New Roman" w:eastAsia="宋体" w:hAnsi="Times New Roman"/>
                <w:color w:val="000000"/>
                <w:sz w:val="20"/>
                <w:szCs w:val="20"/>
              </w:rPr>
              <w:t>1,957,000 </w:t>
            </w:r>
          </w:p>
        </w:tc>
        <w:tc>
          <w:tcPr>
            <w:tcW w:w="0" w:type="auto"/>
            <w:shd w:val="clear" w:color="auto" w:fill="D7E4BC"/>
            <w:tcMar>
              <w:top w:w="40" w:type="dxa"/>
              <w:left w:w="0" w:type="dxa"/>
              <w:bottom w:w="40" w:type="dxa"/>
              <w:right w:w="20" w:type="dxa"/>
            </w:tcMar>
            <w:vAlign w:val="bottom"/>
          </w:tcPr>
          <w:p w14:paraId="00BACD8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D8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CD86" w14:textId="77777777" w:rsidR="00871BDF" w:rsidRDefault="005C5088">
            <w:pPr>
              <w:textAlignment w:val="bottom"/>
            </w:pPr>
            <w:r>
              <w:rPr>
                <w:rFonts w:ascii="Times New Roman" w:eastAsia="宋体" w:hAnsi="Times New Roman"/>
                <w:color w:val="000000"/>
                <w:sz w:val="20"/>
                <w:szCs w:val="20"/>
              </w:rPr>
              <w:t>Roasting, warehousing and distribution</w:t>
            </w:r>
          </w:p>
        </w:tc>
      </w:tr>
      <w:tr w:rsidR="00871BDF" w14:paraId="00BACD8D" w14:textId="77777777">
        <w:tc>
          <w:tcPr>
            <w:tcW w:w="0" w:type="auto"/>
            <w:gridSpan w:val="3"/>
            <w:shd w:val="clear" w:color="auto" w:fill="FFFFFF"/>
            <w:tcMar>
              <w:top w:w="40" w:type="dxa"/>
              <w:left w:w="20" w:type="dxa"/>
              <w:bottom w:w="40" w:type="dxa"/>
              <w:right w:w="20" w:type="dxa"/>
            </w:tcMar>
          </w:tcPr>
          <w:p w14:paraId="00BACD88" w14:textId="77777777" w:rsidR="00871BDF" w:rsidRDefault="005C5088">
            <w:pPr>
              <w:textAlignment w:val="top"/>
            </w:pPr>
            <w:r>
              <w:rPr>
                <w:rFonts w:ascii="Times New Roman" w:eastAsia="宋体" w:hAnsi="Times New Roman"/>
                <w:color w:val="000000"/>
                <w:sz w:val="20"/>
                <w:szCs w:val="20"/>
              </w:rPr>
              <w:t>Seattle, WA</w:t>
            </w:r>
          </w:p>
        </w:tc>
        <w:tc>
          <w:tcPr>
            <w:tcW w:w="0" w:type="auto"/>
            <w:gridSpan w:val="2"/>
            <w:shd w:val="clear" w:color="auto" w:fill="FFFFFF"/>
            <w:tcMar>
              <w:top w:w="40" w:type="dxa"/>
              <w:left w:w="20" w:type="dxa"/>
              <w:bottom w:w="40" w:type="dxa"/>
              <w:right w:w="0" w:type="dxa"/>
            </w:tcMar>
            <w:vAlign w:val="bottom"/>
          </w:tcPr>
          <w:p w14:paraId="00BACD89" w14:textId="77777777" w:rsidR="00871BDF" w:rsidRDefault="005C5088">
            <w:pPr>
              <w:jc w:val="right"/>
              <w:textAlignment w:val="bottom"/>
            </w:pPr>
            <w:r>
              <w:rPr>
                <w:rFonts w:ascii="Times New Roman" w:eastAsia="宋体" w:hAnsi="Times New Roman"/>
                <w:color w:val="000000"/>
                <w:sz w:val="20"/>
                <w:szCs w:val="20"/>
              </w:rPr>
              <w:t>1,288,000 </w:t>
            </w:r>
          </w:p>
        </w:tc>
        <w:tc>
          <w:tcPr>
            <w:tcW w:w="0" w:type="auto"/>
            <w:shd w:val="clear" w:color="auto" w:fill="FFFFFF"/>
            <w:tcMar>
              <w:top w:w="40" w:type="dxa"/>
              <w:left w:w="0" w:type="dxa"/>
              <w:bottom w:w="40" w:type="dxa"/>
              <w:right w:w="20" w:type="dxa"/>
            </w:tcMar>
            <w:vAlign w:val="bottom"/>
          </w:tcPr>
          <w:p w14:paraId="00BACD8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D8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ACD8C" w14:textId="77777777" w:rsidR="00871BDF" w:rsidRDefault="005C5088">
            <w:pPr>
              <w:textAlignment w:val="bottom"/>
            </w:pPr>
            <w:r>
              <w:rPr>
                <w:rFonts w:ascii="Times New Roman" w:eastAsia="宋体" w:hAnsi="Times New Roman"/>
                <w:color w:val="000000"/>
                <w:sz w:val="20"/>
                <w:szCs w:val="20"/>
              </w:rPr>
              <w:t xml:space="preserve">Corporate administrative </w:t>
            </w:r>
          </w:p>
        </w:tc>
      </w:tr>
      <w:tr w:rsidR="00871BDF" w14:paraId="00BACD93" w14:textId="77777777">
        <w:tc>
          <w:tcPr>
            <w:tcW w:w="0" w:type="auto"/>
            <w:gridSpan w:val="3"/>
            <w:shd w:val="clear" w:color="auto" w:fill="D7E4BC"/>
            <w:tcMar>
              <w:top w:w="40" w:type="dxa"/>
              <w:left w:w="20" w:type="dxa"/>
              <w:bottom w:w="40" w:type="dxa"/>
              <w:right w:w="20" w:type="dxa"/>
            </w:tcMar>
          </w:tcPr>
          <w:p w14:paraId="00BACD8E" w14:textId="77777777" w:rsidR="00871BDF" w:rsidRDefault="005C5088">
            <w:pPr>
              <w:textAlignment w:val="top"/>
            </w:pPr>
            <w:r>
              <w:rPr>
                <w:rFonts w:ascii="Times New Roman" w:eastAsia="宋体" w:hAnsi="Times New Roman"/>
                <w:color w:val="000000"/>
                <w:sz w:val="20"/>
                <w:szCs w:val="20"/>
              </w:rPr>
              <w:t>Minden, NV (Carson Valley)</w:t>
            </w:r>
          </w:p>
        </w:tc>
        <w:tc>
          <w:tcPr>
            <w:tcW w:w="0" w:type="auto"/>
            <w:gridSpan w:val="2"/>
            <w:shd w:val="clear" w:color="auto" w:fill="D7E4BC"/>
            <w:tcMar>
              <w:top w:w="40" w:type="dxa"/>
              <w:left w:w="20" w:type="dxa"/>
              <w:bottom w:w="40" w:type="dxa"/>
              <w:right w:w="0" w:type="dxa"/>
            </w:tcMar>
            <w:vAlign w:val="bottom"/>
          </w:tcPr>
          <w:p w14:paraId="00BACD8F" w14:textId="77777777" w:rsidR="00871BDF" w:rsidRDefault="005C5088">
            <w:pPr>
              <w:jc w:val="right"/>
              <w:textAlignment w:val="bottom"/>
            </w:pPr>
            <w:r>
              <w:rPr>
                <w:rFonts w:ascii="Times New Roman" w:eastAsia="宋体" w:hAnsi="Times New Roman"/>
                <w:color w:val="000000"/>
                <w:sz w:val="20"/>
                <w:szCs w:val="20"/>
              </w:rPr>
              <w:t>1,080,000 </w:t>
            </w:r>
          </w:p>
        </w:tc>
        <w:tc>
          <w:tcPr>
            <w:tcW w:w="0" w:type="auto"/>
            <w:shd w:val="clear" w:color="auto" w:fill="D7E4BC"/>
            <w:tcMar>
              <w:top w:w="40" w:type="dxa"/>
              <w:left w:w="0" w:type="dxa"/>
              <w:bottom w:w="40" w:type="dxa"/>
              <w:right w:w="20" w:type="dxa"/>
            </w:tcMar>
            <w:vAlign w:val="bottom"/>
          </w:tcPr>
          <w:p w14:paraId="00BACD9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D9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CD92" w14:textId="77777777" w:rsidR="00871BDF" w:rsidRDefault="005C5088">
            <w:pPr>
              <w:textAlignment w:val="bottom"/>
            </w:pPr>
            <w:r>
              <w:rPr>
                <w:rFonts w:ascii="Times New Roman" w:eastAsia="宋体" w:hAnsi="Times New Roman"/>
                <w:color w:val="000000"/>
                <w:sz w:val="20"/>
                <w:szCs w:val="20"/>
              </w:rPr>
              <w:t xml:space="preserve">Roasting, warehousing and distribution </w:t>
            </w:r>
          </w:p>
        </w:tc>
      </w:tr>
      <w:tr w:rsidR="00871BDF" w14:paraId="00BACD99" w14:textId="77777777">
        <w:tc>
          <w:tcPr>
            <w:tcW w:w="0" w:type="auto"/>
            <w:gridSpan w:val="3"/>
            <w:shd w:val="clear" w:color="auto" w:fill="FFFFFF"/>
            <w:tcMar>
              <w:top w:w="40" w:type="dxa"/>
              <w:left w:w="20" w:type="dxa"/>
              <w:bottom w:w="40" w:type="dxa"/>
              <w:right w:w="20" w:type="dxa"/>
            </w:tcMar>
          </w:tcPr>
          <w:p w14:paraId="00BACD94" w14:textId="77777777" w:rsidR="00871BDF" w:rsidRDefault="005C5088">
            <w:pPr>
              <w:textAlignment w:val="top"/>
            </w:pPr>
            <w:r>
              <w:rPr>
                <w:rFonts w:ascii="Times New Roman" w:eastAsia="宋体" w:hAnsi="Times New Roman"/>
                <w:color w:val="000000"/>
                <w:sz w:val="20"/>
                <w:szCs w:val="20"/>
              </w:rPr>
              <w:t>Lebanon, TN</w:t>
            </w:r>
          </w:p>
        </w:tc>
        <w:tc>
          <w:tcPr>
            <w:tcW w:w="0" w:type="auto"/>
            <w:gridSpan w:val="2"/>
            <w:shd w:val="clear" w:color="auto" w:fill="FFFFFF"/>
            <w:tcMar>
              <w:top w:w="40" w:type="dxa"/>
              <w:left w:w="20" w:type="dxa"/>
              <w:bottom w:w="40" w:type="dxa"/>
              <w:right w:w="0" w:type="dxa"/>
            </w:tcMar>
            <w:vAlign w:val="bottom"/>
          </w:tcPr>
          <w:p w14:paraId="00BACD95" w14:textId="77777777" w:rsidR="00871BDF" w:rsidRDefault="005C5088">
            <w:pPr>
              <w:jc w:val="right"/>
              <w:textAlignment w:val="bottom"/>
            </w:pPr>
            <w:r>
              <w:rPr>
                <w:rFonts w:ascii="Times New Roman" w:eastAsia="宋体" w:hAnsi="Times New Roman"/>
                <w:color w:val="000000"/>
                <w:sz w:val="20"/>
                <w:szCs w:val="20"/>
              </w:rPr>
              <w:t>680,000 </w:t>
            </w:r>
          </w:p>
        </w:tc>
        <w:tc>
          <w:tcPr>
            <w:tcW w:w="0" w:type="auto"/>
            <w:shd w:val="clear" w:color="auto" w:fill="FFFFFF"/>
            <w:tcMar>
              <w:top w:w="40" w:type="dxa"/>
              <w:left w:w="0" w:type="dxa"/>
              <w:bottom w:w="40" w:type="dxa"/>
              <w:right w:w="20" w:type="dxa"/>
            </w:tcMar>
            <w:vAlign w:val="bottom"/>
          </w:tcPr>
          <w:p w14:paraId="00BACD9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D9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ACD98" w14:textId="77777777" w:rsidR="00871BDF" w:rsidRDefault="005C5088">
            <w:pPr>
              <w:textAlignment w:val="bottom"/>
            </w:pPr>
            <w:r>
              <w:rPr>
                <w:rFonts w:ascii="Times New Roman" w:eastAsia="宋体" w:hAnsi="Times New Roman"/>
                <w:color w:val="000000"/>
                <w:sz w:val="20"/>
                <w:szCs w:val="20"/>
              </w:rPr>
              <w:t>Warehousing and distribution</w:t>
            </w:r>
          </w:p>
        </w:tc>
      </w:tr>
      <w:tr w:rsidR="00871BDF" w14:paraId="00BACD9F" w14:textId="77777777">
        <w:tc>
          <w:tcPr>
            <w:tcW w:w="0" w:type="auto"/>
            <w:gridSpan w:val="3"/>
            <w:shd w:val="clear" w:color="auto" w:fill="D7E4BC"/>
            <w:tcMar>
              <w:top w:w="40" w:type="dxa"/>
              <w:left w:w="20" w:type="dxa"/>
              <w:bottom w:w="40" w:type="dxa"/>
              <w:right w:w="20" w:type="dxa"/>
            </w:tcMar>
          </w:tcPr>
          <w:p w14:paraId="00BACD9A" w14:textId="77777777" w:rsidR="00871BDF" w:rsidRDefault="005C5088">
            <w:pPr>
              <w:textAlignment w:val="top"/>
            </w:pPr>
            <w:r>
              <w:rPr>
                <w:rFonts w:ascii="Times New Roman" w:eastAsia="宋体" w:hAnsi="Times New Roman"/>
                <w:color w:val="000000"/>
                <w:sz w:val="20"/>
                <w:szCs w:val="20"/>
              </w:rPr>
              <w:t>Kent, WA</w:t>
            </w:r>
          </w:p>
        </w:tc>
        <w:tc>
          <w:tcPr>
            <w:tcW w:w="0" w:type="auto"/>
            <w:gridSpan w:val="2"/>
            <w:shd w:val="clear" w:color="auto" w:fill="D7E4BC"/>
            <w:tcMar>
              <w:top w:w="40" w:type="dxa"/>
              <w:left w:w="20" w:type="dxa"/>
              <w:bottom w:w="40" w:type="dxa"/>
              <w:right w:w="0" w:type="dxa"/>
            </w:tcMar>
            <w:vAlign w:val="bottom"/>
          </w:tcPr>
          <w:p w14:paraId="00BACD9B" w14:textId="77777777" w:rsidR="00871BDF" w:rsidRDefault="005C5088">
            <w:pPr>
              <w:jc w:val="right"/>
              <w:textAlignment w:val="bottom"/>
            </w:pPr>
            <w:r>
              <w:rPr>
                <w:rFonts w:ascii="Times New Roman" w:eastAsia="宋体" w:hAnsi="Times New Roman"/>
                <w:color w:val="000000"/>
                <w:sz w:val="20"/>
                <w:szCs w:val="20"/>
              </w:rPr>
              <w:t>510,000 </w:t>
            </w:r>
          </w:p>
        </w:tc>
        <w:tc>
          <w:tcPr>
            <w:tcW w:w="0" w:type="auto"/>
            <w:shd w:val="clear" w:color="auto" w:fill="D7E4BC"/>
            <w:tcMar>
              <w:top w:w="40" w:type="dxa"/>
              <w:left w:w="0" w:type="dxa"/>
              <w:bottom w:w="40" w:type="dxa"/>
              <w:right w:w="20" w:type="dxa"/>
            </w:tcMar>
            <w:vAlign w:val="bottom"/>
          </w:tcPr>
          <w:p w14:paraId="00BACD9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D9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CD9E" w14:textId="77777777" w:rsidR="00871BDF" w:rsidRDefault="005C5088">
            <w:pPr>
              <w:textAlignment w:val="bottom"/>
            </w:pPr>
            <w:r>
              <w:rPr>
                <w:rFonts w:ascii="Times New Roman" w:eastAsia="宋体" w:hAnsi="Times New Roman"/>
                <w:color w:val="000000"/>
                <w:sz w:val="20"/>
                <w:szCs w:val="20"/>
              </w:rPr>
              <w:t>Roasting and distribution</w:t>
            </w:r>
          </w:p>
        </w:tc>
      </w:tr>
      <w:tr w:rsidR="00871BDF" w14:paraId="00BACDA5" w14:textId="77777777">
        <w:tc>
          <w:tcPr>
            <w:tcW w:w="0" w:type="auto"/>
            <w:gridSpan w:val="3"/>
            <w:shd w:val="clear" w:color="auto" w:fill="FFFFFF"/>
            <w:tcMar>
              <w:top w:w="40" w:type="dxa"/>
              <w:left w:w="20" w:type="dxa"/>
              <w:bottom w:w="40" w:type="dxa"/>
              <w:right w:w="20" w:type="dxa"/>
            </w:tcMar>
          </w:tcPr>
          <w:p w14:paraId="00BACDA0" w14:textId="77777777" w:rsidR="00871BDF" w:rsidRDefault="005C5088">
            <w:pPr>
              <w:textAlignment w:val="top"/>
            </w:pPr>
            <w:r>
              <w:rPr>
                <w:rFonts w:ascii="Times New Roman" w:eastAsia="宋体" w:hAnsi="Times New Roman"/>
                <w:color w:val="000000"/>
                <w:sz w:val="20"/>
                <w:szCs w:val="20"/>
              </w:rPr>
              <w:t>Auburn, WA</w:t>
            </w:r>
          </w:p>
        </w:tc>
        <w:tc>
          <w:tcPr>
            <w:tcW w:w="0" w:type="auto"/>
            <w:gridSpan w:val="2"/>
            <w:shd w:val="clear" w:color="auto" w:fill="FFFFFF"/>
            <w:tcMar>
              <w:top w:w="40" w:type="dxa"/>
              <w:left w:w="20" w:type="dxa"/>
              <w:bottom w:w="40" w:type="dxa"/>
              <w:right w:w="0" w:type="dxa"/>
            </w:tcMar>
            <w:vAlign w:val="bottom"/>
          </w:tcPr>
          <w:p w14:paraId="00BACDA1" w14:textId="77777777" w:rsidR="00871BDF" w:rsidRDefault="005C5088">
            <w:pPr>
              <w:jc w:val="right"/>
              <w:textAlignment w:val="bottom"/>
            </w:pPr>
            <w:r>
              <w:rPr>
                <w:rFonts w:ascii="Times New Roman" w:eastAsia="宋体" w:hAnsi="Times New Roman"/>
                <w:color w:val="000000"/>
                <w:sz w:val="20"/>
                <w:szCs w:val="20"/>
              </w:rPr>
              <w:t>491,000 </w:t>
            </w:r>
          </w:p>
        </w:tc>
        <w:tc>
          <w:tcPr>
            <w:tcW w:w="0" w:type="auto"/>
            <w:shd w:val="clear" w:color="auto" w:fill="FFFFFF"/>
            <w:tcMar>
              <w:top w:w="40" w:type="dxa"/>
              <w:left w:w="0" w:type="dxa"/>
              <w:bottom w:w="40" w:type="dxa"/>
              <w:right w:w="20" w:type="dxa"/>
            </w:tcMar>
            <w:vAlign w:val="bottom"/>
          </w:tcPr>
          <w:p w14:paraId="00BACDA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DA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ACDA4" w14:textId="77777777" w:rsidR="00871BDF" w:rsidRDefault="005C5088">
            <w:pPr>
              <w:textAlignment w:val="bottom"/>
            </w:pPr>
            <w:r>
              <w:rPr>
                <w:rFonts w:ascii="Times New Roman" w:eastAsia="宋体" w:hAnsi="Times New Roman"/>
                <w:color w:val="000000"/>
                <w:sz w:val="20"/>
                <w:szCs w:val="20"/>
              </w:rPr>
              <w:t xml:space="preserve">Warehousing and </w:t>
            </w:r>
            <w:r>
              <w:rPr>
                <w:rFonts w:ascii="Times New Roman" w:eastAsia="宋体" w:hAnsi="Times New Roman"/>
                <w:color w:val="000000"/>
                <w:sz w:val="20"/>
                <w:szCs w:val="20"/>
              </w:rPr>
              <w:t>distribution</w:t>
            </w:r>
          </w:p>
        </w:tc>
      </w:tr>
      <w:tr w:rsidR="00871BDF" w14:paraId="00BACDAB" w14:textId="77777777">
        <w:tc>
          <w:tcPr>
            <w:tcW w:w="0" w:type="auto"/>
            <w:gridSpan w:val="3"/>
            <w:shd w:val="clear" w:color="auto" w:fill="D7E4BC"/>
            <w:tcMar>
              <w:top w:w="40" w:type="dxa"/>
              <w:left w:w="20" w:type="dxa"/>
              <w:bottom w:w="40" w:type="dxa"/>
              <w:right w:w="20" w:type="dxa"/>
            </w:tcMar>
          </w:tcPr>
          <w:p w14:paraId="00BACDA6" w14:textId="77777777" w:rsidR="00871BDF" w:rsidRDefault="005C5088">
            <w:pPr>
              <w:textAlignment w:val="top"/>
            </w:pPr>
            <w:r>
              <w:rPr>
                <w:rFonts w:ascii="Times New Roman" w:eastAsia="宋体" w:hAnsi="Times New Roman"/>
                <w:color w:val="000000"/>
                <w:sz w:val="20"/>
                <w:szCs w:val="20"/>
              </w:rPr>
              <w:t>Shanghai, China</w:t>
            </w:r>
          </w:p>
        </w:tc>
        <w:tc>
          <w:tcPr>
            <w:tcW w:w="0" w:type="auto"/>
            <w:gridSpan w:val="2"/>
            <w:shd w:val="clear" w:color="auto" w:fill="D7E4BC"/>
            <w:tcMar>
              <w:top w:w="40" w:type="dxa"/>
              <w:left w:w="20" w:type="dxa"/>
              <w:bottom w:w="40" w:type="dxa"/>
              <w:right w:w="0" w:type="dxa"/>
            </w:tcMar>
            <w:vAlign w:val="bottom"/>
          </w:tcPr>
          <w:p w14:paraId="00BACDA7" w14:textId="77777777" w:rsidR="00871BDF" w:rsidRDefault="005C5088">
            <w:pPr>
              <w:jc w:val="right"/>
              <w:textAlignment w:val="bottom"/>
            </w:pPr>
            <w:r>
              <w:rPr>
                <w:rFonts w:ascii="Times New Roman" w:eastAsia="宋体" w:hAnsi="Times New Roman"/>
                <w:color w:val="000000"/>
                <w:sz w:val="20"/>
                <w:szCs w:val="20"/>
              </w:rPr>
              <w:t>169,000 </w:t>
            </w:r>
          </w:p>
        </w:tc>
        <w:tc>
          <w:tcPr>
            <w:tcW w:w="0" w:type="auto"/>
            <w:shd w:val="clear" w:color="auto" w:fill="D7E4BC"/>
            <w:tcMar>
              <w:top w:w="40" w:type="dxa"/>
              <w:left w:w="0" w:type="dxa"/>
              <w:bottom w:w="40" w:type="dxa"/>
              <w:right w:w="20" w:type="dxa"/>
            </w:tcMar>
            <w:vAlign w:val="bottom"/>
          </w:tcPr>
          <w:p w14:paraId="00BACDA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DA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CDAA" w14:textId="77777777" w:rsidR="00871BDF" w:rsidRDefault="005C5088">
            <w:pPr>
              <w:textAlignment w:val="bottom"/>
            </w:pPr>
            <w:r>
              <w:rPr>
                <w:rFonts w:ascii="Times New Roman" w:eastAsia="宋体" w:hAnsi="Times New Roman"/>
                <w:color w:val="000000"/>
                <w:sz w:val="20"/>
                <w:szCs w:val="20"/>
              </w:rPr>
              <w:t>Corporate administrative</w:t>
            </w:r>
          </w:p>
        </w:tc>
      </w:tr>
    </w:tbl>
    <w:p w14:paraId="00BACDAC" w14:textId="77777777" w:rsidR="00871BDF" w:rsidRDefault="005C5088">
      <w:pPr>
        <w:spacing w:before="120"/>
      </w:pPr>
      <w:r>
        <w:rPr>
          <w:rFonts w:ascii="Times New Roman" w:eastAsia="宋体" w:hAnsi="Times New Roman"/>
          <w:color w:val="000000"/>
          <w:sz w:val="20"/>
          <w:szCs w:val="20"/>
          <w:shd w:val="clear" w:color="auto" w:fill="FFFFFF"/>
        </w:rPr>
        <w:t>We own most of our roasting facilities and lease the majority of our warehousing and distribution locations. As of September 27, 2020, Starbucks h</w:t>
      </w:r>
      <w:r>
        <w:rPr>
          <w:rFonts w:ascii="Times New Roman" w:eastAsia="宋体" w:hAnsi="Times New Roman"/>
          <w:color w:val="000000"/>
          <w:sz w:val="20"/>
          <w:szCs w:val="20"/>
        </w:rPr>
        <w:t>ad 16,637 company-operated stores,</w:t>
      </w:r>
      <w:r>
        <w:rPr>
          <w:rFonts w:ascii="Times New Roman" w:eastAsia="宋体" w:hAnsi="Times New Roman"/>
          <w:color w:val="000000"/>
          <w:sz w:val="20"/>
          <w:szCs w:val="20"/>
          <w:shd w:val="clear" w:color="auto" w:fill="FFFFFF"/>
        </w:rPr>
        <w:t xml:space="preserve"> almost all of which are leased. We also lease space in various locations worldwide for regional, district and other administrative offices, training facilities and storag</w:t>
      </w:r>
      <w:r>
        <w:rPr>
          <w:rFonts w:ascii="Times New Roman" w:eastAsia="宋体" w:hAnsi="Times New Roman"/>
          <w:color w:val="000000"/>
          <w:sz w:val="20"/>
          <w:szCs w:val="20"/>
        </w:rPr>
        <w:t xml:space="preserve">e. In addition to the locations listed above, we hold inventory at various locations </w:t>
      </w:r>
      <w:r>
        <w:rPr>
          <w:rFonts w:ascii="Times New Roman" w:eastAsia="宋体" w:hAnsi="Times New Roman"/>
          <w:color w:val="000000"/>
          <w:sz w:val="20"/>
          <w:szCs w:val="20"/>
        </w:rPr>
        <w:t>managed by third-party warehouses.</w:t>
      </w:r>
    </w:p>
    <w:p w14:paraId="00BACDAD" w14:textId="77777777" w:rsidR="00871BDF" w:rsidRDefault="005C5088">
      <w:pPr>
        <w:spacing w:before="120"/>
        <w:ind w:hanging="720"/>
      </w:pPr>
      <w:r>
        <w:rPr>
          <w:rFonts w:ascii="Times New Roman" w:eastAsia="宋体" w:hAnsi="Times New Roman"/>
          <w:b/>
          <w:bCs/>
          <w:color w:val="00704A"/>
          <w:sz w:val="20"/>
          <w:szCs w:val="20"/>
        </w:rPr>
        <w:t>Item 3.</w:t>
      </w:r>
      <w:r>
        <w:rPr>
          <w:rFonts w:ascii="Times New Roman" w:eastAsia="宋体" w:hAnsi="Times New Roman"/>
          <w:b/>
          <w:bCs/>
          <w:i/>
          <w:iCs/>
          <w:color w:val="00704A"/>
          <w:sz w:val="20"/>
          <w:szCs w:val="20"/>
        </w:rPr>
        <w:t>Legal Proceedings</w:t>
      </w:r>
    </w:p>
    <w:p w14:paraId="00BACDAE" w14:textId="77777777" w:rsidR="00871BDF" w:rsidRDefault="005C5088">
      <w:pPr>
        <w:spacing w:before="120"/>
      </w:pPr>
      <w:r>
        <w:rPr>
          <w:rFonts w:ascii="Times New Roman" w:eastAsia="宋体" w:hAnsi="Times New Roman"/>
          <w:color w:val="000000"/>
          <w:sz w:val="20"/>
          <w:szCs w:val="20"/>
        </w:rPr>
        <w:t xml:space="preserve">See </w:t>
      </w:r>
      <w:hyperlink r:id="rId79" w:anchor="i54ccc64cb5384be5a4849ef1cdef4dde_187" w:history="1">
        <w:r>
          <w:rPr>
            <w:rStyle w:val="a5"/>
            <w:rFonts w:ascii="Times New Roman" w:eastAsia="宋体" w:hAnsi="Times New Roman"/>
            <w:sz w:val="20"/>
            <w:szCs w:val="20"/>
          </w:rPr>
          <w:t>Note 16</w:t>
        </w:r>
      </w:hyperlink>
      <w:r>
        <w:rPr>
          <w:rFonts w:ascii="Times New Roman" w:eastAsia="宋体" w:hAnsi="Times New Roman"/>
          <w:color w:val="000000"/>
          <w:sz w:val="20"/>
          <w:szCs w:val="20"/>
        </w:rPr>
        <w:t>, Commitments and Contingencie</w:t>
      </w:r>
      <w:r>
        <w:rPr>
          <w:rFonts w:ascii="Times New Roman" w:eastAsia="宋体" w:hAnsi="Times New Roman"/>
          <w:color w:val="000000"/>
          <w:sz w:val="20"/>
          <w:szCs w:val="20"/>
        </w:rPr>
        <w:t>s, to the consolidated financial statements included in Item 8 of Part II of this 10-K for information regarding certain legal proceedings in which we are involved.</w:t>
      </w:r>
    </w:p>
    <w:p w14:paraId="00BACDAF" w14:textId="77777777" w:rsidR="00871BDF" w:rsidRDefault="005C5088">
      <w:pPr>
        <w:spacing w:before="120"/>
      </w:pPr>
      <w:r>
        <w:rPr>
          <w:rFonts w:ascii="Times New Roman" w:eastAsia="宋体" w:hAnsi="Times New Roman"/>
          <w:b/>
          <w:bCs/>
          <w:color w:val="00704A"/>
          <w:sz w:val="20"/>
          <w:szCs w:val="20"/>
        </w:rPr>
        <w:t>Item 4.</w:t>
      </w:r>
      <w:r>
        <w:rPr>
          <w:rFonts w:ascii="Times New Roman" w:eastAsia="宋体" w:hAnsi="Times New Roman"/>
          <w:b/>
          <w:bCs/>
          <w:i/>
          <w:iCs/>
          <w:color w:val="00704A"/>
          <w:sz w:val="20"/>
          <w:szCs w:val="20"/>
        </w:rPr>
        <w:t>Mine Safety Disclosures</w:t>
      </w:r>
    </w:p>
    <w:p w14:paraId="00BACDB0" w14:textId="77777777" w:rsidR="00871BDF" w:rsidRDefault="005C5088">
      <w:pPr>
        <w:spacing w:before="120"/>
      </w:pPr>
      <w:r>
        <w:rPr>
          <w:rFonts w:ascii="Times New Roman" w:eastAsia="宋体" w:hAnsi="Times New Roman"/>
          <w:color w:val="000000"/>
          <w:sz w:val="20"/>
          <w:szCs w:val="20"/>
        </w:rPr>
        <w:t>Not applicable.</w:t>
      </w:r>
    </w:p>
    <w:p w14:paraId="00BACDB1" w14:textId="77777777" w:rsidR="00871BDF" w:rsidRDefault="005C5088">
      <w:pPr>
        <w:jc w:val="center"/>
      </w:pPr>
      <w:r>
        <w:rPr>
          <w:rFonts w:ascii="Times New Roman" w:eastAsia="宋体" w:hAnsi="Times New Roman"/>
          <w:color w:val="000000"/>
          <w:sz w:val="20"/>
          <w:szCs w:val="20"/>
        </w:rPr>
        <w:t>19</w:t>
      </w:r>
    </w:p>
    <w:p w14:paraId="00BACDB2" w14:textId="77777777" w:rsidR="00871BDF" w:rsidRDefault="005C5088">
      <w:r>
        <w:pict w14:anchorId="00BB1476">
          <v:rect id="_x0000_i1046" style="width:415.3pt;height:1.5pt" o:hralign="center" o:hrstd="t" o:hr="t" fillcolor="#a0a0a0" stroked="f"/>
        </w:pict>
      </w:r>
    </w:p>
    <w:p w14:paraId="00BACDB3" w14:textId="77777777" w:rsidR="00871BDF" w:rsidRDefault="005C5088">
      <w:hyperlink r:id="rId80" w:anchor="i54ccc64cb5384be5a4849ef1cdef4dde_7" w:history="1">
        <w:r>
          <w:rPr>
            <w:rStyle w:val="a5"/>
            <w:rFonts w:ascii="Times New Roman" w:eastAsia="宋体" w:hAnsi="Times New Roman"/>
            <w:sz w:val="20"/>
            <w:szCs w:val="20"/>
          </w:rPr>
          <w:t>Table of Contents</w:t>
        </w:r>
      </w:hyperlink>
    </w:p>
    <w:p w14:paraId="00BACDB4" w14:textId="77777777" w:rsidR="00871BDF" w:rsidRDefault="005C5088">
      <w:pPr>
        <w:spacing w:before="120"/>
        <w:jc w:val="center"/>
      </w:pPr>
      <w:r>
        <w:rPr>
          <w:rFonts w:ascii="Times New Roman" w:eastAsia="宋体" w:hAnsi="Times New Roman"/>
          <w:b/>
          <w:bCs/>
          <w:color w:val="00704A"/>
          <w:sz w:val="20"/>
          <w:szCs w:val="20"/>
        </w:rPr>
        <w:t>PART II</w:t>
      </w:r>
    </w:p>
    <w:p w14:paraId="00BACDB5" w14:textId="77777777" w:rsidR="00871BDF" w:rsidRDefault="005C5088">
      <w:pPr>
        <w:spacing w:before="120"/>
        <w:ind w:hanging="720"/>
      </w:pPr>
      <w:r>
        <w:rPr>
          <w:rFonts w:ascii="Times New Roman" w:eastAsia="宋体" w:hAnsi="Times New Roman"/>
          <w:b/>
          <w:bCs/>
          <w:color w:val="00704A"/>
          <w:sz w:val="20"/>
          <w:szCs w:val="20"/>
        </w:rPr>
        <w:t xml:space="preserve">Item 5. </w:t>
      </w:r>
      <w:r>
        <w:rPr>
          <w:rFonts w:ascii="Times New Roman" w:eastAsia="宋体" w:hAnsi="Times New Roman"/>
          <w:b/>
          <w:bCs/>
          <w:i/>
          <w:iCs/>
          <w:color w:val="00704A"/>
          <w:sz w:val="20"/>
          <w:szCs w:val="20"/>
        </w:rPr>
        <w:t xml:space="preserve">Market for the Registrant’s Common Equity, Related </w:t>
      </w:r>
      <w:r>
        <w:rPr>
          <w:rFonts w:ascii="Times New Roman" w:eastAsia="宋体" w:hAnsi="Times New Roman"/>
          <w:b/>
          <w:bCs/>
          <w:i/>
          <w:iCs/>
          <w:color w:val="00704A"/>
          <w:sz w:val="20"/>
          <w:szCs w:val="20"/>
        </w:rPr>
        <w:t>Shareholder Matters and Issuer Purchases of Equity Securities</w:t>
      </w:r>
    </w:p>
    <w:p w14:paraId="00BACDB6" w14:textId="77777777" w:rsidR="00871BDF" w:rsidRDefault="005C5088">
      <w:pPr>
        <w:spacing w:before="120"/>
      </w:pPr>
      <w:r>
        <w:rPr>
          <w:rFonts w:ascii="Times New Roman" w:eastAsia="宋体" w:hAnsi="Times New Roman"/>
          <w:b/>
          <w:bCs/>
          <w:color w:val="000000"/>
          <w:sz w:val="20"/>
          <w:szCs w:val="20"/>
        </w:rPr>
        <w:t>SHAREHOLDER INFORMATION</w:t>
      </w:r>
    </w:p>
    <w:p w14:paraId="00BACDB7" w14:textId="77777777" w:rsidR="00871BDF" w:rsidRDefault="005C5088">
      <w:pPr>
        <w:spacing w:before="120"/>
      </w:pPr>
      <w:r>
        <w:rPr>
          <w:rFonts w:ascii="Times New Roman" w:eastAsia="宋体" w:hAnsi="Times New Roman"/>
          <w:b/>
          <w:bCs/>
          <w:color w:val="000000"/>
          <w:sz w:val="20"/>
          <w:szCs w:val="20"/>
        </w:rPr>
        <w:t>MARKET INFORMATION AND DIVIDEND POLICY</w:t>
      </w:r>
    </w:p>
    <w:p w14:paraId="00BACDB8" w14:textId="77777777" w:rsidR="00871BDF" w:rsidRDefault="005C5088">
      <w:pPr>
        <w:spacing w:before="120"/>
      </w:pPr>
      <w:r>
        <w:rPr>
          <w:rFonts w:ascii="Times New Roman" w:eastAsia="宋体" w:hAnsi="Times New Roman"/>
          <w:color w:val="000000"/>
          <w:sz w:val="20"/>
          <w:szCs w:val="20"/>
        </w:rPr>
        <w:t>Starbucks common stock is traded on NASDAQ, under the symbol “SBUX.”</w:t>
      </w:r>
    </w:p>
    <w:p w14:paraId="00BACDB9" w14:textId="77777777" w:rsidR="00871BDF" w:rsidRDefault="005C5088">
      <w:pPr>
        <w:spacing w:before="120"/>
      </w:pPr>
      <w:r>
        <w:rPr>
          <w:rFonts w:ascii="Times New Roman" w:eastAsia="宋体" w:hAnsi="Times New Roman"/>
          <w:color w:val="000000"/>
          <w:sz w:val="20"/>
          <w:szCs w:val="20"/>
        </w:rPr>
        <w:t>As of November 6, 2020, we had approximately 18,000 shareholde</w:t>
      </w:r>
      <w:r>
        <w:rPr>
          <w:rFonts w:ascii="Times New Roman" w:eastAsia="宋体" w:hAnsi="Times New Roman"/>
          <w:color w:val="000000"/>
          <w:sz w:val="20"/>
          <w:szCs w:val="20"/>
        </w:rPr>
        <w:t>rs of record. This does not include persons whose stock is in nominee or “street name” accounts through brokers.</w:t>
      </w:r>
    </w:p>
    <w:p w14:paraId="00BACDBA" w14:textId="77777777" w:rsidR="00871BDF" w:rsidRDefault="005C5088">
      <w:pPr>
        <w:spacing w:before="120"/>
      </w:pPr>
      <w:r>
        <w:rPr>
          <w:rFonts w:ascii="Times New Roman" w:eastAsia="宋体" w:hAnsi="Times New Roman"/>
          <w:color w:val="000000"/>
          <w:sz w:val="20"/>
          <w:szCs w:val="20"/>
        </w:rPr>
        <w:t>Future decisions to pay cash dividends continue to be at the discretion of the Board of Directors and will be dependent on our operating perfor</w:t>
      </w:r>
      <w:r>
        <w:rPr>
          <w:rFonts w:ascii="Times New Roman" w:eastAsia="宋体" w:hAnsi="Times New Roman"/>
          <w:color w:val="000000"/>
          <w:sz w:val="20"/>
          <w:szCs w:val="20"/>
        </w:rPr>
        <w:t>mance, financial condition, capital expenditure requirements and other factors that the Board of Directors considers relevant.</w:t>
      </w:r>
    </w:p>
    <w:p w14:paraId="00BACDBB" w14:textId="77777777" w:rsidR="00871BDF" w:rsidRDefault="005C5088">
      <w:pPr>
        <w:spacing w:before="120"/>
      </w:pPr>
      <w:r>
        <w:rPr>
          <w:rFonts w:ascii="Times New Roman" w:eastAsia="宋体" w:hAnsi="Times New Roman"/>
          <w:b/>
          <w:bCs/>
          <w:color w:val="000000"/>
          <w:sz w:val="20"/>
          <w:szCs w:val="20"/>
        </w:rPr>
        <w:t>ISSUER PURCHASES OF EQUITY SECURITIES</w:t>
      </w:r>
    </w:p>
    <w:p w14:paraId="00BACDBC" w14:textId="77777777" w:rsidR="00871BDF" w:rsidRDefault="005C5088">
      <w:pPr>
        <w:spacing w:before="120"/>
      </w:pPr>
      <w:r>
        <w:rPr>
          <w:rFonts w:ascii="Times New Roman" w:eastAsia="宋体" w:hAnsi="Times New Roman"/>
          <w:color w:val="000000"/>
          <w:sz w:val="20"/>
          <w:szCs w:val="20"/>
        </w:rPr>
        <w:t>Shares under our ongoing share repurchase program may be repurchased in open market transac</w:t>
      </w:r>
      <w:r>
        <w:rPr>
          <w:rFonts w:ascii="Times New Roman" w:eastAsia="宋体" w:hAnsi="Times New Roman"/>
          <w:color w:val="000000"/>
          <w:sz w:val="20"/>
          <w:szCs w:val="20"/>
        </w:rPr>
        <w:t>tions, including pursuant to a trading plan adopted in accordance with Rule 10b5-1 of the Securities Exchange Act of 1934, or through privately negotiated transactions. The timing, manner, price and amount of repurchases will be determined at our discretio</w:t>
      </w:r>
      <w:r>
        <w:rPr>
          <w:rFonts w:ascii="Times New Roman" w:eastAsia="宋体" w:hAnsi="Times New Roman"/>
          <w:color w:val="000000"/>
          <w:sz w:val="20"/>
          <w:szCs w:val="20"/>
        </w:rPr>
        <w:t>n, and the share repurchase program may be suspended, terminated or modified at any time for any reason. On April 8, 2020, we announced a temporary suspension of our share repurchase program. Repurchases pursuant to this program were last made in March 202</w:t>
      </w:r>
      <w:r>
        <w:rPr>
          <w:rFonts w:ascii="Times New Roman" w:eastAsia="宋体" w:hAnsi="Times New Roman"/>
          <w:color w:val="000000"/>
          <w:sz w:val="20"/>
          <w:szCs w:val="20"/>
        </w:rPr>
        <w:t>0. During the fourth fiscal quarter ended September 27, 2020, there was no share repurchase activity.</w:t>
      </w:r>
    </w:p>
    <w:p w14:paraId="00BACDBD" w14:textId="77777777" w:rsidR="00871BDF" w:rsidRDefault="005C5088">
      <w:pPr>
        <w:jc w:val="center"/>
      </w:pPr>
      <w:r>
        <w:rPr>
          <w:rFonts w:ascii="Times New Roman" w:eastAsia="宋体" w:hAnsi="Times New Roman"/>
          <w:color w:val="000000"/>
          <w:sz w:val="20"/>
          <w:szCs w:val="20"/>
        </w:rPr>
        <w:t>20</w:t>
      </w:r>
    </w:p>
    <w:p w14:paraId="00BACDBE" w14:textId="77777777" w:rsidR="00871BDF" w:rsidRDefault="005C5088">
      <w:r>
        <w:pict w14:anchorId="00BB1477">
          <v:rect id="_x0000_i1047" style="width:415.3pt;height:1.5pt" o:hralign="center" o:hrstd="t" o:hr="t" fillcolor="#a0a0a0" stroked="f"/>
        </w:pict>
      </w:r>
    </w:p>
    <w:p w14:paraId="00BACDBF" w14:textId="77777777" w:rsidR="00871BDF" w:rsidRDefault="005C5088">
      <w:hyperlink r:id="rId81" w:anchor="i54ccc64cb5384be5a4849ef1cdef4dde_7" w:history="1">
        <w:r>
          <w:rPr>
            <w:rStyle w:val="a5"/>
            <w:rFonts w:ascii="Times New Roman" w:eastAsia="宋体" w:hAnsi="Times New Roman"/>
            <w:sz w:val="20"/>
            <w:szCs w:val="20"/>
          </w:rPr>
          <w:t>Table of Contents</w:t>
        </w:r>
      </w:hyperlink>
    </w:p>
    <w:p w14:paraId="00BACDC0" w14:textId="77777777" w:rsidR="00871BDF" w:rsidRDefault="005C5088">
      <w:pPr>
        <w:spacing w:before="120"/>
      </w:pPr>
      <w:r>
        <w:rPr>
          <w:rFonts w:ascii="Times New Roman" w:eastAsia="宋体" w:hAnsi="Times New Roman"/>
          <w:b/>
          <w:bCs/>
          <w:color w:val="000000"/>
          <w:sz w:val="20"/>
          <w:szCs w:val="20"/>
        </w:rPr>
        <w:t>Performance Comparison Graph</w:t>
      </w:r>
    </w:p>
    <w:p w14:paraId="00BACDC1" w14:textId="77777777" w:rsidR="00871BDF" w:rsidRDefault="005C5088">
      <w:pPr>
        <w:spacing w:before="120"/>
      </w:pPr>
      <w:r>
        <w:rPr>
          <w:rFonts w:ascii="Times New Roman" w:eastAsia="宋体" w:hAnsi="Times New Roman"/>
          <w:color w:val="000000"/>
          <w:sz w:val="20"/>
          <w:szCs w:val="20"/>
        </w:rPr>
        <w:t>The following graph depicts the total return to shareholders from September 27, 2015 through September 27, 2020, relative to the performance of the Standard &amp; Poor’s 500 Index, the NASDAQ Composite Index a</w:t>
      </w:r>
      <w:r>
        <w:rPr>
          <w:rFonts w:ascii="Times New Roman" w:eastAsia="宋体" w:hAnsi="Times New Roman"/>
          <w:color w:val="000000"/>
          <w:sz w:val="20"/>
          <w:szCs w:val="20"/>
        </w:rPr>
        <w:t>nd the Standard &amp; Poor’s 500 Consumer Discretionary Sector, a peer group that includes Starbucks. All indices shown in the graph have been reset to a base of 100 as of September 27, 2015, and assume an investment of $100 on that date and the reinvestment o</w:t>
      </w:r>
      <w:r>
        <w:rPr>
          <w:rFonts w:ascii="Times New Roman" w:eastAsia="宋体" w:hAnsi="Times New Roman"/>
          <w:color w:val="000000"/>
          <w:sz w:val="20"/>
          <w:szCs w:val="20"/>
        </w:rPr>
        <w:t>f dividends paid since that date. The stock price performance shown in the graph is not necessarily indicative of future price performance.</w:t>
      </w:r>
    </w:p>
    <w:p w14:paraId="00BACDC2" w14:textId="77777777" w:rsidR="00871BDF" w:rsidRDefault="005C5088">
      <w:pPr>
        <w:spacing w:before="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/STARBUCKS/./Inline XBRL Viewer9_files/sbux-20200927_g2.jpg"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0BB1478" wp14:editId="00BB1479">
            <wp:extent cx="304800" cy="304800"/>
            <wp:effectExtent l="0" t="0" r="0" b="0"/>
            <wp:docPr id="43" name="图片 5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8"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963" w:type="pct"/>
        <w:jc w:val="center"/>
        <w:tblCellMar>
          <w:top w:w="15" w:type="dxa"/>
          <w:left w:w="15" w:type="dxa"/>
          <w:bottom w:w="15" w:type="dxa"/>
          <w:right w:w="15" w:type="dxa"/>
        </w:tblCellMar>
        <w:tblLook w:val="04A0" w:firstRow="1" w:lastRow="0" w:firstColumn="1" w:lastColumn="0" w:noHBand="0" w:noVBand="1"/>
      </w:tblPr>
      <w:tblGrid>
        <w:gridCol w:w="46"/>
        <w:gridCol w:w="1888"/>
        <w:gridCol w:w="37"/>
        <w:gridCol w:w="120"/>
        <w:gridCol w:w="843"/>
        <w:gridCol w:w="36"/>
        <w:gridCol w:w="36"/>
        <w:gridCol w:w="36"/>
        <w:gridCol w:w="36"/>
        <w:gridCol w:w="120"/>
        <w:gridCol w:w="796"/>
        <w:gridCol w:w="36"/>
        <w:gridCol w:w="36"/>
        <w:gridCol w:w="36"/>
        <w:gridCol w:w="36"/>
        <w:gridCol w:w="120"/>
        <w:gridCol w:w="796"/>
        <w:gridCol w:w="36"/>
        <w:gridCol w:w="36"/>
        <w:gridCol w:w="36"/>
        <w:gridCol w:w="36"/>
        <w:gridCol w:w="120"/>
        <w:gridCol w:w="796"/>
        <w:gridCol w:w="36"/>
        <w:gridCol w:w="36"/>
        <w:gridCol w:w="36"/>
        <w:gridCol w:w="36"/>
        <w:gridCol w:w="120"/>
        <w:gridCol w:w="798"/>
        <w:gridCol w:w="36"/>
        <w:gridCol w:w="36"/>
        <w:gridCol w:w="36"/>
        <w:gridCol w:w="36"/>
        <w:gridCol w:w="120"/>
        <w:gridCol w:w="798"/>
        <w:gridCol w:w="36"/>
      </w:tblGrid>
      <w:tr w:rsidR="00871BDF" w14:paraId="00BACDE7" w14:textId="77777777">
        <w:trPr>
          <w:jc w:val="center"/>
        </w:trPr>
        <w:tc>
          <w:tcPr>
            <w:tcW w:w="50" w:type="pct"/>
            <w:shd w:val="clear" w:color="auto" w:fill="auto"/>
          </w:tcPr>
          <w:p w14:paraId="00BACDC3" w14:textId="77777777" w:rsidR="00871BDF" w:rsidRDefault="00871BDF">
            <w:pPr>
              <w:rPr>
                <w:rFonts w:ascii="宋体"/>
              </w:rPr>
            </w:pPr>
          </w:p>
        </w:tc>
        <w:tc>
          <w:tcPr>
            <w:tcW w:w="1182" w:type="pct"/>
            <w:shd w:val="clear" w:color="auto" w:fill="auto"/>
          </w:tcPr>
          <w:p w14:paraId="00BACDC4" w14:textId="77777777" w:rsidR="00871BDF" w:rsidRDefault="00871BDF">
            <w:pPr>
              <w:rPr>
                <w:rFonts w:ascii="宋体"/>
              </w:rPr>
            </w:pPr>
          </w:p>
        </w:tc>
        <w:tc>
          <w:tcPr>
            <w:tcW w:w="5" w:type="pct"/>
            <w:shd w:val="clear" w:color="auto" w:fill="auto"/>
          </w:tcPr>
          <w:p w14:paraId="00BACDC5" w14:textId="77777777" w:rsidR="00871BDF" w:rsidRDefault="00871BDF">
            <w:pPr>
              <w:rPr>
                <w:rFonts w:ascii="宋体"/>
              </w:rPr>
            </w:pPr>
          </w:p>
        </w:tc>
        <w:tc>
          <w:tcPr>
            <w:tcW w:w="50" w:type="pct"/>
            <w:shd w:val="clear" w:color="auto" w:fill="auto"/>
          </w:tcPr>
          <w:p w14:paraId="00BACDC6" w14:textId="77777777" w:rsidR="00871BDF" w:rsidRDefault="00871BDF">
            <w:pPr>
              <w:rPr>
                <w:rFonts w:ascii="宋体"/>
              </w:rPr>
            </w:pPr>
          </w:p>
        </w:tc>
        <w:tc>
          <w:tcPr>
            <w:tcW w:w="541" w:type="pct"/>
            <w:shd w:val="clear" w:color="auto" w:fill="auto"/>
          </w:tcPr>
          <w:p w14:paraId="00BACDC7" w14:textId="77777777" w:rsidR="00871BDF" w:rsidRDefault="00871BDF">
            <w:pPr>
              <w:rPr>
                <w:rFonts w:ascii="宋体"/>
              </w:rPr>
            </w:pPr>
          </w:p>
        </w:tc>
        <w:tc>
          <w:tcPr>
            <w:tcW w:w="5" w:type="pct"/>
            <w:shd w:val="clear" w:color="auto" w:fill="auto"/>
          </w:tcPr>
          <w:p w14:paraId="00BACDC8" w14:textId="77777777" w:rsidR="00871BDF" w:rsidRDefault="00871BDF">
            <w:pPr>
              <w:rPr>
                <w:rFonts w:ascii="宋体"/>
              </w:rPr>
            </w:pPr>
          </w:p>
        </w:tc>
        <w:tc>
          <w:tcPr>
            <w:tcW w:w="5" w:type="pct"/>
            <w:shd w:val="clear" w:color="auto" w:fill="auto"/>
          </w:tcPr>
          <w:p w14:paraId="00BACDC9" w14:textId="77777777" w:rsidR="00871BDF" w:rsidRDefault="00871BDF">
            <w:pPr>
              <w:rPr>
                <w:rFonts w:ascii="宋体"/>
              </w:rPr>
            </w:pPr>
          </w:p>
        </w:tc>
        <w:tc>
          <w:tcPr>
            <w:tcW w:w="26" w:type="pct"/>
            <w:shd w:val="clear" w:color="auto" w:fill="auto"/>
          </w:tcPr>
          <w:p w14:paraId="00BACDCA" w14:textId="77777777" w:rsidR="00871BDF" w:rsidRDefault="00871BDF">
            <w:pPr>
              <w:rPr>
                <w:rFonts w:ascii="宋体"/>
              </w:rPr>
            </w:pPr>
          </w:p>
        </w:tc>
        <w:tc>
          <w:tcPr>
            <w:tcW w:w="5" w:type="pct"/>
            <w:shd w:val="clear" w:color="auto" w:fill="auto"/>
          </w:tcPr>
          <w:p w14:paraId="00BACDCB" w14:textId="77777777" w:rsidR="00871BDF" w:rsidRDefault="00871BDF">
            <w:pPr>
              <w:rPr>
                <w:rFonts w:ascii="宋体"/>
              </w:rPr>
            </w:pPr>
          </w:p>
        </w:tc>
        <w:tc>
          <w:tcPr>
            <w:tcW w:w="50" w:type="pct"/>
            <w:shd w:val="clear" w:color="auto" w:fill="auto"/>
          </w:tcPr>
          <w:p w14:paraId="00BACDCC" w14:textId="77777777" w:rsidR="00871BDF" w:rsidRDefault="00871BDF">
            <w:pPr>
              <w:rPr>
                <w:rFonts w:ascii="宋体"/>
              </w:rPr>
            </w:pPr>
          </w:p>
        </w:tc>
        <w:tc>
          <w:tcPr>
            <w:tcW w:w="541" w:type="pct"/>
            <w:shd w:val="clear" w:color="auto" w:fill="auto"/>
          </w:tcPr>
          <w:p w14:paraId="00BACDCD" w14:textId="77777777" w:rsidR="00871BDF" w:rsidRDefault="00871BDF">
            <w:pPr>
              <w:rPr>
                <w:rFonts w:ascii="宋体"/>
              </w:rPr>
            </w:pPr>
          </w:p>
        </w:tc>
        <w:tc>
          <w:tcPr>
            <w:tcW w:w="5" w:type="pct"/>
            <w:shd w:val="clear" w:color="auto" w:fill="auto"/>
          </w:tcPr>
          <w:p w14:paraId="00BACDCE" w14:textId="77777777" w:rsidR="00871BDF" w:rsidRDefault="00871BDF">
            <w:pPr>
              <w:rPr>
                <w:rFonts w:ascii="宋体"/>
              </w:rPr>
            </w:pPr>
          </w:p>
        </w:tc>
        <w:tc>
          <w:tcPr>
            <w:tcW w:w="5" w:type="pct"/>
            <w:shd w:val="clear" w:color="auto" w:fill="auto"/>
          </w:tcPr>
          <w:p w14:paraId="00BACDCF" w14:textId="77777777" w:rsidR="00871BDF" w:rsidRDefault="00871BDF">
            <w:pPr>
              <w:rPr>
                <w:rFonts w:ascii="宋体"/>
              </w:rPr>
            </w:pPr>
          </w:p>
        </w:tc>
        <w:tc>
          <w:tcPr>
            <w:tcW w:w="26" w:type="pct"/>
            <w:shd w:val="clear" w:color="auto" w:fill="auto"/>
          </w:tcPr>
          <w:p w14:paraId="00BACDD0" w14:textId="77777777" w:rsidR="00871BDF" w:rsidRDefault="00871BDF">
            <w:pPr>
              <w:rPr>
                <w:rFonts w:ascii="宋体"/>
              </w:rPr>
            </w:pPr>
          </w:p>
        </w:tc>
        <w:tc>
          <w:tcPr>
            <w:tcW w:w="5" w:type="pct"/>
            <w:shd w:val="clear" w:color="auto" w:fill="auto"/>
          </w:tcPr>
          <w:p w14:paraId="00BACDD1" w14:textId="77777777" w:rsidR="00871BDF" w:rsidRDefault="00871BDF">
            <w:pPr>
              <w:rPr>
                <w:rFonts w:ascii="宋体"/>
              </w:rPr>
            </w:pPr>
          </w:p>
        </w:tc>
        <w:tc>
          <w:tcPr>
            <w:tcW w:w="50" w:type="pct"/>
            <w:shd w:val="clear" w:color="auto" w:fill="auto"/>
          </w:tcPr>
          <w:p w14:paraId="00BACDD2" w14:textId="77777777" w:rsidR="00871BDF" w:rsidRDefault="00871BDF">
            <w:pPr>
              <w:rPr>
                <w:rFonts w:ascii="宋体"/>
              </w:rPr>
            </w:pPr>
          </w:p>
        </w:tc>
        <w:tc>
          <w:tcPr>
            <w:tcW w:w="541" w:type="pct"/>
            <w:shd w:val="clear" w:color="auto" w:fill="auto"/>
          </w:tcPr>
          <w:p w14:paraId="00BACDD3" w14:textId="77777777" w:rsidR="00871BDF" w:rsidRDefault="00871BDF">
            <w:pPr>
              <w:rPr>
                <w:rFonts w:ascii="宋体"/>
              </w:rPr>
            </w:pPr>
          </w:p>
        </w:tc>
        <w:tc>
          <w:tcPr>
            <w:tcW w:w="5" w:type="pct"/>
            <w:shd w:val="clear" w:color="auto" w:fill="auto"/>
          </w:tcPr>
          <w:p w14:paraId="00BACDD4" w14:textId="77777777" w:rsidR="00871BDF" w:rsidRDefault="00871BDF">
            <w:pPr>
              <w:rPr>
                <w:rFonts w:ascii="宋体"/>
              </w:rPr>
            </w:pPr>
          </w:p>
        </w:tc>
        <w:tc>
          <w:tcPr>
            <w:tcW w:w="5" w:type="pct"/>
            <w:shd w:val="clear" w:color="auto" w:fill="auto"/>
          </w:tcPr>
          <w:p w14:paraId="00BACDD5" w14:textId="77777777" w:rsidR="00871BDF" w:rsidRDefault="00871BDF">
            <w:pPr>
              <w:rPr>
                <w:rFonts w:ascii="宋体"/>
              </w:rPr>
            </w:pPr>
          </w:p>
        </w:tc>
        <w:tc>
          <w:tcPr>
            <w:tcW w:w="26" w:type="pct"/>
            <w:shd w:val="clear" w:color="auto" w:fill="auto"/>
          </w:tcPr>
          <w:p w14:paraId="00BACDD6" w14:textId="77777777" w:rsidR="00871BDF" w:rsidRDefault="00871BDF">
            <w:pPr>
              <w:rPr>
                <w:rFonts w:ascii="宋体"/>
              </w:rPr>
            </w:pPr>
          </w:p>
        </w:tc>
        <w:tc>
          <w:tcPr>
            <w:tcW w:w="5" w:type="pct"/>
            <w:shd w:val="clear" w:color="auto" w:fill="auto"/>
          </w:tcPr>
          <w:p w14:paraId="00BACDD7" w14:textId="77777777" w:rsidR="00871BDF" w:rsidRDefault="00871BDF">
            <w:pPr>
              <w:rPr>
                <w:rFonts w:ascii="宋体"/>
              </w:rPr>
            </w:pPr>
          </w:p>
        </w:tc>
        <w:tc>
          <w:tcPr>
            <w:tcW w:w="50" w:type="pct"/>
            <w:shd w:val="clear" w:color="auto" w:fill="auto"/>
          </w:tcPr>
          <w:p w14:paraId="00BACDD8" w14:textId="77777777" w:rsidR="00871BDF" w:rsidRDefault="00871BDF">
            <w:pPr>
              <w:rPr>
                <w:rFonts w:ascii="宋体"/>
              </w:rPr>
            </w:pPr>
          </w:p>
        </w:tc>
        <w:tc>
          <w:tcPr>
            <w:tcW w:w="541" w:type="pct"/>
            <w:shd w:val="clear" w:color="auto" w:fill="auto"/>
          </w:tcPr>
          <w:p w14:paraId="00BACDD9" w14:textId="77777777" w:rsidR="00871BDF" w:rsidRDefault="00871BDF">
            <w:pPr>
              <w:rPr>
                <w:rFonts w:ascii="宋体"/>
              </w:rPr>
            </w:pPr>
          </w:p>
        </w:tc>
        <w:tc>
          <w:tcPr>
            <w:tcW w:w="5" w:type="pct"/>
            <w:shd w:val="clear" w:color="auto" w:fill="auto"/>
          </w:tcPr>
          <w:p w14:paraId="00BACDDA" w14:textId="77777777" w:rsidR="00871BDF" w:rsidRDefault="00871BDF">
            <w:pPr>
              <w:rPr>
                <w:rFonts w:ascii="宋体"/>
              </w:rPr>
            </w:pPr>
          </w:p>
        </w:tc>
        <w:tc>
          <w:tcPr>
            <w:tcW w:w="5" w:type="pct"/>
            <w:shd w:val="clear" w:color="auto" w:fill="auto"/>
          </w:tcPr>
          <w:p w14:paraId="00BACDDB" w14:textId="77777777" w:rsidR="00871BDF" w:rsidRDefault="00871BDF">
            <w:pPr>
              <w:rPr>
                <w:rFonts w:ascii="宋体"/>
              </w:rPr>
            </w:pPr>
          </w:p>
        </w:tc>
        <w:tc>
          <w:tcPr>
            <w:tcW w:w="26" w:type="pct"/>
            <w:shd w:val="clear" w:color="auto" w:fill="auto"/>
          </w:tcPr>
          <w:p w14:paraId="00BACDDC" w14:textId="77777777" w:rsidR="00871BDF" w:rsidRDefault="00871BDF">
            <w:pPr>
              <w:rPr>
                <w:rFonts w:ascii="宋体"/>
              </w:rPr>
            </w:pPr>
          </w:p>
        </w:tc>
        <w:tc>
          <w:tcPr>
            <w:tcW w:w="5" w:type="pct"/>
            <w:shd w:val="clear" w:color="auto" w:fill="auto"/>
          </w:tcPr>
          <w:p w14:paraId="00BACDDD" w14:textId="77777777" w:rsidR="00871BDF" w:rsidRDefault="00871BDF">
            <w:pPr>
              <w:rPr>
                <w:rFonts w:ascii="宋体"/>
              </w:rPr>
            </w:pPr>
          </w:p>
        </w:tc>
        <w:tc>
          <w:tcPr>
            <w:tcW w:w="50" w:type="pct"/>
            <w:shd w:val="clear" w:color="auto" w:fill="auto"/>
          </w:tcPr>
          <w:p w14:paraId="00BACDDE" w14:textId="77777777" w:rsidR="00871BDF" w:rsidRDefault="00871BDF">
            <w:pPr>
              <w:rPr>
                <w:rFonts w:ascii="宋体"/>
              </w:rPr>
            </w:pPr>
          </w:p>
        </w:tc>
        <w:tc>
          <w:tcPr>
            <w:tcW w:w="541" w:type="pct"/>
            <w:shd w:val="clear" w:color="auto" w:fill="auto"/>
          </w:tcPr>
          <w:p w14:paraId="00BACDDF" w14:textId="77777777" w:rsidR="00871BDF" w:rsidRDefault="00871BDF">
            <w:pPr>
              <w:rPr>
                <w:rFonts w:ascii="宋体"/>
              </w:rPr>
            </w:pPr>
          </w:p>
        </w:tc>
        <w:tc>
          <w:tcPr>
            <w:tcW w:w="5" w:type="pct"/>
            <w:shd w:val="clear" w:color="auto" w:fill="auto"/>
          </w:tcPr>
          <w:p w14:paraId="00BACDE0" w14:textId="77777777" w:rsidR="00871BDF" w:rsidRDefault="00871BDF">
            <w:pPr>
              <w:rPr>
                <w:rFonts w:ascii="宋体"/>
              </w:rPr>
            </w:pPr>
          </w:p>
        </w:tc>
        <w:tc>
          <w:tcPr>
            <w:tcW w:w="5" w:type="pct"/>
            <w:shd w:val="clear" w:color="auto" w:fill="auto"/>
          </w:tcPr>
          <w:p w14:paraId="00BACDE1" w14:textId="77777777" w:rsidR="00871BDF" w:rsidRDefault="00871BDF">
            <w:pPr>
              <w:rPr>
                <w:rFonts w:ascii="宋体"/>
              </w:rPr>
            </w:pPr>
          </w:p>
        </w:tc>
        <w:tc>
          <w:tcPr>
            <w:tcW w:w="26" w:type="pct"/>
            <w:shd w:val="clear" w:color="auto" w:fill="auto"/>
          </w:tcPr>
          <w:p w14:paraId="00BACDE2" w14:textId="77777777" w:rsidR="00871BDF" w:rsidRDefault="00871BDF">
            <w:pPr>
              <w:rPr>
                <w:rFonts w:ascii="宋体"/>
              </w:rPr>
            </w:pPr>
          </w:p>
        </w:tc>
        <w:tc>
          <w:tcPr>
            <w:tcW w:w="5" w:type="pct"/>
            <w:shd w:val="clear" w:color="auto" w:fill="auto"/>
          </w:tcPr>
          <w:p w14:paraId="00BACDE3" w14:textId="77777777" w:rsidR="00871BDF" w:rsidRDefault="00871BDF">
            <w:pPr>
              <w:rPr>
                <w:rFonts w:ascii="宋体"/>
              </w:rPr>
            </w:pPr>
          </w:p>
        </w:tc>
        <w:tc>
          <w:tcPr>
            <w:tcW w:w="50" w:type="pct"/>
            <w:shd w:val="clear" w:color="auto" w:fill="auto"/>
          </w:tcPr>
          <w:p w14:paraId="00BACDE4" w14:textId="77777777" w:rsidR="00871BDF" w:rsidRDefault="00871BDF">
            <w:pPr>
              <w:rPr>
                <w:rFonts w:ascii="宋体"/>
              </w:rPr>
            </w:pPr>
          </w:p>
        </w:tc>
        <w:tc>
          <w:tcPr>
            <w:tcW w:w="541" w:type="pct"/>
            <w:shd w:val="clear" w:color="auto" w:fill="auto"/>
          </w:tcPr>
          <w:p w14:paraId="00BACDE5" w14:textId="77777777" w:rsidR="00871BDF" w:rsidRDefault="00871BDF">
            <w:pPr>
              <w:rPr>
                <w:rFonts w:ascii="宋体"/>
              </w:rPr>
            </w:pPr>
          </w:p>
        </w:tc>
        <w:tc>
          <w:tcPr>
            <w:tcW w:w="5" w:type="pct"/>
            <w:shd w:val="clear" w:color="auto" w:fill="auto"/>
          </w:tcPr>
          <w:p w14:paraId="00BACDE6" w14:textId="77777777" w:rsidR="00871BDF" w:rsidRDefault="00871BDF">
            <w:pPr>
              <w:rPr>
                <w:rFonts w:ascii="宋体"/>
              </w:rPr>
            </w:pPr>
          </w:p>
        </w:tc>
      </w:tr>
      <w:tr w:rsidR="00871BDF" w14:paraId="00BACDF4" w14:textId="77777777">
        <w:trPr>
          <w:jc w:val="center"/>
        </w:trPr>
        <w:tc>
          <w:tcPr>
            <w:tcW w:w="0" w:type="auto"/>
            <w:gridSpan w:val="3"/>
            <w:shd w:val="clear" w:color="auto" w:fill="auto"/>
            <w:tcMar>
              <w:top w:w="40" w:type="dxa"/>
              <w:left w:w="20" w:type="dxa"/>
              <w:bottom w:w="40" w:type="dxa"/>
              <w:right w:w="20" w:type="dxa"/>
            </w:tcMar>
            <w:vAlign w:val="bottom"/>
          </w:tcPr>
          <w:p w14:paraId="00BACDE8" w14:textId="77777777" w:rsidR="00871BDF" w:rsidRDefault="005C5088">
            <w:pPr>
              <w:textAlignment w:val="bottom"/>
            </w:pPr>
            <w:r>
              <w:rPr>
                <w:rFonts w:ascii="Times New Roman" w:eastAsia="宋体" w:hAnsi="Times New Roman"/>
                <w:b/>
                <w:bCs/>
                <w:color w:val="000000"/>
                <w:sz w:val="20"/>
                <w:szCs w:val="20"/>
              </w:rPr>
              <w:t> </w:t>
            </w:r>
          </w:p>
        </w:tc>
        <w:tc>
          <w:tcPr>
            <w:tcW w:w="0" w:type="auto"/>
            <w:gridSpan w:val="3"/>
            <w:shd w:val="clear" w:color="auto" w:fill="00704A"/>
            <w:tcMar>
              <w:top w:w="40" w:type="dxa"/>
              <w:left w:w="20" w:type="dxa"/>
              <w:bottom w:w="40" w:type="dxa"/>
              <w:right w:w="20" w:type="dxa"/>
            </w:tcMar>
            <w:vAlign w:val="bottom"/>
          </w:tcPr>
          <w:p w14:paraId="00BACDE9" w14:textId="77777777" w:rsidR="00871BDF" w:rsidRDefault="005C5088">
            <w:pPr>
              <w:jc w:val="center"/>
              <w:textAlignment w:val="bottom"/>
            </w:pPr>
            <w:r>
              <w:rPr>
                <w:rFonts w:ascii="Times New Roman" w:eastAsia="宋体" w:hAnsi="Times New Roman"/>
                <w:b/>
                <w:bCs/>
                <w:color w:val="FFFFFF"/>
                <w:sz w:val="16"/>
                <w:szCs w:val="16"/>
              </w:rPr>
              <w:t>Sep 27, 2015</w:t>
            </w:r>
          </w:p>
        </w:tc>
        <w:tc>
          <w:tcPr>
            <w:tcW w:w="0" w:type="auto"/>
            <w:gridSpan w:val="3"/>
            <w:shd w:val="clear" w:color="auto" w:fill="auto"/>
            <w:tcMar>
              <w:top w:w="0" w:type="dxa"/>
              <w:left w:w="20" w:type="dxa"/>
              <w:bottom w:w="0" w:type="dxa"/>
              <w:right w:w="20" w:type="dxa"/>
            </w:tcMar>
          </w:tcPr>
          <w:p w14:paraId="00BACDE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DEB" w14:textId="77777777" w:rsidR="00871BDF" w:rsidRDefault="005C5088">
            <w:pPr>
              <w:jc w:val="center"/>
              <w:textAlignment w:val="bottom"/>
            </w:pPr>
            <w:r>
              <w:rPr>
                <w:rFonts w:ascii="Times New Roman" w:eastAsia="宋体" w:hAnsi="Times New Roman"/>
                <w:b/>
                <w:bCs/>
                <w:color w:val="FFFFFF"/>
                <w:sz w:val="16"/>
                <w:szCs w:val="16"/>
              </w:rPr>
              <w:t>Oct 2, 2016</w:t>
            </w:r>
          </w:p>
        </w:tc>
        <w:tc>
          <w:tcPr>
            <w:tcW w:w="0" w:type="auto"/>
            <w:gridSpan w:val="3"/>
            <w:shd w:val="clear" w:color="auto" w:fill="auto"/>
            <w:tcMar>
              <w:top w:w="0" w:type="dxa"/>
              <w:left w:w="20" w:type="dxa"/>
              <w:bottom w:w="0" w:type="dxa"/>
              <w:right w:w="20" w:type="dxa"/>
            </w:tcMar>
          </w:tcPr>
          <w:p w14:paraId="00BACDE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DED" w14:textId="77777777" w:rsidR="00871BDF" w:rsidRDefault="005C5088">
            <w:pPr>
              <w:jc w:val="center"/>
              <w:textAlignment w:val="bottom"/>
            </w:pPr>
            <w:r>
              <w:rPr>
                <w:rFonts w:ascii="Times New Roman" w:eastAsia="宋体" w:hAnsi="Times New Roman"/>
                <w:b/>
                <w:bCs/>
                <w:color w:val="FFFFFF"/>
                <w:sz w:val="16"/>
                <w:szCs w:val="16"/>
              </w:rPr>
              <w:t>Oct 1, 2017</w:t>
            </w:r>
          </w:p>
        </w:tc>
        <w:tc>
          <w:tcPr>
            <w:tcW w:w="0" w:type="auto"/>
            <w:gridSpan w:val="3"/>
            <w:shd w:val="clear" w:color="auto" w:fill="auto"/>
            <w:tcMar>
              <w:top w:w="0" w:type="dxa"/>
              <w:left w:w="20" w:type="dxa"/>
              <w:bottom w:w="0" w:type="dxa"/>
              <w:right w:w="20" w:type="dxa"/>
            </w:tcMar>
          </w:tcPr>
          <w:p w14:paraId="00BACDEE"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DEF" w14:textId="77777777" w:rsidR="00871BDF" w:rsidRDefault="005C5088">
            <w:pPr>
              <w:jc w:val="center"/>
              <w:textAlignment w:val="bottom"/>
            </w:pPr>
            <w:r>
              <w:rPr>
                <w:rFonts w:ascii="Times New Roman" w:eastAsia="宋体" w:hAnsi="Times New Roman"/>
                <w:b/>
                <w:bCs/>
                <w:color w:val="FFFFFF"/>
                <w:sz w:val="16"/>
                <w:szCs w:val="16"/>
              </w:rPr>
              <w:t>Sep 30, 2018</w:t>
            </w:r>
          </w:p>
        </w:tc>
        <w:tc>
          <w:tcPr>
            <w:tcW w:w="0" w:type="auto"/>
            <w:gridSpan w:val="3"/>
            <w:shd w:val="clear" w:color="auto" w:fill="auto"/>
            <w:tcMar>
              <w:top w:w="0" w:type="dxa"/>
              <w:left w:w="20" w:type="dxa"/>
              <w:bottom w:w="0" w:type="dxa"/>
              <w:right w:w="20" w:type="dxa"/>
            </w:tcMar>
          </w:tcPr>
          <w:p w14:paraId="00BACDF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DF1" w14:textId="77777777" w:rsidR="00871BDF" w:rsidRDefault="005C5088">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ACDF2"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CDF3" w14:textId="77777777" w:rsidR="00871BDF" w:rsidRDefault="005C5088">
            <w:pPr>
              <w:jc w:val="center"/>
              <w:textAlignment w:val="bottom"/>
            </w:pPr>
            <w:r>
              <w:rPr>
                <w:rFonts w:ascii="Times New Roman" w:eastAsia="宋体" w:hAnsi="Times New Roman"/>
                <w:b/>
                <w:bCs/>
                <w:color w:val="FFFFFF"/>
                <w:sz w:val="16"/>
                <w:szCs w:val="16"/>
              </w:rPr>
              <w:t>Sep 27, 2020</w:t>
            </w:r>
          </w:p>
        </w:tc>
      </w:tr>
      <w:tr w:rsidR="00871BDF" w14:paraId="00BACE0D" w14:textId="77777777">
        <w:trPr>
          <w:jc w:val="center"/>
        </w:trPr>
        <w:tc>
          <w:tcPr>
            <w:tcW w:w="0" w:type="auto"/>
            <w:gridSpan w:val="3"/>
            <w:shd w:val="clear" w:color="auto" w:fill="D7E4BC"/>
            <w:tcMar>
              <w:top w:w="40" w:type="dxa"/>
              <w:left w:w="20" w:type="dxa"/>
              <w:bottom w:w="40" w:type="dxa"/>
              <w:right w:w="20" w:type="dxa"/>
            </w:tcMar>
            <w:vAlign w:val="bottom"/>
          </w:tcPr>
          <w:p w14:paraId="00BACDF5" w14:textId="77777777" w:rsidR="00871BDF" w:rsidRDefault="005C5088">
            <w:pPr>
              <w:textAlignment w:val="bottom"/>
            </w:pPr>
            <w:r>
              <w:rPr>
                <w:rFonts w:ascii="Times New Roman" w:eastAsia="宋体" w:hAnsi="Times New Roman"/>
                <w:color w:val="000000"/>
                <w:sz w:val="20"/>
                <w:szCs w:val="20"/>
              </w:rPr>
              <w:t>Starbuc</w:t>
            </w:r>
            <w:r>
              <w:rPr>
                <w:rFonts w:ascii="Times New Roman" w:eastAsia="宋体" w:hAnsi="Times New Roman"/>
                <w:color w:val="000000"/>
                <w:sz w:val="20"/>
                <w:szCs w:val="20"/>
              </w:rPr>
              <w:t>ks Corporation</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CDF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CDF7"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DF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DF9"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CDF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CDFB" w14:textId="77777777" w:rsidR="00871BDF" w:rsidRDefault="005C5088">
            <w:pPr>
              <w:jc w:val="right"/>
              <w:textAlignment w:val="bottom"/>
            </w:pPr>
            <w:r>
              <w:rPr>
                <w:rFonts w:ascii="Times New Roman" w:eastAsia="宋体" w:hAnsi="Times New Roman"/>
                <w:color w:val="000000"/>
                <w:sz w:val="20"/>
                <w:szCs w:val="20"/>
              </w:rPr>
              <w:t>94.64 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DF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DFD"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CDF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CDFF" w14:textId="77777777" w:rsidR="00871BDF" w:rsidRDefault="005C5088">
            <w:pPr>
              <w:jc w:val="right"/>
              <w:textAlignment w:val="bottom"/>
            </w:pPr>
            <w:r>
              <w:rPr>
                <w:rFonts w:ascii="Times New Roman" w:eastAsia="宋体" w:hAnsi="Times New Roman"/>
                <w:color w:val="000000"/>
                <w:sz w:val="20"/>
                <w:szCs w:val="20"/>
              </w:rPr>
              <w:t>95.57 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E0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E01"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CE02"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CE03" w14:textId="77777777" w:rsidR="00871BDF" w:rsidRDefault="005C5088">
            <w:pPr>
              <w:jc w:val="right"/>
              <w:textAlignment w:val="bottom"/>
            </w:pPr>
            <w:r>
              <w:rPr>
                <w:rFonts w:ascii="Times New Roman" w:eastAsia="宋体" w:hAnsi="Times New Roman"/>
                <w:color w:val="000000"/>
                <w:sz w:val="20"/>
                <w:szCs w:val="20"/>
              </w:rPr>
              <w:t>103.49 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E0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E05"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CE0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CE07" w14:textId="77777777" w:rsidR="00871BDF" w:rsidRDefault="005C5088">
            <w:pPr>
              <w:jc w:val="right"/>
              <w:textAlignment w:val="bottom"/>
            </w:pPr>
            <w:r>
              <w:rPr>
                <w:rFonts w:ascii="Times New Roman" w:eastAsia="宋体" w:hAnsi="Times New Roman"/>
                <w:color w:val="000000"/>
                <w:sz w:val="20"/>
                <w:szCs w:val="20"/>
              </w:rPr>
              <w:t>163.98 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E0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E09"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CE0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CE0B" w14:textId="77777777" w:rsidR="00871BDF" w:rsidRDefault="005C5088">
            <w:pPr>
              <w:jc w:val="right"/>
              <w:textAlignment w:val="bottom"/>
            </w:pPr>
            <w:r>
              <w:rPr>
                <w:rFonts w:ascii="Times New Roman" w:eastAsia="宋体" w:hAnsi="Times New Roman"/>
                <w:color w:val="000000"/>
                <w:sz w:val="20"/>
                <w:szCs w:val="20"/>
              </w:rPr>
              <w:t>159.64 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CE0C" w14:textId="77777777" w:rsidR="00871BDF" w:rsidRDefault="00871BDF">
            <w:pPr>
              <w:jc w:val="right"/>
              <w:rPr>
                <w:rFonts w:ascii="宋体"/>
              </w:rPr>
            </w:pPr>
          </w:p>
        </w:tc>
      </w:tr>
      <w:tr w:rsidR="00871BDF" w14:paraId="00BACE20" w14:textId="77777777">
        <w:trPr>
          <w:jc w:val="center"/>
        </w:trPr>
        <w:tc>
          <w:tcPr>
            <w:tcW w:w="0" w:type="auto"/>
            <w:gridSpan w:val="3"/>
            <w:shd w:val="clear" w:color="auto" w:fill="FFFFFF"/>
            <w:tcMar>
              <w:top w:w="40" w:type="dxa"/>
              <w:left w:w="20" w:type="dxa"/>
              <w:bottom w:w="40" w:type="dxa"/>
              <w:right w:w="20" w:type="dxa"/>
            </w:tcMar>
            <w:vAlign w:val="bottom"/>
          </w:tcPr>
          <w:p w14:paraId="00BACE0E" w14:textId="77777777" w:rsidR="00871BDF" w:rsidRDefault="005C5088">
            <w:pPr>
              <w:textAlignment w:val="bottom"/>
            </w:pPr>
            <w:r>
              <w:rPr>
                <w:rFonts w:ascii="Times New Roman" w:eastAsia="宋体" w:hAnsi="Times New Roman"/>
                <w:color w:val="000000"/>
                <w:sz w:val="20"/>
                <w:szCs w:val="20"/>
              </w:rPr>
              <w:t>S&amp;P 500</w:t>
            </w:r>
          </w:p>
        </w:tc>
        <w:tc>
          <w:tcPr>
            <w:tcW w:w="0" w:type="auto"/>
            <w:gridSpan w:val="2"/>
            <w:shd w:val="clear" w:color="auto" w:fill="FFFFFF"/>
            <w:tcMar>
              <w:top w:w="40" w:type="dxa"/>
              <w:left w:w="20" w:type="dxa"/>
              <w:bottom w:w="40" w:type="dxa"/>
              <w:right w:w="0" w:type="dxa"/>
            </w:tcMar>
            <w:vAlign w:val="bottom"/>
          </w:tcPr>
          <w:p w14:paraId="00BACE0F"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0BACE1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E1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E12" w14:textId="77777777" w:rsidR="00871BDF" w:rsidRDefault="005C5088">
            <w:pPr>
              <w:jc w:val="right"/>
              <w:textAlignment w:val="bottom"/>
            </w:pPr>
            <w:r>
              <w:rPr>
                <w:rFonts w:ascii="Times New Roman" w:eastAsia="宋体" w:hAnsi="Times New Roman"/>
                <w:color w:val="000000"/>
                <w:sz w:val="20"/>
                <w:szCs w:val="20"/>
              </w:rPr>
              <w:t>115.43 </w:t>
            </w:r>
          </w:p>
        </w:tc>
        <w:tc>
          <w:tcPr>
            <w:tcW w:w="0" w:type="auto"/>
            <w:shd w:val="clear" w:color="auto" w:fill="FFFFFF"/>
            <w:tcMar>
              <w:top w:w="40" w:type="dxa"/>
              <w:left w:w="0" w:type="dxa"/>
              <w:bottom w:w="40" w:type="dxa"/>
              <w:right w:w="20" w:type="dxa"/>
            </w:tcMar>
            <w:vAlign w:val="bottom"/>
          </w:tcPr>
          <w:p w14:paraId="00BACE1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E1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E15" w14:textId="77777777" w:rsidR="00871BDF" w:rsidRDefault="005C5088">
            <w:pPr>
              <w:jc w:val="right"/>
              <w:textAlignment w:val="bottom"/>
            </w:pPr>
            <w:r>
              <w:rPr>
                <w:rFonts w:ascii="Times New Roman" w:eastAsia="宋体" w:hAnsi="Times New Roman"/>
                <w:color w:val="000000"/>
                <w:sz w:val="20"/>
                <w:szCs w:val="20"/>
              </w:rPr>
              <w:t>136.91 </w:t>
            </w:r>
          </w:p>
        </w:tc>
        <w:tc>
          <w:tcPr>
            <w:tcW w:w="0" w:type="auto"/>
            <w:shd w:val="clear" w:color="auto" w:fill="FFFFFF"/>
            <w:tcMar>
              <w:top w:w="40" w:type="dxa"/>
              <w:left w:w="0" w:type="dxa"/>
              <w:bottom w:w="40" w:type="dxa"/>
              <w:right w:w="20" w:type="dxa"/>
            </w:tcMar>
            <w:vAlign w:val="bottom"/>
          </w:tcPr>
          <w:p w14:paraId="00BACE1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E1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E18" w14:textId="77777777" w:rsidR="00871BDF" w:rsidRDefault="005C5088">
            <w:pPr>
              <w:jc w:val="right"/>
              <w:textAlignment w:val="bottom"/>
            </w:pPr>
            <w:r>
              <w:rPr>
                <w:rFonts w:ascii="Times New Roman" w:eastAsia="宋体" w:hAnsi="Times New Roman"/>
                <w:color w:val="000000"/>
                <w:sz w:val="20"/>
                <w:szCs w:val="20"/>
              </w:rPr>
              <w:t>161.43 </w:t>
            </w:r>
          </w:p>
        </w:tc>
        <w:tc>
          <w:tcPr>
            <w:tcW w:w="0" w:type="auto"/>
            <w:shd w:val="clear" w:color="auto" w:fill="FFFFFF"/>
            <w:tcMar>
              <w:top w:w="40" w:type="dxa"/>
              <w:left w:w="0" w:type="dxa"/>
              <w:bottom w:w="40" w:type="dxa"/>
              <w:right w:w="20" w:type="dxa"/>
            </w:tcMar>
            <w:vAlign w:val="bottom"/>
          </w:tcPr>
          <w:p w14:paraId="00BACE1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E1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E1B" w14:textId="77777777" w:rsidR="00871BDF" w:rsidRDefault="005C5088">
            <w:pPr>
              <w:jc w:val="right"/>
              <w:textAlignment w:val="bottom"/>
            </w:pPr>
            <w:r>
              <w:rPr>
                <w:rFonts w:ascii="Times New Roman" w:eastAsia="宋体" w:hAnsi="Times New Roman"/>
                <w:color w:val="000000"/>
                <w:sz w:val="20"/>
                <w:szCs w:val="20"/>
              </w:rPr>
              <w:t>168.30 </w:t>
            </w:r>
          </w:p>
        </w:tc>
        <w:tc>
          <w:tcPr>
            <w:tcW w:w="0" w:type="auto"/>
            <w:shd w:val="clear" w:color="auto" w:fill="FFFFFF"/>
            <w:tcMar>
              <w:top w:w="40" w:type="dxa"/>
              <w:left w:w="0" w:type="dxa"/>
              <w:bottom w:w="40" w:type="dxa"/>
              <w:right w:w="20" w:type="dxa"/>
            </w:tcMar>
            <w:vAlign w:val="bottom"/>
          </w:tcPr>
          <w:p w14:paraId="00BACE1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E1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E1E" w14:textId="77777777" w:rsidR="00871BDF" w:rsidRDefault="005C5088">
            <w:pPr>
              <w:jc w:val="right"/>
              <w:textAlignment w:val="bottom"/>
            </w:pPr>
            <w:r>
              <w:rPr>
                <w:rFonts w:ascii="Times New Roman" w:eastAsia="宋体" w:hAnsi="Times New Roman"/>
                <w:color w:val="000000"/>
                <w:sz w:val="20"/>
                <w:szCs w:val="20"/>
              </w:rPr>
              <w:t>193.80 </w:t>
            </w:r>
          </w:p>
        </w:tc>
        <w:tc>
          <w:tcPr>
            <w:tcW w:w="0" w:type="auto"/>
            <w:shd w:val="clear" w:color="auto" w:fill="FFFFFF"/>
            <w:tcMar>
              <w:top w:w="40" w:type="dxa"/>
              <w:left w:w="0" w:type="dxa"/>
              <w:bottom w:w="40" w:type="dxa"/>
              <w:right w:w="20" w:type="dxa"/>
            </w:tcMar>
            <w:vAlign w:val="bottom"/>
          </w:tcPr>
          <w:p w14:paraId="00BACE1F" w14:textId="77777777" w:rsidR="00871BDF" w:rsidRDefault="00871BDF">
            <w:pPr>
              <w:jc w:val="right"/>
              <w:rPr>
                <w:rFonts w:ascii="宋体"/>
              </w:rPr>
            </w:pPr>
          </w:p>
        </w:tc>
      </w:tr>
      <w:tr w:rsidR="00871BDF" w14:paraId="00BACE33" w14:textId="77777777">
        <w:trPr>
          <w:jc w:val="center"/>
        </w:trPr>
        <w:tc>
          <w:tcPr>
            <w:tcW w:w="0" w:type="auto"/>
            <w:gridSpan w:val="3"/>
            <w:shd w:val="clear" w:color="auto" w:fill="D7E4BC"/>
            <w:tcMar>
              <w:top w:w="40" w:type="dxa"/>
              <w:left w:w="20" w:type="dxa"/>
              <w:bottom w:w="40" w:type="dxa"/>
              <w:right w:w="20" w:type="dxa"/>
            </w:tcMar>
            <w:vAlign w:val="bottom"/>
          </w:tcPr>
          <w:p w14:paraId="00BACE21" w14:textId="77777777" w:rsidR="00871BDF" w:rsidRDefault="005C5088">
            <w:pPr>
              <w:textAlignment w:val="bottom"/>
            </w:pPr>
            <w:r>
              <w:rPr>
                <w:rFonts w:ascii="Times New Roman" w:eastAsia="宋体" w:hAnsi="Times New Roman"/>
                <w:color w:val="000000"/>
                <w:sz w:val="20"/>
                <w:szCs w:val="20"/>
              </w:rPr>
              <w:t>NASDAQ Composite</w:t>
            </w:r>
          </w:p>
        </w:tc>
        <w:tc>
          <w:tcPr>
            <w:tcW w:w="0" w:type="auto"/>
            <w:gridSpan w:val="2"/>
            <w:shd w:val="clear" w:color="auto" w:fill="D7E4BC"/>
            <w:tcMar>
              <w:top w:w="40" w:type="dxa"/>
              <w:left w:w="20" w:type="dxa"/>
              <w:bottom w:w="40" w:type="dxa"/>
              <w:right w:w="0" w:type="dxa"/>
            </w:tcMar>
            <w:vAlign w:val="bottom"/>
          </w:tcPr>
          <w:p w14:paraId="00BACE22"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00BACE2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E2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E25" w14:textId="77777777" w:rsidR="00871BDF" w:rsidRDefault="005C5088">
            <w:pPr>
              <w:jc w:val="right"/>
              <w:textAlignment w:val="bottom"/>
            </w:pPr>
            <w:r>
              <w:rPr>
                <w:rFonts w:ascii="Times New Roman" w:eastAsia="宋体" w:hAnsi="Times New Roman"/>
                <w:color w:val="000000"/>
                <w:sz w:val="20"/>
                <w:szCs w:val="20"/>
              </w:rPr>
              <w:t>116.42 </w:t>
            </w:r>
          </w:p>
        </w:tc>
        <w:tc>
          <w:tcPr>
            <w:tcW w:w="0" w:type="auto"/>
            <w:shd w:val="clear" w:color="auto" w:fill="D7E4BC"/>
            <w:tcMar>
              <w:top w:w="40" w:type="dxa"/>
              <w:left w:w="0" w:type="dxa"/>
              <w:bottom w:w="40" w:type="dxa"/>
              <w:right w:w="20" w:type="dxa"/>
            </w:tcMar>
            <w:vAlign w:val="bottom"/>
          </w:tcPr>
          <w:p w14:paraId="00BACE2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E2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E28" w14:textId="77777777" w:rsidR="00871BDF" w:rsidRDefault="005C5088">
            <w:pPr>
              <w:jc w:val="right"/>
              <w:textAlignment w:val="bottom"/>
            </w:pPr>
            <w:r>
              <w:rPr>
                <w:rFonts w:ascii="Times New Roman" w:eastAsia="宋体" w:hAnsi="Times New Roman"/>
                <w:color w:val="000000"/>
                <w:sz w:val="20"/>
                <w:szCs w:val="20"/>
              </w:rPr>
              <w:t>144.00 </w:t>
            </w:r>
          </w:p>
        </w:tc>
        <w:tc>
          <w:tcPr>
            <w:tcW w:w="0" w:type="auto"/>
            <w:shd w:val="clear" w:color="auto" w:fill="D7E4BC"/>
            <w:tcMar>
              <w:top w:w="40" w:type="dxa"/>
              <w:left w:w="0" w:type="dxa"/>
              <w:bottom w:w="40" w:type="dxa"/>
              <w:right w:w="20" w:type="dxa"/>
            </w:tcMar>
            <w:vAlign w:val="bottom"/>
          </w:tcPr>
          <w:p w14:paraId="00BACE2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E2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E2B" w14:textId="77777777" w:rsidR="00871BDF" w:rsidRDefault="005C5088">
            <w:pPr>
              <w:jc w:val="right"/>
              <w:textAlignment w:val="bottom"/>
            </w:pPr>
            <w:r>
              <w:rPr>
                <w:rFonts w:ascii="Times New Roman" w:eastAsia="宋体" w:hAnsi="Times New Roman"/>
                <w:color w:val="000000"/>
                <w:sz w:val="20"/>
                <w:szCs w:val="20"/>
              </w:rPr>
              <w:t>180.24 </w:t>
            </w:r>
          </w:p>
        </w:tc>
        <w:tc>
          <w:tcPr>
            <w:tcW w:w="0" w:type="auto"/>
            <w:shd w:val="clear" w:color="auto" w:fill="D7E4BC"/>
            <w:tcMar>
              <w:top w:w="40" w:type="dxa"/>
              <w:left w:w="0" w:type="dxa"/>
              <w:bottom w:w="40" w:type="dxa"/>
              <w:right w:w="20" w:type="dxa"/>
            </w:tcMar>
            <w:vAlign w:val="bottom"/>
          </w:tcPr>
          <w:p w14:paraId="00BACE2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E2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E2E" w14:textId="77777777" w:rsidR="00871BDF" w:rsidRDefault="005C5088">
            <w:pPr>
              <w:jc w:val="right"/>
              <w:textAlignment w:val="bottom"/>
            </w:pPr>
            <w:r>
              <w:rPr>
                <w:rFonts w:ascii="Times New Roman" w:eastAsia="宋体" w:hAnsi="Times New Roman"/>
                <w:color w:val="000000"/>
                <w:sz w:val="20"/>
                <w:szCs w:val="20"/>
              </w:rPr>
              <w:t>181.19 </w:t>
            </w:r>
          </w:p>
        </w:tc>
        <w:tc>
          <w:tcPr>
            <w:tcW w:w="0" w:type="auto"/>
            <w:shd w:val="clear" w:color="auto" w:fill="D7E4BC"/>
            <w:tcMar>
              <w:top w:w="40" w:type="dxa"/>
              <w:left w:w="0" w:type="dxa"/>
              <w:bottom w:w="40" w:type="dxa"/>
              <w:right w:w="20" w:type="dxa"/>
            </w:tcMar>
            <w:vAlign w:val="bottom"/>
          </w:tcPr>
          <w:p w14:paraId="00BACE2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E3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E31" w14:textId="77777777" w:rsidR="00871BDF" w:rsidRDefault="005C5088">
            <w:pPr>
              <w:jc w:val="right"/>
              <w:textAlignment w:val="bottom"/>
            </w:pPr>
            <w:r>
              <w:rPr>
                <w:rFonts w:ascii="Times New Roman" w:eastAsia="宋体" w:hAnsi="Times New Roman"/>
                <w:color w:val="000000"/>
                <w:sz w:val="20"/>
                <w:szCs w:val="20"/>
              </w:rPr>
              <w:t>255.40 </w:t>
            </w:r>
          </w:p>
        </w:tc>
        <w:tc>
          <w:tcPr>
            <w:tcW w:w="0" w:type="auto"/>
            <w:shd w:val="clear" w:color="auto" w:fill="D7E4BC"/>
            <w:tcMar>
              <w:top w:w="40" w:type="dxa"/>
              <w:left w:w="0" w:type="dxa"/>
              <w:bottom w:w="40" w:type="dxa"/>
              <w:right w:w="20" w:type="dxa"/>
            </w:tcMar>
            <w:vAlign w:val="bottom"/>
          </w:tcPr>
          <w:p w14:paraId="00BACE32" w14:textId="77777777" w:rsidR="00871BDF" w:rsidRDefault="00871BDF">
            <w:pPr>
              <w:jc w:val="right"/>
              <w:rPr>
                <w:rFonts w:ascii="宋体"/>
              </w:rPr>
            </w:pPr>
          </w:p>
        </w:tc>
      </w:tr>
      <w:tr w:rsidR="00871BDF" w14:paraId="00BACE46" w14:textId="77777777">
        <w:trPr>
          <w:jc w:val="center"/>
        </w:trPr>
        <w:tc>
          <w:tcPr>
            <w:tcW w:w="0" w:type="auto"/>
            <w:gridSpan w:val="3"/>
            <w:shd w:val="clear" w:color="auto" w:fill="FFFFFF"/>
            <w:tcMar>
              <w:top w:w="40" w:type="dxa"/>
              <w:left w:w="20" w:type="dxa"/>
              <w:bottom w:w="40" w:type="dxa"/>
              <w:right w:w="20" w:type="dxa"/>
            </w:tcMar>
            <w:vAlign w:val="bottom"/>
          </w:tcPr>
          <w:p w14:paraId="00BACE34" w14:textId="77777777" w:rsidR="00871BDF" w:rsidRDefault="005C5088">
            <w:pPr>
              <w:textAlignment w:val="bottom"/>
            </w:pPr>
            <w:r>
              <w:rPr>
                <w:rFonts w:ascii="Times New Roman" w:eastAsia="宋体" w:hAnsi="Times New Roman"/>
                <w:color w:val="000000"/>
                <w:sz w:val="20"/>
                <w:szCs w:val="20"/>
              </w:rPr>
              <w:t>S&amp;P Consumer Discretionary</w:t>
            </w:r>
          </w:p>
        </w:tc>
        <w:tc>
          <w:tcPr>
            <w:tcW w:w="0" w:type="auto"/>
            <w:gridSpan w:val="2"/>
            <w:shd w:val="clear" w:color="auto" w:fill="FFFFFF"/>
            <w:tcMar>
              <w:top w:w="40" w:type="dxa"/>
              <w:left w:w="20" w:type="dxa"/>
              <w:bottom w:w="40" w:type="dxa"/>
              <w:right w:w="0" w:type="dxa"/>
            </w:tcMar>
            <w:vAlign w:val="bottom"/>
          </w:tcPr>
          <w:p w14:paraId="00BACE35"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0BACE3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E3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E38" w14:textId="77777777" w:rsidR="00871BDF" w:rsidRDefault="005C5088">
            <w:pPr>
              <w:jc w:val="right"/>
              <w:textAlignment w:val="bottom"/>
            </w:pPr>
            <w:r>
              <w:rPr>
                <w:rFonts w:ascii="Times New Roman" w:eastAsia="宋体" w:hAnsi="Times New Roman"/>
                <w:color w:val="000000"/>
                <w:sz w:val="20"/>
                <w:szCs w:val="20"/>
              </w:rPr>
              <w:t>109.64 </w:t>
            </w:r>
          </w:p>
        </w:tc>
        <w:tc>
          <w:tcPr>
            <w:tcW w:w="0" w:type="auto"/>
            <w:shd w:val="clear" w:color="auto" w:fill="FFFFFF"/>
            <w:tcMar>
              <w:top w:w="40" w:type="dxa"/>
              <w:left w:w="0" w:type="dxa"/>
              <w:bottom w:w="40" w:type="dxa"/>
              <w:right w:w="20" w:type="dxa"/>
            </w:tcMar>
            <w:vAlign w:val="bottom"/>
          </w:tcPr>
          <w:p w14:paraId="00BACE3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E3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E3B" w14:textId="77777777" w:rsidR="00871BDF" w:rsidRDefault="005C5088">
            <w:pPr>
              <w:jc w:val="right"/>
              <w:textAlignment w:val="bottom"/>
            </w:pPr>
            <w:r>
              <w:rPr>
                <w:rFonts w:ascii="Times New Roman" w:eastAsia="宋体" w:hAnsi="Times New Roman"/>
                <w:color w:val="000000"/>
                <w:sz w:val="20"/>
                <w:szCs w:val="20"/>
              </w:rPr>
              <w:t>125.56 </w:t>
            </w:r>
          </w:p>
        </w:tc>
        <w:tc>
          <w:tcPr>
            <w:tcW w:w="0" w:type="auto"/>
            <w:shd w:val="clear" w:color="auto" w:fill="FFFFFF"/>
            <w:tcMar>
              <w:top w:w="40" w:type="dxa"/>
              <w:left w:w="0" w:type="dxa"/>
              <w:bottom w:w="40" w:type="dxa"/>
              <w:right w:w="20" w:type="dxa"/>
            </w:tcMar>
            <w:vAlign w:val="bottom"/>
          </w:tcPr>
          <w:p w14:paraId="00BACE3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E3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E3E" w14:textId="77777777" w:rsidR="00871BDF" w:rsidRDefault="005C5088">
            <w:pPr>
              <w:jc w:val="right"/>
              <w:textAlignment w:val="bottom"/>
            </w:pPr>
            <w:r>
              <w:rPr>
                <w:rFonts w:ascii="Times New Roman" w:eastAsia="宋体" w:hAnsi="Times New Roman"/>
                <w:color w:val="000000"/>
                <w:sz w:val="20"/>
                <w:szCs w:val="20"/>
              </w:rPr>
              <w:t>166.41 </w:t>
            </w:r>
          </w:p>
        </w:tc>
        <w:tc>
          <w:tcPr>
            <w:tcW w:w="0" w:type="auto"/>
            <w:shd w:val="clear" w:color="auto" w:fill="FFFFFF"/>
            <w:tcMar>
              <w:top w:w="40" w:type="dxa"/>
              <w:left w:w="0" w:type="dxa"/>
              <w:bottom w:w="40" w:type="dxa"/>
              <w:right w:w="20" w:type="dxa"/>
            </w:tcMar>
            <w:vAlign w:val="bottom"/>
          </w:tcPr>
          <w:p w14:paraId="00BACE3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E4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E41" w14:textId="77777777" w:rsidR="00871BDF" w:rsidRDefault="005C5088">
            <w:pPr>
              <w:jc w:val="right"/>
              <w:textAlignment w:val="bottom"/>
            </w:pPr>
            <w:r>
              <w:rPr>
                <w:rFonts w:ascii="Times New Roman" w:eastAsia="宋体" w:hAnsi="Times New Roman"/>
                <w:color w:val="000000"/>
                <w:sz w:val="20"/>
                <w:szCs w:val="20"/>
              </w:rPr>
              <w:t>170.33 </w:t>
            </w:r>
          </w:p>
        </w:tc>
        <w:tc>
          <w:tcPr>
            <w:tcW w:w="0" w:type="auto"/>
            <w:shd w:val="clear" w:color="auto" w:fill="FFFFFF"/>
            <w:tcMar>
              <w:top w:w="40" w:type="dxa"/>
              <w:left w:w="0" w:type="dxa"/>
              <w:bottom w:w="40" w:type="dxa"/>
              <w:right w:w="20" w:type="dxa"/>
            </w:tcMar>
            <w:vAlign w:val="bottom"/>
          </w:tcPr>
          <w:p w14:paraId="00BACE4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E4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E44" w14:textId="77777777" w:rsidR="00871BDF" w:rsidRDefault="005C5088">
            <w:pPr>
              <w:jc w:val="right"/>
              <w:textAlignment w:val="bottom"/>
            </w:pPr>
            <w:r>
              <w:rPr>
                <w:rFonts w:ascii="Times New Roman" w:eastAsia="宋体" w:hAnsi="Times New Roman"/>
                <w:color w:val="000000"/>
                <w:sz w:val="20"/>
                <w:szCs w:val="20"/>
              </w:rPr>
              <w:t>219.55 </w:t>
            </w:r>
          </w:p>
        </w:tc>
        <w:tc>
          <w:tcPr>
            <w:tcW w:w="0" w:type="auto"/>
            <w:shd w:val="clear" w:color="auto" w:fill="FFFFFF"/>
            <w:tcMar>
              <w:top w:w="40" w:type="dxa"/>
              <w:left w:w="0" w:type="dxa"/>
              <w:bottom w:w="40" w:type="dxa"/>
              <w:right w:w="20" w:type="dxa"/>
            </w:tcMar>
            <w:vAlign w:val="bottom"/>
          </w:tcPr>
          <w:p w14:paraId="00BACE45" w14:textId="77777777" w:rsidR="00871BDF" w:rsidRDefault="00871BDF">
            <w:pPr>
              <w:jc w:val="right"/>
              <w:rPr>
                <w:rFonts w:ascii="宋体"/>
              </w:rPr>
            </w:pPr>
          </w:p>
        </w:tc>
      </w:tr>
    </w:tbl>
    <w:p w14:paraId="00BACE47" w14:textId="77777777" w:rsidR="00871BDF" w:rsidRDefault="00871BDF">
      <w:pPr>
        <w:spacing w:before="120"/>
        <w:jc w:val="center"/>
      </w:pPr>
    </w:p>
    <w:p w14:paraId="00BACE48" w14:textId="77777777" w:rsidR="00871BDF" w:rsidRDefault="005C5088">
      <w:pPr>
        <w:jc w:val="center"/>
      </w:pPr>
      <w:r>
        <w:rPr>
          <w:rFonts w:ascii="Times New Roman" w:eastAsia="宋体" w:hAnsi="Times New Roman"/>
          <w:color w:val="000000"/>
          <w:sz w:val="20"/>
          <w:szCs w:val="20"/>
        </w:rPr>
        <w:t>21</w:t>
      </w:r>
    </w:p>
    <w:p w14:paraId="00BACE49" w14:textId="77777777" w:rsidR="00871BDF" w:rsidRDefault="005C5088">
      <w:r>
        <w:pict w14:anchorId="00BB147A">
          <v:rect id="_x0000_i1048" style="width:415.3pt;height:1.5pt" o:hralign="center" o:hrstd="t" o:hr="t" fillcolor="#a0a0a0" stroked="f"/>
        </w:pict>
      </w:r>
    </w:p>
    <w:p w14:paraId="00BACE4A" w14:textId="77777777" w:rsidR="00871BDF" w:rsidRDefault="005C5088">
      <w:hyperlink r:id="rId82" w:anchor="i54ccc64cb5384be5a4849ef1cdef4dde_7" w:history="1">
        <w:r>
          <w:rPr>
            <w:rStyle w:val="a5"/>
            <w:rFonts w:ascii="Times New Roman" w:eastAsia="宋体" w:hAnsi="Times New Roman"/>
            <w:sz w:val="20"/>
            <w:szCs w:val="20"/>
          </w:rPr>
          <w:t>Table of Contents</w:t>
        </w:r>
      </w:hyperlink>
    </w:p>
    <w:p w14:paraId="00BACE4B" w14:textId="77777777" w:rsidR="00871BDF" w:rsidRDefault="005C5088">
      <w:pPr>
        <w:spacing w:before="120"/>
      </w:pPr>
      <w:r>
        <w:rPr>
          <w:rFonts w:ascii="Times New Roman" w:eastAsia="宋体" w:hAnsi="Times New Roman"/>
          <w:b/>
          <w:bCs/>
          <w:color w:val="00704A"/>
          <w:sz w:val="20"/>
          <w:szCs w:val="20"/>
        </w:rPr>
        <w:t xml:space="preserve">Item 6. </w:t>
      </w:r>
      <w:r>
        <w:rPr>
          <w:rFonts w:ascii="Times New Roman" w:eastAsia="宋体" w:hAnsi="Times New Roman"/>
          <w:b/>
          <w:bCs/>
          <w:i/>
          <w:iCs/>
          <w:color w:val="00704A"/>
          <w:sz w:val="20"/>
          <w:szCs w:val="20"/>
        </w:rPr>
        <w:t>Selected Financial Data</w:t>
      </w:r>
    </w:p>
    <w:p w14:paraId="00BACE4C" w14:textId="77777777" w:rsidR="00871BDF" w:rsidRDefault="005C5088">
      <w:pPr>
        <w:spacing w:before="120"/>
      </w:pPr>
      <w:r>
        <w:rPr>
          <w:rFonts w:ascii="Times New Roman" w:eastAsia="宋体" w:hAnsi="Times New Roman"/>
          <w:color w:val="000000"/>
          <w:sz w:val="20"/>
          <w:szCs w:val="20"/>
        </w:rPr>
        <w:t xml:space="preserve">The following selected financial data is derived from the consolidated financial statements. The data below should be read in </w:t>
      </w:r>
      <w:r>
        <w:rPr>
          <w:rFonts w:ascii="Times New Roman" w:eastAsia="宋体" w:hAnsi="Times New Roman"/>
          <w:color w:val="000000"/>
          <w:sz w:val="20"/>
          <w:szCs w:val="20"/>
        </w:rPr>
        <w:t>conjunction with “Management’s Discussion and Analysis of Financial Condition and Results of Operations,” “Risk Factors,” and the consolidated financial statements and notes.</w:t>
      </w:r>
    </w:p>
    <w:p w14:paraId="00BACE4D" w14:textId="77777777" w:rsidR="00871BDF" w:rsidRDefault="005C5088">
      <w:pPr>
        <w:spacing w:before="120"/>
      </w:pPr>
      <w:r>
        <w:rPr>
          <w:rFonts w:ascii="Times New Roman" w:eastAsia="宋体" w:hAnsi="Times New Roman"/>
          <w:b/>
          <w:bCs/>
          <w:color w:val="000000"/>
          <w:sz w:val="20"/>
          <w:szCs w:val="20"/>
        </w:rPr>
        <w:t>Financial Information (in millions, except per share data):</w:t>
      </w:r>
    </w:p>
    <w:tbl>
      <w:tblPr>
        <w:tblW w:w="4978" w:type="pct"/>
        <w:jc w:val="center"/>
        <w:tblCellMar>
          <w:top w:w="15" w:type="dxa"/>
          <w:left w:w="15" w:type="dxa"/>
          <w:bottom w:w="15" w:type="dxa"/>
          <w:right w:w="15" w:type="dxa"/>
        </w:tblCellMar>
        <w:tblLook w:val="04A0" w:firstRow="1" w:lastRow="0" w:firstColumn="1" w:lastColumn="0" w:noHBand="0" w:noVBand="1"/>
      </w:tblPr>
      <w:tblGrid>
        <w:gridCol w:w="41"/>
        <w:gridCol w:w="2178"/>
        <w:gridCol w:w="38"/>
        <w:gridCol w:w="120"/>
        <w:gridCol w:w="750"/>
        <w:gridCol w:w="36"/>
        <w:gridCol w:w="36"/>
        <w:gridCol w:w="36"/>
        <w:gridCol w:w="36"/>
        <w:gridCol w:w="120"/>
        <w:gridCol w:w="750"/>
        <w:gridCol w:w="36"/>
        <w:gridCol w:w="36"/>
        <w:gridCol w:w="36"/>
        <w:gridCol w:w="36"/>
        <w:gridCol w:w="120"/>
        <w:gridCol w:w="750"/>
        <w:gridCol w:w="36"/>
        <w:gridCol w:w="36"/>
        <w:gridCol w:w="36"/>
        <w:gridCol w:w="36"/>
        <w:gridCol w:w="120"/>
        <w:gridCol w:w="750"/>
        <w:gridCol w:w="36"/>
        <w:gridCol w:w="36"/>
        <w:gridCol w:w="36"/>
        <w:gridCol w:w="36"/>
        <w:gridCol w:w="120"/>
        <w:gridCol w:w="75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71BDF" w14:paraId="00BACE6C" w14:textId="77777777">
        <w:trPr>
          <w:gridAfter w:val="30"/>
          <w:jc w:val="center"/>
        </w:trPr>
        <w:tc>
          <w:tcPr>
            <w:tcW w:w="50" w:type="pct"/>
            <w:shd w:val="clear" w:color="auto" w:fill="auto"/>
          </w:tcPr>
          <w:p w14:paraId="00BACE4E" w14:textId="77777777" w:rsidR="00871BDF" w:rsidRDefault="00871BDF">
            <w:pPr>
              <w:rPr>
                <w:rFonts w:ascii="宋体"/>
              </w:rPr>
            </w:pPr>
          </w:p>
        </w:tc>
        <w:tc>
          <w:tcPr>
            <w:tcW w:w="2118" w:type="pct"/>
            <w:shd w:val="clear" w:color="auto" w:fill="auto"/>
          </w:tcPr>
          <w:p w14:paraId="00BACE4F" w14:textId="77777777" w:rsidR="00871BDF" w:rsidRDefault="00871BDF">
            <w:pPr>
              <w:rPr>
                <w:rFonts w:ascii="宋体"/>
              </w:rPr>
            </w:pPr>
          </w:p>
        </w:tc>
        <w:tc>
          <w:tcPr>
            <w:tcW w:w="5" w:type="pct"/>
            <w:shd w:val="clear" w:color="auto" w:fill="auto"/>
          </w:tcPr>
          <w:p w14:paraId="00BACE50" w14:textId="77777777" w:rsidR="00871BDF" w:rsidRDefault="00871BDF">
            <w:pPr>
              <w:rPr>
                <w:rFonts w:ascii="宋体"/>
              </w:rPr>
            </w:pPr>
          </w:p>
        </w:tc>
        <w:tc>
          <w:tcPr>
            <w:tcW w:w="50" w:type="pct"/>
            <w:shd w:val="clear" w:color="auto" w:fill="auto"/>
          </w:tcPr>
          <w:p w14:paraId="00BACE51" w14:textId="77777777" w:rsidR="00871BDF" w:rsidRDefault="00871BDF">
            <w:pPr>
              <w:rPr>
                <w:rFonts w:ascii="宋体"/>
              </w:rPr>
            </w:pPr>
          </w:p>
        </w:tc>
        <w:tc>
          <w:tcPr>
            <w:tcW w:w="480" w:type="pct"/>
            <w:shd w:val="clear" w:color="auto" w:fill="auto"/>
          </w:tcPr>
          <w:p w14:paraId="00BACE52" w14:textId="77777777" w:rsidR="00871BDF" w:rsidRDefault="00871BDF">
            <w:pPr>
              <w:rPr>
                <w:rFonts w:ascii="宋体"/>
              </w:rPr>
            </w:pPr>
          </w:p>
        </w:tc>
        <w:tc>
          <w:tcPr>
            <w:tcW w:w="5" w:type="pct"/>
            <w:shd w:val="clear" w:color="auto" w:fill="auto"/>
          </w:tcPr>
          <w:p w14:paraId="00BACE53" w14:textId="77777777" w:rsidR="00871BDF" w:rsidRDefault="00871BDF">
            <w:pPr>
              <w:rPr>
                <w:rFonts w:ascii="宋体"/>
              </w:rPr>
            </w:pPr>
          </w:p>
        </w:tc>
        <w:tc>
          <w:tcPr>
            <w:tcW w:w="5" w:type="pct"/>
            <w:shd w:val="clear" w:color="auto" w:fill="auto"/>
          </w:tcPr>
          <w:p w14:paraId="00BACE54" w14:textId="77777777" w:rsidR="00871BDF" w:rsidRDefault="00871BDF">
            <w:pPr>
              <w:rPr>
                <w:rFonts w:ascii="宋体"/>
              </w:rPr>
            </w:pPr>
          </w:p>
        </w:tc>
        <w:tc>
          <w:tcPr>
            <w:tcW w:w="26" w:type="pct"/>
            <w:shd w:val="clear" w:color="auto" w:fill="auto"/>
          </w:tcPr>
          <w:p w14:paraId="00BACE55" w14:textId="77777777" w:rsidR="00871BDF" w:rsidRDefault="00871BDF">
            <w:pPr>
              <w:rPr>
                <w:rFonts w:ascii="宋体"/>
              </w:rPr>
            </w:pPr>
          </w:p>
        </w:tc>
        <w:tc>
          <w:tcPr>
            <w:tcW w:w="5" w:type="pct"/>
            <w:shd w:val="clear" w:color="auto" w:fill="auto"/>
          </w:tcPr>
          <w:p w14:paraId="00BACE56" w14:textId="77777777" w:rsidR="00871BDF" w:rsidRDefault="00871BDF">
            <w:pPr>
              <w:rPr>
                <w:rFonts w:ascii="宋体"/>
              </w:rPr>
            </w:pPr>
          </w:p>
        </w:tc>
        <w:tc>
          <w:tcPr>
            <w:tcW w:w="50" w:type="pct"/>
            <w:shd w:val="clear" w:color="auto" w:fill="auto"/>
          </w:tcPr>
          <w:p w14:paraId="00BACE57" w14:textId="77777777" w:rsidR="00871BDF" w:rsidRDefault="00871BDF">
            <w:pPr>
              <w:rPr>
                <w:rFonts w:ascii="宋体"/>
              </w:rPr>
            </w:pPr>
          </w:p>
        </w:tc>
        <w:tc>
          <w:tcPr>
            <w:tcW w:w="480" w:type="pct"/>
            <w:shd w:val="clear" w:color="auto" w:fill="auto"/>
          </w:tcPr>
          <w:p w14:paraId="00BACE58" w14:textId="77777777" w:rsidR="00871BDF" w:rsidRDefault="00871BDF">
            <w:pPr>
              <w:rPr>
                <w:rFonts w:ascii="宋体"/>
              </w:rPr>
            </w:pPr>
          </w:p>
        </w:tc>
        <w:tc>
          <w:tcPr>
            <w:tcW w:w="5" w:type="pct"/>
            <w:shd w:val="clear" w:color="auto" w:fill="auto"/>
          </w:tcPr>
          <w:p w14:paraId="00BACE59" w14:textId="77777777" w:rsidR="00871BDF" w:rsidRDefault="00871BDF">
            <w:pPr>
              <w:rPr>
                <w:rFonts w:ascii="宋体"/>
              </w:rPr>
            </w:pPr>
          </w:p>
        </w:tc>
        <w:tc>
          <w:tcPr>
            <w:tcW w:w="5" w:type="pct"/>
            <w:shd w:val="clear" w:color="auto" w:fill="auto"/>
          </w:tcPr>
          <w:p w14:paraId="00BACE5A" w14:textId="77777777" w:rsidR="00871BDF" w:rsidRDefault="00871BDF">
            <w:pPr>
              <w:rPr>
                <w:rFonts w:ascii="宋体"/>
              </w:rPr>
            </w:pPr>
          </w:p>
        </w:tc>
        <w:tc>
          <w:tcPr>
            <w:tcW w:w="26" w:type="pct"/>
            <w:shd w:val="clear" w:color="auto" w:fill="auto"/>
          </w:tcPr>
          <w:p w14:paraId="00BACE5B" w14:textId="77777777" w:rsidR="00871BDF" w:rsidRDefault="00871BDF">
            <w:pPr>
              <w:rPr>
                <w:rFonts w:ascii="宋体"/>
              </w:rPr>
            </w:pPr>
          </w:p>
        </w:tc>
        <w:tc>
          <w:tcPr>
            <w:tcW w:w="5" w:type="pct"/>
            <w:shd w:val="clear" w:color="auto" w:fill="auto"/>
          </w:tcPr>
          <w:p w14:paraId="00BACE5C" w14:textId="77777777" w:rsidR="00871BDF" w:rsidRDefault="00871BDF">
            <w:pPr>
              <w:rPr>
                <w:rFonts w:ascii="宋体"/>
              </w:rPr>
            </w:pPr>
          </w:p>
        </w:tc>
        <w:tc>
          <w:tcPr>
            <w:tcW w:w="50" w:type="pct"/>
            <w:shd w:val="clear" w:color="auto" w:fill="auto"/>
          </w:tcPr>
          <w:p w14:paraId="00BACE5D" w14:textId="77777777" w:rsidR="00871BDF" w:rsidRDefault="00871BDF">
            <w:pPr>
              <w:rPr>
                <w:rFonts w:ascii="宋体"/>
              </w:rPr>
            </w:pPr>
          </w:p>
        </w:tc>
        <w:tc>
          <w:tcPr>
            <w:tcW w:w="480" w:type="pct"/>
            <w:shd w:val="clear" w:color="auto" w:fill="auto"/>
          </w:tcPr>
          <w:p w14:paraId="00BACE5E" w14:textId="77777777" w:rsidR="00871BDF" w:rsidRDefault="00871BDF">
            <w:pPr>
              <w:rPr>
                <w:rFonts w:ascii="宋体"/>
              </w:rPr>
            </w:pPr>
          </w:p>
        </w:tc>
        <w:tc>
          <w:tcPr>
            <w:tcW w:w="5" w:type="pct"/>
            <w:shd w:val="clear" w:color="auto" w:fill="auto"/>
          </w:tcPr>
          <w:p w14:paraId="00BACE5F" w14:textId="77777777" w:rsidR="00871BDF" w:rsidRDefault="00871BDF">
            <w:pPr>
              <w:rPr>
                <w:rFonts w:ascii="宋体"/>
              </w:rPr>
            </w:pPr>
          </w:p>
        </w:tc>
        <w:tc>
          <w:tcPr>
            <w:tcW w:w="5" w:type="pct"/>
            <w:shd w:val="clear" w:color="auto" w:fill="auto"/>
          </w:tcPr>
          <w:p w14:paraId="00BACE60" w14:textId="77777777" w:rsidR="00871BDF" w:rsidRDefault="00871BDF">
            <w:pPr>
              <w:rPr>
                <w:rFonts w:ascii="宋体"/>
              </w:rPr>
            </w:pPr>
          </w:p>
        </w:tc>
        <w:tc>
          <w:tcPr>
            <w:tcW w:w="26" w:type="pct"/>
            <w:shd w:val="clear" w:color="auto" w:fill="auto"/>
          </w:tcPr>
          <w:p w14:paraId="00BACE61" w14:textId="77777777" w:rsidR="00871BDF" w:rsidRDefault="00871BDF">
            <w:pPr>
              <w:rPr>
                <w:rFonts w:ascii="宋体"/>
              </w:rPr>
            </w:pPr>
          </w:p>
        </w:tc>
        <w:tc>
          <w:tcPr>
            <w:tcW w:w="5" w:type="pct"/>
            <w:shd w:val="clear" w:color="auto" w:fill="auto"/>
          </w:tcPr>
          <w:p w14:paraId="00BACE62" w14:textId="77777777" w:rsidR="00871BDF" w:rsidRDefault="00871BDF">
            <w:pPr>
              <w:rPr>
                <w:rFonts w:ascii="宋体"/>
              </w:rPr>
            </w:pPr>
          </w:p>
        </w:tc>
        <w:tc>
          <w:tcPr>
            <w:tcW w:w="50" w:type="pct"/>
            <w:shd w:val="clear" w:color="auto" w:fill="auto"/>
          </w:tcPr>
          <w:p w14:paraId="00BACE63" w14:textId="77777777" w:rsidR="00871BDF" w:rsidRDefault="00871BDF">
            <w:pPr>
              <w:rPr>
                <w:rFonts w:ascii="宋体"/>
              </w:rPr>
            </w:pPr>
          </w:p>
        </w:tc>
        <w:tc>
          <w:tcPr>
            <w:tcW w:w="480" w:type="pct"/>
            <w:shd w:val="clear" w:color="auto" w:fill="auto"/>
          </w:tcPr>
          <w:p w14:paraId="00BACE64" w14:textId="77777777" w:rsidR="00871BDF" w:rsidRDefault="00871BDF">
            <w:pPr>
              <w:rPr>
                <w:rFonts w:ascii="宋体"/>
              </w:rPr>
            </w:pPr>
          </w:p>
        </w:tc>
        <w:tc>
          <w:tcPr>
            <w:tcW w:w="5" w:type="pct"/>
            <w:shd w:val="clear" w:color="auto" w:fill="auto"/>
          </w:tcPr>
          <w:p w14:paraId="00BACE65" w14:textId="77777777" w:rsidR="00871BDF" w:rsidRDefault="00871BDF">
            <w:pPr>
              <w:rPr>
                <w:rFonts w:ascii="宋体"/>
              </w:rPr>
            </w:pPr>
          </w:p>
        </w:tc>
        <w:tc>
          <w:tcPr>
            <w:tcW w:w="5" w:type="pct"/>
            <w:shd w:val="clear" w:color="auto" w:fill="auto"/>
          </w:tcPr>
          <w:p w14:paraId="00BACE66" w14:textId="77777777" w:rsidR="00871BDF" w:rsidRDefault="00871BDF">
            <w:pPr>
              <w:rPr>
                <w:rFonts w:ascii="宋体"/>
              </w:rPr>
            </w:pPr>
          </w:p>
        </w:tc>
        <w:tc>
          <w:tcPr>
            <w:tcW w:w="26" w:type="pct"/>
            <w:shd w:val="clear" w:color="auto" w:fill="auto"/>
          </w:tcPr>
          <w:p w14:paraId="00BACE67" w14:textId="77777777" w:rsidR="00871BDF" w:rsidRDefault="00871BDF">
            <w:pPr>
              <w:rPr>
                <w:rFonts w:ascii="宋体"/>
              </w:rPr>
            </w:pPr>
          </w:p>
        </w:tc>
        <w:tc>
          <w:tcPr>
            <w:tcW w:w="5" w:type="pct"/>
            <w:shd w:val="clear" w:color="auto" w:fill="auto"/>
          </w:tcPr>
          <w:p w14:paraId="00BACE68" w14:textId="77777777" w:rsidR="00871BDF" w:rsidRDefault="00871BDF">
            <w:pPr>
              <w:rPr>
                <w:rFonts w:ascii="宋体"/>
              </w:rPr>
            </w:pPr>
          </w:p>
        </w:tc>
        <w:tc>
          <w:tcPr>
            <w:tcW w:w="50" w:type="pct"/>
            <w:shd w:val="clear" w:color="auto" w:fill="auto"/>
          </w:tcPr>
          <w:p w14:paraId="00BACE69" w14:textId="77777777" w:rsidR="00871BDF" w:rsidRDefault="00871BDF">
            <w:pPr>
              <w:rPr>
                <w:rFonts w:ascii="宋体"/>
              </w:rPr>
            </w:pPr>
          </w:p>
        </w:tc>
        <w:tc>
          <w:tcPr>
            <w:tcW w:w="481" w:type="pct"/>
            <w:shd w:val="clear" w:color="auto" w:fill="auto"/>
          </w:tcPr>
          <w:p w14:paraId="00BACE6A" w14:textId="77777777" w:rsidR="00871BDF" w:rsidRDefault="00871BDF">
            <w:pPr>
              <w:rPr>
                <w:rFonts w:ascii="宋体"/>
              </w:rPr>
            </w:pPr>
          </w:p>
        </w:tc>
        <w:tc>
          <w:tcPr>
            <w:tcW w:w="5" w:type="pct"/>
            <w:shd w:val="clear" w:color="auto" w:fill="auto"/>
          </w:tcPr>
          <w:p w14:paraId="00BACE6B" w14:textId="77777777" w:rsidR="00871BDF" w:rsidRDefault="00871BDF">
            <w:pPr>
              <w:rPr>
                <w:rFonts w:ascii="宋体"/>
              </w:rPr>
            </w:pPr>
          </w:p>
        </w:tc>
      </w:tr>
      <w:tr w:rsidR="00871BDF" w14:paraId="00BACE77" w14:textId="77777777">
        <w:trPr>
          <w:gridAfter w:val="30"/>
          <w:trHeight w:val="311"/>
          <w:jc w:val="center"/>
        </w:trPr>
        <w:tc>
          <w:tcPr>
            <w:tcW w:w="0" w:type="auto"/>
            <w:gridSpan w:val="3"/>
            <w:vMerge w:val="restart"/>
            <w:shd w:val="clear" w:color="auto" w:fill="auto"/>
            <w:tcMar>
              <w:top w:w="40" w:type="dxa"/>
              <w:left w:w="20" w:type="dxa"/>
              <w:bottom w:w="40" w:type="dxa"/>
              <w:right w:w="20" w:type="dxa"/>
            </w:tcMar>
            <w:vAlign w:val="bottom"/>
          </w:tcPr>
          <w:p w14:paraId="00BACE6D" w14:textId="77777777" w:rsidR="00871BDF" w:rsidRDefault="005C5088">
            <w:pPr>
              <w:textAlignment w:val="bottom"/>
            </w:pPr>
            <w:r>
              <w:rPr>
                <w:rFonts w:ascii="Times New Roman" w:eastAsia="宋体" w:hAnsi="Times New Roman"/>
                <w:b/>
                <w:bCs/>
                <w:color w:val="000000"/>
                <w:sz w:val="16"/>
                <w:szCs w:val="16"/>
                <w:u w:val="single"/>
              </w:rPr>
              <w:t>As of and for the Fiscal Year Ended</w:t>
            </w:r>
            <w:r>
              <w:rPr>
                <w:rFonts w:ascii="Times New Roman" w:eastAsia="宋体" w:hAnsi="Times New Roman"/>
                <w:color w:val="000000"/>
                <w:sz w:val="10"/>
                <w:szCs w:val="10"/>
              </w:rPr>
              <w:t>(1)</w:t>
            </w:r>
          </w:p>
        </w:tc>
        <w:tc>
          <w:tcPr>
            <w:tcW w:w="0" w:type="auto"/>
            <w:gridSpan w:val="3"/>
            <w:vMerge w:val="restart"/>
            <w:shd w:val="clear" w:color="auto" w:fill="00704A"/>
            <w:tcMar>
              <w:top w:w="40" w:type="dxa"/>
              <w:left w:w="20" w:type="dxa"/>
              <w:bottom w:w="40" w:type="dxa"/>
              <w:right w:w="20" w:type="dxa"/>
            </w:tcMar>
            <w:vAlign w:val="center"/>
          </w:tcPr>
          <w:p w14:paraId="00BACE6E" w14:textId="77777777" w:rsidR="00871BDF" w:rsidRDefault="005C5088">
            <w:pPr>
              <w:jc w:val="center"/>
              <w:textAlignment w:val="center"/>
            </w:pPr>
            <w:r>
              <w:rPr>
                <w:rFonts w:ascii="Times New Roman" w:eastAsia="宋体" w:hAnsi="Times New Roman"/>
                <w:b/>
                <w:bCs/>
                <w:color w:val="FFFFFF"/>
                <w:sz w:val="16"/>
                <w:szCs w:val="16"/>
              </w:rPr>
              <w:t xml:space="preserve">Sept 27, </w:t>
            </w:r>
            <w:r>
              <w:rPr>
                <w:rFonts w:ascii="Times New Roman" w:eastAsia="宋体" w:hAnsi="Times New Roman"/>
                <w:b/>
                <w:bCs/>
                <w:color w:val="FFFFFF"/>
                <w:sz w:val="16"/>
                <w:szCs w:val="16"/>
              </w:rPr>
              <w:br/>
              <w:t>2020</w:t>
            </w:r>
            <w:r>
              <w:rPr>
                <w:rFonts w:ascii="Times New Roman" w:eastAsia="宋体" w:hAnsi="Times New Roman"/>
                <w:b/>
                <w:bCs/>
                <w:color w:val="FFFFFF"/>
                <w:sz w:val="16"/>
                <w:szCs w:val="16"/>
              </w:rPr>
              <w:br/>
              <w:t>(52 Wks)</w:t>
            </w:r>
          </w:p>
        </w:tc>
        <w:tc>
          <w:tcPr>
            <w:tcW w:w="0" w:type="auto"/>
            <w:gridSpan w:val="3"/>
            <w:vMerge w:val="restart"/>
            <w:shd w:val="clear" w:color="auto" w:fill="auto"/>
            <w:tcMar>
              <w:top w:w="0" w:type="dxa"/>
              <w:left w:w="20" w:type="dxa"/>
              <w:bottom w:w="0" w:type="dxa"/>
              <w:right w:w="20" w:type="dxa"/>
            </w:tcMar>
          </w:tcPr>
          <w:p w14:paraId="00BACE6F"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center"/>
          </w:tcPr>
          <w:p w14:paraId="00BACE70" w14:textId="77777777" w:rsidR="00871BDF" w:rsidRDefault="005C5088">
            <w:pPr>
              <w:jc w:val="center"/>
              <w:textAlignment w:val="center"/>
            </w:pPr>
            <w:r>
              <w:rPr>
                <w:rFonts w:ascii="Times New Roman" w:eastAsia="宋体" w:hAnsi="Times New Roman"/>
                <w:b/>
                <w:bCs/>
                <w:color w:val="FFFFFF"/>
                <w:sz w:val="16"/>
                <w:szCs w:val="16"/>
              </w:rPr>
              <w:t xml:space="preserve">Sept 29, </w:t>
            </w:r>
            <w:r>
              <w:rPr>
                <w:rFonts w:ascii="Times New Roman" w:eastAsia="宋体" w:hAnsi="Times New Roman"/>
                <w:b/>
                <w:bCs/>
                <w:color w:val="FFFFFF"/>
                <w:sz w:val="16"/>
                <w:szCs w:val="16"/>
              </w:rPr>
              <w:br/>
              <w:t>2019</w:t>
            </w:r>
            <w:r>
              <w:rPr>
                <w:rFonts w:ascii="Times New Roman" w:eastAsia="宋体" w:hAnsi="Times New Roman"/>
                <w:b/>
                <w:bCs/>
                <w:color w:val="FFFFFF"/>
                <w:sz w:val="16"/>
                <w:szCs w:val="16"/>
              </w:rPr>
              <w:br/>
              <w:t>(52 Wks)</w:t>
            </w:r>
          </w:p>
        </w:tc>
        <w:tc>
          <w:tcPr>
            <w:tcW w:w="0" w:type="auto"/>
            <w:gridSpan w:val="3"/>
            <w:vMerge w:val="restart"/>
            <w:shd w:val="clear" w:color="auto" w:fill="auto"/>
            <w:tcMar>
              <w:top w:w="0" w:type="dxa"/>
              <w:left w:w="20" w:type="dxa"/>
              <w:bottom w:w="0" w:type="dxa"/>
              <w:right w:w="20" w:type="dxa"/>
            </w:tcMar>
          </w:tcPr>
          <w:p w14:paraId="00BACE71"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center"/>
          </w:tcPr>
          <w:p w14:paraId="00BACE72" w14:textId="77777777" w:rsidR="00871BDF" w:rsidRDefault="005C5088">
            <w:pPr>
              <w:jc w:val="center"/>
              <w:textAlignment w:val="center"/>
            </w:pPr>
            <w:r>
              <w:rPr>
                <w:rFonts w:ascii="Times New Roman" w:eastAsia="宋体" w:hAnsi="Times New Roman"/>
                <w:b/>
                <w:bCs/>
                <w:color w:val="FFFFFF"/>
                <w:sz w:val="16"/>
                <w:szCs w:val="16"/>
              </w:rPr>
              <w:t xml:space="preserve">Sept 30, </w:t>
            </w:r>
            <w:r>
              <w:rPr>
                <w:rFonts w:ascii="Times New Roman" w:eastAsia="宋体" w:hAnsi="Times New Roman"/>
                <w:b/>
                <w:bCs/>
                <w:color w:val="FFFFFF"/>
                <w:sz w:val="16"/>
                <w:szCs w:val="16"/>
              </w:rPr>
              <w:br/>
              <w:t>2018</w:t>
            </w:r>
            <w:r>
              <w:rPr>
                <w:rFonts w:ascii="Times New Roman" w:eastAsia="宋体" w:hAnsi="Times New Roman"/>
                <w:b/>
                <w:bCs/>
                <w:color w:val="FFFFFF"/>
                <w:sz w:val="16"/>
                <w:szCs w:val="16"/>
              </w:rPr>
              <w:br/>
              <w:t>(52 Wks)</w:t>
            </w:r>
          </w:p>
        </w:tc>
        <w:tc>
          <w:tcPr>
            <w:tcW w:w="0" w:type="auto"/>
            <w:gridSpan w:val="3"/>
            <w:vMerge w:val="restart"/>
            <w:shd w:val="clear" w:color="auto" w:fill="auto"/>
            <w:tcMar>
              <w:top w:w="0" w:type="dxa"/>
              <w:left w:w="20" w:type="dxa"/>
              <w:bottom w:w="0" w:type="dxa"/>
              <w:right w:w="20" w:type="dxa"/>
            </w:tcMar>
          </w:tcPr>
          <w:p w14:paraId="00BACE73"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center"/>
          </w:tcPr>
          <w:p w14:paraId="00BACE74" w14:textId="77777777" w:rsidR="00871BDF" w:rsidRDefault="005C5088">
            <w:pPr>
              <w:jc w:val="center"/>
              <w:textAlignment w:val="center"/>
            </w:pPr>
            <w:r>
              <w:rPr>
                <w:rFonts w:ascii="Times New Roman" w:eastAsia="宋体" w:hAnsi="Times New Roman"/>
                <w:b/>
                <w:bCs/>
                <w:color w:val="FFFFFF"/>
                <w:sz w:val="16"/>
                <w:szCs w:val="16"/>
              </w:rPr>
              <w:t>Oct 1,</w:t>
            </w:r>
            <w:r>
              <w:rPr>
                <w:rFonts w:ascii="Times New Roman" w:eastAsia="宋体" w:hAnsi="Times New Roman"/>
                <w:b/>
                <w:bCs/>
                <w:color w:val="FFFFFF"/>
                <w:sz w:val="16"/>
                <w:szCs w:val="16"/>
              </w:rPr>
              <w:br/>
              <w:t>2017</w:t>
            </w:r>
            <w:r>
              <w:rPr>
                <w:rFonts w:ascii="Times New Roman" w:eastAsia="宋体" w:hAnsi="Times New Roman"/>
                <w:b/>
                <w:bCs/>
                <w:color w:val="FFFFFF"/>
                <w:sz w:val="16"/>
                <w:szCs w:val="16"/>
              </w:rPr>
              <w:br/>
              <w:t>(52 Wks)</w:t>
            </w:r>
          </w:p>
        </w:tc>
        <w:tc>
          <w:tcPr>
            <w:tcW w:w="0" w:type="auto"/>
            <w:gridSpan w:val="3"/>
            <w:vMerge w:val="restart"/>
            <w:shd w:val="clear" w:color="auto" w:fill="auto"/>
            <w:tcMar>
              <w:top w:w="0" w:type="dxa"/>
              <w:left w:w="20" w:type="dxa"/>
              <w:bottom w:w="0" w:type="dxa"/>
              <w:right w:w="20" w:type="dxa"/>
            </w:tcMar>
          </w:tcPr>
          <w:p w14:paraId="00BACE75"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center"/>
          </w:tcPr>
          <w:p w14:paraId="00BACE76" w14:textId="77777777" w:rsidR="00871BDF" w:rsidRDefault="005C5088">
            <w:pPr>
              <w:jc w:val="center"/>
              <w:textAlignment w:val="center"/>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2016</w:t>
            </w:r>
            <w:r>
              <w:rPr>
                <w:rFonts w:ascii="Times New Roman" w:eastAsia="宋体" w:hAnsi="Times New Roman"/>
                <w:b/>
                <w:bCs/>
                <w:color w:val="FFFFFF"/>
                <w:sz w:val="16"/>
                <w:szCs w:val="16"/>
              </w:rPr>
              <w:br/>
              <w:t xml:space="preserve">(53 </w:t>
            </w:r>
            <w:r>
              <w:rPr>
                <w:rFonts w:ascii="Times New Roman" w:eastAsia="宋体" w:hAnsi="Times New Roman"/>
                <w:b/>
                <w:bCs/>
                <w:color w:val="FFFFFF"/>
                <w:sz w:val="16"/>
                <w:szCs w:val="16"/>
              </w:rPr>
              <w:t>Wks)</w:t>
            </w:r>
          </w:p>
        </w:tc>
      </w:tr>
      <w:tr w:rsidR="00871BDF" w14:paraId="00BACE83" w14:textId="77777777">
        <w:trPr>
          <w:trHeight w:val="240"/>
          <w:jc w:val="center"/>
        </w:trPr>
        <w:tc>
          <w:tcPr>
            <w:tcW w:w="0" w:type="auto"/>
            <w:gridSpan w:val="3"/>
            <w:vMerge/>
            <w:shd w:val="clear" w:color="auto" w:fill="auto"/>
            <w:tcMar>
              <w:top w:w="40" w:type="dxa"/>
              <w:left w:w="20" w:type="dxa"/>
              <w:bottom w:w="40" w:type="dxa"/>
              <w:right w:w="20" w:type="dxa"/>
            </w:tcMar>
            <w:vAlign w:val="bottom"/>
          </w:tcPr>
          <w:p w14:paraId="00BACE78"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CE79"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CE7A"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CE7B"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CE7C"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CE7D"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CE7E"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CE7F"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CE80"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CE81" w14:textId="77777777" w:rsidR="00871BDF" w:rsidRDefault="00871BDF">
            <w:pPr>
              <w:jc w:val="center"/>
              <w:rPr>
                <w:rFonts w:ascii="宋体"/>
              </w:rPr>
            </w:pPr>
          </w:p>
        </w:tc>
        <w:tc>
          <w:tcPr>
            <w:tcW w:w="0" w:type="auto"/>
            <w:gridSpan w:val="30"/>
            <w:shd w:val="clear" w:color="auto" w:fill="auto"/>
          </w:tcPr>
          <w:p w14:paraId="00BACE82" w14:textId="77777777" w:rsidR="00871BDF" w:rsidRDefault="00871BDF">
            <w:pPr>
              <w:rPr>
                <w:rFonts w:ascii="宋体"/>
                <w:vanish/>
              </w:rPr>
            </w:pPr>
          </w:p>
        </w:tc>
      </w:tr>
      <w:tr w:rsidR="00871BDF" w14:paraId="00BACEAC" w14:textId="77777777">
        <w:trPr>
          <w:jc w:val="center"/>
        </w:trPr>
        <w:tc>
          <w:tcPr>
            <w:tcW w:w="0" w:type="auto"/>
            <w:gridSpan w:val="3"/>
            <w:shd w:val="clear" w:color="auto" w:fill="D7E4BC"/>
            <w:tcMar>
              <w:top w:w="40" w:type="dxa"/>
              <w:left w:w="20" w:type="dxa"/>
              <w:bottom w:w="40" w:type="dxa"/>
              <w:right w:w="20" w:type="dxa"/>
            </w:tcMar>
            <w:vAlign w:val="bottom"/>
          </w:tcPr>
          <w:p w14:paraId="00BACE84" w14:textId="77777777" w:rsidR="00871BDF" w:rsidRDefault="005C5088">
            <w:pPr>
              <w:textAlignment w:val="bottom"/>
            </w:pPr>
            <w:r>
              <w:rPr>
                <w:rFonts w:ascii="Times New Roman" w:eastAsia="宋体" w:hAnsi="Times New Roman"/>
                <w:b/>
                <w:bCs/>
                <w:color w:val="000000"/>
                <w:sz w:val="20"/>
                <w:szCs w:val="20"/>
              </w:rPr>
              <w:t>Results of Operations</w:t>
            </w:r>
          </w:p>
        </w:tc>
        <w:tc>
          <w:tcPr>
            <w:tcW w:w="0" w:type="auto"/>
            <w:gridSpan w:val="3"/>
            <w:tcBorders>
              <w:top w:val="single" w:sz="8" w:space="0" w:color="000000"/>
            </w:tcBorders>
            <w:shd w:val="clear" w:color="auto" w:fill="D7E4BC"/>
            <w:tcMar>
              <w:top w:w="0" w:type="dxa"/>
              <w:left w:w="20" w:type="dxa"/>
              <w:bottom w:w="0" w:type="dxa"/>
              <w:right w:w="20" w:type="dxa"/>
            </w:tcMar>
          </w:tcPr>
          <w:p w14:paraId="00BACE8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E86"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E8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E88"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E8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E8A"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E8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CE8C"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CE8D" w14:textId="77777777" w:rsidR="00871BDF" w:rsidRDefault="00871BDF">
            <w:pPr>
              <w:rPr>
                <w:rFonts w:ascii="宋体"/>
              </w:rPr>
            </w:pPr>
          </w:p>
        </w:tc>
        <w:tc>
          <w:tcPr>
            <w:tcW w:w="0" w:type="auto"/>
            <w:shd w:val="clear" w:color="auto" w:fill="auto"/>
          </w:tcPr>
          <w:p w14:paraId="00BACE8E" w14:textId="77777777" w:rsidR="00871BDF" w:rsidRDefault="00871BDF">
            <w:pPr>
              <w:rPr>
                <w:rFonts w:ascii="宋体"/>
              </w:rPr>
            </w:pPr>
          </w:p>
        </w:tc>
        <w:tc>
          <w:tcPr>
            <w:tcW w:w="0" w:type="auto"/>
            <w:shd w:val="clear" w:color="auto" w:fill="auto"/>
          </w:tcPr>
          <w:p w14:paraId="00BACE8F" w14:textId="77777777" w:rsidR="00871BDF" w:rsidRDefault="00871BDF">
            <w:pPr>
              <w:rPr>
                <w:rFonts w:ascii="宋体"/>
              </w:rPr>
            </w:pPr>
          </w:p>
        </w:tc>
        <w:tc>
          <w:tcPr>
            <w:tcW w:w="0" w:type="auto"/>
            <w:shd w:val="clear" w:color="auto" w:fill="auto"/>
          </w:tcPr>
          <w:p w14:paraId="00BACE90" w14:textId="77777777" w:rsidR="00871BDF" w:rsidRDefault="00871BDF">
            <w:pPr>
              <w:rPr>
                <w:rFonts w:ascii="宋体"/>
              </w:rPr>
            </w:pPr>
          </w:p>
        </w:tc>
        <w:tc>
          <w:tcPr>
            <w:tcW w:w="0" w:type="auto"/>
            <w:shd w:val="clear" w:color="auto" w:fill="auto"/>
          </w:tcPr>
          <w:p w14:paraId="00BACE91" w14:textId="77777777" w:rsidR="00871BDF" w:rsidRDefault="00871BDF">
            <w:pPr>
              <w:rPr>
                <w:rFonts w:ascii="宋体"/>
              </w:rPr>
            </w:pPr>
          </w:p>
        </w:tc>
        <w:tc>
          <w:tcPr>
            <w:tcW w:w="0" w:type="auto"/>
            <w:shd w:val="clear" w:color="auto" w:fill="auto"/>
          </w:tcPr>
          <w:p w14:paraId="00BACE92" w14:textId="77777777" w:rsidR="00871BDF" w:rsidRDefault="00871BDF">
            <w:pPr>
              <w:rPr>
                <w:rFonts w:ascii="宋体"/>
              </w:rPr>
            </w:pPr>
          </w:p>
        </w:tc>
        <w:tc>
          <w:tcPr>
            <w:tcW w:w="0" w:type="auto"/>
            <w:shd w:val="clear" w:color="auto" w:fill="auto"/>
          </w:tcPr>
          <w:p w14:paraId="00BACE93" w14:textId="77777777" w:rsidR="00871BDF" w:rsidRDefault="00871BDF">
            <w:pPr>
              <w:rPr>
                <w:rFonts w:ascii="宋体"/>
              </w:rPr>
            </w:pPr>
          </w:p>
        </w:tc>
        <w:tc>
          <w:tcPr>
            <w:tcW w:w="0" w:type="auto"/>
            <w:shd w:val="clear" w:color="auto" w:fill="auto"/>
          </w:tcPr>
          <w:p w14:paraId="00BACE94" w14:textId="77777777" w:rsidR="00871BDF" w:rsidRDefault="00871BDF">
            <w:pPr>
              <w:rPr>
                <w:rFonts w:ascii="宋体"/>
              </w:rPr>
            </w:pPr>
          </w:p>
        </w:tc>
        <w:tc>
          <w:tcPr>
            <w:tcW w:w="0" w:type="auto"/>
            <w:shd w:val="clear" w:color="auto" w:fill="auto"/>
          </w:tcPr>
          <w:p w14:paraId="00BACE95" w14:textId="77777777" w:rsidR="00871BDF" w:rsidRDefault="00871BDF">
            <w:pPr>
              <w:rPr>
                <w:rFonts w:ascii="宋体"/>
              </w:rPr>
            </w:pPr>
          </w:p>
        </w:tc>
        <w:tc>
          <w:tcPr>
            <w:tcW w:w="0" w:type="auto"/>
            <w:shd w:val="clear" w:color="auto" w:fill="auto"/>
          </w:tcPr>
          <w:p w14:paraId="00BACE96" w14:textId="77777777" w:rsidR="00871BDF" w:rsidRDefault="00871BDF">
            <w:pPr>
              <w:rPr>
                <w:rFonts w:ascii="宋体"/>
              </w:rPr>
            </w:pPr>
          </w:p>
        </w:tc>
        <w:tc>
          <w:tcPr>
            <w:tcW w:w="0" w:type="auto"/>
            <w:shd w:val="clear" w:color="auto" w:fill="auto"/>
          </w:tcPr>
          <w:p w14:paraId="00BACE97" w14:textId="77777777" w:rsidR="00871BDF" w:rsidRDefault="00871BDF">
            <w:pPr>
              <w:rPr>
                <w:rFonts w:ascii="宋体"/>
              </w:rPr>
            </w:pPr>
          </w:p>
        </w:tc>
        <w:tc>
          <w:tcPr>
            <w:tcW w:w="0" w:type="auto"/>
            <w:shd w:val="clear" w:color="auto" w:fill="auto"/>
          </w:tcPr>
          <w:p w14:paraId="00BACE98" w14:textId="77777777" w:rsidR="00871BDF" w:rsidRDefault="00871BDF">
            <w:pPr>
              <w:rPr>
                <w:rFonts w:ascii="宋体"/>
              </w:rPr>
            </w:pPr>
          </w:p>
        </w:tc>
        <w:tc>
          <w:tcPr>
            <w:tcW w:w="0" w:type="auto"/>
            <w:shd w:val="clear" w:color="auto" w:fill="auto"/>
          </w:tcPr>
          <w:p w14:paraId="00BACE99" w14:textId="77777777" w:rsidR="00871BDF" w:rsidRDefault="00871BDF">
            <w:pPr>
              <w:rPr>
                <w:rFonts w:ascii="宋体"/>
              </w:rPr>
            </w:pPr>
          </w:p>
        </w:tc>
        <w:tc>
          <w:tcPr>
            <w:tcW w:w="0" w:type="auto"/>
            <w:shd w:val="clear" w:color="auto" w:fill="auto"/>
          </w:tcPr>
          <w:p w14:paraId="00BACE9A" w14:textId="77777777" w:rsidR="00871BDF" w:rsidRDefault="00871BDF">
            <w:pPr>
              <w:rPr>
                <w:rFonts w:ascii="宋体"/>
              </w:rPr>
            </w:pPr>
          </w:p>
        </w:tc>
        <w:tc>
          <w:tcPr>
            <w:tcW w:w="0" w:type="auto"/>
            <w:shd w:val="clear" w:color="auto" w:fill="auto"/>
          </w:tcPr>
          <w:p w14:paraId="00BACE9B" w14:textId="77777777" w:rsidR="00871BDF" w:rsidRDefault="00871BDF">
            <w:pPr>
              <w:rPr>
                <w:rFonts w:ascii="宋体"/>
              </w:rPr>
            </w:pPr>
          </w:p>
        </w:tc>
        <w:tc>
          <w:tcPr>
            <w:tcW w:w="0" w:type="auto"/>
            <w:shd w:val="clear" w:color="auto" w:fill="auto"/>
          </w:tcPr>
          <w:p w14:paraId="00BACE9C" w14:textId="77777777" w:rsidR="00871BDF" w:rsidRDefault="00871BDF">
            <w:pPr>
              <w:rPr>
                <w:rFonts w:ascii="宋体"/>
              </w:rPr>
            </w:pPr>
          </w:p>
        </w:tc>
        <w:tc>
          <w:tcPr>
            <w:tcW w:w="0" w:type="auto"/>
            <w:shd w:val="clear" w:color="auto" w:fill="auto"/>
          </w:tcPr>
          <w:p w14:paraId="00BACE9D" w14:textId="77777777" w:rsidR="00871BDF" w:rsidRDefault="00871BDF">
            <w:pPr>
              <w:rPr>
                <w:rFonts w:ascii="宋体"/>
              </w:rPr>
            </w:pPr>
          </w:p>
        </w:tc>
        <w:tc>
          <w:tcPr>
            <w:tcW w:w="0" w:type="auto"/>
            <w:shd w:val="clear" w:color="auto" w:fill="auto"/>
          </w:tcPr>
          <w:p w14:paraId="00BACE9E" w14:textId="77777777" w:rsidR="00871BDF" w:rsidRDefault="00871BDF">
            <w:pPr>
              <w:rPr>
                <w:rFonts w:ascii="宋体"/>
              </w:rPr>
            </w:pPr>
          </w:p>
        </w:tc>
        <w:tc>
          <w:tcPr>
            <w:tcW w:w="0" w:type="auto"/>
            <w:shd w:val="clear" w:color="auto" w:fill="auto"/>
          </w:tcPr>
          <w:p w14:paraId="00BACE9F" w14:textId="77777777" w:rsidR="00871BDF" w:rsidRDefault="00871BDF">
            <w:pPr>
              <w:rPr>
                <w:rFonts w:ascii="宋体"/>
              </w:rPr>
            </w:pPr>
          </w:p>
        </w:tc>
        <w:tc>
          <w:tcPr>
            <w:tcW w:w="0" w:type="auto"/>
            <w:shd w:val="clear" w:color="auto" w:fill="auto"/>
          </w:tcPr>
          <w:p w14:paraId="00BACEA0" w14:textId="77777777" w:rsidR="00871BDF" w:rsidRDefault="00871BDF">
            <w:pPr>
              <w:rPr>
                <w:rFonts w:ascii="宋体"/>
              </w:rPr>
            </w:pPr>
          </w:p>
        </w:tc>
        <w:tc>
          <w:tcPr>
            <w:tcW w:w="0" w:type="auto"/>
            <w:shd w:val="clear" w:color="auto" w:fill="auto"/>
          </w:tcPr>
          <w:p w14:paraId="00BACEA1" w14:textId="77777777" w:rsidR="00871BDF" w:rsidRDefault="00871BDF">
            <w:pPr>
              <w:rPr>
                <w:rFonts w:ascii="宋体"/>
              </w:rPr>
            </w:pPr>
          </w:p>
        </w:tc>
        <w:tc>
          <w:tcPr>
            <w:tcW w:w="0" w:type="auto"/>
            <w:shd w:val="clear" w:color="auto" w:fill="auto"/>
          </w:tcPr>
          <w:p w14:paraId="00BACEA2" w14:textId="77777777" w:rsidR="00871BDF" w:rsidRDefault="00871BDF">
            <w:pPr>
              <w:rPr>
                <w:rFonts w:ascii="宋体"/>
              </w:rPr>
            </w:pPr>
          </w:p>
        </w:tc>
        <w:tc>
          <w:tcPr>
            <w:tcW w:w="0" w:type="auto"/>
            <w:shd w:val="clear" w:color="auto" w:fill="auto"/>
          </w:tcPr>
          <w:p w14:paraId="00BACEA3" w14:textId="77777777" w:rsidR="00871BDF" w:rsidRDefault="00871BDF">
            <w:pPr>
              <w:rPr>
                <w:rFonts w:ascii="宋体"/>
              </w:rPr>
            </w:pPr>
          </w:p>
        </w:tc>
        <w:tc>
          <w:tcPr>
            <w:tcW w:w="0" w:type="auto"/>
            <w:shd w:val="clear" w:color="auto" w:fill="auto"/>
          </w:tcPr>
          <w:p w14:paraId="00BACEA4" w14:textId="77777777" w:rsidR="00871BDF" w:rsidRDefault="00871BDF">
            <w:pPr>
              <w:rPr>
                <w:rFonts w:ascii="宋体"/>
              </w:rPr>
            </w:pPr>
          </w:p>
        </w:tc>
        <w:tc>
          <w:tcPr>
            <w:tcW w:w="0" w:type="auto"/>
            <w:shd w:val="clear" w:color="auto" w:fill="auto"/>
          </w:tcPr>
          <w:p w14:paraId="00BACEA5" w14:textId="77777777" w:rsidR="00871BDF" w:rsidRDefault="00871BDF">
            <w:pPr>
              <w:rPr>
                <w:rFonts w:ascii="宋体"/>
              </w:rPr>
            </w:pPr>
          </w:p>
        </w:tc>
        <w:tc>
          <w:tcPr>
            <w:tcW w:w="0" w:type="auto"/>
            <w:shd w:val="clear" w:color="auto" w:fill="auto"/>
          </w:tcPr>
          <w:p w14:paraId="00BACEA6" w14:textId="77777777" w:rsidR="00871BDF" w:rsidRDefault="00871BDF">
            <w:pPr>
              <w:rPr>
                <w:rFonts w:ascii="宋体"/>
              </w:rPr>
            </w:pPr>
          </w:p>
        </w:tc>
        <w:tc>
          <w:tcPr>
            <w:tcW w:w="0" w:type="auto"/>
            <w:shd w:val="clear" w:color="auto" w:fill="auto"/>
          </w:tcPr>
          <w:p w14:paraId="00BACEA7" w14:textId="77777777" w:rsidR="00871BDF" w:rsidRDefault="00871BDF">
            <w:pPr>
              <w:rPr>
                <w:rFonts w:ascii="宋体"/>
              </w:rPr>
            </w:pPr>
          </w:p>
        </w:tc>
        <w:tc>
          <w:tcPr>
            <w:tcW w:w="0" w:type="auto"/>
            <w:shd w:val="clear" w:color="auto" w:fill="auto"/>
          </w:tcPr>
          <w:p w14:paraId="00BACEA8" w14:textId="77777777" w:rsidR="00871BDF" w:rsidRDefault="00871BDF">
            <w:pPr>
              <w:rPr>
                <w:rFonts w:ascii="宋体"/>
              </w:rPr>
            </w:pPr>
          </w:p>
        </w:tc>
        <w:tc>
          <w:tcPr>
            <w:tcW w:w="0" w:type="auto"/>
            <w:shd w:val="clear" w:color="auto" w:fill="auto"/>
          </w:tcPr>
          <w:p w14:paraId="00BACEA9" w14:textId="77777777" w:rsidR="00871BDF" w:rsidRDefault="00871BDF">
            <w:pPr>
              <w:rPr>
                <w:rFonts w:ascii="宋体"/>
              </w:rPr>
            </w:pPr>
          </w:p>
        </w:tc>
        <w:tc>
          <w:tcPr>
            <w:tcW w:w="0" w:type="auto"/>
            <w:shd w:val="clear" w:color="auto" w:fill="auto"/>
          </w:tcPr>
          <w:p w14:paraId="00BACEAA" w14:textId="77777777" w:rsidR="00871BDF" w:rsidRDefault="00871BDF">
            <w:pPr>
              <w:rPr>
                <w:rFonts w:ascii="宋体"/>
              </w:rPr>
            </w:pPr>
          </w:p>
        </w:tc>
        <w:tc>
          <w:tcPr>
            <w:tcW w:w="0" w:type="auto"/>
            <w:shd w:val="clear" w:color="auto" w:fill="auto"/>
          </w:tcPr>
          <w:p w14:paraId="00BACEAB" w14:textId="77777777" w:rsidR="00871BDF" w:rsidRDefault="00871BDF">
            <w:pPr>
              <w:rPr>
                <w:rFonts w:ascii="宋体"/>
              </w:rPr>
            </w:pPr>
          </w:p>
        </w:tc>
      </w:tr>
      <w:tr w:rsidR="00871BDF" w14:paraId="00BACED5" w14:textId="77777777">
        <w:trPr>
          <w:jc w:val="center"/>
        </w:trPr>
        <w:tc>
          <w:tcPr>
            <w:tcW w:w="0" w:type="auto"/>
            <w:gridSpan w:val="3"/>
            <w:shd w:val="clear" w:color="auto" w:fill="FFFFFF"/>
            <w:tcMar>
              <w:top w:w="40" w:type="dxa"/>
              <w:left w:w="20" w:type="dxa"/>
              <w:bottom w:w="40" w:type="dxa"/>
              <w:right w:w="20" w:type="dxa"/>
            </w:tcMar>
            <w:vAlign w:val="bottom"/>
          </w:tcPr>
          <w:p w14:paraId="00BACEAD" w14:textId="77777777" w:rsidR="00871BDF" w:rsidRDefault="005C5088">
            <w:pPr>
              <w:textAlignment w:val="bottom"/>
            </w:pPr>
            <w:r>
              <w:rPr>
                <w:rFonts w:ascii="Times New Roman" w:eastAsia="宋体" w:hAnsi="Times New Roman"/>
                <w:color w:val="000000"/>
                <w:sz w:val="20"/>
                <w:szCs w:val="20"/>
              </w:rPr>
              <w:t>Net revenues:</w:t>
            </w:r>
          </w:p>
        </w:tc>
        <w:tc>
          <w:tcPr>
            <w:tcW w:w="0" w:type="auto"/>
            <w:gridSpan w:val="3"/>
            <w:shd w:val="clear" w:color="auto" w:fill="FFFFFF"/>
            <w:tcMar>
              <w:top w:w="0" w:type="dxa"/>
              <w:left w:w="20" w:type="dxa"/>
              <w:bottom w:w="0" w:type="dxa"/>
              <w:right w:w="20" w:type="dxa"/>
            </w:tcMar>
          </w:tcPr>
          <w:p w14:paraId="00BACEA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CEA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CEB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CEB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CEB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CEB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CEB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CEB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CEB6" w14:textId="77777777" w:rsidR="00871BDF" w:rsidRDefault="00871BDF">
            <w:pPr>
              <w:rPr>
                <w:rFonts w:ascii="宋体"/>
              </w:rPr>
            </w:pPr>
          </w:p>
        </w:tc>
        <w:tc>
          <w:tcPr>
            <w:tcW w:w="0" w:type="auto"/>
            <w:shd w:val="clear" w:color="auto" w:fill="auto"/>
          </w:tcPr>
          <w:p w14:paraId="00BACEB7" w14:textId="77777777" w:rsidR="00871BDF" w:rsidRDefault="00871BDF">
            <w:pPr>
              <w:rPr>
                <w:rFonts w:ascii="宋体"/>
              </w:rPr>
            </w:pPr>
          </w:p>
        </w:tc>
        <w:tc>
          <w:tcPr>
            <w:tcW w:w="0" w:type="auto"/>
            <w:shd w:val="clear" w:color="auto" w:fill="auto"/>
          </w:tcPr>
          <w:p w14:paraId="00BACEB8" w14:textId="77777777" w:rsidR="00871BDF" w:rsidRDefault="00871BDF">
            <w:pPr>
              <w:rPr>
                <w:rFonts w:ascii="宋体"/>
              </w:rPr>
            </w:pPr>
          </w:p>
        </w:tc>
        <w:tc>
          <w:tcPr>
            <w:tcW w:w="0" w:type="auto"/>
            <w:shd w:val="clear" w:color="auto" w:fill="auto"/>
          </w:tcPr>
          <w:p w14:paraId="00BACEB9" w14:textId="77777777" w:rsidR="00871BDF" w:rsidRDefault="00871BDF">
            <w:pPr>
              <w:rPr>
                <w:rFonts w:ascii="宋体"/>
              </w:rPr>
            </w:pPr>
          </w:p>
        </w:tc>
        <w:tc>
          <w:tcPr>
            <w:tcW w:w="0" w:type="auto"/>
            <w:shd w:val="clear" w:color="auto" w:fill="auto"/>
          </w:tcPr>
          <w:p w14:paraId="00BACEBA" w14:textId="77777777" w:rsidR="00871BDF" w:rsidRDefault="00871BDF">
            <w:pPr>
              <w:rPr>
                <w:rFonts w:ascii="宋体"/>
              </w:rPr>
            </w:pPr>
          </w:p>
        </w:tc>
        <w:tc>
          <w:tcPr>
            <w:tcW w:w="0" w:type="auto"/>
            <w:shd w:val="clear" w:color="auto" w:fill="auto"/>
          </w:tcPr>
          <w:p w14:paraId="00BACEBB" w14:textId="77777777" w:rsidR="00871BDF" w:rsidRDefault="00871BDF">
            <w:pPr>
              <w:rPr>
                <w:rFonts w:ascii="宋体"/>
              </w:rPr>
            </w:pPr>
          </w:p>
        </w:tc>
        <w:tc>
          <w:tcPr>
            <w:tcW w:w="0" w:type="auto"/>
            <w:shd w:val="clear" w:color="auto" w:fill="auto"/>
          </w:tcPr>
          <w:p w14:paraId="00BACEBC" w14:textId="77777777" w:rsidR="00871BDF" w:rsidRDefault="00871BDF">
            <w:pPr>
              <w:rPr>
                <w:rFonts w:ascii="宋体"/>
              </w:rPr>
            </w:pPr>
          </w:p>
        </w:tc>
        <w:tc>
          <w:tcPr>
            <w:tcW w:w="0" w:type="auto"/>
            <w:shd w:val="clear" w:color="auto" w:fill="auto"/>
          </w:tcPr>
          <w:p w14:paraId="00BACEBD" w14:textId="77777777" w:rsidR="00871BDF" w:rsidRDefault="00871BDF">
            <w:pPr>
              <w:rPr>
                <w:rFonts w:ascii="宋体"/>
              </w:rPr>
            </w:pPr>
          </w:p>
        </w:tc>
        <w:tc>
          <w:tcPr>
            <w:tcW w:w="0" w:type="auto"/>
            <w:shd w:val="clear" w:color="auto" w:fill="auto"/>
          </w:tcPr>
          <w:p w14:paraId="00BACEBE" w14:textId="77777777" w:rsidR="00871BDF" w:rsidRDefault="00871BDF">
            <w:pPr>
              <w:rPr>
                <w:rFonts w:ascii="宋体"/>
              </w:rPr>
            </w:pPr>
          </w:p>
        </w:tc>
        <w:tc>
          <w:tcPr>
            <w:tcW w:w="0" w:type="auto"/>
            <w:shd w:val="clear" w:color="auto" w:fill="auto"/>
          </w:tcPr>
          <w:p w14:paraId="00BACEBF" w14:textId="77777777" w:rsidR="00871BDF" w:rsidRDefault="00871BDF">
            <w:pPr>
              <w:rPr>
                <w:rFonts w:ascii="宋体"/>
              </w:rPr>
            </w:pPr>
          </w:p>
        </w:tc>
        <w:tc>
          <w:tcPr>
            <w:tcW w:w="0" w:type="auto"/>
            <w:shd w:val="clear" w:color="auto" w:fill="auto"/>
          </w:tcPr>
          <w:p w14:paraId="00BACEC0" w14:textId="77777777" w:rsidR="00871BDF" w:rsidRDefault="00871BDF">
            <w:pPr>
              <w:rPr>
                <w:rFonts w:ascii="宋体"/>
              </w:rPr>
            </w:pPr>
          </w:p>
        </w:tc>
        <w:tc>
          <w:tcPr>
            <w:tcW w:w="0" w:type="auto"/>
            <w:shd w:val="clear" w:color="auto" w:fill="auto"/>
          </w:tcPr>
          <w:p w14:paraId="00BACEC1" w14:textId="77777777" w:rsidR="00871BDF" w:rsidRDefault="00871BDF">
            <w:pPr>
              <w:rPr>
                <w:rFonts w:ascii="宋体"/>
              </w:rPr>
            </w:pPr>
          </w:p>
        </w:tc>
        <w:tc>
          <w:tcPr>
            <w:tcW w:w="0" w:type="auto"/>
            <w:shd w:val="clear" w:color="auto" w:fill="auto"/>
          </w:tcPr>
          <w:p w14:paraId="00BACEC2" w14:textId="77777777" w:rsidR="00871BDF" w:rsidRDefault="00871BDF">
            <w:pPr>
              <w:rPr>
                <w:rFonts w:ascii="宋体"/>
              </w:rPr>
            </w:pPr>
          </w:p>
        </w:tc>
        <w:tc>
          <w:tcPr>
            <w:tcW w:w="0" w:type="auto"/>
            <w:shd w:val="clear" w:color="auto" w:fill="auto"/>
          </w:tcPr>
          <w:p w14:paraId="00BACEC3" w14:textId="77777777" w:rsidR="00871BDF" w:rsidRDefault="00871BDF">
            <w:pPr>
              <w:rPr>
                <w:rFonts w:ascii="宋体"/>
              </w:rPr>
            </w:pPr>
          </w:p>
        </w:tc>
        <w:tc>
          <w:tcPr>
            <w:tcW w:w="0" w:type="auto"/>
            <w:shd w:val="clear" w:color="auto" w:fill="auto"/>
          </w:tcPr>
          <w:p w14:paraId="00BACEC4" w14:textId="77777777" w:rsidR="00871BDF" w:rsidRDefault="00871BDF">
            <w:pPr>
              <w:rPr>
                <w:rFonts w:ascii="宋体"/>
              </w:rPr>
            </w:pPr>
          </w:p>
        </w:tc>
        <w:tc>
          <w:tcPr>
            <w:tcW w:w="0" w:type="auto"/>
            <w:shd w:val="clear" w:color="auto" w:fill="auto"/>
          </w:tcPr>
          <w:p w14:paraId="00BACEC5" w14:textId="77777777" w:rsidR="00871BDF" w:rsidRDefault="00871BDF">
            <w:pPr>
              <w:rPr>
                <w:rFonts w:ascii="宋体"/>
              </w:rPr>
            </w:pPr>
          </w:p>
        </w:tc>
        <w:tc>
          <w:tcPr>
            <w:tcW w:w="0" w:type="auto"/>
            <w:shd w:val="clear" w:color="auto" w:fill="auto"/>
          </w:tcPr>
          <w:p w14:paraId="00BACEC6" w14:textId="77777777" w:rsidR="00871BDF" w:rsidRDefault="00871BDF">
            <w:pPr>
              <w:rPr>
                <w:rFonts w:ascii="宋体"/>
              </w:rPr>
            </w:pPr>
          </w:p>
        </w:tc>
        <w:tc>
          <w:tcPr>
            <w:tcW w:w="0" w:type="auto"/>
            <w:shd w:val="clear" w:color="auto" w:fill="auto"/>
          </w:tcPr>
          <w:p w14:paraId="00BACEC7" w14:textId="77777777" w:rsidR="00871BDF" w:rsidRDefault="00871BDF">
            <w:pPr>
              <w:rPr>
                <w:rFonts w:ascii="宋体"/>
              </w:rPr>
            </w:pPr>
          </w:p>
        </w:tc>
        <w:tc>
          <w:tcPr>
            <w:tcW w:w="0" w:type="auto"/>
            <w:shd w:val="clear" w:color="auto" w:fill="auto"/>
          </w:tcPr>
          <w:p w14:paraId="00BACEC8" w14:textId="77777777" w:rsidR="00871BDF" w:rsidRDefault="00871BDF">
            <w:pPr>
              <w:rPr>
                <w:rFonts w:ascii="宋体"/>
              </w:rPr>
            </w:pPr>
          </w:p>
        </w:tc>
        <w:tc>
          <w:tcPr>
            <w:tcW w:w="0" w:type="auto"/>
            <w:shd w:val="clear" w:color="auto" w:fill="auto"/>
          </w:tcPr>
          <w:p w14:paraId="00BACEC9" w14:textId="77777777" w:rsidR="00871BDF" w:rsidRDefault="00871BDF">
            <w:pPr>
              <w:rPr>
                <w:rFonts w:ascii="宋体"/>
              </w:rPr>
            </w:pPr>
          </w:p>
        </w:tc>
        <w:tc>
          <w:tcPr>
            <w:tcW w:w="0" w:type="auto"/>
            <w:shd w:val="clear" w:color="auto" w:fill="auto"/>
          </w:tcPr>
          <w:p w14:paraId="00BACECA" w14:textId="77777777" w:rsidR="00871BDF" w:rsidRDefault="00871BDF">
            <w:pPr>
              <w:rPr>
                <w:rFonts w:ascii="宋体"/>
              </w:rPr>
            </w:pPr>
          </w:p>
        </w:tc>
        <w:tc>
          <w:tcPr>
            <w:tcW w:w="0" w:type="auto"/>
            <w:shd w:val="clear" w:color="auto" w:fill="auto"/>
          </w:tcPr>
          <w:p w14:paraId="00BACECB" w14:textId="77777777" w:rsidR="00871BDF" w:rsidRDefault="00871BDF">
            <w:pPr>
              <w:rPr>
                <w:rFonts w:ascii="宋体"/>
              </w:rPr>
            </w:pPr>
          </w:p>
        </w:tc>
        <w:tc>
          <w:tcPr>
            <w:tcW w:w="0" w:type="auto"/>
            <w:shd w:val="clear" w:color="auto" w:fill="auto"/>
          </w:tcPr>
          <w:p w14:paraId="00BACECC" w14:textId="77777777" w:rsidR="00871BDF" w:rsidRDefault="00871BDF">
            <w:pPr>
              <w:rPr>
                <w:rFonts w:ascii="宋体"/>
              </w:rPr>
            </w:pPr>
          </w:p>
        </w:tc>
        <w:tc>
          <w:tcPr>
            <w:tcW w:w="0" w:type="auto"/>
            <w:shd w:val="clear" w:color="auto" w:fill="auto"/>
          </w:tcPr>
          <w:p w14:paraId="00BACECD" w14:textId="77777777" w:rsidR="00871BDF" w:rsidRDefault="00871BDF">
            <w:pPr>
              <w:rPr>
                <w:rFonts w:ascii="宋体"/>
              </w:rPr>
            </w:pPr>
          </w:p>
        </w:tc>
        <w:tc>
          <w:tcPr>
            <w:tcW w:w="0" w:type="auto"/>
            <w:shd w:val="clear" w:color="auto" w:fill="auto"/>
          </w:tcPr>
          <w:p w14:paraId="00BACECE" w14:textId="77777777" w:rsidR="00871BDF" w:rsidRDefault="00871BDF">
            <w:pPr>
              <w:rPr>
                <w:rFonts w:ascii="宋体"/>
              </w:rPr>
            </w:pPr>
          </w:p>
        </w:tc>
        <w:tc>
          <w:tcPr>
            <w:tcW w:w="0" w:type="auto"/>
            <w:shd w:val="clear" w:color="auto" w:fill="auto"/>
          </w:tcPr>
          <w:p w14:paraId="00BACECF" w14:textId="77777777" w:rsidR="00871BDF" w:rsidRDefault="00871BDF">
            <w:pPr>
              <w:rPr>
                <w:rFonts w:ascii="宋体"/>
              </w:rPr>
            </w:pPr>
          </w:p>
        </w:tc>
        <w:tc>
          <w:tcPr>
            <w:tcW w:w="0" w:type="auto"/>
            <w:shd w:val="clear" w:color="auto" w:fill="auto"/>
          </w:tcPr>
          <w:p w14:paraId="00BACED0" w14:textId="77777777" w:rsidR="00871BDF" w:rsidRDefault="00871BDF">
            <w:pPr>
              <w:rPr>
                <w:rFonts w:ascii="宋体"/>
              </w:rPr>
            </w:pPr>
          </w:p>
        </w:tc>
        <w:tc>
          <w:tcPr>
            <w:tcW w:w="0" w:type="auto"/>
            <w:shd w:val="clear" w:color="auto" w:fill="auto"/>
          </w:tcPr>
          <w:p w14:paraId="00BACED1" w14:textId="77777777" w:rsidR="00871BDF" w:rsidRDefault="00871BDF">
            <w:pPr>
              <w:rPr>
                <w:rFonts w:ascii="宋体"/>
              </w:rPr>
            </w:pPr>
          </w:p>
        </w:tc>
        <w:tc>
          <w:tcPr>
            <w:tcW w:w="0" w:type="auto"/>
            <w:shd w:val="clear" w:color="auto" w:fill="auto"/>
          </w:tcPr>
          <w:p w14:paraId="00BACED2" w14:textId="77777777" w:rsidR="00871BDF" w:rsidRDefault="00871BDF">
            <w:pPr>
              <w:rPr>
                <w:rFonts w:ascii="宋体"/>
              </w:rPr>
            </w:pPr>
          </w:p>
        </w:tc>
        <w:tc>
          <w:tcPr>
            <w:tcW w:w="0" w:type="auto"/>
            <w:shd w:val="clear" w:color="auto" w:fill="auto"/>
          </w:tcPr>
          <w:p w14:paraId="00BACED3" w14:textId="77777777" w:rsidR="00871BDF" w:rsidRDefault="00871BDF">
            <w:pPr>
              <w:rPr>
                <w:rFonts w:ascii="宋体"/>
              </w:rPr>
            </w:pPr>
          </w:p>
        </w:tc>
        <w:tc>
          <w:tcPr>
            <w:tcW w:w="0" w:type="auto"/>
            <w:shd w:val="clear" w:color="auto" w:fill="auto"/>
          </w:tcPr>
          <w:p w14:paraId="00BACED4" w14:textId="77777777" w:rsidR="00871BDF" w:rsidRDefault="00871BDF">
            <w:pPr>
              <w:rPr>
                <w:rFonts w:ascii="宋体"/>
              </w:rPr>
            </w:pPr>
          </w:p>
        </w:tc>
      </w:tr>
      <w:tr w:rsidR="00871BDF" w14:paraId="00BACF08" w14:textId="77777777">
        <w:trPr>
          <w:jc w:val="center"/>
        </w:trPr>
        <w:tc>
          <w:tcPr>
            <w:tcW w:w="0" w:type="auto"/>
            <w:gridSpan w:val="3"/>
            <w:shd w:val="clear" w:color="auto" w:fill="D7E4BC"/>
            <w:tcMar>
              <w:top w:w="40" w:type="dxa"/>
              <w:left w:w="155" w:type="dxa"/>
              <w:bottom w:w="40" w:type="dxa"/>
              <w:right w:w="20" w:type="dxa"/>
            </w:tcMar>
            <w:vAlign w:val="bottom"/>
          </w:tcPr>
          <w:p w14:paraId="00BACED6" w14:textId="77777777" w:rsidR="00871BDF" w:rsidRDefault="005C5088">
            <w:pPr>
              <w:textAlignment w:val="bottom"/>
            </w:pPr>
            <w:r>
              <w:rPr>
                <w:rFonts w:ascii="Times New Roman" w:eastAsia="宋体" w:hAnsi="Times New Roman"/>
                <w:color w:val="000000"/>
                <w:sz w:val="20"/>
                <w:szCs w:val="20"/>
              </w:rPr>
              <w:t> Company-operated stores</w:t>
            </w:r>
          </w:p>
        </w:tc>
        <w:tc>
          <w:tcPr>
            <w:tcW w:w="0" w:type="auto"/>
            <w:shd w:val="clear" w:color="auto" w:fill="D7E4BC"/>
            <w:tcMar>
              <w:top w:w="40" w:type="dxa"/>
              <w:left w:w="20" w:type="dxa"/>
              <w:bottom w:w="40" w:type="dxa"/>
              <w:right w:w="0" w:type="dxa"/>
            </w:tcMar>
            <w:vAlign w:val="bottom"/>
          </w:tcPr>
          <w:p w14:paraId="00BACED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CED8" w14:textId="77777777" w:rsidR="00871BDF" w:rsidRDefault="005C5088">
            <w:pPr>
              <w:jc w:val="right"/>
              <w:textAlignment w:val="bottom"/>
            </w:pPr>
            <w:r>
              <w:rPr>
                <w:rFonts w:ascii="Times New Roman" w:eastAsia="宋体" w:hAnsi="Times New Roman"/>
                <w:color w:val="000000"/>
                <w:sz w:val="20"/>
                <w:szCs w:val="20"/>
              </w:rPr>
              <w:t>19,164.6 </w:t>
            </w:r>
          </w:p>
        </w:tc>
        <w:tc>
          <w:tcPr>
            <w:tcW w:w="0" w:type="auto"/>
            <w:shd w:val="clear" w:color="auto" w:fill="D7E4BC"/>
            <w:tcMar>
              <w:top w:w="40" w:type="dxa"/>
              <w:left w:w="0" w:type="dxa"/>
              <w:bottom w:w="40" w:type="dxa"/>
              <w:right w:w="20" w:type="dxa"/>
            </w:tcMar>
            <w:vAlign w:val="bottom"/>
          </w:tcPr>
          <w:p w14:paraId="00BACED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EDA"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CED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CEDC" w14:textId="77777777" w:rsidR="00871BDF" w:rsidRDefault="005C5088">
            <w:pPr>
              <w:jc w:val="right"/>
              <w:textAlignment w:val="bottom"/>
            </w:pPr>
            <w:r>
              <w:rPr>
                <w:rFonts w:ascii="Times New Roman" w:eastAsia="宋体" w:hAnsi="Times New Roman"/>
                <w:color w:val="000000"/>
                <w:sz w:val="20"/>
                <w:szCs w:val="20"/>
              </w:rPr>
              <w:t>21,544.4 </w:t>
            </w:r>
          </w:p>
        </w:tc>
        <w:tc>
          <w:tcPr>
            <w:tcW w:w="0" w:type="auto"/>
            <w:shd w:val="clear" w:color="auto" w:fill="D7E4BC"/>
            <w:tcMar>
              <w:top w:w="40" w:type="dxa"/>
              <w:left w:w="0" w:type="dxa"/>
              <w:bottom w:w="40" w:type="dxa"/>
              <w:right w:w="20" w:type="dxa"/>
            </w:tcMar>
            <w:vAlign w:val="bottom"/>
          </w:tcPr>
          <w:p w14:paraId="00BACED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EDE"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CED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CEE0" w14:textId="77777777" w:rsidR="00871BDF" w:rsidRDefault="005C5088">
            <w:pPr>
              <w:jc w:val="right"/>
              <w:textAlignment w:val="bottom"/>
            </w:pPr>
            <w:r>
              <w:rPr>
                <w:rFonts w:ascii="Times New Roman" w:eastAsia="宋体" w:hAnsi="Times New Roman"/>
                <w:color w:val="000000"/>
                <w:sz w:val="20"/>
                <w:szCs w:val="20"/>
              </w:rPr>
              <w:t>19,690.3 </w:t>
            </w:r>
          </w:p>
        </w:tc>
        <w:tc>
          <w:tcPr>
            <w:tcW w:w="0" w:type="auto"/>
            <w:shd w:val="clear" w:color="auto" w:fill="D7E4BC"/>
            <w:tcMar>
              <w:top w:w="40" w:type="dxa"/>
              <w:left w:w="0" w:type="dxa"/>
              <w:bottom w:w="40" w:type="dxa"/>
              <w:right w:w="20" w:type="dxa"/>
            </w:tcMar>
            <w:vAlign w:val="bottom"/>
          </w:tcPr>
          <w:p w14:paraId="00BACEE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EE2"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CEE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CEE4" w14:textId="77777777" w:rsidR="00871BDF" w:rsidRDefault="005C5088">
            <w:pPr>
              <w:jc w:val="right"/>
              <w:textAlignment w:val="bottom"/>
            </w:pPr>
            <w:r>
              <w:rPr>
                <w:rFonts w:ascii="Times New Roman" w:eastAsia="宋体" w:hAnsi="Times New Roman"/>
                <w:color w:val="000000"/>
                <w:sz w:val="20"/>
                <w:szCs w:val="20"/>
              </w:rPr>
              <w:t>17,650.7 </w:t>
            </w:r>
          </w:p>
        </w:tc>
        <w:tc>
          <w:tcPr>
            <w:tcW w:w="0" w:type="auto"/>
            <w:shd w:val="clear" w:color="auto" w:fill="D7E4BC"/>
            <w:tcMar>
              <w:top w:w="40" w:type="dxa"/>
              <w:left w:w="0" w:type="dxa"/>
              <w:bottom w:w="40" w:type="dxa"/>
              <w:right w:w="20" w:type="dxa"/>
            </w:tcMar>
            <w:vAlign w:val="bottom"/>
          </w:tcPr>
          <w:p w14:paraId="00BACEE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EE6"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CEE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CEE8" w14:textId="77777777" w:rsidR="00871BDF" w:rsidRDefault="005C5088">
            <w:pPr>
              <w:jc w:val="right"/>
              <w:textAlignment w:val="bottom"/>
            </w:pPr>
            <w:r>
              <w:rPr>
                <w:rFonts w:ascii="Times New Roman" w:eastAsia="宋体" w:hAnsi="Times New Roman"/>
                <w:color w:val="000000"/>
                <w:sz w:val="20"/>
                <w:szCs w:val="20"/>
              </w:rPr>
              <w:t>16,844.1 </w:t>
            </w:r>
          </w:p>
        </w:tc>
        <w:tc>
          <w:tcPr>
            <w:tcW w:w="0" w:type="auto"/>
            <w:shd w:val="clear" w:color="auto" w:fill="D7E4BC"/>
            <w:tcMar>
              <w:top w:w="40" w:type="dxa"/>
              <w:left w:w="0" w:type="dxa"/>
              <w:bottom w:w="40" w:type="dxa"/>
              <w:right w:w="20" w:type="dxa"/>
            </w:tcMar>
            <w:vAlign w:val="bottom"/>
          </w:tcPr>
          <w:p w14:paraId="00BACEE9" w14:textId="77777777" w:rsidR="00871BDF" w:rsidRDefault="00871BDF">
            <w:pPr>
              <w:jc w:val="right"/>
              <w:rPr>
                <w:rFonts w:ascii="宋体"/>
              </w:rPr>
            </w:pPr>
          </w:p>
        </w:tc>
        <w:tc>
          <w:tcPr>
            <w:tcW w:w="0" w:type="auto"/>
            <w:shd w:val="clear" w:color="auto" w:fill="auto"/>
          </w:tcPr>
          <w:p w14:paraId="00BACEEA" w14:textId="77777777" w:rsidR="00871BDF" w:rsidRDefault="00871BDF">
            <w:pPr>
              <w:rPr>
                <w:rFonts w:ascii="宋体"/>
              </w:rPr>
            </w:pPr>
          </w:p>
        </w:tc>
        <w:tc>
          <w:tcPr>
            <w:tcW w:w="0" w:type="auto"/>
            <w:shd w:val="clear" w:color="auto" w:fill="auto"/>
          </w:tcPr>
          <w:p w14:paraId="00BACEEB" w14:textId="77777777" w:rsidR="00871BDF" w:rsidRDefault="00871BDF">
            <w:pPr>
              <w:rPr>
                <w:rFonts w:ascii="宋体"/>
              </w:rPr>
            </w:pPr>
          </w:p>
        </w:tc>
        <w:tc>
          <w:tcPr>
            <w:tcW w:w="0" w:type="auto"/>
            <w:shd w:val="clear" w:color="auto" w:fill="auto"/>
          </w:tcPr>
          <w:p w14:paraId="00BACEEC" w14:textId="77777777" w:rsidR="00871BDF" w:rsidRDefault="00871BDF">
            <w:pPr>
              <w:rPr>
                <w:rFonts w:ascii="宋体"/>
              </w:rPr>
            </w:pPr>
          </w:p>
        </w:tc>
        <w:tc>
          <w:tcPr>
            <w:tcW w:w="0" w:type="auto"/>
            <w:shd w:val="clear" w:color="auto" w:fill="auto"/>
          </w:tcPr>
          <w:p w14:paraId="00BACEED" w14:textId="77777777" w:rsidR="00871BDF" w:rsidRDefault="00871BDF">
            <w:pPr>
              <w:rPr>
                <w:rFonts w:ascii="宋体"/>
              </w:rPr>
            </w:pPr>
          </w:p>
        </w:tc>
        <w:tc>
          <w:tcPr>
            <w:tcW w:w="0" w:type="auto"/>
            <w:shd w:val="clear" w:color="auto" w:fill="auto"/>
          </w:tcPr>
          <w:p w14:paraId="00BACEEE" w14:textId="77777777" w:rsidR="00871BDF" w:rsidRDefault="00871BDF">
            <w:pPr>
              <w:rPr>
                <w:rFonts w:ascii="宋体"/>
              </w:rPr>
            </w:pPr>
          </w:p>
        </w:tc>
        <w:tc>
          <w:tcPr>
            <w:tcW w:w="0" w:type="auto"/>
            <w:shd w:val="clear" w:color="auto" w:fill="auto"/>
          </w:tcPr>
          <w:p w14:paraId="00BACEEF" w14:textId="77777777" w:rsidR="00871BDF" w:rsidRDefault="00871BDF">
            <w:pPr>
              <w:rPr>
                <w:rFonts w:ascii="宋体"/>
              </w:rPr>
            </w:pPr>
          </w:p>
        </w:tc>
        <w:tc>
          <w:tcPr>
            <w:tcW w:w="0" w:type="auto"/>
            <w:shd w:val="clear" w:color="auto" w:fill="auto"/>
          </w:tcPr>
          <w:p w14:paraId="00BACEF0" w14:textId="77777777" w:rsidR="00871BDF" w:rsidRDefault="00871BDF">
            <w:pPr>
              <w:rPr>
                <w:rFonts w:ascii="宋体"/>
              </w:rPr>
            </w:pPr>
          </w:p>
        </w:tc>
        <w:tc>
          <w:tcPr>
            <w:tcW w:w="0" w:type="auto"/>
            <w:shd w:val="clear" w:color="auto" w:fill="auto"/>
          </w:tcPr>
          <w:p w14:paraId="00BACEF1" w14:textId="77777777" w:rsidR="00871BDF" w:rsidRDefault="00871BDF">
            <w:pPr>
              <w:rPr>
                <w:rFonts w:ascii="宋体"/>
              </w:rPr>
            </w:pPr>
          </w:p>
        </w:tc>
        <w:tc>
          <w:tcPr>
            <w:tcW w:w="0" w:type="auto"/>
            <w:shd w:val="clear" w:color="auto" w:fill="auto"/>
          </w:tcPr>
          <w:p w14:paraId="00BACEF2" w14:textId="77777777" w:rsidR="00871BDF" w:rsidRDefault="00871BDF">
            <w:pPr>
              <w:rPr>
                <w:rFonts w:ascii="宋体"/>
              </w:rPr>
            </w:pPr>
          </w:p>
        </w:tc>
        <w:tc>
          <w:tcPr>
            <w:tcW w:w="0" w:type="auto"/>
            <w:shd w:val="clear" w:color="auto" w:fill="auto"/>
          </w:tcPr>
          <w:p w14:paraId="00BACEF3" w14:textId="77777777" w:rsidR="00871BDF" w:rsidRDefault="00871BDF">
            <w:pPr>
              <w:rPr>
                <w:rFonts w:ascii="宋体"/>
              </w:rPr>
            </w:pPr>
          </w:p>
        </w:tc>
        <w:tc>
          <w:tcPr>
            <w:tcW w:w="0" w:type="auto"/>
            <w:shd w:val="clear" w:color="auto" w:fill="auto"/>
          </w:tcPr>
          <w:p w14:paraId="00BACEF4" w14:textId="77777777" w:rsidR="00871BDF" w:rsidRDefault="00871BDF">
            <w:pPr>
              <w:rPr>
                <w:rFonts w:ascii="宋体"/>
              </w:rPr>
            </w:pPr>
          </w:p>
        </w:tc>
        <w:tc>
          <w:tcPr>
            <w:tcW w:w="0" w:type="auto"/>
            <w:shd w:val="clear" w:color="auto" w:fill="auto"/>
          </w:tcPr>
          <w:p w14:paraId="00BACEF5" w14:textId="77777777" w:rsidR="00871BDF" w:rsidRDefault="00871BDF">
            <w:pPr>
              <w:rPr>
                <w:rFonts w:ascii="宋体"/>
              </w:rPr>
            </w:pPr>
          </w:p>
        </w:tc>
        <w:tc>
          <w:tcPr>
            <w:tcW w:w="0" w:type="auto"/>
            <w:shd w:val="clear" w:color="auto" w:fill="auto"/>
          </w:tcPr>
          <w:p w14:paraId="00BACEF6" w14:textId="77777777" w:rsidR="00871BDF" w:rsidRDefault="00871BDF">
            <w:pPr>
              <w:rPr>
                <w:rFonts w:ascii="宋体"/>
              </w:rPr>
            </w:pPr>
          </w:p>
        </w:tc>
        <w:tc>
          <w:tcPr>
            <w:tcW w:w="0" w:type="auto"/>
            <w:shd w:val="clear" w:color="auto" w:fill="auto"/>
          </w:tcPr>
          <w:p w14:paraId="00BACEF7" w14:textId="77777777" w:rsidR="00871BDF" w:rsidRDefault="00871BDF">
            <w:pPr>
              <w:rPr>
                <w:rFonts w:ascii="宋体"/>
              </w:rPr>
            </w:pPr>
          </w:p>
        </w:tc>
        <w:tc>
          <w:tcPr>
            <w:tcW w:w="0" w:type="auto"/>
            <w:shd w:val="clear" w:color="auto" w:fill="auto"/>
          </w:tcPr>
          <w:p w14:paraId="00BACEF8" w14:textId="77777777" w:rsidR="00871BDF" w:rsidRDefault="00871BDF">
            <w:pPr>
              <w:rPr>
                <w:rFonts w:ascii="宋体"/>
              </w:rPr>
            </w:pPr>
          </w:p>
        </w:tc>
        <w:tc>
          <w:tcPr>
            <w:tcW w:w="0" w:type="auto"/>
            <w:shd w:val="clear" w:color="auto" w:fill="auto"/>
          </w:tcPr>
          <w:p w14:paraId="00BACEF9" w14:textId="77777777" w:rsidR="00871BDF" w:rsidRDefault="00871BDF">
            <w:pPr>
              <w:rPr>
                <w:rFonts w:ascii="宋体"/>
              </w:rPr>
            </w:pPr>
          </w:p>
        </w:tc>
        <w:tc>
          <w:tcPr>
            <w:tcW w:w="0" w:type="auto"/>
            <w:shd w:val="clear" w:color="auto" w:fill="auto"/>
          </w:tcPr>
          <w:p w14:paraId="00BACEFA" w14:textId="77777777" w:rsidR="00871BDF" w:rsidRDefault="00871BDF">
            <w:pPr>
              <w:rPr>
                <w:rFonts w:ascii="宋体"/>
              </w:rPr>
            </w:pPr>
          </w:p>
        </w:tc>
        <w:tc>
          <w:tcPr>
            <w:tcW w:w="0" w:type="auto"/>
            <w:shd w:val="clear" w:color="auto" w:fill="auto"/>
          </w:tcPr>
          <w:p w14:paraId="00BACEFB" w14:textId="77777777" w:rsidR="00871BDF" w:rsidRDefault="00871BDF">
            <w:pPr>
              <w:rPr>
                <w:rFonts w:ascii="宋体"/>
              </w:rPr>
            </w:pPr>
          </w:p>
        </w:tc>
        <w:tc>
          <w:tcPr>
            <w:tcW w:w="0" w:type="auto"/>
            <w:shd w:val="clear" w:color="auto" w:fill="auto"/>
          </w:tcPr>
          <w:p w14:paraId="00BACEFC" w14:textId="77777777" w:rsidR="00871BDF" w:rsidRDefault="00871BDF">
            <w:pPr>
              <w:rPr>
                <w:rFonts w:ascii="宋体"/>
              </w:rPr>
            </w:pPr>
          </w:p>
        </w:tc>
        <w:tc>
          <w:tcPr>
            <w:tcW w:w="0" w:type="auto"/>
            <w:shd w:val="clear" w:color="auto" w:fill="auto"/>
          </w:tcPr>
          <w:p w14:paraId="00BACEFD" w14:textId="77777777" w:rsidR="00871BDF" w:rsidRDefault="00871BDF">
            <w:pPr>
              <w:rPr>
                <w:rFonts w:ascii="宋体"/>
              </w:rPr>
            </w:pPr>
          </w:p>
        </w:tc>
        <w:tc>
          <w:tcPr>
            <w:tcW w:w="0" w:type="auto"/>
            <w:shd w:val="clear" w:color="auto" w:fill="auto"/>
          </w:tcPr>
          <w:p w14:paraId="00BACEFE" w14:textId="77777777" w:rsidR="00871BDF" w:rsidRDefault="00871BDF">
            <w:pPr>
              <w:rPr>
                <w:rFonts w:ascii="宋体"/>
              </w:rPr>
            </w:pPr>
          </w:p>
        </w:tc>
        <w:tc>
          <w:tcPr>
            <w:tcW w:w="0" w:type="auto"/>
            <w:shd w:val="clear" w:color="auto" w:fill="auto"/>
          </w:tcPr>
          <w:p w14:paraId="00BACEFF" w14:textId="77777777" w:rsidR="00871BDF" w:rsidRDefault="00871BDF">
            <w:pPr>
              <w:rPr>
                <w:rFonts w:ascii="宋体"/>
              </w:rPr>
            </w:pPr>
          </w:p>
        </w:tc>
        <w:tc>
          <w:tcPr>
            <w:tcW w:w="0" w:type="auto"/>
            <w:shd w:val="clear" w:color="auto" w:fill="auto"/>
          </w:tcPr>
          <w:p w14:paraId="00BACF00" w14:textId="77777777" w:rsidR="00871BDF" w:rsidRDefault="00871BDF">
            <w:pPr>
              <w:rPr>
                <w:rFonts w:ascii="宋体"/>
              </w:rPr>
            </w:pPr>
          </w:p>
        </w:tc>
        <w:tc>
          <w:tcPr>
            <w:tcW w:w="0" w:type="auto"/>
            <w:shd w:val="clear" w:color="auto" w:fill="auto"/>
          </w:tcPr>
          <w:p w14:paraId="00BACF01" w14:textId="77777777" w:rsidR="00871BDF" w:rsidRDefault="00871BDF">
            <w:pPr>
              <w:rPr>
                <w:rFonts w:ascii="宋体"/>
              </w:rPr>
            </w:pPr>
          </w:p>
        </w:tc>
        <w:tc>
          <w:tcPr>
            <w:tcW w:w="0" w:type="auto"/>
            <w:shd w:val="clear" w:color="auto" w:fill="auto"/>
          </w:tcPr>
          <w:p w14:paraId="00BACF02" w14:textId="77777777" w:rsidR="00871BDF" w:rsidRDefault="00871BDF">
            <w:pPr>
              <w:rPr>
                <w:rFonts w:ascii="宋体"/>
              </w:rPr>
            </w:pPr>
          </w:p>
        </w:tc>
        <w:tc>
          <w:tcPr>
            <w:tcW w:w="0" w:type="auto"/>
            <w:shd w:val="clear" w:color="auto" w:fill="auto"/>
          </w:tcPr>
          <w:p w14:paraId="00BACF03" w14:textId="77777777" w:rsidR="00871BDF" w:rsidRDefault="00871BDF">
            <w:pPr>
              <w:rPr>
                <w:rFonts w:ascii="宋体"/>
              </w:rPr>
            </w:pPr>
          </w:p>
        </w:tc>
        <w:tc>
          <w:tcPr>
            <w:tcW w:w="0" w:type="auto"/>
            <w:shd w:val="clear" w:color="auto" w:fill="auto"/>
          </w:tcPr>
          <w:p w14:paraId="00BACF04" w14:textId="77777777" w:rsidR="00871BDF" w:rsidRDefault="00871BDF">
            <w:pPr>
              <w:rPr>
                <w:rFonts w:ascii="宋体"/>
              </w:rPr>
            </w:pPr>
          </w:p>
        </w:tc>
        <w:tc>
          <w:tcPr>
            <w:tcW w:w="0" w:type="auto"/>
            <w:shd w:val="clear" w:color="auto" w:fill="auto"/>
          </w:tcPr>
          <w:p w14:paraId="00BACF05" w14:textId="77777777" w:rsidR="00871BDF" w:rsidRDefault="00871BDF">
            <w:pPr>
              <w:rPr>
                <w:rFonts w:ascii="宋体"/>
              </w:rPr>
            </w:pPr>
          </w:p>
        </w:tc>
        <w:tc>
          <w:tcPr>
            <w:tcW w:w="0" w:type="auto"/>
            <w:shd w:val="clear" w:color="auto" w:fill="auto"/>
          </w:tcPr>
          <w:p w14:paraId="00BACF06" w14:textId="77777777" w:rsidR="00871BDF" w:rsidRDefault="00871BDF">
            <w:pPr>
              <w:rPr>
                <w:rFonts w:ascii="宋体"/>
              </w:rPr>
            </w:pPr>
          </w:p>
        </w:tc>
        <w:tc>
          <w:tcPr>
            <w:tcW w:w="0" w:type="auto"/>
            <w:shd w:val="clear" w:color="auto" w:fill="auto"/>
          </w:tcPr>
          <w:p w14:paraId="00BACF07" w14:textId="77777777" w:rsidR="00871BDF" w:rsidRDefault="00871BDF">
            <w:pPr>
              <w:rPr>
                <w:rFonts w:ascii="宋体"/>
              </w:rPr>
            </w:pPr>
          </w:p>
        </w:tc>
      </w:tr>
      <w:tr w:rsidR="00871BDF" w14:paraId="00BACF36" w14:textId="77777777">
        <w:trPr>
          <w:jc w:val="center"/>
        </w:trPr>
        <w:tc>
          <w:tcPr>
            <w:tcW w:w="0" w:type="auto"/>
            <w:gridSpan w:val="3"/>
            <w:shd w:val="clear" w:color="auto" w:fill="FFFFFF"/>
            <w:tcMar>
              <w:top w:w="40" w:type="dxa"/>
              <w:left w:w="20" w:type="dxa"/>
              <w:bottom w:w="40" w:type="dxa"/>
              <w:right w:w="20" w:type="dxa"/>
            </w:tcMar>
            <w:vAlign w:val="bottom"/>
          </w:tcPr>
          <w:p w14:paraId="00BACF09" w14:textId="77777777" w:rsidR="00871BDF" w:rsidRDefault="005C5088">
            <w:pPr>
              <w:ind w:firstLine="180"/>
              <w:textAlignment w:val="bottom"/>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00BACF0A" w14:textId="77777777" w:rsidR="00871BDF" w:rsidRDefault="005C5088">
            <w:pPr>
              <w:jc w:val="right"/>
              <w:textAlignment w:val="bottom"/>
            </w:pPr>
            <w:r>
              <w:rPr>
                <w:rFonts w:ascii="Times New Roman" w:eastAsia="宋体" w:hAnsi="Times New Roman"/>
                <w:color w:val="000000"/>
                <w:sz w:val="20"/>
                <w:szCs w:val="20"/>
              </w:rPr>
              <w:t>2,327.1 </w:t>
            </w:r>
          </w:p>
        </w:tc>
        <w:tc>
          <w:tcPr>
            <w:tcW w:w="0" w:type="auto"/>
            <w:shd w:val="clear" w:color="auto" w:fill="FFFFFF"/>
            <w:tcMar>
              <w:top w:w="40" w:type="dxa"/>
              <w:left w:w="0" w:type="dxa"/>
              <w:bottom w:w="40" w:type="dxa"/>
              <w:right w:w="20" w:type="dxa"/>
            </w:tcMar>
            <w:vAlign w:val="bottom"/>
          </w:tcPr>
          <w:p w14:paraId="00BACF0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F0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F0D" w14:textId="77777777" w:rsidR="00871BDF" w:rsidRDefault="005C5088">
            <w:pPr>
              <w:jc w:val="right"/>
              <w:textAlignment w:val="bottom"/>
            </w:pPr>
            <w:r>
              <w:rPr>
                <w:rFonts w:ascii="Times New Roman" w:eastAsia="宋体" w:hAnsi="Times New Roman"/>
                <w:color w:val="000000"/>
                <w:sz w:val="20"/>
                <w:szCs w:val="20"/>
              </w:rPr>
              <w:t>2,875.0 </w:t>
            </w:r>
          </w:p>
        </w:tc>
        <w:tc>
          <w:tcPr>
            <w:tcW w:w="0" w:type="auto"/>
            <w:shd w:val="clear" w:color="auto" w:fill="FFFFFF"/>
            <w:tcMar>
              <w:top w:w="40" w:type="dxa"/>
              <w:left w:w="0" w:type="dxa"/>
              <w:bottom w:w="40" w:type="dxa"/>
              <w:right w:w="20" w:type="dxa"/>
            </w:tcMar>
            <w:vAlign w:val="bottom"/>
          </w:tcPr>
          <w:p w14:paraId="00BACF0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F0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F10" w14:textId="77777777" w:rsidR="00871BDF" w:rsidRDefault="005C5088">
            <w:pPr>
              <w:jc w:val="right"/>
              <w:textAlignment w:val="bottom"/>
            </w:pPr>
            <w:r>
              <w:rPr>
                <w:rFonts w:ascii="Times New Roman" w:eastAsia="宋体" w:hAnsi="Times New Roman"/>
                <w:color w:val="000000"/>
                <w:sz w:val="20"/>
                <w:szCs w:val="20"/>
              </w:rPr>
              <w:t>2,652.2 </w:t>
            </w:r>
          </w:p>
        </w:tc>
        <w:tc>
          <w:tcPr>
            <w:tcW w:w="0" w:type="auto"/>
            <w:shd w:val="clear" w:color="auto" w:fill="FFFFFF"/>
            <w:tcMar>
              <w:top w:w="40" w:type="dxa"/>
              <w:left w:w="0" w:type="dxa"/>
              <w:bottom w:w="40" w:type="dxa"/>
              <w:right w:w="20" w:type="dxa"/>
            </w:tcMar>
            <w:vAlign w:val="bottom"/>
          </w:tcPr>
          <w:p w14:paraId="00BACF1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F1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F13" w14:textId="77777777" w:rsidR="00871BDF" w:rsidRDefault="005C5088">
            <w:pPr>
              <w:jc w:val="right"/>
              <w:textAlignment w:val="bottom"/>
            </w:pPr>
            <w:r>
              <w:rPr>
                <w:rFonts w:ascii="Times New Roman" w:eastAsia="宋体" w:hAnsi="Times New Roman"/>
                <w:color w:val="000000"/>
                <w:sz w:val="20"/>
                <w:szCs w:val="20"/>
              </w:rPr>
              <w:t>2,355.0 </w:t>
            </w:r>
          </w:p>
        </w:tc>
        <w:tc>
          <w:tcPr>
            <w:tcW w:w="0" w:type="auto"/>
            <w:shd w:val="clear" w:color="auto" w:fill="FFFFFF"/>
            <w:tcMar>
              <w:top w:w="40" w:type="dxa"/>
              <w:left w:w="0" w:type="dxa"/>
              <w:bottom w:w="40" w:type="dxa"/>
              <w:right w:w="20" w:type="dxa"/>
            </w:tcMar>
            <w:vAlign w:val="bottom"/>
          </w:tcPr>
          <w:p w14:paraId="00BACF1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F1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F16" w14:textId="77777777" w:rsidR="00871BDF" w:rsidRDefault="005C5088">
            <w:pPr>
              <w:jc w:val="right"/>
              <w:textAlignment w:val="bottom"/>
            </w:pPr>
            <w:r>
              <w:rPr>
                <w:rFonts w:ascii="Times New Roman" w:eastAsia="宋体" w:hAnsi="Times New Roman"/>
                <w:color w:val="000000"/>
                <w:sz w:val="20"/>
                <w:szCs w:val="20"/>
              </w:rPr>
              <w:t>2,154.2 </w:t>
            </w:r>
          </w:p>
        </w:tc>
        <w:tc>
          <w:tcPr>
            <w:tcW w:w="0" w:type="auto"/>
            <w:shd w:val="clear" w:color="auto" w:fill="FFFFFF"/>
            <w:tcMar>
              <w:top w:w="40" w:type="dxa"/>
              <w:left w:w="0" w:type="dxa"/>
              <w:bottom w:w="40" w:type="dxa"/>
              <w:right w:w="20" w:type="dxa"/>
            </w:tcMar>
            <w:vAlign w:val="bottom"/>
          </w:tcPr>
          <w:p w14:paraId="00BACF17" w14:textId="77777777" w:rsidR="00871BDF" w:rsidRDefault="00871BDF">
            <w:pPr>
              <w:jc w:val="right"/>
              <w:rPr>
                <w:rFonts w:ascii="宋体"/>
              </w:rPr>
            </w:pPr>
          </w:p>
        </w:tc>
        <w:tc>
          <w:tcPr>
            <w:tcW w:w="0" w:type="auto"/>
            <w:shd w:val="clear" w:color="auto" w:fill="auto"/>
          </w:tcPr>
          <w:p w14:paraId="00BACF18" w14:textId="77777777" w:rsidR="00871BDF" w:rsidRDefault="00871BDF">
            <w:pPr>
              <w:rPr>
                <w:rFonts w:ascii="宋体"/>
              </w:rPr>
            </w:pPr>
          </w:p>
        </w:tc>
        <w:tc>
          <w:tcPr>
            <w:tcW w:w="0" w:type="auto"/>
            <w:shd w:val="clear" w:color="auto" w:fill="auto"/>
          </w:tcPr>
          <w:p w14:paraId="00BACF19" w14:textId="77777777" w:rsidR="00871BDF" w:rsidRDefault="00871BDF">
            <w:pPr>
              <w:rPr>
                <w:rFonts w:ascii="宋体"/>
              </w:rPr>
            </w:pPr>
          </w:p>
        </w:tc>
        <w:tc>
          <w:tcPr>
            <w:tcW w:w="0" w:type="auto"/>
            <w:shd w:val="clear" w:color="auto" w:fill="auto"/>
          </w:tcPr>
          <w:p w14:paraId="00BACF1A" w14:textId="77777777" w:rsidR="00871BDF" w:rsidRDefault="00871BDF">
            <w:pPr>
              <w:rPr>
                <w:rFonts w:ascii="宋体"/>
              </w:rPr>
            </w:pPr>
          </w:p>
        </w:tc>
        <w:tc>
          <w:tcPr>
            <w:tcW w:w="0" w:type="auto"/>
            <w:shd w:val="clear" w:color="auto" w:fill="auto"/>
          </w:tcPr>
          <w:p w14:paraId="00BACF1B" w14:textId="77777777" w:rsidR="00871BDF" w:rsidRDefault="00871BDF">
            <w:pPr>
              <w:rPr>
                <w:rFonts w:ascii="宋体"/>
              </w:rPr>
            </w:pPr>
          </w:p>
        </w:tc>
        <w:tc>
          <w:tcPr>
            <w:tcW w:w="0" w:type="auto"/>
            <w:shd w:val="clear" w:color="auto" w:fill="auto"/>
          </w:tcPr>
          <w:p w14:paraId="00BACF1C" w14:textId="77777777" w:rsidR="00871BDF" w:rsidRDefault="00871BDF">
            <w:pPr>
              <w:rPr>
                <w:rFonts w:ascii="宋体"/>
              </w:rPr>
            </w:pPr>
          </w:p>
        </w:tc>
        <w:tc>
          <w:tcPr>
            <w:tcW w:w="0" w:type="auto"/>
            <w:shd w:val="clear" w:color="auto" w:fill="auto"/>
          </w:tcPr>
          <w:p w14:paraId="00BACF1D" w14:textId="77777777" w:rsidR="00871BDF" w:rsidRDefault="00871BDF">
            <w:pPr>
              <w:rPr>
                <w:rFonts w:ascii="宋体"/>
              </w:rPr>
            </w:pPr>
          </w:p>
        </w:tc>
        <w:tc>
          <w:tcPr>
            <w:tcW w:w="0" w:type="auto"/>
            <w:shd w:val="clear" w:color="auto" w:fill="auto"/>
          </w:tcPr>
          <w:p w14:paraId="00BACF1E" w14:textId="77777777" w:rsidR="00871BDF" w:rsidRDefault="00871BDF">
            <w:pPr>
              <w:rPr>
                <w:rFonts w:ascii="宋体"/>
              </w:rPr>
            </w:pPr>
          </w:p>
        </w:tc>
        <w:tc>
          <w:tcPr>
            <w:tcW w:w="0" w:type="auto"/>
            <w:shd w:val="clear" w:color="auto" w:fill="auto"/>
          </w:tcPr>
          <w:p w14:paraId="00BACF1F" w14:textId="77777777" w:rsidR="00871BDF" w:rsidRDefault="00871BDF">
            <w:pPr>
              <w:rPr>
                <w:rFonts w:ascii="宋体"/>
              </w:rPr>
            </w:pPr>
          </w:p>
        </w:tc>
        <w:tc>
          <w:tcPr>
            <w:tcW w:w="0" w:type="auto"/>
            <w:shd w:val="clear" w:color="auto" w:fill="auto"/>
          </w:tcPr>
          <w:p w14:paraId="00BACF20" w14:textId="77777777" w:rsidR="00871BDF" w:rsidRDefault="00871BDF">
            <w:pPr>
              <w:rPr>
                <w:rFonts w:ascii="宋体"/>
              </w:rPr>
            </w:pPr>
          </w:p>
        </w:tc>
        <w:tc>
          <w:tcPr>
            <w:tcW w:w="0" w:type="auto"/>
            <w:shd w:val="clear" w:color="auto" w:fill="auto"/>
          </w:tcPr>
          <w:p w14:paraId="00BACF21" w14:textId="77777777" w:rsidR="00871BDF" w:rsidRDefault="00871BDF">
            <w:pPr>
              <w:rPr>
                <w:rFonts w:ascii="宋体"/>
              </w:rPr>
            </w:pPr>
          </w:p>
        </w:tc>
        <w:tc>
          <w:tcPr>
            <w:tcW w:w="0" w:type="auto"/>
            <w:shd w:val="clear" w:color="auto" w:fill="auto"/>
          </w:tcPr>
          <w:p w14:paraId="00BACF22" w14:textId="77777777" w:rsidR="00871BDF" w:rsidRDefault="00871BDF">
            <w:pPr>
              <w:rPr>
                <w:rFonts w:ascii="宋体"/>
              </w:rPr>
            </w:pPr>
          </w:p>
        </w:tc>
        <w:tc>
          <w:tcPr>
            <w:tcW w:w="0" w:type="auto"/>
            <w:shd w:val="clear" w:color="auto" w:fill="auto"/>
          </w:tcPr>
          <w:p w14:paraId="00BACF23" w14:textId="77777777" w:rsidR="00871BDF" w:rsidRDefault="00871BDF">
            <w:pPr>
              <w:rPr>
                <w:rFonts w:ascii="宋体"/>
              </w:rPr>
            </w:pPr>
          </w:p>
        </w:tc>
        <w:tc>
          <w:tcPr>
            <w:tcW w:w="0" w:type="auto"/>
            <w:shd w:val="clear" w:color="auto" w:fill="auto"/>
          </w:tcPr>
          <w:p w14:paraId="00BACF24" w14:textId="77777777" w:rsidR="00871BDF" w:rsidRDefault="00871BDF">
            <w:pPr>
              <w:rPr>
                <w:rFonts w:ascii="宋体"/>
              </w:rPr>
            </w:pPr>
          </w:p>
        </w:tc>
        <w:tc>
          <w:tcPr>
            <w:tcW w:w="0" w:type="auto"/>
            <w:shd w:val="clear" w:color="auto" w:fill="auto"/>
          </w:tcPr>
          <w:p w14:paraId="00BACF25" w14:textId="77777777" w:rsidR="00871BDF" w:rsidRDefault="00871BDF">
            <w:pPr>
              <w:rPr>
                <w:rFonts w:ascii="宋体"/>
              </w:rPr>
            </w:pPr>
          </w:p>
        </w:tc>
        <w:tc>
          <w:tcPr>
            <w:tcW w:w="0" w:type="auto"/>
            <w:shd w:val="clear" w:color="auto" w:fill="auto"/>
          </w:tcPr>
          <w:p w14:paraId="00BACF26" w14:textId="77777777" w:rsidR="00871BDF" w:rsidRDefault="00871BDF">
            <w:pPr>
              <w:rPr>
                <w:rFonts w:ascii="宋体"/>
              </w:rPr>
            </w:pPr>
          </w:p>
        </w:tc>
        <w:tc>
          <w:tcPr>
            <w:tcW w:w="0" w:type="auto"/>
            <w:shd w:val="clear" w:color="auto" w:fill="auto"/>
          </w:tcPr>
          <w:p w14:paraId="00BACF27" w14:textId="77777777" w:rsidR="00871BDF" w:rsidRDefault="00871BDF">
            <w:pPr>
              <w:rPr>
                <w:rFonts w:ascii="宋体"/>
              </w:rPr>
            </w:pPr>
          </w:p>
        </w:tc>
        <w:tc>
          <w:tcPr>
            <w:tcW w:w="0" w:type="auto"/>
            <w:shd w:val="clear" w:color="auto" w:fill="auto"/>
          </w:tcPr>
          <w:p w14:paraId="00BACF28" w14:textId="77777777" w:rsidR="00871BDF" w:rsidRDefault="00871BDF">
            <w:pPr>
              <w:rPr>
                <w:rFonts w:ascii="宋体"/>
              </w:rPr>
            </w:pPr>
          </w:p>
        </w:tc>
        <w:tc>
          <w:tcPr>
            <w:tcW w:w="0" w:type="auto"/>
            <w:shd w:val="clear" w:color="auto" w:fill="auto"/>
          </w:tcPr>
          <w:p w14:paraId="00BACF29" w14:textId="77777777" w:rsidR="00871BDF" w:rsidRDefault="00871BDF">
            <w:pPr>
              <w:rPr>
                <w:rFonts w:ascii="宋体"/>
              </w:rPr>
            </w:pPr>
          </w:p>
        </w:tc>
        <w:tc>
          <w:tcPr>
            <w:tcW w:w="0" w:type="auto"/>
            <w:shd w:val="clear" w:color="auto" w:fill="auto"/>
          </w:tcPr>
          <w:p w14:paraId="00BACF2A" w14:textId="77777777" w:rsidR="00871BDF" w:rsidRDefault="00871BDF">
            <w:pPr>
              <w:rPr>
                <w:rFonts w:ascii="宋体"/>
              </w:rPr>
            </w:pPr>
          </w:p>
        </w:tc>
        <w:tc>
          <w:tcPr>
            <w:tcW w:w="0" w:type="auto"/>
            <w:shd w:val="clear" w:color="auto" w:fill="auto"/>
          </w:tcPr>
          <w:p w14:paraId="00BACF2B" w14:textId="77777777" w:rsidR="00871BDF" w:rsidRDefault="00871BDF">
            <w:pPr>
              <w:rPr>
                <w:rFonts w:ascii="宋体"/>
              </w:rPr>
            </w:pPr>
          </w:p>
        </w:tc>
        <w:tc>
          <w:tcPr>
            <w:tcW w:w="0" w:type="auto"/>
            <w:shd w:val="clear" w:color="auto" w:fill="auto"/>
          </w:tcPr>
          <w:p w14:paraId="00BACF2C" w14:textId="77777777" w:rsidR="00871BDF" w:rsidRDefault="00871BDF">
            <w:pPr>
              <w:rPr>
                <w:rFonts w:ascii="宋体"/>
              </w:rPr>
            </w:pPr>
          </w:p>
        </w:tc>
        <w:tc>
          <w:tcPr>
            <w:tcW w:w="0" w:type="auto"/>
            <w:shd w:val="clear" w:color="auto" w:fill="auto"/>
          </w:tcPr>
          <w:p w14:paraId="00BACF2D" w14:textId="77777777" w:rsidR="00871BDF" w:rsidRDefault="00871BDF">
            <w:pPr>
              <w:rPr>
                <w:rFonts w:ascii="宋体"/>
              </w:rPr>
            </w:pPr>
          </w:p>
        </w:tc>
        <w:tc>
          <w:tcPr>
            <w:tcW w:w="0" w:type="auto"/>
            <w:shd w:val="clear" w:color="auto" w:fill="auto"/>
          </w:tcPr>
          <w:p w14:paraId="00BACF2E" w14:textId="77777777" w:rsidR="00871BDF" w:rsidRDefault="00871BDF">
            <w:pPr>
              <w:rPr>
                <w:rFonts w:ascii="宋体"/>
              </w:rPr>
            </w:pPr>
          </w:p>
        </w:tc>
        <w:tc>
          <w:tcPr>
            <w:tcW w:w="0" w:type="auto"/>
            <w:shd w:val="clear" w:color="auto" w:fill="auto"/>
          </w:tcPr>
          <w:p w14:paraId="00BACF2F" w14:textId="77777777" w:rsidR="00871BDF" w:rsidRDefault="00871BDF">
            <w:pPr>
              <w:rPr>
                <w:rFonts w:ascii="宋体"/>
              </w:rPr>
            </w:pPr>
          </w:p>
        </w:tc>
        <w:tc>
          <w:tcPr>
            <w:tcW w:w="0" w:type="auto"/>
            <w:shd w:val="clear" w:color="auto" w:fill="auto"/>
          </w:tcPr>
          <w:p w14:paraId="00BACF30" w14:textId="77777777" w:rsidR="00871BDF" w:rsidRDefault="00871BDF">
            <w:pPr>
              <w:rPr>
                <w:rFonts w:ascii="宋体"/>
              </w:rPr>
            </w:pPr>
          </w:p>
        </w:tc>
        <w:tc>
          <w:tcPr>
            <w:tcW w:w="0" w:type="auto"/>
            <w:shd w:val="clear" w:color="auto" w:fill="auto"/>
          </w:tcPr>
          <w:p w14:paraId="00BACF31" w14:textId="77777777" w:rsidR="00871BDF" w:rsidRDefault="00871BDF">
            <w:pPr>
              <w:rPr>
                <w:rFonts w:ascii="宋体"/>
              </w:rPr>
            </w:pPr>
          </w:p>
        </w:tc>
        <w:tc>
          <w:tcPr>
            <w:tcW w:w="0" w:type="auto"/>
            <w:shd w:val="clear" w:color="auto" w:fill="auto"/>
          </w:tcPr>
          <w:p w14:paraId="00BACF32" w14:textId="77777777" w:rsidR="00871BDF" w:rsidRDefault="00871BDF">
            <w:pPr>
              <w:rPr>
                <w:rFonts w:ascii="宋体"/>
              </w:rPr>
            </w:pPr>
          </w:p>
        </w:tc>
        <w:tc>
          <w:tcPr>
            <w:tcW w:w="0" w:type="auto"/>
            <w:shd w:val="clear" w:color="auto" w:fill="auto"/>
          </w:tcPr>
          <w:p w14:paraId="00BACF33" w14:textId="77777777" w:rsidR="00871BDF" w:rsidRDefault="00871BDF">
            <w:pPr>
              <w:rPr>
                <w:rFonts w:ascii="宋体"/>
              </w:rPr>
            </w:pPr>
          </w:p>
        </w:tc>
        <w:tc>
          <w:tcPr>
            <w:tcW w:w="0" w:type="auto"/>
            <w:shd w:val="clear" w:color="auto" w:fill="auto"/>
          </w:tcPr>
          <w:p w14:paraId="00BACF34" w14:textId="77777777" w:rsidR="00871BDF" w:rsidRDefault="00871BDF">
            <w:pPr>
              <w:rPr>
                <w:rFonts w:ascii="宋体"/>
              </w:rPr>
            </w:pPr>
          </w:p>
        </w:tc>
        <w:tc>
          <w:tcPr>
            <w:tcW w:w="0" w:type="auto"/>
            <w:shd w:val="clear" w:color="auto" w:fill="auto"/>
          </w:tcPr>
          <w:p w14:paraId="00BACF35" w14:textId="77777777" w:rsidR="00871BDF" w:rsidRDefault="00871BDF">
            <w:pPr>
              <w:rPr>
                <w:rFonts w:ascii="宋体"/>
              </w:rPr>
            </w:pPr>
          </w:p>
        </w:tc>
      </w:tr>
      <w:tr w:rsidR="00871BDF" w14:paraId="00BACF64" w14:textId="77777777">
        <w:trPr>
          <w:jc w:val="center"/>
        </w:trPr>
        <w:tc>
          <w:tcPr>
            <w:tcW w:w="0" w:type="auto"/>
            <w:gridSpan w:val="3"/>
            <w:shd w:val="clear" w:color="auto" w:fill="D7E4BC"/>
            <w:tcMar>
              <w:top w:w="40" w:type="dxa"/>
              <w:left w:w="20" w:type="dxa"/>
              <w:bottom w:w="40" w:type="dxa"/>
              <w:right w:w="20" w:type="dxa"/>
            </w:tcMar>
            <w:vAlign w:val="bottom"/>
          </w:tcPr>
          <w:p w14:paraId="00BACF37" w14:textId="77777777" w:rsidR="00871BDF" w:rsidRDefault="005C5088">
            <w:pPr>
              <w:ind w:firstLine="180"/>
              <w:textAlignment w:val="bottom"/>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00BACF38" w14:textId="77777777" w:rsidR="00871BDF" w:rsidRDefault="005C5088">
            <w:pPr>
              <w:jc w:val="right"/>
              <w:textAlignment w:val="bottom"/>
            </w:pPr>
            <w:r>
              <w:rPr>
                <w:rFonts w:ascii="Times New Roman" w:eastAsia="宋体" w:hAnsi="Times New Roman"/>
                <w:color w:val="000000"/>
                <w:sz w:val="20"/>
                <w:szCs w:val="20"/>
              </w:rPr>
              <w:t>2,026.3 </w:t>
            </w:r>
          </w:p>
        </w:tc>
        <w:tc>
          <w:tcPr>
            <w:tcW w:w="0" w:type="auto"/>
            <w:shd w:val="clear" w:color="auto" w:fill="D7E4BC"/>
            <w:tcMar>
              <w:top w:w="40" w:type="dxa"/>
              <w:left w:w="0" w:type="dxa"/>
              <w:bottom w:w="40" w:type="dxa"/>
              <w:right w:w="20" w:type="dxa"/>
            </w:tcMar>
            <w:vAlign w:val="bottom"/>
          </w:tcPr>
          <w:p w14:paraId="00BACF3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F3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F3B" w14:textId="77777777" w:rsidR="00871BDF" w:rsidRDefault="005C5088">
            <w:pPr>
              <w:jc w:val="right"/>
              <w:textAlignment w:val="bottom"/>
            </w:pPr>
            <w:r>
              <w:rPr>
                <w:rFonts w:ascii="Times New Roman" w:eastAsia="宋体" w:hAnsi="Times New Roman"/>
                <w:color w:val="000000"/>
                <w:sz w:val="20"/>
                <w:szCs w:val="20"/>
              </w:rPr>
              <w:t>2,089.2 </w:t>
            </w:r>
          </w:p>
        </w:tc>
        <w:tc>
          <w:tcPr>
            <w:tcW w:w="0" w:type="auto"/>
            <w:shd w:val="clear" w:color="auto" w:fill="D7E4BC"/>
            <w:tcMar>
              <w:top w:w="40" w:type="dxa"/>
              <w:left w:w="0" w:type="dxa"/>
              <w:bottom w:w="40" w:type="dxa"/>
              <w:right w:w="20" w:type="dxa"/>
            </w:tcMar>
            <w:vAlign w:val="bottom"/>
          </w:tcPr>
          <w:p w14:paraId="00BACF3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F3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F3E" w14:textId="77777777" w:rsidR="00871BDF" w:rsidRDefault="005C5088">
            <w:pPr>
              <w:jc w:val="right"/>
              <w:textAlignment w:val="bottom"/>
            </w:pPr>
            <w:r>
              <w:rPr>
                <w:rFonts w:ascii="Times New Roman" w:eastAsia="宋体" w:hAnsi="Times New Roman"/>
                <w:color w:val="000000"/>
                <w:sz w:val="20"/>
                <w:szCs w:val="20"/>
              </w:rPr>
              <w:t>2,377.0 </w:t>
            </w:r>
          </w:p>
        </w:tc>
        <w:tc>
          <w:tcPr>
            <w:tcW w:w="0" w:type="auto"/>
            <w:shd w:val="clear" w:color="auto" w:fill="D7E4BC"/>
            <w:tcMar>
              <w:top w:w="40" w:type="dxa"/>
              <w:left w:w="0" w:type="dxa"/>
              <w:bottom w:w="40" w:type="dxa"/>
              <w:right w:w="20" w:type="dxa"/>
            </w:tcMar>
            <w:vAlign w:val="bottom"/>
          </w:tcPr>
          <w:p w14:paraId="00BACF3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F4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F41" w14:textId="77777777" w:rsidR="00871BDF" w:rsidRDefault="005C5088">
            <w:pPr>
              <w:jc w:val="right"/>
              <w:textAlignment w:val="bottom"/>
            </w:pPr>
            <w:r>
              <w:rPr>
                <w:rFonts w:ascii="Times New Roman" w:eastAsia="宋体" w:hAnsi="Times New Roman"/>
                <w:color w:val="000000"/>
                <w:sz w:val="20"/>
                <w:szCs w:val="20"/>
              </w:rPr>
              <w:t>2,381.1 </w:t>
            </w:r>
          </w:p>
        </w:tc>
        <w:tc>
          <w:tcPr>
            <w:tcW w:w="0" w:type="auto"/>
            <w:shd w:val="clear" w:color="auto" w:fill="D7E4BC"/>
            <w:tcMar>
              <w:top w:w="40" w:type="dxa"/>
              <w:left w:w="0" w:type="dxa"/>
              <w:bottom w:w="40" w:type="dxa"/>
              <w:right w:w="20" w:type="dxa"/>
            </w:tcMar>
            <w:vAlign w:val="bottom"/>
          </w:tcPr>
          <w:p w14:paraId="00BACF4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F4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F44" w14:textId="77777777" w:rsidR="00871BDF" w:rsidRDefault="005C5088">
            <w:pPr>
              <w:jc w:val="right"/>
              <w:textAlignment w:val="bottom"/>
            </w:pPr>
            <w:r>
              <w:rPr>
                <w:rFonts w:ascii="Times New Roman" w:eastAsia="宋体" w:hAnsi="Times New Roman"/>
                <w:color w:val="000000"/>
                <w:sz w:val="20"/>
                <w:szCs w:val="20"/>
              </w:rPr>
              <w:t>2,317.6 </w:t>
            </w:r>
          </w:p>
        </w:tc>
        <w:tc>
          <w:tcPr>
            <w:tcW w:w="0" w:type="auto"/>
            <w:shd w:val="clear" w:color="auto" w:fill="D7E4BC"/>
            <w:tcMar>
              <w:top w:w="40" w:type="dxa"/>
              <w:left w:w="0" w:type="dxa"/>
              <w:bottom w:w="40" w:type="dxa"/>
              <w:right w:w="20" w:type="dxa"/>
            </w:tcMar>
            <w:vAlign w:val="bottom"/>
          </w:tcPr>
          <w:p w14:paraId="00BACF45" w14:textId="77777777" w:rsidR="00871BDF" w:rsidRDefault="00871BDF">
            <w:pPr>
              <w:jc w:val="right"/>
              <w:rPr>
                <w:rFonts w:ascii="宋体"/>
              </w:rPr>
            </w:pPr>
          </w:p>
        </w:tc>
        <w:tc>
          <w:tcPr>
            <w:tcW w:w="0" w:type="auto"/>
            <w:shd w:val="clear" w:color="auto" w:fill="auto"/>
          </w:tcPr>
          <w:p w14:paraId="00BACF46" w14:textId="77777777" w:rsidR="00871BDF" w:rsidRDefault="00871BDF">
            <w:pPr>
              <w:rPr>
                <w:rFonts w:ascii="宋体"/>
              </w:rPr>
            </w:pPr>
          </w:p>
        </w:tc>
        <w:tc>
          <w:tcPr>
            <w:tcW w:w="0" w:type="auto"/>
            <w:shd w:val="clear" w:color="auto" w:fill="auto"/>
          </w:tcPr>
          <w:p w14:paraId="00BACF47" w14:textId="77777777" w:rsidR="00871BDF" w:rsidRDefault="00871BDF">
            <w:pPr>
              <w:rPr>
                <w:rFonts w:ascii="宋体"/>
              </w:rPr>
            </w:pPr>
          </w:p>
        </w:tc>
        <w:tc>
          <w:tcPr>
            <w:tcW w:w="0" w:type="auto"/>
            <w:shd w:val="clear" w:color="auto" w:fill="auto"/>
          </w:tcPr>
          <w:p w14:paraId="00BACF48" w14:textId="77777777" w:rsidR="00871BDF" w:rsidRDefault="00871BDF">
            <w:pPr>
              <w:rPr>
                <w:rFonts w:ascii="宋体"/>
              </w:rPr>
            </w:pPr>
          </w:p>
        </w:tc>
        <w:tc>
          <w:tcPr>
            <w:tcW w:w="0" w:type="auto"/>
            <w:shd w:val="clear" w:color="auto" w:fill="auto"/>
          </w:tcPr>
          <w:p w14:paraId="00BACF49" w14:textId="77777777" w:rsidR="00871BDF" w:rsidRDefault="00871BDF">
            <w:pPr>
              <w:rPr>
                <w:rFonts w:ascii="宋体"/>
              </w:rPr>
            </w:pPr>
          </w:p>
        </w:tc>
        <w:tc>
          <w:tcPr>
            <w:tcW w:w="0" w:type="auto"/>
            <w:shd w:val="clear" w:color="auto" w:fill="auto"/>
          </w:tcPr>
          <w:p w14:paraId="00BACF4A" w14:textId="77777777" w:rsidR="00871BDF" w:rsidRDefault="00871BDF">
            <w:pPr>
              <w:rPr>
                <w:rFonts w:ascii="宋体"/>
              </w:rPr>
            </w:pPr>
          </w:p>
        </w:tc>
        <w:tc>
          <w:tcPr>
            <w:tcW w:w="0" w:type="auto"/>
            <w:shd w:val="clear" w:color="auto" w:fill="auto"/>
          </w:tcPr>
          <w:p w14:paraId="00BACF4B" w14:textId="77777777" w:rsidR="00871BDF" w:rsidRDefault="00871BDF">
            <w:pPr>
              <w:rPr>
                <w:rFonts w:ascii="宋体"/>
              </w:rPr>
            </w:pPr>
          </w:p>
        </w:tc>
        <w:tc>
          <w:tcPr>
            <w:tcW w:w="0" w:type="auto"/>
            <w:shd w:val="clear" w:color="auto" w:fill="auto"/>
          </w:tcPr>
          <w:p w14:paraId="00BACF4C" w14:textId="77777777" w:rsidR="00871BDF" w:rsidRDefault="00871BDF">
            <w:pPr>
              <w:rPr>
                <w:rFonts w:ascii="宋体"/>
              </w:rPr>
            </w:pPr>
          </w:p>
        </w:tc>
        <w:tc>
          <w:tcPr>
            <w:tcW w:w="0" w:type="auto"/>
            <w:shd w:val="clear" w:color="auto" w:fill="auto"/>
          </w:tcPr>
          <w:p w14:paraId="00BACF4D" w14:textId="77777777" w:rsidR="00871BDF" w:rsidRDefault="00871BDF">
            <w:pPr>
              <w:rPr>
                <w:rFonts w:ascii="宋体"/>
              </w:rPr>
            </w:pPr>
          </w:p>
        </w:tc>
        <w:tc>
          <w:tcPr>
            <w:tcW w:w="0" w:type="auto"/>
            <w:shd w:val="clear" w:color="auto" w:fill="auto"/>
          </w:tcPr>
          <w:p w14:paraId="00BACF4E" w14:textId="77777777" w:rsidR="00871BDF" w:rsidRDefault="00871BDF">
            <w:pPr>
              <w:rPr>
                <w:rFonts w:ascii="宋体"/>
              </w:rPr>
            </w:pPr>
          </w:p>
        </w:tc>
        <w:tc>
          <w:tcPr>
            <w:tcW w:w="0" w:type="auto"/>
            <w:shd w:val="clear" w:color="auto" w:fill="auto"/>
          </w:tcPr>
          <w:p w14:paraId="00BACF4F" w14:textId="77777777" w:rsidR="00871BDF" w:rsidRDefault="00871BDF">
            <w:pPr>
              <w:rPr>
                <w:rFonts w:ascii="宋体"/>
              </w:rPr>
            </w:pPr>
          </w:p>
        </w:tc>
        <w:tc>
          <w:tcPr>
            <w:tcW w:w="0" w:type="auto"/>
            <w:shd w:val="clear" w:color="auto" w:fill="auto"/>
          </w:tcPr>
          <w:p w14:paraId="00BACF50" w14:textId="77777777" w:rsidR="00871BDF" w:rsidRDefault="00871BDF">
            <w:pPr>
              <w:rPr>
                <w:rFonts w:ascii="宋体"/>
              </w:rPr>
            </w:pPr>
          </w:p>
        </w:tc>
        <w:tc>
          <w:tcPr>
            <w:tcW w:w="0" w:type="auto"/>
            <w:shd w:val="clear" w:color="auto" w:fill="auto"/>
          </w:tcPr>
          <w:p w14:paraId="00BACF51" w14:textId="77777777" w:rsidR="00871BDF" w:rsidRDefault="00871BDF">
            <w:pPr>
              <w:rPr>
                <w:rFonts w:ascii="宋体"/>
              </w:rPr>
            </w:pPr>
          </w:p>
        </w:tc>
        <w:tc>
          <w:tcPr>
            <w:tcW w:w="0" w:type="auto"/>
            <w:shd w:val="clear" w:color="auto" w:fill="auto"/>
          </w:tcPr>
          <w:p w14:paraId="00BACF52" w14:textId="77777777" w:rsidR="00871BDF" w:rsidRDefault="00871BDF">
            <w:pPr>
              <w:rPr>
                <w:rFonts w:ascii="宋体"/>
              </w:rPr>
            </w:pPr>
          </w:p>
        </w:tc>
        <w:tc>
          <w:tcPr>
            <w:tcW w:w="0" w:type="auto"/>
            <w:shd w:val="clear" w:color="auto" w:fill="auto"/>
          </w:tcPr>
          <w:p w14:paraId="00BACF53" w14:textId="77777777" w:rsidR="00871BDF" w:rsidRDefault="00871BDF">
            <w:pPr>
              <w:rPr>
                <w:rFonts w:ascii="宋体"/>
              </w:rPr>
            </w:pPr>
          </w:p>
        </w:tc>
        <w:tc>
          <w:tcPr>
            <w:tcW w:w="0" w:type="auto"/>
            <w:shd w:val="clear" w:color="auto" w:fill="auto"/>
          </w:tcPr>
          <w:p w14:paraId="00BACF54" w14:textId="77777777" w:rsidR="00871BDF" w:rsidRDefault="00871BDF">
            <w:pPr>
              <w:rPr>
                <w:rFonts w:ascii="宋体"/>
              </w:rPr>
            </w:pPr>
          </w:p>
        </w:tc>
        <w:tc>
          <w:tcPr>
            <w:tcW w:w="0" w:type="auto"/>
            <w:shd w:val="clear" w:color="auto" w:fill="auto"/>
          </w:tcPr>
          <w:p w14:paraId="00BACF55" w14:textId="77777777" w:rsidR="00871BDF" w:rsidRDefault="00871BDF">
            <w:pPr>
              <w:rPr>
                <w:rFonts w:ascii="宋体"/>
              </w:rPr>
            </w:pPr>
          </w:p>
        </w:tc>
        <w:tc>
          <w:tcPr>
            <w:tcW w:w="0" w:type="auto"/>
            <w:shd w:val="clear" w:color="auto" w:fill="auto"/>
          </w:tcPr>
          <w:p w14:paraId="00BACF56" w14:textId="77777777" w:rsidR="00871BDF" w:rsidRDefault="00871BDF">
            <w:pPr>
              <w:rPr>
                <w:rFonts w:ascii="宋体"/>
              </w:rPr>
            </w:pPr>
          </w:p>
        </w:tc>
        <w:tc>
          <w:tcPr>
            <w:tcW w:w="0" w:type="auto"/>
            <w:shd w:val="clear" w:color="auto" w:fill="auto"/>
          </w:tcPr>
          <w:p w14:paraId="00BACF57" w14:textId="77777777" w:rsidR="00871BDF" w:rsidRDefault="00871BDF">
            <w:pPr>
              <w:rPr>
                <w:rFonts w:ascii="宋体"/>
              </w:rPr>
            </w:pPr>
          </w:p>
        </w:tc>
        <w:tc>
          <w:tcPr>
            <w:tcW w:w="0" w:type="auto"/>
            <w:shd w:val="clear" w:color="auto" w:fill="auto"/>
          </w:tcPr>
          <w:p w14:paraId="00BACF58" w14:textId="77777777" w:rsidR="00871BDF" w:rsidRDefault="00871BDF">
            <w:pPr>
              <w:rPr>
                <w:rFonts w:ascii="宋体"/>
              </w:rPr>
            </w:pPr>
          </w:p>
        </w:tc>
        <w:tc>
          <w:tcPr>
            <w:tcW w:w="0" w:type="auto"/>
            <w:shd w:val="clear" w:color="auto" w:fill="auto"/>
          </w:tcPr>
          <w:p w14:paraId="00BACF59" w14:textId="77777777" w:rsidR="00871BDF" w:rsidRDefault="00871BDF">
            <w:pPr>
              <w:rPr>
                <w:rFonts w:ascii="宋体"/>
              </w:rPr>
            </w:pPr>
          </w:p>
        </w:tc>
        <w:tc>
          <w:tcPr>
            <w:tcW w:w="0" w:type="auto"/>
            <w:shd w:val="clear" w:color="auto" w:fill="auto"/>
          </w:tcPr>
          <w:p w14:paraId="00BACF5A" w14:textId="77777777" w:rsidR="00871BDF" w:rsidRDefault="00871BDF">
            <w:pPr>
              <w:rPr>
                <w:rFonts w:ascii="宋体"/>
              </w:rPr>
            </w:pPr>
          </w:p>
        </w:tc>
        <w:tc>
          <w:tcPr>
            <w:tcW w:w="0" w:type="auto"/>
            <w:shd w:val="clear" w:color="auto" w:fill="auto"/>
          </w:tcPr>
          <w:p w14:paraId="00BACF5B" w14:textId="77777777" w:rsidR="00871BDF" w:rsidRDefault="00871BDF">
            <w:pPr>
              <w:rPr>
                <w:rFonts w:ascii="宋体"/>
              </w:rPr>
            </w:pPr>
          </w:p>
        </w:tc>
        <w:tc>
          <w:tcPr>
            <w:tcW w:w="0" w:type="auto"/>
            <w:shd w:val="clear" w:color="auto" w:fill="auto"/>
          </w:tcPr>
          <w:p w14:paraId="00BACF5C" w14:textId="77777777" w:rsidR="00871BDF" w:rsidRDefault="00871BDF">
            <w:pPr>
              <w:rPr>
                <w:rFonts w:ascii="宋体"/>
              </w:rPr>
            </w:pPr>
          </w:p>
        </w:tc>
        <w:tc>
          <w:tcPr>
            <w:tcW w:w="0" w:type="auto"/>
            <w:shd w:val="clear" w:color="auto" w:fill="auto"/>
          </w:tcPr>
          <w:p w14:paraId="00BACF5D" w14:textId="77777777" w:rsidR="00871BDF" w:rsidRDefault="00871BDF">
            <w:pPr>
              <w:rPr>
                <w:rFonts w:ascii="宋体"/>
              </w:rPr>
            </w:pPr>
          </w:p>
        </w:tc>
        <w:tc>
          <w:tcPr>
            <w:tcW w:w="0" w:type="auto"/>
            <w:shd w:val="clear" w:color="auto" w:fill="auto"/>
          </w:tcPr>
          <w:p w14:paraId="00BACF5E" w14:textId="77777777" w:rsidR="00871BDF" w:rsidRDefault="00871BDF">
            <w:pPr>
              <w:rPr>
                <w:rFonts w:ascii="宋体"/>
              </w:rPr>
            </w:pPr>
          </w:p>
        </w:tc>
        <w:tc>
          <w:tcPr>
            <w:tcW w:w="0" w:type="auto"/>
            <w:shd w:val="clear" w:color="auto" w:fill="auto"/>
          </w:tcPr>
          <w:p w14:paraId="00BACF5F" w14:textId="77777777" w:rsidR="00871BDF" w:rsidRDefault="00871BDF">
            <w:pPr>
              <w:rPr>
                <w:rFonts w:ascii="宋体"/>
              </w:rPr>
            </w:pPr>
          </w:p>
        </w:tc>
        <w:tc>
          <w:tcPr>
            <w:tcW w:w="0" w:type="auto"/>
            <w:shd w:val="clear" w:color="auto" w:fill="auto"/>
          </w:tcPr>
          <w:p w14:paraId="00BACF60" w14:textId="77777777" w:rsidR="00871BDF" w:rsidRDefault="00871BDF">
            <w:pPr>
              <w:rPr>
                <w:rFonts w:ascii="宋体"/>
              </w:rPr>
            </w:pPr>
          </w:p>
        </w:tc>
        <w:tc>
          <w:tcPr>
            <w:tcW w:w="0" w:type="auto"/>
            <w:shd w:val="clear" w:color="auto" w:fill="auto"/>
          </w:tcPr>
          <w:p w14:paraId="00BACF61" w14:textId="77777777" w:rsidR="00871BDF" w:rsidRDefault="00871BDF">
            <w:pPr>
              <w:rPr>
                <w:rFonts w:ascii="宋体"/>
              </w:rPr>
            </w:pPr>
          </w:p>
        </w:tc>
        <w:tc>
          <w:tcPr>
            <w:tcW w:w="0" w:type="auto"/>
            <w:shd w:val="clear" w:color="auto" w:fill="auto"/>
          </w:tcPr>
          <w:p w14:paraId="00BACF62" w14:textId="77777777" w:rsidR="00871BDF" w:rsidRDefault="00871BDF">
            <w:pPr>
              <w:rPr>
                <w:rFonts w:ascii="宋体"/>
              </w:rPr>
            </w:pPr>
          </w:p>
        </w:tc>
        <w:tc>
          <w:tcPr>
            <w:tcW w:w="0" w:type="auto"/>
            <w:shd w:val="clear" w:color="auto" w:fill="auto"/>
          </w:tcPr>
          <w:p w14:paraId="00BACF63" w14:textId="77777777" w:rsidR="00871BDF" w:rsidRDefault="00871BDF">
            <w:pPr>
              <w:rPr>
                <w:rFonts w:ascii="宋体"/>
              </w:rPr>
            </w:pPr>
          </w:p>
        </w:tc>
      </w:tr>
      <w:tr w:rsidR="00871BDF" w14:paraId="00BACF97" w14:textId="77777777">
        <w:trPr>
          <w:jc w:val="center"/>
        </w:trPr>
        <w:tc>
          <w:tcPr>
            <w:tcW w:w="0" w:type="auto"/>
            <w:gridSpan w:val="3"/>
            <w:shd w:val="clear" w:color="auto" w:fill="FFFFFF"/>
            <w:tcMar>
              <w:top w:w="40" w:type="dxa"/>
              <w:left w:w="20" w:type="dxa"/>
              <w:bottom w:w="40" w:type="dxa"/>
              <w:right w:w="20" w:type="dxa"/>
            </w:tcMar>
            <w:vAlign w:val="bottom"/>
          </w:tcPr>
          <w:p w14:paraId="00BACF65" w14:textId="77777777" w:rsidR="00871BDF" w:rsidRDefault="005C5088">
            <w:pPr>
              <w:textAlignment w:val="bottom"/>
            </w:pPr>
            <w:r>
              <w:rPr>
                <w:rFonts w:ascii="Times New Roman" w:eastAsia="宋体" w:hAnsi="Times New Roman"/>
                <w:color w:val="000000"/>
                <w:sz w:val="20"/>
                <w:szCs w:val="20"/>
              </w:rPr>
              <w:t>Total</w:t>
            </w:r>
            <w:r>
              <w:rPr>
                <w:rFonts w:ascii="Times New Roman" w:eastAsia="宋体" w:hAnsi="Times New Roman"/>
                <w:color w:val="000000"/>
                <w:sz w:val="20"/>
                <w:szCs w:val="20"/>
              </w:rPr>
              <w:t xml:space="preserve"> net revenues</w:t>
            </w:r>
          </w:p>
        </w:tc>
        <w:tc>
          <w:tcPr>
            <w:tcW w:w="0" w:type="auto"/>
            <w:tcBorders>
              <w:top w:val="single" w:sz="8" w:space="0" w:color="000000"/>
            </w:tcBorders>
            <w:shd w:val="clear" w:color="auto" w:fill="FFFFFF"/>
            <w:tcMar>
              <w:top w:w="40" w:type="dxa"/>
              <w:left w:w="20" w:type="dxa"/>
              <w:bottom w:w="40" w:type="dxa"/>
              <w:right w:w="0" w:type="dxa"/>
            </w:tcMar>
            <w:vAlign w:val="bottom"/>
          </w:tcPr>
          <w:p w14:paraId="00BACF6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CF67" w14:textId="77777777" w:rsidR="00871BDF" w:rsidRDefault="005C5088">
            <w:pPr>
              <w:jc w:val="right"/>
              <w:textAlignment w:val="bottom"/>
            </w:pPr>
            <w:r>
              <w:rPr>
                <w:rFonts w:ascii="Times New Roman" w:eastAsia="宋体" w:hAnsi="Times New Roman"/>
                <w:color w:val="000000"/>
                <w:sz w:val="20"/>
                <w:szCs w:val="20"/>
              </w:rPr>
              <w:t>23,518.0 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F6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F69"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CF6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CF6B" w14:textId="77777777" w:rsidR="00871BDF" w:rsidRDefault="005C5088">
            <w:pPr>
              <w:jc w:val="right"/>
              <w:textAlignment w:val="bottom"/>
            </w:pPr>
            <w:r>
              <w:rPr>
                <w:rFonts w:ascii="Times New Roman" w:eastAsia="宋体" w:hAnsi="Times New Roman"/>
                <w:color w:val="000000"/>
                <w:sz w:val="20"/>
                <w:szCs w:val="20"/>
              </w:rPr>
              <w:t>26,508.6 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F6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F6D"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CF6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CF6F" w14:textId="77777777" w:rsidR="00871BDF" w:rsidRDefault="005C5088">
            <w:pPr>
              <w:jc w:val="right"/>
              <w:textAlignment w:val="bottom"/>
            </w:pPr>
            <w:r>
              <w:rPr>
                <w:rFonts w:ascii="Times New Roman" w:eastAsia="宋体" w:hAnsi="Times New Roman"/>
                <w:color w:val="000000"/>
                <w:sz w:val="20"/>
                <w:szCs w:val="20"/>
              </w:rPr>
              <w:t>24,719.5 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F7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F71"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CF72"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CF73" w14:textId="77777777" w:rsidR="00871BDF" w:rsidRDefault="005C5088">
            <w:pPr>
              <w:jc w:val="right"/>
              <w:textAlignment w:val="bottom"/>
            </w:pPr>
            <w:r>
              <w:rPr>
                <w:rFonts w:ascii="Times New Roman" w:eastAsia="宋体" w:hAnsi="Times New Roman"/>
                <w:color w:val="000000"/>
                <w:sz w:val="20"/>
                <w:szCs w:val="20"/>
              </w:rPr>
              <w:t>22,386.8 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F7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F75"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CF7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CF77" w14:textId="77777777" w:rsidR="00871BDF" w:rsidRDefault="005C5088">
            <w:pPr>
              <w:jc w:val="right"/>
              <w:textAlignment w:val="bottom"/>
            </w:pPr>
            <w:r>
              <w:rPr>
                <w:rFonts w:ascii="Times New Roman" w:eastAsia="宋体" w:hAnsi="Times New Roman"/>
                <w:color w:val="000000"/>
                <w:sz w:val="20"/>
                <w:szCs w:val="20"/>
              </w:rPr>
              <w:t>21,315.9 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CF78" w14:textId="77777777" w:rsidR="00871BDF" w:rsidRDefault="00871BDF">
            <w:pPr>
              <w:jc w:val="right"/>
              <w:rPr>
                <w:rFonts w:ascii="宋体"/>
              </w:rPr>
            </w:pPr>
          </w:p>
        </w:tc>
        <w:tc>
          <w:tcPr>
            <w:tcW w:w="0" w:type="auto"/>
            <w:shd w:val="clear" w:color="auto" w:fill="auto"/>
          </w:tcPr>
          <w:p w14:paraId="00BACF79" w14:textId="77777777" w:rsidR="00871BDF" w:rsidRDefault="00871BDF">
            <w:pPr>
              <w:rPr>
                <w:rFonts w:ascii="宋体"/>
              </w:rPr>
            </w:pPr>
          </w:p>
        </w:tc>
        <w:tc>
          <w:tcPr>
            <w:tcW w:w="0" w:type="auto"/>
            <w:shd w:val="clear" w:color="auto" w:fill="auto"/>
          </w:tcPr>
          <w:p w14:paraId="00BACF7A" w14:textId="77777777" w:rsidR="00871BDF" w:rsidRDefault="00871BDF">
            <w:pPr>
              <w:rPr>
                <w:rFonts w:ascii="宋体"/>
              </w:rPr>
            </w:pPr>
          </w:p>
        </w:tc>
        <w:tc>
          <w:tcPr>
            <w:tcW w:w="0" w:type="auto"/>
            <w:shd w:val="clear" w:color="auto" w:fill="auto"/>
          </w:tcPr>
          <w:p w14:paraId="00BACF7B" w14:textId="77777777" w:rsidR="00871BDF" w:rsidRDefault="00871BDF">
            <w:pPr>
              <w:rPr>
                <w:rFonts w:ascii="宋体"/>
              </w:rPr>
            </w:pPr>
          </w:p>
        </w:tc>
        <w:tc>
          <w:tcPr>
            <w:tcW w:w="0" w:type="auto"/>
            <w:shd w:val="clear" w:color="auto" w:fill="auto"/>
          </w:tcPr>
          <w:p w14:paraId="00BACF7C" w14:textId="77777777" w:rsidR="00871BDF" w:rsidRDefault="00871BDF">
            <w:pPr>
              <w:rPr>
                <w:rFonts w:ascii="宋体"/>
              </w:rPr>
            </w:pPr>
          </w:p>
        </w:tc>
        <w:tc>
          <w:tcPr>
            <w:tcW w:w="0" w:type="auto"/>
            <w:shd w:val="clear" w:color="auto" w:fill="auto"/>
          </w:tcPr>
          <w:p w14:paraId="00BACF7D" w14:textId="77777777" w:rsidR="00871BDF" w:rsidRDefault="00871BDF">
            <w:pPr>
              <w:rPr>
                <w:rFonts w:ascii="宋体"/>
              </w:rPr>
            </w:pPr>
          </w:p>
        </w:tc>
        <w:tc>
          <w:tcPr>
            <w:tcW w:w="0" w:type="auto"/>
            <w:shd w:val="clear" w:color="auto" w:fill="auto"/>
          </w:tcPr>
          <w:p w14:paraId="00BACF7E" w14:textId="77777777" w:rsidR="00871BDF" w:rsidRDefault="00871BDF">
            <w:pPr>
              <w:rPr>
                <w:rFonts w:ascii="宋体"/>
              </w:rPr>
            </w:pPr>
          </w:p>
        </w:tc>
        <w:tc>
          <w:tcPr>
            <w:tcW w:w="0" w:type="auto"/>
            <w:shd w:val="clear" w:color="auto" w:fill="auto"/>
          </w:tcPr>
          <w:p w14:paraId="00BACF7F" w14:textId="77777777" w:rsidR="00871BDF" w:rsidRDefault="00871BDF">
            <w:pPr>
              <w:rPr>
                <w:rFonts w:ascii="宋体"/>
              </w:rPr>
            </w:pPr>
          </w:p>
        </w:tc>
        <w:tc>
          <w:tcPr>
            <w:tcW w:w="0" w:type="auto"/>
            <w:shd w:val="clear" w:color="auto" w:fill="auto"/>
          </w:tcPr>
          <w:p w14:paraId="00BACF80" w14:textId="77777777" w:rsidR="00871BDF" w:rsidRDefault="00871BDF">
            <w:pPr>
              <w:rPr>
                <w:rFonts w:ascii="宋体"/>
              </w:rPr>
            </w:pPr>
          </w:p>
        </w:tc>
        <w:tc>
          <w:tcPr>
            <w:tcW w:w="0" w:type="auto"/>
            <w:shd w:val="clear" w:color="auto" w:fill="auto"/>
          </w:tcPr>
          <w:p w14:paraId="00BACF81" w14:textId="77777777" w:rsidR="00871BDF" w:rsidRDefault="00871BDF">
            <w:pPr>
              <w:rPr>
                <w:rFonts w:ascii="宋体"/>
              </w:rPr>
            </w:pPr>
          </w:p>
        </w:tc>
        <w:tc>
          <w:tcPr>
            <w:tcW w:w="0" w:type="auto"/>
            <w:shd w:val="clear" w:color="auto" w:fill="auto"/>
          </w:tcPr>
          <w:p w14:paraId="00BACF82" w14:textId="77777777" w:rsidR="00871BDF" w:rsidRDefault="00871BDF">
            <w:pPr>
              <w:rPr>
                <w:rFonts w:ascii="宋体"/>
              </w:rPr>
            </w:pPr>
          </w:p>
        </w:tc>
        <w:tc>
          <w:tcPr>
            <w:tcW w:w="0" w:type="auto"/>
            <w:shd w:val="clear" w:color="auto" w:fill="auto"/>
          </w:tcPr>
          <w:p w14:paraId="00BACF83" w14:textId="77777777" w:rsidR="00871BDF" w:rsidRDefault="00871BDF">
            <w:pPr>
              <w:rPr>
                <w:rFonts w:ascii="宋体"/>
              </w:rPr>
            </w:pPr>
          </w:p>
        </w:tc>
        <w:tc>
          <w:tcPr>
            <w:tcW w:w="0" w:type="auto"/>
            <w:shd w:val="clear" w:color="auto" w:fill="auto"/>
          </w:tcPr>
          <w:p w14:paraId="00BACF84" w14:textId="77777777" w:rsidR="00871BDF" w:rsidRDefault="00871BDF">
            <w:pPr>
              <w:rPr>
                <w:rFonts w:ascii="宋体"/>
              </w:rPr>
            </w:pPr>
          </w:p>
        </w:tc>
        <w:tc>
          <w:tcPr>
            <w:tcW w:w="0" w:type="auto"/>
            <w:shd w:val="clear" w:color="auto" w:fill="auto"/>
          </w:tcPr>
          <w:p w14:paraId="00BACF85" w14:textId="77777777" w:rsidR="00871BDF" w:rsidRDefault="00871BDF">
            <w:pPr>
              <w:rPr>
                <w:rFonts w:ascii="宋体"/>
              </w:rPr>
            </w:pPr>
          </w:p>
        </w:tc>
        <w:tc>
          <w:tcPr>
            <w:tcW w:w="0" w:type="auto"/>
            <w:shd w:val="clear" w:color="auto" w:fill="auto"/>
          </w:tcPr>
          <w:p w14:paraId="00BACF86" w14:textId="77777777" w:rsidR="00871BDF" w:rsidRDefault="00871BDF">
            <w:pPr>
              <w:rPr>
                <w:rFonts w:ascii="宋体"/>
              </w:rPr>
            </w:pPr>
          </w:p>
        </w:tc>
        <w:tc>
          <w:tcPr>
            <w:tcW w:w="0" w:type="auto"/>
            <w:shd w:val="clear" w:color="auto" w:fill="auto"/>
          </w:tcPr>
          <w:p w14:paraId="00BACF87" w14:textId="77777777" w:rsidR="00871BDF" w:rsidRDefault="00871BDF">
            <w:pPr>
              <w:rPr>
                <w:rFonts w:ascii="宋体"/>
              </w:rPr>
            </w:pPr>
          </w:p>
        </w:tc>
        <w:tc>
          <w:tcPr>
            <w:tcW w:w="0" w:type="auto"/>
            <w:shd w:val="clear" w:color="auto" w:fill="auto"/>
          </w:tcPr>
          <w:p w14:paraId="00BACF88" w14:textId="77777777" w:rsidR="00871BDF" w:rsidRDefault="00871BDF">
            <w:pPr>
              <w:rPr>
                <w:rFonts w:ascii="宋体"/>
              </w:rPr>
            </w:pPr>
          </w:p>
        </w:tc>
        <w:tc>
          <w:tcPr>
            <w:tcW w:w="0" w:type="auto"/>
            <w:shd w:val="clear" w:color="auto" w:fill="auto"/>
          </w:tcPr>
          <w:p w14:paraId="00BACF89" w14:textId="77777777" w:rsidR="00871BDF" w:rsidRDefault="00871BDF">
            <w:pPr>
              <w:rPr>
                <w:rFonts w:ascii="宋体"/>
              </w:rPr>
            </w:pPr>
          </w:p>
        </w:tc>
        <w:tc>
          <w:tcPr>
            <w:tcW w:w="0" w:type="auto"/>
            <w:shd w:val="clear" w:color="auto" w:fill="auto"/>
          </w:tcPr>
          <w:p w14:paraId="00BACF8A" w14:textId="77777777" w:rsidR="00871BDF" w:rsidRDefault="00871BDF">
            <w:pPr>
              <w:rPr>
                <w:rFonts w:ascii="宋体"/>
              </w:rPr>
            </w:pPr>
          </w:p>
        </w:tc>
        <w:tc>
          <w:tcPr>
            <w:tcW w:w="0" w:type="auto"/>
            <w:shd w:val="clear" w:color="auto" w:fill="auto"/>
          </w:tcPr>
          <w:p w14:paraId="00BACF8B" w14:textId="77777777" w:rsidR="00871BDF" w:rsidRDefault="00871BDF">
            <w:pPr>
              <w:rPr>
                <w:rFonts w:ascii="宋体"/>
              </w:rPr>
            </w:pPr>
          </w:p>
        </w:tc>
        <w:tc>
          <w:tcPr>
            <w:tcW w:w="0" w:type="auto"/>
            <w:shd w:val="clear" w:color="auto" w:fill="auto"/>
          </w:tcPr>
          <w:p w14:paraId="00BACF8C" w14:textId="77777777" w:rsidR="00871BDF" w:rsidRDefault="00871BDF">
            <w:pPr>
              <w:rPr>
                <w:rFonts w:ascii="宋体"/>
              </w:rPr>
            </w:pPr>
          </w:p>
        </w:tc>
        <w:tc>
          <w:tcPr>
            <w:tcW w:w="0" w:type="auto"/>
            <w:shd w:val="clear" w:color="auto" w:fill="auto"/>
          </w:tcPr>
          <w:p w14:paraId="00BACF8D" w14:textId="77777777" w:rsidR="00871BDF" w:rsidRDefault="00871BDF">
            <w:pPr>
              <w:rPr>
                <w:rFonts w:ascii="宋体"/>
              </w:rPr>
            </w:pPr>
          </w:p>
        </w:tc>
        <w:tc>
          <w:tcPr>
            <w:tcW w:w="0" w:type="auto"/>
            <w:shd w:val="clear" w:color="auto" w:fill="auto"/>
          </w:tcPr>
          <w:p w14:paraId="00BACF8E" w14:textId="77777777" w:rsidR="00871BDF" w:rsidRDefault="00871BDF">
            <w:pPr>
              <w:rPr>
                <w:rFonts w:ascii="宋体"/>
              </w:rPr>
            </w:pPr>
          </w:p>
        </w:tc>
        <w:tc>
          <w:tcPr>
            <w:tcW w:w="0" w:type="auto"/>
            <w:shd w:val="clear" w:color="auto" w:fill="auto"/>
          </w:tcPr>
          <w:p w14:paraId="00BACF8F" w14:textId="77777777" w:rsidR="00871BDF" w:rsidRDefault="00871BDF">
            <w:pPr>
              <w:rPr>
                <w:rFonts w:ascii="宋体"/>
              </w:rPr>
            </w:pPr>
          </w:p>
        </w:tc>
        <w:tc>
          <w:tcPr>
            <w:tcW w:w="0" w:type="auto"/>
            <w:shd w:val="clear" w:color="auto" w:fill="auto"/>
          </w:tcPr>
          <w:p w14:paraId="00BACF90" w14:textId="77777777" w:rsidR="00871BDF" w:rsidRDefault="00871BDF">
            <w:pPr>
              <w:rPr>
                <w:rFonts w:ascii="宋体"/>
              </w:rPr>
            </w:pPr>
          </w:p>
        </w:tc>
        <w:tc>
          <w:tcPr>
            <w:tcW w:w="0" w:type="auto"/>
            <w:shd w:val="clear" w:color="auto" w:fill="auto"/>
          </w:tcPr>
          <w:p w14:paraId="00BACF91" w14:textId="77777777" w:rsidR="00871BDF" w:rsidRDefault="00871BDF">
            <w:pPr>
              <w:rPr>
                <w:rFonts w:ascii="宋体"/>
              </w:rPr>
            </w:pPr>
          </w:p>
        </w:tc>
        <w:tc>
          <w:tcPr>
            <w:tcW w:w="0" w:type="auto"/>
            <w:shd w:val="clear" w:color="auto" w:fill="auto"/>
          </w:tcPr>
          <w:p w14:paraId="00BACF92" w14:textId="77777777" w:rsidR="00871BDF" w:rsidRDefault="00871BDF">
            <w:pPr>
              <w:rPr>
                <w:rFonts w:ascii="宋体"/>
              </w:rPr>
            </w:pPr>
          </w:p>
        </w:tc>
        <w:tc>
          <w:tcPr>
            <w:tcW w:w="0" w:type="auto"/>
            <w:shd w:val="clear" w:color="auto" w:fill="auto"/>
          </w:tcPr>
          <w:p w14:paraId="00BACF93" w14:textId="77777777" w:rsidR="00871BDF" w:rsidRDefault="00871BDF">
            <w:pPr>
              <w:rPr>
                <w:rFonts w:ascii="宋体"/>
              </w:rPr>
            </w:pPr>
          </w:p>
        </w:tc>
        <w:tc>
          <w:tcPr>
            <w:tcW w:w="0" w:type="auto"/>
            <w:shd w:val="clear" w:color="auto" w:fill="auto"/>
          </w:tcPr>
          <w:p w14:paraId="00BACF94" w14:textId="77777777" w:rsidR="00871BDF" w:rsidRDefault="00871BDF">
            <w:pPr>
              <w:rPr>
                <w:rFonts w:ascii="宋体"/>
              </w:rPr>
            </w:pPr>
          </w:p>
        </w:tc>
        <w:tc>
          <w:tcPr>
            <w:tcW w:w="0" w:type="auto"/>
            <w:shd w:val="clear" w:color="auto" w:fill="auto"/>
          </w:tcPr>
          <w:p w14:paraId="00BACF95" w14:textId="77777777" w:rsidR="00871BDF" w:rsidRDefault="00871BDF">
            <w:pPr>
              <w:rPr>
                <w:rFonts w:ascii="宋体"/>
              </w:rPr>
            </w:pPr>
          </w:p>
        </w:tc>
        <w:tc>
          <w:tcPr>
            <w:tcW w:w="0" w:type="auto"/>
            <w:shd w:val="clear" w:color="auto" w:fill="auto"/>
          </w:tcPr>
          <w:p w14:paraId="00BACF96" w14:textId="77777777" w:rsidR="00871BDF" w:rsidRDefault="00871BDF">
            <w:pPr>
              <w:rPr>
                <w:rFonts w:ascii="宋体"/>
              </w:rPr>
            </w:pPr>
          </w:p>
        </w:tc>
      </w:tr>
      <w:tr w:rsidR="00871BDF" w14:paraId="00BACFCA" w14:textId="77777777">
        <w:trPr>
          <w:jc w:val="center"/>
        </w:trPr>
        <w:tc>
          <w:tcPr>
            <w:tcW w:w="0" w:type="auto"/>
            <w:gridSpan w:val="3"/>
            <w:shd w:val="clear" w:color="auto" w:fill="D7E4BC"/>
            <w:tcMar>
              <w:top w:w="40" w:type="dxa"/>
              <w:left w:w="20" w:type="dxa"/>
              <w:bottom w:w="40" w:type="dxa"/>
              <w:right w:w="20" w:type="dxa"/>
            </w:tcMar>
            <w:vAlign w:val="bottom"/>
          </w:tcPr>
          <w:p w14:paraId="00BACF98" w14:textId="77777777" w:rsidR="00871BDF" w:rsidRDefault="005C5088">
            <w:pPr>
              <w:textAlignment w:val="bottom"/>
            </w:pPr>
            <w:r>
              <w:rPr>
                <w:rFonts w:ascii="Times New Roman" w:eastAsia="宋体" w:hAnsi="Times New Roman"/>
                <w:color w:val="000000"/>
                <w:sz w:val="20"/>
                <w:szCs w:val="20"/>
              </w:rPr>
              <w:t>Operating income</w:t>
            </w:r>
          </w:p>
        </w:tc>
        <w:tc>
          <w:tcPr>
            <w:tcW w:w="0" w:type="auto"/>
            <w:tcBorders>
              <w:top w:val="double" w:sz="6" w:space="0" w:color="000000"/>
            </w:tcBorders>
            <w:shd w:val="clear" w:color="auto" w:fill="D7E4BC"/>
            <w:tcMar>
              <w:top w:w="40" w:type="dxa"/>
              <w:left w:w="20" w:type="dxa"/>
              <w:bottom w:w="40" w:type="dxa"/>
              <w:right w:w="0" w:type="dxa"/>
            </w:tcMar>
            <w:vAlign w:val="bottom"/>
          </w:tcPr>
          <w:p w14:paraId="00BACF9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00BACF9A" w14:textId="77777777" w:rsidR="00871BDF" w:rsidRDefault="005C5088">
            <w:pPr>
              <w:jc w:val="right"/>
              <w:textAlignment w:val="bottom"/>
            </w:pPr>
            <w:r>
              <w:rPr>
                <w:rFonts w:ascii="Times New Roman" w:eastAsia="宋体" w:hAnsi="Times New Roman"/>
                <w:color w:val="000000"/>
                <w:sz w:val="20"/>
                <w:szCs w:val="20"/>
              </w:rPr>
              <w:t>1,561.7 </w:t>
            </w:r>
          </w:p>
        </w:tc>
        <w:tc>
          <w:tcPr>
            <w:tcW w:w="0" w:type="auto"/>
            <w:tcBorders>
              <w:top w:val="double" w:sz="6" w:space="0" w:color="000000"/>
            </w:tcBorders>
            <w:shd w:val="clear" w:color="auto" w:fill="D7E4BC"/>
            <w:tcMar>
              <w:top w:w="40" w:type="dxa"/>
              <w:left w:w="0" w:type="dxa"/>
              <w:bottom w:w="40" w:type="dxa"/>
              <w:right w:w="20" w:type="dxa"/>
            </w:tcMar>
            <w:vAlign w:val="bottom"/>
          </w:tcPr>
          <w:p w14:paraId="00BACF9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F9C" w14:textId="77777777" w:rsidR="00871BDF" w:rsidRDefault="00871BDF">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00BACF9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00BACF9E" w14:textId="77777777" w:rsidR="00871BDF" w:rsidRDefault="005C5088">
            <w:pPr>
              <w:jc w:val="right"/>
              <w:textAlignment w:val="bottom"/>
            </w:pPr>
            <w:r>
              <w:rPr>
                <w:rFonts w:ascii="Times New Roman" w:eastAsia="宋体" w:hAnsi="Times New Roman"/>
                <w:color w:val="000000"/>
                <w:sz w:val="20"/>
                <w:szCs w:val="20"/>
              </w:rPr>
              <w:t>4,077.9 </w:t>
            </w:r>
          </w:p>
        </w:tc>
        <w:tc>
          <w:tcPr>
            <w:tcW w:w="0" w:type="auto"/>
            <w:tcBorders>
              <w:top w:val="double" w:sz="6" w:space="0" w:color="000000"/>
            </w:tcBorders>
            <w:shd w:val="clear" w:color="auto" w:fill="D7E4BC"/>
            <w:tcMar>
              <w:top w:w="40" w:type="dxa"/>
              <w:left w:w="0" w:type="dxa"/>
              <w:bottom w:w="40" w:type="dxa"/>
              <w:right w:w="20" w:type="dxa"/>
            </w:tcMar>
            <w:vAlign w:val="bottom"/>
          </w:tcPr>
          <w:p w14:paraId="00BACF9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FA0" w14:textId="77777777" w:rsidR="00871BDF" w:rsidRDefault="00871BDF">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00BACFA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00BACFA2" w14:textId="77777777" w:rsidR="00871BDF" w:rsidRDefault="005C5088">
            <w:pPr>
              <w:jc w:val="right"/>
              <w:textAlignment w:val="bottom"/>
            </w:pPr>
            <w:r>
              <w:rPr>
                <w:rFonts w:ascii="Times New Roman" w:eastAsia="宋体" w:hAnsi="Times New Roman"/>
                <w:color w:val="000000"/>
                <w:sz w:val="20"/>
                <w:szCs w:val="20"/>
              </w:rPr>
              <w:t>3,883.3 </w:t>
            </w:r>
          </w:p>
        </w:tc>
        <w:tc>
          <w:tcPr>
            <w:tcW w:w="0" w:type="auto"/>
            <w:tcBorders>
              <w:top w:val="double" w:sz="6" w:space="0" w:color="000000"/>
            </w:tcBorders>
            <w:shd w:val="clear" w:color="auto" w:fill="D7E4BC"/>
            <w:tcMar>
              <w:top w:w="40" w:type="dxa"/>
              <w:left w:w="0" w:type="dxa"/>
              <w:bottom w:w="40" w:type="dxa"/>
              <w:right w:w="20" w:type="dxa"/>
            </w:tcMar>
            <w:vAlign w:val="bottom"/>
          </w:tcPr>
          <w:p w14:paraId="00BACFA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FA4" w14:textId="77777777" w:rsidR="00871BDF" w:rsidRDefault="00871BDF">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00BACFA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00BACFA6" w14:textId="77777777" w:rsidR="00871BDF" w:rsidRDefault="005C5088">
            <w:pPr>
              <w:jc w:val="right"/>
              <w:textAlignment w:val="bottom"/>
            </w:pPr>
            <w:r>
              <w:rPr>
                <w:rFonts w:ascii="Times New Roman" w:eastAsia="宋体" w:hAnsi="Times New Roman"/>
                <w:color w:val="000000"/>
                <w:sz w:val="20"/>
                <w:szCs w:val="20"/>
              </w:rPr>
              <w:t>4,134.7 </w:t>
            </w:r>
          </w:p>
        </w:tc>
        <w:tc>
          <w:tcPr>
            <w:tcW w:w="0" w:type="auto"/>
            <w:tcBorders>
              <w:top w:val="double" w:sz="6" w:space="0" w:color="000000"/>
            </w:tcBorders>
            <w:shd w:val="clear" w:color="auto" w:fill="D7E4BC"/>
            <w:tcMar>
              <w:top w:w="40" w:type="dxa"/>
              <w:left w:w="0" w:type="dxa"/>
              <w:bottom w:w="40" w:type="dxa"/>
              <w:right w:w="20" w:type="dxa"/>
            </w:tcMar>
            <w:vAlign w:val="bottom"/>
          </w:tcPr>
          <w:p w14:paraId="00BACFA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FA8" w14:textId="77777777" w:rsidR="00871BDF" w:rsidRDefault="00871BDF">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00BACFA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00BACFAA" w14:textId="77777777" w:rsidR="00871BDF" w:rsidRDefault="005C5088">
            <w:pPr>
              <w:jc w:val="right"/>
              <w:textAlignment w:val="bottom"/>
            </w:pPr>
            <w:r>
              <w:rPr>
                <w:rFonts w:ascii="Times New Roman" w:eastAsia="宋体" w:hAnsi="Times New Roman"/>
                <w:color w:val="000000"/>
                <w:sz w:val="20"/>
                <w:szCs w:val="20"/>
              </w:rPr>
              <w:t>4,171.9 </w:t>
            </w:r>
          </w:p>
        </w:tc>
        <w:tc>
          <w:tcPr>
            <w:tcW w:w="0" w:type="auto"/>
            <w:tcBorders>
              <w:top w:val="double" w:sz="6" w:space="0" w:color="000000"/>
            </w:tcBorders>
            <w:shd w:val="clear" w:color="auto" w:fill="D7E4BC"/>
            <w:tcMar>
              <w:top w:w="40" w:type="dxa"/>
              <w:left w:w="0" w:type="dxa"/>
              <w:bottom w:w="40" w:type="dxa"/>
              <w:right w:w="20" w:type="dxa"/>
            </w:tcMar>
            <w:vAlign w:val="bottom"/>
          </w:tcPr>
          <w:p w14:paraId="00BACFAB" w14:textId="77777777" w:rsidR="00871BDF" w:rsidRDefault="00871BDF">
            <w:pPr>
              <w:jc w:val="right"/>
              <w:rPr>
                <w:rFonts w:ascii="宋体"/>
              </w:rPr>
            </w:pPr>
          </w:p>
        </w:tc>
        <w:tc>
          <w:tcPr>
            <w:tcW w:w="0" w:type="auto"/>
            <w:shd w:val="clear" w:color="auto" w:fill="auto"/>
          </w:tcPr>
          <w:p w14:paraId="00BACFAC" w14:textId="77777777" w:rsidR="00871BDF" w:rsidRDefault="00871BDF">
            <w:pPr>
              <w:rPr>
                <w:rFonts w:ascii="宋体"/>
              </w:rPr>
            </w:pPr>
          </w:p>
        </w:tc>
        <w:tc>
          <w:tcPr>
            <w:tcW w:w="0" w:type="auto"/>
            <w:shd w:val="clear" w:color="auto" w:fill="auto"/>
          </w:tcPr>
          <w:p w14:paraId="00BACFAD" w14:textId="77777777" w:rsidR="00871BDF" w:rsidRDefault="00871BDF">
            <w:pPr>
              <w:rPr>
                <w:rFonts w:ascii="宋体"/>
              </w:rPr>
            </w:pPr>
          </w:p>
        </w:tc>
        <w:tc>
          <w:tcPr>
            <w:tcW w:w="0" w:type="auto"/>
            <w:shd w:val="clear" w:color="auto" w:fill="auto"/>
          </w:tcPr>
          <w:p w14:paraId="00BACFAE" w14:textId="77777777" w:rsidR="00871BDF" w:rsidRDefault="00871BDF">
            <w:pPr>
              <w:rPr>
                <w:rFonts w:ascii="宋体"/>
              </w:rPr>
            </w:pPr>
          </w:p>
        </w:tc>
        <w:tc>
          <w:tcPr>
            <w:tcW w:w="0" w:type="auto"/>
            <w:shd w:val="clear" w:color="auto" w:fill="auto"/>
          </w:tcPr>
          <w:p w14:paraId="00BACFAF" w14:textId="77777777" w:rsidR="00871BDF" w:rsidRDefault="00871BDF">
            <w:pPr>
              <w:rPr>
                <w:rFonts w:ascii="宋体"/>
              </w:rPr>
            </w:pPr>
          </w:p>
        </w:tc>
        <w:tc>
          <w:tcPr>
            <w:tcW w:w="0" w:type="auto"/>
            <w:shd w:val="clear" w:color="auto" w:fill="auto"/>
          </w:tcPr>
          <w:p w14:paraId="00BACFB0" w14:textId="77777777" w:rsidR="00871BDF" w:rsidRDefault="00871BDF">
            <w:pPr>
              <w:rPr>
                <w:rFonts w:ascii="宋体"/>
              </w:rPr>
            </w:pPr>
          </w:p>
        </w:tc>
        <w:tc>
          <w:tcPr>
            <w:tcW w:w="0" w:type="auto"/>
            <w:shd w:val="clear" w:color="auto" w:fill="auto"/>
          </w:tcPr>
          <w:p w14:paraId="00BACFB1" w14:textId="77777777" w:rsidR="00871BDF" w:rsidRDefault="00871BDF">
            <w:pPr>
              <w:rPr>
                <w:rFonts w:ascii="宋体"/>
              </w:rPr>
            </w:pPr>
          </w:p>
        </w:tc>
        <w:tc>
          <w:tcPr>
            <w:tcW w:w="0" w:type="auto"/>
            <w:shd w:val="clear" w:color="auto" w:fill="auto"/>
          </w:tcPr>
          <w:p w14:paraId="00BACFB2" w14:textId="77777777" w:rsidR="00871BDF" w:rsidRDefault="00871BDF">
            <w:pPr>
              <w:rPr>
                <w:rFonts w:ascii="宋体"/>
              </w:rPr>
            </w:pPr>
          </w:p>
        </w:tc>
        <w:tc>
          <w:tcPr>
            <w:tcW w:w="0" w:type="auto"/>
            <w:shd w:val="clear" w:color="auto" w:fill="auto"/>
          </w:tcPr>
          <w:p w14:paraId="00BACFB3" w14:textId="77777777" w:rsidR="00871BDF" w:rsidRDefault="00871BDF">
            <w:pPr>
              <w:rPr>
                <w:rFonts w:ascii="宋体"/>
              </w:rPr>
            </w:pPr>
          </w:p>
        </w:tc>
        <w:tc>
          <w:tcPr>
            <w:tcW w:w="0" w:type="auto"/>
            <w:shd w:val="clear" w:color="auto" w:fill="auto"/>
          </w:tcPr>
          <w:p w14:paraId="00BACFB4" w14:textId="77777777" w:rsidR="00871BDF" w:rsidRDefault="00871BDF">
            <w:pPr>
              <w:rPr>
                <w:rFonts w:ascii="宋体"/>
              </w:rPr>
            </w:pPr>
          </w:p>
        </w:tc>
        <w:tc>
          <w:tcPr>
            <w:tcW w:w="0" w:type="auto"/>
            <w:shd w:val="clear" w:color="auto" w:fill="auto"/>
          </w:tcPr>
          <w:p w14:paraId="00BACFB5" w14:textId="77777777" w:rsidR="00871BDF" w:rsidRDefault="00871BDF">
            <w:pPr>
              <w:rPr>
                <w:rFonts w:ascii="宋体"/>
              </w:rPr>
            </w:pPr>
          </w:p>
        </w:tc>
        <w:tc>
          <w:tcPr>
            <w:tcW w:w="0" w:type="auto"/>
            <w:shd w:val="clear" w:color="auto" w:fill="auto"/>
          </w:tcPr>
          <w:p w14:paraId="00BACFB6" w14:textId="77777777" w:rsidR="00871BDF" w:rsidRDefault="00871BDF">
            <w:pPr>
              <w:rPr>
                <w:rFonts w:ascii="宋体"/>
              </w:rPr>
            </w:pPr>
          </w:p>
        </w:tc>
        <w:tc>
          <w:tcPr>
            <w:tcW w:w="0" w:type="auto"/>
            <w:shd w:val="clear" w:color="auto" w:fill="auto"/>
          </w:tcPr>
          <w:p w14:paraId="00BACFB7" w14:textId="77777777" w:rsidR="00871BDF" w:rsidRDefault="00871BDF">
            <w:pPr>
              <w:rPr>
                <w:rFonts w:ascii="宋体"/>
              </w:rPr>
            </w:pPr>
          </w:p>
        </w:tc>
        <w:tc>
          <w:tcPr>
            <w:tcW w:w="0" w:type="auto"/>
            <w:shd w:val="clear" w:color="auto" w:fill="auto"/>
          </w:tcPr>
          <w:p w14:paraId="00BACFB8" w14:textId="77777777" w:rsidR="00871BDF" w:rsidRDefault="00871BDF">
            <w:pPr>
              <w:rPr>
                <w:rFonts w:ascii="宋体"/>
              </w:rPr>
            </w:pPr>
          </w:p>
        </w:tc>
        <w:tc>
          <w:tcPr>
            <w:tcW w:w="0" w:type="auto"/>
            <w:shd w:val="clear" w:color="auto" w:fill="auto"/>
          </w:tcPr>
          <w:p w14:paraId="00BACFB9" w14:textId="77777777" w:rsidR="00871BDF" w:rsidRDefault="00871BDF">
            <w:pPr>
              <w:rPr>
                <w:rFonts w:ascii="宋体"/>
              </w:rPr>
            </w:pPr>
          </w:p>
        </w:tc>
        <w:tc>
          <w:tcPr>
            <w:tcW w:w="0" w:type="auto"/>
            <w:shd w:val="clear" w:color="auto" w:fill="auto"/>
          </w:tcPr>
          <w:p w14:paraId="00BACFBA" w14:textId="77777777" w:rsidR="00871BDF" w:rsidRDefault="00871BDF">
            <w:pPr>
              <w:rPr>
                <w:rFonts w:ascii="宋体"/>
              </w:rPr>
            </w:pPr>
          </w:p>
        </w:tc>
        <w:tc>
          <w:tcPr>
            <w:tcW w:w="0" w:type="auto"/>
            <w:shd w:val="clear" w:color="auto" w:fill="auto"/>
          </w:tcPr>
          <w:p w14:paraId="00BACFBB" w14:textId="77777777" w:rsidR="00871BDF" w:rsidRDefault="00871BDF">
            <w:pPr>
              <w:rPr>
                <w:rFonts w:ascii="宋体"/>
              </w:rPr>
            </w:pPr>
          </w:p>
        </w:tc>
        <w:tc>
          <w:tcPr>
            <w:tcW w:w="0" w:type="auto"/>
            <w:shd w:val="clear" w:color="auto" w:fill="auto"/>
          </w:tcPr>
          <w:p w14:paraId="00BACFBC" w14:textId="77777777" w:rsidR="00871BDF" w:rsidRDefault="00871BDF">
            <w:pPr>
              <w:rPr>
                <w:rFonts w:ascii="宋体"/>
              </w:rPr>
            </w:pPr>
          </w:p>
        </w:tc>
        <w:tc>
          <w:tcPr>
            <w:tcW w:w="0" w:type="auto"/>
            <w:shd w:val="clear" w:color="auto" w:fill="auto"/>
          </w:tcPr>
          <w:p w14:paraId="00BACFBD" w14:textId="77777777" w:rsidR="00871BDF" w:rsidRDefault="00871BDF">
            <w:pPr>
              <w:rPr>
                <w:rFonts w:ascii="宋体"/>
              </w:rPr>
            </w:pPr>
          </w:p>
        </w:tc>
        <w:tc>
          <w:tcPr>
            <w:tcW w:w="0" w:type="auto"/>
            <w:shd w:val="clear" w:color="auto" w:fill="auto"/>
          </w:tcPr>
          <w:p w14:paraId="00BACFBE" w14:textId="77777777" w:rsidR="00871BDF" w:rsidRDefault="00871BDF">
            <w:pPr>
              <w:rPr>
                <w:rFonts w:ascii="宋体"/>
              </w:rPr>
            </w:pPr>
          </w:p>
        </w:tc>
        <w:tc>
          <w:tcPr>
            <w:tcW w:w="0" w:type="auto"/>
            <w:shd w:val="clear" w:color="auto" w:fill="auto"/>
          </w:tcPr>
          <w:p w14:paraId="00BACFBF" w14:textId="77777777" w:rsidR="00871BDF" w:rsidRDefault="00871BDF">
            <w:pPr>
              <w:rPr>
                <w:rFonts w:ascii="宋体"/>
              </w:rPr>
            </w:pPr>
          </w:p>
        </w:tc>
        <w:tc>
          <w:tcPr>
            <w:tcW w:w="0" w:type="auto"/>
            <w:shd w:val="clear" w:color="auto" w:fill="auto"/>
          </w:tcPr>
          <w:p w14:paraId="00BACFC0" w14:textId="77777777" w:rsidR="00871BDF" w:rsidRDefault="00871BDF">
            <w:pPr>
              <w:rPr>
                <w:rFonts w:ascii="宋体"/>
              </w:rPr>
            </w:pPr>
          </w:p>
        </w:tc>
        <w:tc>
          <w:tcPr>
            <w:tcW w:w="0" w:type="auto"/>
            <w:shd w:val="clear" w:color="auto" w:fill="auto"/>
          </w:tcPr>
          <w:p w14:paraId="00BACFC1" w14:textId="77777777" w:rsidR="00871BDF" w:rsidRDefault="00871BDF">
            <w:pPr>
              <w:rPr>
                <w:rFonts w:ascii="宋体"/>
              </w:rPr>
            </w:pPr>
          </w:p>
        </w:tc>
        <w:tc>
          <w:tcPr>
            <w:tcW w:w="0" w:type="auto"/>
            <w:shd w:val="clear" w:color="auto" w:fill="auto"/>
          </w:tcPr>
          <w:p w14:paraId="00BACFC2" w14:textId="77777777" w:rsidR="00871BDF" w:rsidRDefault="00871BDF">
            <w:pPr>
              <w:rPr>
                <w:rFonts w:ascii="宋体"/>
              </w:rPr>
            </w:pPr>
          </w:p>
        </w:tc>
        <w:tc>
          <w:tcPr>
            <w:tcW w:w="0" w:type="auto"/>
            <w:shd w:val="clear" w:color="auto" w:fill="auto"/>
          </w:tcPr>
          <w:p w14:paraId="00BACFC3" w14:textId="77777777" w:rsidR="00871BDF" w:rsidRDefault="00871BDF">
            <w:pPr>
              <w:rPr>
                <w:rFonts w:ascii="宋体"/>
              </w:rPr>
            </w:pPr>
          </w:p>
        </w:tc>
        <w:tc>
          <w:tcPr>
            <w:tcW w:w="0" w:type="auto"/>
            <w:shd w:val="clear" w:color="auto" w:fill="auto"/>
          </w:tcPr>
          <w:p w14:paraId="00BACFC4" w14:textId="77777777" w:rsidR="00871BDF" w:rsidRDefault="00871BDF">
            <w:pPr>
              <w:rPr>
                <w:rFonts w:ascii="宋体"/>
              </w:rPr>
            </w:pPr>
          </w:p>
        </w:tc>
        <w:tc>
          <w:tcPr>
            <w:tcW w:w="0" w:type="auto"/>
            <w:shd w:val="clear" w:color="auto" w:fill="auto"/>
          </w:tcPr>
          <w:p w14:paraId="00BACFC5" w14:textId="77777777" w:rsidR="00871BDF" w:rsidRDefault="00871BDF">
            <w:pPr>
              <w:rPr>
                <w:rFonts w:ascii="宋体"/>
              </w:rPr>
            </w:pPr>
          </w:p>
        </w:tc>
        <w:tc>
          <w:tcPr>
            <w:tcW w:w="0" w:type="auto"/>
            <w:shd w:val="clear" w:color="auto" w:fill="auto"/>
          </w:tcPr>
          <w:p w14:paraId="00BACFC6" w14:textId="77777777" w:rsidR="00871BDF" w:rsidRDefault="00871BDF">
            <w:pPr>
              <w:rPr>
                <w:rFonts w:ascii="宋体"/>
              </w:rPr>
            </w:pPr>
          </w:p>
        </w:tc>
        <w:tc>
          <w:tcPr>
            <w:tcW w:w="0" w:type="auto"/>
            <w:shd w:val="clear" w:color="auto" w:fill="auto"/>
          </w:tcPr>
          <w:p w14:paraId="00BACFC7" w14:textId="77777777" w:rsidR="00871BDF" w:rsidRDefault="00871BDF">
            <w:pPr>
              <w:rPr>
                <w:rFonts w:ascii="宋体"/>
              </w:rPr>
            </w:pPr>
          </w:p>
        </w:tc>
        <w:tc>
          <w:tcPr>
            <w:tcW w:w="0" w:type="auto"/>
            <w:shd w:val="clear" w:color="auto" w:fill="auto"/>
          </w:tcPr>
          <w:p w14:paraId="00BACFC8" w14:textId="77777777" w:rsidR="00871BDF" w:rsidRDefault="00871BDF">
            <w:pPr>
              <w:rPr>
                <w:rFonts w:ascii="宋体"/>
              </w:rPr>
            </w:pPr>
          </w:p>
        </w:tc>
        <w:tc>
          <w:tcPr>
            <w:tcW w:w="0" w:type="auto"/>
            <w:shd w:val="clear" w:color="auto" w:fill="auto"/>
          </w:tcPr>
          <w:p w14:paraId="00BACFC9" w14:textId="77777777" w:rsidR="00871BDF" w:rsidRDefault="00871BDF">
            <w:pPr>
              <w:rPr>
                <w:rFonts w:ascii="宋体"/>
              </w:rPr>
            </w:pPr>
          </w:p>
        </w:tc>
      </w:tr>
      <w:tr w:rsidR="00871BDF" w14:paraId="00BACFF8" w14:textId="77777777">
        <w:trPr>
          <w:jc w:val="center"/>
        </w:trPr>
        <w:tc>
          <w:tcPr>
            <w:tcW w:w="0" w:type="auto"/>
            <w:gridSpan w:val="3"/>
            <w:shd w:val="clear" w:color="auto" w:fill="FFFFFF"/>
            <w:tcMar>
              <w:top w:w="40" w:type="dxa"/>
              <w:left w:w="20" w:type="dxa"/>
              <w:bottom w:w="40" w:type="dxa"/>
              <w:right w:w="20" w:type="dxa"/>
            </w:tcMar>
            <w:vAlign w:val="bottom"/>
          </w:tcPr>
          <w:p w14:paraId="00BACFCB" w14:textId="77777777" w:rsidR="00871BDF" w:rsidRDefault="005C5088">
            <w:pPr>
              <w:textAlignment w:val="bottom"/>
            </w:pPr>
            <w:r>
              <w:rPr>
                <w:rFonts w:ascii="Times New Roman" w:eastAsia="宋体" w:hAnsi="Times New Roman"/>
                <w:color w:val="000000"/>
                <w:sz w:val="20"/>
                <w:szCs w:val="20"/>
              </w:rPr>
              <w:t>Net earnings including noncontrolling interests</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00BACFCC" w14:textId="77777777" w:rsidR="00871BDF" w:rsidRDefault="005C5088">
            <w:pPr>
              <w:jc w:val="right"/>
              <w:textAlignment w:val="bottom"/>
            </w:pPr>
            <w:r>
              <w:rPr>
                <w:rFonts w:ascii="Times New Roman" w:eastAsia="宋体" w:hAnsi="Times New Roman"/>
                <w:color w:val="000000"/>
                <w:sz w:val="20"/>
                <w:szCs w:val="20"/>
              </w:rPr>
              <w:t>924.7 </w:t>
            </w:r>
          </w:p>
        </w:tc>
        <w:tc>
          <w:tcPr>
            <w:tcW w:w="0" w:type="auto"/>
            <w:shd w:val="clear" w:color="auto" w:fill="FFFFFF"/>
            <w:tcMar>
              <w:top w:w="40" w:type="dxa"/>
              <w:left w:w="0" w:type="dxa"/>
              <w:bottom w:w="40" w:type="dxa"/>
              <w:right w:w="20" w:type="dxa"/>
            </w:tcMar>
            <w:vAlign w:val="bottom"/>
          </w:tcPr>
          <w:p w14:paraId="00BACFC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FC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FCF" w14:textId="77777777" w:rsidR="00871BDF" w:rsidRDefault="005C5088">
            <w:pPr>
              <w:jc w:val="right"/>
              <w:textAlignment w:val="bottom"/>
            </w:pPr>
            <w:r>
              <w:rPr>
                <w:rFonts w:ascii="Times New Roman" w:eastAsia="宋体" w:hAnsi="Times New Roman"/>
                <w:color w:val="000000"/>
                <w:sz w:val="20"/>
                <w:szCs w:val="20"/>
              </w:rPr>
              <w:t>3,594.6 </w:t>
            </w:r>
          </w:p>
        </w:tc>
        <w:tc>
          <w:tcPr>
            <w:tcW w:w="0" w:type="auto"/>
            <w:shd w:val="clear" w:color="auto" w:fill="FFFFFF"/>
            <w:tcMar>
              <w:top w:w="40" w:type="dxa"/>
              <w:left w:w="0" w:type="dxa"/>
              <w:bottom w:w="40" w:type="dxa"/>
              <w:right w:w="20" w:type="dxa"/>
            </w:tcMar>
            <w:vAlign w:val="bottom"/>
          </w:tcPr>
          <w:p w14:paraId="00BACFD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FD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FD2" w14:textId="77777777" w:rsidR="00871BDF" w:rsidRDefault="005C5088">
            <w:pPr>
              <w:jc w:val="right"/>
              <w:textAlignment w:val="bottom"/>
            </w:pPr>
            <w:r>
              <w:rPr>
                <w:rFonts w:ascii="Times New Roman" w:eastAsia="宋体" w:hAnsi="Times New Roman"/>
                <w:color w:val="000000"/>
                <w:sz w:val="20"/>
                <w:szCs w:val="20"/>
              </w:rPr>
              <w:t>4,518.0 </w:t>
            </w:r>
          </w:p>
        </w:tc>
        <w:tc>
          <w:tcPr>
            <w:tcW w:w="0" w:type="auto"/>
            <w:shd w:val="clear" w:color="auto" w:fill="FFFFFF"/>
            <w:tcMar>
              <w:top w:w="40" w:type="dxa"/>
              <w:left w:w="0" w:type="dxa"/>
              <w:bottom w:w="40" w:type="dxa"/>
              <w:right w:w="20" w:type="dxa"/>
            </w:tcMar>
            <w:vAlign w:val="bottom"/>
          </w:tcPr>
          <w:p w14:paraId="00BACFD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FD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FD5" w14:textId="77777777" w:rsidR="00871BDF" w:rsidRDefault="005C5088">
            <w:pPr>
              <w:jc w:val="right"/>
              <w:textAlignment w:val="bottom"/>
            </w:pPr>
            <w:r>
              <w:rPr>
                <w:rFonts w:ascii="Times New Roman" w:eastAsia="宋体" w:hAnsi="Times New Roman"/>
                <w:color w:val="000000"/>
                <w:sz w:val="20"/>
                <w:szCs w:val="20"/>
              </w:rPr>
              <w:t>2,884.9 </w:t>
            </w:r>
          </w:p>
        </w:tc>
        <w:tc>
          <w:tcPr>
            <w:tcW w:w="0" w:type="auto"/>
            <w:shd w:val="clear" w:color="auto" w:fill="FFFFFF"/>
            <w:tcMar>
              <w:top w:w="40" w:type="dxa"/>
              <w:left w:w="0" w:type="dxa"/>
              <w:bottom w:w="40" w:type="dxa"/>
              <w:right w:w="20" w:type="dxa"/>
            </w:tcMar>
            <w:vAlign w:val="bottom"/>
          </w:tcPr>
          <w:p w14:paraId="00BACFD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CFD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CFD8" w14:textId="77777777" w:rsidR="00871BDF" w:rsidRDefault="005C5088">
            <w:pPr>
              <w:jc w:val="right"/>
              <w:textAlignment w:val="bottom"/>
            </w:pPr>
            <w:r>
              <w:rPr>
                <w:rFonts w:ascii="Times New Roman" w:eastAsia="宋体" w:hAnsi="Times New Roman"/>
                <w:color w:val="000000"/>
                <w:sz w:val="20"/>
                <w:szCs w:val="20"/>
              </w:rPr>
              <w:t>2,818.9 </w:t>
            </w:r>
          </w:p>
        </w:tc>
        <w:tc>
          <w:tcPr>
            <w:tcW w:w="0" w:type="auto"/>
            <w:shd w:val="clear" w:color="auto" w:fill="FFFFFF"/>
            <w:tcMar>
              <w:top w:w="40" w:type="dxa"/>
              <w:left w:w="0" w:type="dxa"/>
              <w:bottom w:w="40" w:type="dxa"/>
              <w:right w:w="20" w:type="dxa"/>
            </w:tcMar>
            <w:vAlign w:val="bottom"/>
          </w:tcPr>
          <w:p w14:paraId="00BACFD9" w14:textId="77777777" w:rsidR="00871BDF" w:rsidRDefault="00871BDF">
            <w:pPr>
              <w:jc w:val="right"/>
              <w:rPr>
                <w:rFonts w:ascii="宋体"/>
              </w:rPr>
            </w:pPr>
          </w:p>
        </w:tc>
        <w:tc>
          <w:tcPr>
            <w:tcW w:w="0" w:type="auto"/>
            <w:shd w:val="clear" w:color="auto" w:fill="auto"/>
          </w:tcPr>
          <w:p w14:paraId="00BACFDA" w14:textId="77777777" w:rsidR="00871BDF" w:rsidRDefault="00871BDF">
            <w:pPr>
              <w:rPr>
                <w:rFonts w:ascii="宋体"/>
              </w:rPr>
            </w:pPr>
          </w:p>
        </w:tc>
        <w:tc>
          <w:tcPr>
            <w:tcW w:w="0" w:type="auto"/>
            <w:shd w:val="clear" w:color="auto" w:fill="auto"/>
          </w:tcPr>
          <w:p w14:paraId="00BACFDB" w14:textId="77777777" w:rsidR="00871BDF" w:rsidRDefault="00871BDF">
            <w:pPr>
              <w:rPr>
                <w:rFonts w:ascii="宋体"/>
              </w:rPr>
            </w:pPr>
          </w:p>
        </w:tc>
        <w:tc>
          <w:tcPr>
            <w:tcW w:w="0" w:type="auto"/>
            <w:shd w:val="clear" w:color="auto" w:fill="auto"/>
          </w:tcPr>
          <w:p w14:paraId="00BACFDC" w14:textId="77777777" w:rsidR="00871BDF" w:rsidRDefault="00871BDF">
            <w:pPr>
              <w:rPr>
                <w:rFonts w:ascii="宋体"/>
              </w:rPr>
            </w:pPr>
          </w:p>
        </w:tc>
        <w:tc>
          <w:tcPr>
            <w:tcW w:w="0" w:type="auto"/>
            <w:shd w:val="clear" w:color="auto" w:fill="auto"/>
          </w:tcPr>
          <w:p w14:paraId="00BACFDD" w14:textId="77777777" w:rsidR="00871BDF" w:rsidRDefault="00871BDF">
            <w:pPr>
              <w:rPr>
                <w:rFonts w:ascii="宋体"/>
              </w:rPr>
            </w:pPr>
          </w:p>
        </w:tc>
        <w:tc>
          <w:tcPr>
            <w:tcW w:w="0" w:type="auto"/>
            <w:shd w:val="clear" w:color="auto" w:fill="auto"/>
          </w:tcPr>
          <w:p w14:paraId="00BACFDE" w14:textId="77777777" w:rsidR="00871BDF" w:rsidRDefault="00871BDF">
            <w:pPr>
              <w:rPr>
                <w:rFonts w:ascii="宋体"/>
              </w:rPr>
            </w:pPr>
          </w:p>
        </w:tc>
        <w:tc>
          <w:tcPr>
            <w:tcW w:w="0" w:type="auto"/>
            <w:shd w:val="clear" w:color="auto" w:fill="auto"/>
          </w:tcPr>
          <w:p w14:paraId="00BACFDF" w14:textId="77777777" w:rsidR="00871BDF" w:rsidRDefault="00871BDF">
            <w:pPr>
              <w:rPr>
                <w:rFonts w:ascii="宋体"/>
              </w:rPr>
            </w:pPr>
          </w:p>
        </w:tc>
        <w:tc>
          <w:tcPr>
            <w:tcW w:w="0" w:type="auto"/>
            <w:shd w:val="clear" w:color="auto" w:fill="auto"/>
          </w:tcPr>
          <w:p w14:paraId="00BACFE0" w14:textId="77777777" w:rsidR="00871BDF" w:rsidRDefault="00871BDF">
            <w:pPr>
              <w:rPr>
                <w:rFonts w:ascii="宋体"/>
              </w:rPr>
            </w:pPr>
          </w:p>
        </w:tc>
        <w:tc>
          <w:tcPr>
            <w:tcW w:w="0" w:type="auto"/>
            <w:shd w:val="clear" w:color="auto" w:fill="auto"/>
          </w:tcPr>
          <w:p w14:paraId="00BACFE1" w14:textId="77777777" w:rsidR="00871BDF" w:rsidRDefault="00871BDF">
            <w:pPr>
              <w:rPr>
                <w:rFonts w:ascii="宋体"/>
              </w:rPr>
            </w:pPr>
          </w:p>
        </w:tc>
        <w:tc>
          <w:tcPr>
            <w:tcW w:w="0" w:type="auto"/>
            <w:shd w:val="clear" w:color="auto" w:fill="auto"/>
          </w:tcPr>
          <w:p w14:paraId="00BACFE2" w14:textId="77777777" w:rsidR="00871BDF" w:rsidRDefault="00871BDF">
            <w:pPr>
              <w:rPr>
                <w:rFonts w:ascii="宋体"/>
              </w:rPr>
            </w:pPr>
          </w:p>
        </w:tc>
        <w:tc>
          <w:tcPr>
            <w:tcW w:w="0" w:type="auto"/>
            <w:shd w:val="clear" w:color="auto" w:fill="auto"/>
          </w:tcPr>
          <w:p w14:paraId="00BACFE3" w14:textId="77777777" w:rsidR="00871BDF" w:rsidRDefault="00871BDF">
            <w:pPr>
              <w:rPr>
                <w:rFonts w:ascii="宋体"/>
              </w:rPr>
            </w:pPr>
          </w:p>
        </w:tc>
        <w:tc>
          <w:tcPr>
            <w:tcW w:w="0" w:type="auto"/>
            <w:shd w:val="clear" w:color="auto" w:fill="auto"/>
          </w:tcPr>
          <w:p w14:paraId="00BACFE4" w14:textId="77777777" w:rsidR="00871BDF" w:rsidRDefault="00871BDF">
            <w:pPr>
              <w:rPr>
                <w:rFonts w:ascii="宋体"/>
              </w:rPr>
            </w:pPr>
          </w:p>
        </w:tc>
        <w:tc>
          <w:tcPr>
            <w:tcW w:w="0" w:type="auto"/>
            <w:shd w:val="clear" w:color="auto" w:fill="auto"/>
          </w:tcPr>
          <w:p w14:paraId="00BACFE5" w14:textId="77777777" w:rsidR="00871BDF" w:rsidRDefault="00871BDF">
            <w:pPr>
              <w:rPr>
                <w:rFonts w:ascii="宋体"/>
              </w:rPr>
            </w:pPr>
          </w:p>
        </w:tc>
        <w:tc>
          <w:tcPr>
            <w:tcW w:w="0" w:type="auto"/>
            <w:shd w:val="clear" w:color="auto" w:fill="auto"/>
          </w:tcPr>
          <w:p w14:paraId="00BACFE6" w14:textId="77777777" w:rsidR="00871BDF" w:rsidRDefault="00871BDF">
            <w:pPr>
              <w:rPr>
                <w:rFonts w:ascii="宋体"/>
              </w:rPr>
            </w:pPr>
          </w:p>
        </w:tc>
        <w:tc>
          <w:tcPr>
            <w:tcW w:w="0" w:type="auto"/>
            <w:shd w:val="clear" w:color="auto" w:fill="auto"/>
          </w:tcPr>
          <w:p w14:paraId="00BACFE7" w14:textId="77777777" w:rsidR="00871BDF" w:rsidRDefault="00871BDF">
            <w:pPr>
              <w:rPr>
                <w:rFonts w:ascii="宋体"/>
              </w:rPr>
            </w:pPr>
          </w:p>
        </w:tc>
        <w:tc>
          <w:tcPr>
            <w:tcW w:w="0" w:type="auto"/>
            <w:shd w:val="clear" w:color="auto" w:fill="auto"/>
          </w:tcPr>
          <w:p w14:paraId="00BACFE8" w14:textId="77777777" w:rsidR="00871BDF" w:rsidRDefault="00871BDF">
            <w:pPr>
              <w:rPr>
                <w:rFonts w:ascii="宋体"/>
              </w:rPr>
            </w:pPr>
          </w:p>
        </w:tc>
        <w:tc>
          <w:tcPr>
            <w:tcW w:w="0" w:type="auto"/>
            <w:shd w:val="clear" w:color="auto" w:fill="auto"/>
          </w:tcPr>
          <w:p w14:paraId="00BACFE9" w14:textId="77777777" w:rsidR="00871BDF" w:rsidRDefault="00871BDF">
            <w:pPr>
              <w:rPr>
                <w:rFonts w:ascii="宋体"/>
              </w:rPr>
            </w:pPr>
          </w:p>
        </w:tc>
        <w:tc>
          <w:tcPr>
            <w:tcW w:w="0" w:type="auto"/>
            <w:shd w:val="clear" w:color="auto" w:fill="auto"/>
          </w:tcPr>
          <w:p w14:paraId="00BACFEA" w14:textId="77777777" w:rsidR="00871BDF" w:rsidRDefault="00871BDF">
            <w:pPr>
              <w:rPr>
                <w:rFonts w:ascii="宋体"/>
              </w:rPr>
            </w:pPr>
          </w:p>
        </w:tc>
        <w:tc>
          <w:tcPr>
            <w:tcW w:w="0" w:type="auto"/>
            <w:shd w:val="clear" w:color="auto" w:fill="auto"/>
          </w:tcPr>
          <w:p w14:paraId="00BACFEB" w14:textId="77777777" w:rsidR="00871BDF" w:rsidRDefault="00871BDF">
            <w:pPr>
              <w:rPr>
                <w:rFonts w:ascii="宋体"/>
              </w:rPr>
            </w:pPr>
          </w:p>
        </w:tc>
        <w:tc>
          <w:tcPr>
            <w:tcW w:w="0" w:type="auto"/>
            <w:shd w:val="clear" w:color="auto" w:fill="auto"/>
          </w:tcPr>
          <w:p w14:paraId="00BACFEC" w14:textId="77777777" w:rsidR="00871BDF" w:rsidRDefault="00871BDF">
            <w:pPr>
              <w:rPr>
                <w:rFonts w:ascii="宋体"/>
              </w:rPr>
            </w:pPr>
          </w:p>
        </w:tc>
        <w:tc>
          <w:tcPr>
            <w:tcW w:w="0" w:type="auto"/>
            <w:shd w:val="clear" w:color="auto" w:fill="auto"/>
          </w:tcPr>
          <w:p w14:paraId="00BACFED" w14:textId="77777777" w:rsidR="00871BDF" w:rsidRDefault="00871BDF">
            <w:pPr>
              <w:rPr>
                <w:rFonts w:ascii="宋体"/>
              </w:rPr>
            </w:pPr>
          </w:p>
        </w:tc>
        <w:tc>
          <w:tcPr>
            <w:tcW w:w="0" w:type="auto"/>
            <w:shd w:val="clear" w:color="auto" w:fill="auto"/>
          </w:tcPr>
          <w:p w14:paraId="00BACFEE" w14:textId="77777777" w:rsidR="00871BDF" w:rsidRDefault="00871BDF">
            <w:pPr>
              <w:rPr>
                <w:rFonts w:ascii="宋体"/>
              </w:rPr>
            </w:pPr>
          </w:p>
        </w:tc>
        <w:tc>
          <w:tcPr>
            <w:tcW w:w="0" w:type="auto"/>
            <w:shd w:val="clear" w:color="auto" w:fill="auto"/>
          </w:tcPr>
          <w:p w14:paraId="00BACFEF" w14:textId="77777777" w:rsidR="00871BDF" w:rsidRDefault="00871BDF">
            <w:pPr>
              <w:rPr>
                <w:rFonts w:ascii="宋体"/>
              </w:rPr>
            </w:pPr>
          </w:p>
        </w:tc>
        <w:tc>
          <w:tcPr>
            <w:tcW w:w="0" w:type="auto"/>
            <w:shd w:val="clear" w:color="auto" w:fill="auto"/>
          </w:tcPr>
          <w:p w14:paraId="00BACFF0" w14:textId="77777777" w:rsidR="00871BDF" w:rsidRDefault="00871BDF">
            <w:pPr>
              <w:rPr>
                <w:rFonts w:ascii="宋体"/>
              </w:rPr>
            </w:pPr>
          </w:p>
        </w:tc>
        <w:tc>
          <w:tcPr>
            <w:tcW w:w="0" w:type="auto"/>
            <w:shd w:val="clear" w:color="auto" w:fill="auto"/>
          </w:tcPr>
          <w:p w14:paraId="00BACFF1" w14:textId="77777777" w:rsidR="00871BDF" w:rsidRDefault="00871BDF">
            <w:pPr>
              <w:rPr>
                <w:rFonts w:ascii="宋体"/>
              </w:rPr>
            </w:pPr>
          </w:p>
        </w:tc>
        <w:tc>
          <w:tcPr>
            <w:tcW w:w="0" w:type="auto"/>
            <w:shd w:val="clear" w:color="auto" w:fill="auto"/>
          </w:tcPr>
          <w:p w14:paraId="00BACFF2" w14:textId="77777777" w:rsidR="00871BDF" w:rsidRDefault="00871BDF">
            <w:pPr>
              <w:rPr>
                <w:rFonts w:ascii="宋体"/>
              </w:rPr>
            </w:pPr>
          </w:p>
        </w:tc>
        <w:tc>
          <w:tcPr>
            <w:tcW w:w="0" w:type="auto"/>
            <w:shd w:val="clear" w:color="auto" w:fill="auto"/>
          </w:tcPr>
          <w:p w14:paraId="00BACFF3" w14:textId="77777777" w:rsidR="00871BDF" w:rsidRDefault="00871BDF">
            <w:pPr>
              <w:rPr>
                <w:rFonts w:ascii="宋体"/>
              </w:rPr>
            </w:pPr>
          </w:p>
        </w:tc>
        <w:tc>
          <w:tcPr>
            <w:tcW w:w="0" w:type="auto"/>
            <w:shd w:val="clear" w:color="auto" w:fill="auto"/>
          </w:tcPr>
          <w:p w14:paraId="00BACFF4" w14:textId="77777777" w:rsidR="00871BDF" w:rsidRDefault="00871BDF">
            <w:pPr>
              <w:rPr>
                <w:rFonts w:ascii="宋体"/>
              </w:rPr>
            </w:pPr>
          </w:p>
        </w:tc>
        <w:tc>
          <w:tcPr>
            <w:tcW w:w="0" w:type="auto"/>
            <w:shd w:val="clear" w:color="auto" w:fill="auto"/>
          </w:tcPr>
          <w:p w14:paraId="00BACFF5" w14:textId="77777777" w:rsidR="00871BDF" w:rsidRDefault="00871BDF">
            <w:pPr>
              <w:rPr>
                <w:rFonts w:ascii="宋体"/>
              </w:rPr>
            </w:pPr>
          </w:p>
        </w:tc>
        <w:tc>
          <w:tcPr>
            <w:tcW w:w="0" w:type="auto"/>
            <w:shd w:val="clear" w:color="auto" w:fill="auto"/>
          </w:tcPr>
          <w:p w14:paraId="00BACFF6" w14:textId="77777777" w:rsidR="00871BDF" w:rsidRDefault="00871BDF">
            <w:pPr>
              <w:rPr>
                <w:rFonts w:ascii="宋体"/>
              </w:rPr>
            </w:pPr>
          </w:p>
        </w:tc>
        <w:tc>
          <w:tcPr>
            <w:tcW w:w="0" w:type="auto"/>
            <w:shd w:val="clear" w:color="auto" w:fill="auto"/>
          </w:tcPr>
          <w:p w14:paraId="00BACFF7" w14:textId="77777777" w:rsidR="00871BDF" w:rsidRDefault="00871BDF">
            <w:pPr>
              <w:rPr>
                <w:rFonts w:ascii="宋体"/>
              </w:rPr>
            </w:pPr>
          </w:p>
        </w:tc>
      </w:tr>
      <w:tr w:rsidR="00871BDF" w14:paraId="00BAD026" w14:textId="77777777">
        <w:trPr>
          <w:jc w:val="center"/>
        </w:trPr>
        <w:tc>
          <w:tcPr>
            <w:tcW w:w="0" w:type="auto"/>
            <w:gridSpan w:val="3"/>
            <w:shd w:val="clear" w:color="auto" w:fill="D7E4BC"/>
            <w:tcMar>
              <w:top w:w="40" w:type="dxa"/>
              <w:left w:w="20" w:type="dxa"/>
              <w:bottom w:w="40" w:type="dxa"/>
              <w:right w:w="20" w:type="dxa"/>
            </w:tcMar>
            <w:vAlign w:val="bottom"/>
          </w:tcPr>
          <w:p w14:paraId="00BACFF9" w14:textId="77777777" w:rsidR="00871BDF" w:rsidRDefault="005C5088">
            <w:pPr>
              <w:textAlignment w:val="bottom"/>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earnings/(loss) attributable to noncontrolling interests</w:t>
            </w:r>
          </w:p>
        </w:tc>
        <w:tc>
          <w:tcPr>
            <w:tcW w:w="0" w:type="auto"/>
            <w:gridSpan w:val="2"/>
            <w:shd w:val="clear" w:color="auto" w:fill="D7E4BC"/>
            <w:tcMar>
              <w:top w:w="40" w:type="dxa"/>
              <w:left w:w="20" w:type="dxa"/>
              <w:bottom w:w="40" w:type="dxa"/>
              <w:right w:w="0" w:type="dxa"/>
            </w:tcMar>
            <w:vAlign w:val="bottom"/>
          </w:tcPr>
          <w:p w14:paraId="00BACFFA" w14:textId="77777777" w:rsidR="00871BDF" w:rsidRDefault="005C5088">
            <w:pPr>
              <w:jc w:val="right"/>
              <w:textAlignment w:val="bottom"/>
            </w:pPr>
            <w:r>
              <w:rPr>
                <w:rFonts w:ascii="Times New Roman" w:eastAsia="宋体" w:hAnsi="Times New Roman"/>
                <w:color w:val="000000"/>
                <w:sz w:val="20"/>
                <w:szCs w:val="20"/>
              </w:rPr>
              <w:t>(3.6)</w:t>
            </w:r>
          </w:p>
        </w:tc>
        <w:tc>
          <w:tcPr>
            <w:tcW w:w="0" w:type="auto"/>
            <w:shd w:val="clear" w:color="auto" w:fill="D7E4BC"/>
            <w:tcMar>
              <w:top w:w="40" w:type="dxa"/>
              <w:left w:w="0" w:type="dxa"/>
              <w:bottom w:w="40" w:type="dxa"/>
              <w:right w:w="20" w:type="dxa"/>
            </w:tcMar>
            <w:vAlign w:val="bottom"/>
          </w:tcPr>
          <w:p w14:paraId="00BACFF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FF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CFFD" w14:textId="77777777" w:rsidR="00871BDF" w:rsidRDefault="005C5088">
            <w:pPr>
              <w:jc w:val="right"/>
              <w:textAlignment w:val="bottom"/>
            </w:pPr>
            <w:r>
              <w:rPr>
                <w:rFonts w:ascii="Times New Roman" w:eastAsia="宋体" w:hAnsi="Times New Roman"/>
                <w:color w:val="000000"/>
                <w:sz w:val="20"/>
                <w:szCs w:val="20"/>
              </w:rPr>
              <w:t>(4.6)</w:t>
            </w:r>
          </w:p>
        </w:tc>
        <w:tc>
          <w:tcPr>
            <w:tcW w:w="0" w:type="auto"/>
            <w:shd w:val="clear" w:color="auto" w:fill="D7E4BC"/>
            <w:tcMar>
              <w:top w:w="40" w:type="dxa"/>
              <w:left w:w="0" w:type="dxa"/>
              <w:bottom w:w="40" w:type="dxa"/>
              <w:right w:w="20" w:type="dxa"/>
            </w:tcMar>
            <w:vAlign w:val="bottom"/>
          </w:tcPr>
          <w:p w14:paraId="00BACFF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CFF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000" w14:textId="77777777" w:rsidR="00871BDF" w:rsidRDefault="005C5088">
            <w:pPr>
              <w:jc w:val="right"/>
              <w:textAlignment w:val="bottom"/>
            </w:pPr>
            <w:r>
              <w:rPr>
                <w:rFonts w:ascii="Times New Roman" w:eastAsia="宋体" w:hAnsi="Times New Roman"/>
                <w:color w:val="000000"/>
                <w:sz w:val="20"/>
                <w:szCs w:val="20"/>
              </w:rPr>
              <w:t>(0.3)</w:t>
            </w:r>
          </w:p>
        </w:tc>
        <w:tc>
          <w:tcPr>
            <w:tcW w:w="0" w:type="auto"/>
            <w:shd w:val="clear" w:color="auto" w:fill="D7E4BC"/>
            <w:tcMar>
              <w:top w:w="40" w:type="dxa"/>
              <w:left w:w="0" w:type="dxa"/>
              <w:bottom w:w="40" w:type="dxa"/>
              <w:right w:w="20" w:type="dxa"/>
            </w:tcMar>
            <w:vAlign w:val="bottom"/>
          </w:tcPr>
          <w:p w14:paraId="00BAD00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00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003" w14:textId="77777777" w:rsidR="00871BDF" w:rsidRDefault="005C5088">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00BAD00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00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006" w14:textId="77777777" w:rsidR="00871BDF" w:rsidRDefault="005C5088">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0BAD007" w14:textId="77777777" w:rsidR="00871BDF" w:rsidRDefault="00871BDF">
            <w:pPr>
              <w:jc w:val="right"/>
              <w:rPr>
                <w:rFonts w:ascii="宋体"/>
              </w:rPr>
            </w:pPr>
          </w:p>
        </w:tc>
        <w:tc>
          <w:tcPr>
            <w:tcW w:w="0" w:type="auto"/>
            <w:shd w:val="clear" w:color="auto" w:fill="auto"/>
          </w:tcPr>
          <w:p w14:paraId="00BAD008" w14:textId="77777777" w:rsidR="00871BDF" w:rsidRDefault="00871BDF">
            <w:pPr>
              <w:rPr>
                <w:rFonts w:ascii="宋体"/>
              </w:rPr>
            </w:pPr>
          </w:p>
        </w:tc>
        <w:tc>
          <w:tcPr>
            <w:tcW w:w="0" w:type="auto"/>
            <w:shd w:val="clear" w:color="auto" w:fill="auto"/>
          </w:tcPr>
          <w:p w14:paraId="00BAD009" w14:textId="77777777" w:rsidR="00871BDF" w:rsidRDefault="00871BDF">
            <w:pPr>
              <w:rPr>
                <w:rFonts w:ascii="宋体"/>
              </w:rPr>
            </w:pPr>
          </w:p>
        </w:tc>
        <w:tc>
          <w:tcPr>
            <w:tcW w:w="0" w:type="auto"/>
            <w:shd w:val="clear" w:color="auto" w:fill="auto"/>
          </w:tcPr>
          <w:p w14:paraId="00BAD00A" w14:textId="77777777" w:rsidR="00871BDF" w:rsidRDefault="00871BDF">
            <w:pPr>
              <w:rPr>
                <w:rFonts w:ascii="宋体"/>
              </w:rPr>
            </w:pPr>
          </w:p>
        </w:tc>
        <w:tc>
          <w:tcPr>
            <w:tcW w:w="0" w:type="auto"/>
            <w:shd w:val="clear" w:color="auto" w:fill="auto"/>
          </w:tcPr>
          <w:p w14:paraId="00BAD00B" w14:textId="77777777" w:rsidR="00871BDF" w:rsidRDefault="00871BDF">
            <w:pPr>
              <w:rPr>
                <w:rFonts w:ascii="宋体"/>
              </w:rPr>
            </w:pPr>
          </w:p>
        </w:tc>
        <w:tc>
          <w:tcPr>
            <w:tcW w:w="0" w:type="auto"/>
            <w:shd w:val="clear" w:color="auto" w:fill="auto"/>
          </w:tcPr>
          <w:p w14:paraId="00BAD00C" w14:textId="77777777" w:rsidR="00871BDF" w:rsidRDefault="00871BDF">
            <w:pPr>
              <w:rPr>
                <w:rFonts w:ascii="宋体"/>
              </w:rPr>
            </w:pPr>
          </w:p>
        </w:tc>
        <w:tc>
          <w:tcPr>
            <w:tcW w:w="0" w:type="auto"/>
            <w:shd w:val="clear" w:color="auto" w:fill="auto"/>
          </w:tcPr>
          <w:p w14:paraId="00BAD00D" w14:textId="77777777" w:rsidR="00871BDF" w:rsidRDefault="00871BDF">
            <w:pPr>
              <w:rPr>
                <w:rFonts w:ascii="宋体"/>
              </w:rPr>
            </w:pPr>
          </w:p>
        </w:tc>
        <w:tc>
          <w:tcPr>
            <w:tcW w:w="0" w:type="auto"/>
            <w:shd w:val="clear" w:color="auto" w:fill="auto"/>
          </w:tcPr>
          <w:p w14:paraId="00BAD00E" w14:textId="77777777" w:rsidR="00871BDF" w:rsidRDefault="00871BDF">
            <w:pPr>
              <w:rPr>
                <w:rFonts w:ascii="宋体"/>
              </w:rPr>
            </w:pPr>
          </w:p>
        </w:tc>
        <w:tc>
          <w:tcPr>
            <w:tcW w:w="0" w:type="auto"/>
            <w:shd w:val="clear" w:color="auto" w:fill="auto"/>
          </w:tcPr>
          <w:p w14:paraId="00BAD00F" w14:textId="77777777" w:rsidR="00871BDF" w:rsidRDefault="00871BDF">
            <w:pPr>
              <w:rPr>
                <w:rFonts w:ascii="宋体"/>
              </w:rPr>
            </w:pPr>
          </w:p>
        </w:tc>
        <w:tc>
          <w:tcPr>
            <w:tcW w:w="0" w:type="auto"/>
            <w:shd w:val="clear" w:color="auto" w:fill="auto"/>
          </w:tcPr>
          <w:p w14:paraId="00BAD010" w14:textId="77777777" w:rsidR="00871BDF" w:rsidRDefault="00871BDF">
            <w:pPr>
              <w:rPr>
                <w:rFonts w:ascii="宋体"/>
              </w:rPr>
            </w:pPr>
          </w:p>
        </w:tc>
        <w:tc>
          <w:tcPr>
            <w:tcW w:w="0" w:type="auto"/>
            <w:shd w:val="clear" w:color="auto" w:fill="auto"/>
          </w:tcPr>
          <w:p w14:paraId="00BAD011" w14:textId="77777777" w:rsidR="00871BDF" w:rsidRDefault="00871BDF">
            <w:pPr>
              <w:rPr>
                <w:rFonts w:ascii="宋体"/>
              </w:rPr>
            </w:pPr>
          </w:p>
        </w:tc>
        <w:tc>
          <w:tcPr>
            <w:tcW w:w="0" w:type="auto"/>
            <w:shd w:val="clear" w:color="auto" w:fill="auto"/>
          </w:tcPr>
          <w:p w14:paraId="00BAD012" w14:textId="77777777" w:rsidR="00871BDF" w:rsidRDefault="00871BDF">
            <w:pPr>
              <w:rPr>
                <w:rFonts w:ascii="宋体"/>
              </w:rPr>
            </w:pPr>
          </w:p>
        </w:tc>
        <w:tc>
          <w:tcPr>
            <w:tcW w:w="0" w:type="auto"/>
            <w:shd w:val="clear" w:color="auto" w:fill="auto"/>
          </w:tcPr>
          <w:p w14:paraId="00BAD013" w14:textId="77777777" w:rsidR="00871BDF" w:rsidRDefault="00871BDF">
            <w:pPr>
              <w:rPr>
                <w:rFonts w:ascii="宋体"/>
              </w:rPr>
            </w:pPr>
          </w:p>
        </w:tc>
        <w:tc>
          <w:tcPr>
            <w:tcW w:w="0" w:type="auto"/>
            <w:shd w:val="clear" w:color="auto" w:fill="auto"/>
          </w:tcPr>
          <w:p w14:paraId="00BAD014" w14:textId="77777777" w:rsidR="00871BDF" w:rsidRDefault="00871BDF">
            <w:pPr>
              <w:rPr>
                <w:rFonts w:ascii="宋体"/>
              </w:rPr>
            </w:pPr>
          </w:p>
        </w:tc>
        <w:tc>
          <w:tcPr>
            <w:tcW w:w="0" w:type="auto"/>
            <w:shd w:val="clear" w:color="auto" w:fill="auto"/>
          </w:tcPr>
          <w:p w14:paraId="00BAD015" w14:textId="77777777" w:rsidR="00871BDF" w:rsidRDefault="00871BDF">
            <w:pPr>
              <w:rPr>
                <w:rFonts w:ascii="宋体"/>
              </w:rPr>
            </w:pPr>
          </w:p>
        </w:tc>
        <w:tc>
          <w:tcPr>
            <w:tcW w:w="0" w:type="auto"/>
            <w:shd w:val="clear" w:color="auto" w:fill="auto"/>
          </w:tcPr>
          <w:p w14:paraId="00BAD016" w14:textId="77777777" w:rsidR="00871BDF" w:rsidRDefault="00871BDF">
            <w:pPr>
              <w:rPr>
                <w:rFonts w:ascii="宋体"/>
              </w:rPr>
            </w:pPr>
          </w:p>
        </w:tc>
        <w:tc>
          <w:tcPr>
            <w:tcW w:w="0" w:type="auto"/>
            <w:shd w:val="clear" w:color="auto" w:fill="auto"/>
          </w:tcPr>
          <w:p w14:paraId="00BAD017" w14:textId="77777777" w:rsidR="00871BDF" w:rsidRDefault="00871BDF">
            <w:pPr>
              <w:rPr>
                <w:rFonts w:ascii="宋体"/>
              </w:rPr>
            </w:pPr>
          </w:p>
        </w:tc>
        <w:tc>
          <w:tcPr>
            <w:tcW w:w="0" w:type="auto"/>
            <w:shd w:val="clear" w:color="auto" w:fill="auto"/>
          </w:tcPr>
          <w:p w14:paraId="00BAD018" w14:textId="77777777" w:rsidR="00871BDF" w:rsidRDefault="00871BDF">
            <w:pPr>
              <w:rPr>
                <w:rFonts w:ascii="宋体"/>
              </w:rPr>
            </w:pPr>
          </w:p>
        </w:tc>
        <w:tc>
          <w:tcPr>
            <w:tcW w:w="0" w:type="auto"/>
            <w:shd w:val="clear" w:color="auto" w:fill="auto"/>
          </w:tcPr>
          <w:p w14:paraId="00BAD019" w14:textId="77777777" w:rsidR="00871BDF" w:rsidRDefault="00871BDF">
            <w:pPr>
              <w:rPr>
                <w:rFonts w:ascii="宋体"/>
              </w:rPr>
            </w:pPr>
          </w:p>
        </w:tc>
        <w:tc>
          <w:tcPr>
            <w:tcW w:w="0" w:type="auto"/>
            <w:shd w:val="clear" w:color="auto" w:fill="auto"/>
          </w:tcPr>
          <w:p w14:paraId="00BAD01A" w14:textId="77777777" w:rsidR="00871BDF" w:rsidRDefault="00871BDF">
            <w:pPr>
              <w:rPr>
                <w:rFonts w:ascii="宋体"/>
              </w:rPr>
            </w:pPr>
          </w:p>
        </w:tc>
        <w:tc>
          <w:tcPr>
            <w:tcW w:w="0" w:type="auto"/>
            <w:shd w:val="clear" w:color="auto" w:fill="auto"/>
          </w:tcPr>
          <w:p w14:paraId="00BAD01B" w14:textId="77777777" w:rsidR="00871BDF" w:rsidRDefault="00871BDF">
            <w:pPr>
              <w:rPr>
                <w:rFonts w:ascii="宋体"/>
              </w:rPr>
            </w:pPr>
          </w:p>
        </w:tc>
        <w:tc>
          <w:tcPr>
            <w:tcW w:w="0" w:type="auto"/>
            <w:shd w:val="clear" w:color="auto" w:fill="auto"/>
          </w:tcPr>
          <w:p w14:paraId="00BAD01C" w14:textId="77777777" w:rsidR="00871BDF" w:rsidRDefault="00871BDF">
            <w:pPr>
              <w:rPr>
                <w:rFonts w:ascii="宋体"/>
              </w:rPr>
            </w:pPr>
          </w:p>
        </w:tc>
        <w:tc>
          <w:tcPr>
            <w:tcW w:w="0" w:type="auto"/>
            <w:shd w:val="clear" w:color="auto" w:fill="auto"/>
          </w:tcPr>
          <w:p w14:paraId="00BAD01D" w14:textId="77777777" w:rsidR="00871BDF" w:rsidRDefault="00871BDF">
            <w:pPr>
              <w:rPr>
                <w:rFonts w:ascii="宋体"/>
              </w:rPr>
            </w:pPr>
          </w:p>
        </w:tc>
        <w:tc>
          <w:tcPr>
            <w:tcW w:w="0" w:type="auto"/>
            <w:shd w:val="clear" w:color="auto" w:fill="auto"/>
          </w:tcPr>
          <w:p w14:paraId="00BAD01E" w14:textId="77777777" w:rsidR="00871BDF" w:rsidRDefault="00871BDF">
            <w:pPr>
              <w:rPr>
                <w:rFonts w:ascii="宋体"/>
              </w:rPr>
            </w:pPr>
          </w:p>
        </w:tc>
        <w:tc>
          <w:tcPr>
            <w:tcW w:w="0" w:type="auto"/>
            <w:shd w:val="clear" w:color="auto" w:fill="auto"/>
          </w:tcPr>
          <w:p w14:paraId="00BAD01F" w14:textId="77777777" w:rsidR="00871BDF" w:rsidRDefault="00871BDF">
            <w:pPr>
              <w:rPr>
                <w:rFonts w:ascii="宋体"/>
              </w:rPr>
            </w:pPr>
          </w:p>
        </w:tc>
        <w:tc>
          <w:tcPr>
            <w:tcW w:w="0" w:type="auto"/>
            <w:shd w:val="clear" w:color="auto" w:fill="auto"/>
          </w:tcPr>
          <w:p w14:paraId="00BAD020" w14:textId="77777777" w:rsidR="00871BDF" w:rsidRDefault="00871BDF">
            <w:pPr>
              <w:rPr>
                <w:rFonts w:ascii="宋体"/>
              </w:rPr>
            </w:pPr>
          </w:p>
        </w:tc>
        <w:tc>
          <w:tcPr>
            <w:tcW w:w="0" w:type="auto"/>
            <w:shd w:val="clear" w:color="auto" w:fill="auto"/>
          </w:tcPr>
          <w:p w14:paraId="00BAD021" w14:textId="77777777" w:rsidR="00871BDF" w:rsidRDefault="00871BDF">
            <w:pPr>
              <w:rPr>
                <w:rFonts w:ascii="宋体"/>
              </w:rPr>
            </w:pPr>
          </w:p>
        </w:tc>
        <w:tc>
          <w:tcPr>
            <w:tcW w:w="0" w:type="auto"/>
            <w:shd w:val="clear" w:color="auto" w:fill="auto"/>
          </w:tcPr>
          <w:p w14:paraId="00BAD022" w14:textId="77777777" w:rsidR="00871BDF" w:rsidRDefault="00871BDF">
            <w:pPr>
              <w:rPr>
                <w:rFonts w:ascii="宋体"/>
              </w:rPr>
            </w:pPr>
          </w:p>
        </w:tc>
        <w:tc>
          <w:tcPr>
            <w:tcW w:w="0" w:type="auto"/>
            <w:shd w:val="clear" w:color="auto" w:fill="auto"/>
          </w:tcPr>
          <w:p w14:paraId="00BAD023" w14:textId="77777777" w:rsidR="00871BDF" w:rsidRDefault="00871BDF">
            <w:pPr>
              <w:rPr>
                <w:rFonts w:ascii="宋体"/>
              </w:rPr>
            </w:pPr>
          </w:p>
        </w:tc>
        <w:tc>
          <w:tcPr>
            <w:tcW w:w="0" w:type="auto"/>
            <w:shd w:val="clear" w:color="auto" w:fill="auto"/>
          </w:tcPr>
          <w:p w14:paraId="00BAD024" w14:textId="77777777" w:rsidR="00871BDF" w:rsidRDefault="00871BDF">
            <w:pPr>
              <w:rPr>
                <w:rFonts w:ascii="宋体"/>
              </w:rPr>
            </w:pPr>
          </w:p>
        </w:tc>
        <w:tc>
          <w:tcPr>
            <w:tcW w:w="0" w:type="auto"/>
            <w:shd w:val="clear" w:color="auto" w:fill="auto"/>
          </w:tcPr>
          <w:p w14:paraId="00BAD025" w14:textId="77777777" w:rsidR="00871BDF" w:rsidRDefault="00871BDF">
            <w:pPr>
              <w:rPr>
                <w:rFonts w:ascii="宋体"/>
              </w:rPr>
            </w:pPr>
          </w:p>
        </w:tc>
      </w:tr>
      <w:tr w:rsidR="00871BDF" w14:paraId="00BAD054" w14:textId="77777777">
        <w:trPr>
          <w:jc w:val="center"/>
        </w:trPr>
        <w:tc>
          <w:tcPr>
            <w:tcW w:w="0" w:type="auto"/>
            <w:gridSpan w:val="3"/>
            <w:shd w:val="clear" w:color="auto" w:fill="FFFFFF"/>
            <w:tcMar>
              <w:top w:w="40" w:type="dxa"/>
              <w:left w:w="20" w:type="dxa"/>
              <w:bottom w:w="40" w:type="dxa"/>
              <w:right w:w="20" w:type="dxa"/>
            </w:tcMar>
            <w:vAlign w:val="bottom"/>
          </w:tcPr>
          <w:p w14:paraId="00BAD027" w14:textId="77777777" w:rsidR="00871BDF" w:rsidRDefault="005C5088">
            <w:pPr>
              <w:textAlignment w:val="bottom"/>
            </w:pPr>
            <w:r>
              <w:rPr>
                <w:rFonts w:ascii="Times New Roman" w:eastAsia="宋体" w:hAnsi="Times New Roman"/>
                <w:color w:val="000000"/>
                <w:sz w:val="20"/>
                <w:szCs w:val="20"/>
              </w:rPr>
              <w:t>Net e</w:t>
            </w:r>
            <w:r>
              <w:rPr>
                <w:rFonts w:ascii="Times New Roman" w:eastAsia="宋体" w:hAnsi="Times New Roman"/>
                <w:color w:val="000000"/>
                <w:sz w:val="20"/>
                <w:szCs w:val="20"/>
              </w:rPr>
              <w:t>arnings attributable to Starbucks</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00BAD028" w14:textId="77777777" w:rsidR="00871BDF" w:rsidRDefault="005C5088">
            <w:pPr>
              <w:jc w:val="right"/>
              <w:textAlignment w:val="bottom"/>
            </w:pPr>
            <w:r>
              <w:rPr>
                <w:rFonts w:ascii="Times New Roman" w:eastAsia="宋体" w:hAnsi="Times New Roman"/>
                <w:color w:val="000000"/>
                <w:sz w:val="20"/>
                <w:szCs w:val="20"/>
              </w:rPr>
              <w:t>928.3 </w:t>
            </w:r>
          </w:p>
        </w:tc>
        <w:tc>
          <w:tcPr>
            <w:tcW w:w="0" w:type="auto"/>
            <w:shd w:val="clear" w:color="auto" w:fill="FFFFFF"/>
            <w:tcMar>
              <w:top w:w="40" w:type="dxa"/>
              <w:left w:w="0" w:type="dxa"/>
              <w:bottom w:w="40" w:type="dxa"/>
              <w:right w:w="20" w:type="dxa"/>
            </w:tcMar>
            <w:vAlign w:val="bottom"/>
          </w:tcPr>
          <w:p w14:paraId="00BAD02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02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02B" w14:textId="77777777" w:rsidR="00871BDF" w:rsidRDefault="005C5088">
            <w:pPr>
              <w:jc w:val="right"/>
              <w:textAlignment w:val="bottom"/>
            </w:pPr>
            <w:r>
              <w:rPr>
                <w:rFonts w:ascii="Times New Roman" w:eastAsia="宋体" w:hAnsi="Times New Roman"/>
                <w:color w:val="000000"/>
                <w:sz w:val="20"/>
                <w:szCs w:val="20"/>
              </w:rPr>
              <w:t>3,599.2 </w:t>
            </w:r>
          </w:p>
        </w:tc>
        <w:tc>
          <w:tcPr>
            <w:tcW w:w="0" w:type="auto"/>
            <w:shd w:val="clear" w:color="auto" w:fill="FFFFFF"/>
            <w:tcMar>
              <w:top w:w="40" w:type="dxa"/>
              <w:left w:w="0" w:type="dxa"/>
              <w:bottom w:w="40" w:type="dxa"/>
              <w:right w:w="20" w:type="dxa"/>
            </w:tcMar>
            <w:vAlign w:val="bottom"/>
          </w:tcPr>
          <w:p w14:paraId="00BAD02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02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02E" w14:textId="77777777" w:rsidR="00871BDF" w:rsidRDefault="005C5088">
            <w:pPr>
              <w:jc w:val="right"/>
              <w:textAlignment w:val="bottom"/>
            </w:pPr>
            <w:r>
              <w:rPr>
                <w:rFonts w:ascii="Times New Roman" w:eastAsia="宋体" w:hAnsi="Times New Roman"/>
                <w:color w:val="000000"/>
                <w:sz w:val="20"/>
                <w:szCs w:val="20"/>
              </w:rPr>
              <w:t>4,518.3 </w:t>
            </w:r>
          </w:p>
        </w:tc>
        <w:tc>
          <w:tcPr>
            <w:tcW w:w="0" w:type="auto"/>
            <w:shd w:val="clear" w:color="auto" w:fill="FFFFFF"/>
            <w:tcMar>
              <w:top w:w="40" w:type="dxa"/>
              <w:left w:w="0" w:type="dxa"/>
              <w:bottom w:w="40" w:type="dxa"/>
              <w:right w:w="20" w:type="dxa"/>
            </w:tcMar>
            <w:vAlign w:val="bottom"/>
          </w:tcPr>
          <w:p w14:paraId="00BAD02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03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031" w14:textId="77777777" w:rsidR="00871BDF" w:rsidRDefault="005C5088">
            <w:pPr>
              <w:jc w:val="right"/>
              <w:textAlignment w:val="bottom"/>
            </w:pPr>
            <w:r>
              <w:rPr>
                <w:rFonts w:ascii="Times New Roman" w:eastAsia="宋体" w:hAnsi="Times New Roman"/>
                <w:color w:val="000000"/>
                <w:sz w:val="20"/>
                <w:szCs w:val="20"/>
              </w:rPr>
              <w:t>2,884.7 </w:t>
            </w:r>
          </w:p>
        </w:tc>
        <w:tc>
          <w:tcPr>
            <w:tcW w:w="0" w:type="auto"/>
            <w:shd w:val="clear" w:color="auto" w:fill="FFFFFF"/>
            <w:tcMar>
              <w:top w:w="40" w:type="dxa"/>
              <w:left w:w="0" w:type="dxa"/>
              <w:bottom w:w="40" w:type="dxa"/>
              <w:right w:w="20" w:type="dxa"/>
            </w:tcMar>
            <w:vAlign w:val="bottom"/>
          </w:tcPr>
          <w:p w14:paraId="00BAD03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03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034" w14:textId="77777777" w:rsidR="00871BDF" w:rsidRDefault="005C5088">
            <w:pPr>
              <w:jc w:val="right"/>
              <w:textAlignment w:val="bottom"/>
            </w:pPr>
            <w:r>
              <w:rPr>
                <w:rFonts w:ascii="Times New Roman" w:eastAsia="宋体" w:hAnsi="Times New Roman"/>
                <w:color w:val="000000"/>
                <w:sz w:val="20"/>
                <w:szCs w:val="20"/>
              </w:rPr>
              <w:t>2,817.7 </w:t>
            </w:r>
          </w:p>
        </w:tc>
        <w:tc>
          <w:tcPr>
            <w:tcW w:w="0" w:type="auto"/>
            <w:shd w:val="clear" w:color="auto" w:fill="FFFFFF"/>
            <w:tcMar>
              <w:top w:w="40" w:type="dxa"/>
              <w:left w:w="0" w:type="dxa"/>
              <w:bottom w:w="40" w:type="dxa"/>
              <w:right w:w="20" w:type="dxa"/>
            </w:tcMar>
            <w:vAlign w:val="bottom"/>
          </w:tcPr>
          <w:p w14:paraId="00BAD035" w14:textId="77777777" w:rsidR="00871BDF" w:rsidRDefault="00871BDF">
            <w:pPr>
              <w:jc w:val="right"/>
              <w:rPr>
                <w:rFonts w:ascii="宋体"/>
              </w:rPr>
            </w:pPr>
          </w:p>
        </w:tc>
        <w:tc>
          <w:tcPr>
            <w:tcW w:w="0" w:type="auto"/>
            <w:shd w:val="clear" w:color="auto" w:fill="auto"/>
          </w:tcPr>
          <w:p w14:paraId="00BAD036" w14:textId="77777777" w:rsidR="00871BDF" w:rsidRDefault="00871BDF">
            <w:pPr>
              <w:rPr>
                <w:rFonts w:ascii="宋体"/>
              </w:rPr>
            </w:pPr>
          </w:p>
        </w:tc>
        <w:tc>
          <w:tcPr>
            <w:tcW w:w="0" w:type="auto"/>
            <w:shd w:val="clear" w:color="auto" w:fill="auto"/>
          </w:tcPr>
          <w:p w14:paraId="00BAD037" w14:textId="77777777" w:rsidR="00871BDF" w:rsidRDefault="00871BDF">
            <w:pPr>
              <w:rPr>
                <w:rFonts w:ascii="宋体"/>
              </w:rPr>
            </w:pPr>
          </w:p>
        </w:tc>
        <w:tc>
          <w:tcPr>
            <w:tcW w:w="0" w:type="auto"/>
            <w:shd w:val="clear" w:color="auto" w:fill="auto"/>
          </w:tcPr>
          <w:p w14:paraId="00BAD038" w14:textId="77777777" w:rsidR="00871BDF" w:rsidRDefault="00871BDF">
            <w:pPr>
              <w:rPr>
                <w:rFonts w:ascii="宋体"/>
              </w:rPr>
            </w:pPr>
          </w:p>
        </w:tc>
        <w:tc>
          <w:tcPr>
            <w:tcW w:w="0" w:type="auto"/>
            <w:shd w:val="clear" w:color="auto" w:fill="auto"/>
          </w:tcPr>
          <w:p w14:paraId="00BAD039" w14:textId="77777777" w:rsidR="00871BDF" w:rsidRDefault="00871BDF">
            <w:pPr>
              <w:rPr>
                <w:rFonts w:ascii="宋体"/>
              </w:rPr>
            </w:pPr>
          </w:p>
        </w:tc>
        <w:tc>
          <w:tcPr>
            <w:tcW w:w="0" w:type="auto"/>
            <w:shd w:val="clear" w:color="auto" w:fill="auto"/>
          </w:tcPr>
          <w:p w14:paraId="00BAD03A" w14:textId="77777777" w:rsidR="00871BDF" w:rsidRDefault="00871BDF">
            <w:pPr>
              <w:rPr>
                <w:rFonts w:ascii="宋体"/>
              </w:rPr>
            </w:pPr>
          </w:p>
        </w:tc>
        <w:tc>
          <w:tcPr>
            <w:tcW w:w="0" w:type="auto"/>
            <w:shd w:val="clear" w:color="auto" w:fill="auto"/>
          </w:tcPr>
          <w:p w14:paraId="00BAD03B" w14:textId="77777777" w:rsidR="00871BDF" w:rsidRDefault="00871BDF">
            <w:pPr>
              <w:rPr>
                <w:rFonts w:ascii="宋体"/>
              </w:rPr>
            </w:pPr>
          </w:p>
        </w:tc>
        <w:tc>
          <w:tcPr>
            <w:tcW w:w="0" w:type="auto"/>
            <w:shd w:val="clear" w:color="auto" w:fill="auto"/>
          </w:tcPr>
          <w:p w14:paraId="00BAD03C" w14:textId="77777777" w:rsidR="00871BDF" w:rsidRDefault="00871BDF">
            <w:pPr>
              <w:rPr>
                <w:rFonts w:ascii="宋体"/>
              </w:rPr>
            </w:pPr>
          </w:p>
        </w:tc>
        <w:tc>
          <w:tcPr>
            <w:tcW w:w="0" w:type="auto"/>
            <w:shd w:val="clear" w:color="auto" w:fill="auto"/>
          </w:tcPr>
          <w:p w14:paraId="00BAD03D" w14:textId="77777777" w:rsidR="00871BDF" w:rsidRDefault="00871BDF">
            <w:pPr>
              <w:rPr>
                <w:rFonts w:ascii="宋体"/>
              </w:rPr>
            </w:pPr>
          </w:p>
        </w:tc>
        <w:tc>
          <w:tcPr>
            <w:tcW w:w="0" w:type="auto"/>
            <w:shd w:val="clear" w:color="auto" w:fill="auto"/>
          </w:tcPr>
          <w:p w14:paraId="00BAD03E" w14:textId="77777777" w:rsidR="00871BDF" w:rsidRDefault="00871BDF">
            <w:pPr>
              <w:rPr>
                <w:rFonts w:ascii="宋体"/>
              </w:rPr>
            </w:pPr>
          </w:p>
        </w:tc>
        <w:tc>
          <w:tcPr>
            <w:tcW w:w="0" w:type="auto"/>
            <w:shd w:val="clear" w:color="auto" w:fill="auto"/>
          </w:tcPr>
          <w:p w14:paraId="00BAD03F" w14:textId="77777777" w:rsidR="00871BDF" w:rsidRDefault="00871BDF">
            <w:pPr>
              <w:rPr>
                <w:rFonts w:ascii="宋体"/>
              </w:rPr>
            </w:pPr>
          </w:p>
        </w:tc>
        <w:tc>
          <w:tcPr>
            <w:tcW w:w="0" w:type="auto"/>
            <w:shd w:val="clear" w:color="auto" w:fill="auto"/>
          </w:tcPr>
          <w:p w14:paraId="00BAD040" w14:textId="77777777" w:rsidR="00871BDF" w:rsidRDefault="00871BDF">
            <w:pPr>
              <w:rPr>
                <w:rFonts w:ascii="宋体"/>
              </w:rPr>
            </w:pPr>
          </w:p>
        </w:tc>
        <w:tc>
          <w:tcPr>
            <w:tcW w:w="0" w:type="auto"/>
            <w:shd w:val="clear" w:color="auto" w:fill="auto"/>
          </w:tcPr>
          <w:p w14:paraId="00BAD041" w14:textId="77777777" w:rsidR="00871BDF" w:rsidRDefault="00871BDF">
            <w:pPr>
              <w:rPr>
                <w:rFonts w:ascii="宋体"/>
              </w:rPr>
            </w:pPr>
          </w:p>
        </w:tc>
        <w:tc>
          <w:tcPr>
            <w:tcW w:w="0" w:type="auto"/>
            <w:shd w:val="clear" w:color="auto" w:fill="auto"/>
          </w:tcPr>
          <w:p w14:paraId="00BAD042" w14:textId="77777777" w:rsidR="00871BDF" w:rsidRDefault="00871BDF">
            <w:pPr>
              <w:rPr>
                <w:rFonts w:ascii="宋体"/>
              </w:rPr>
            </w:pPr>
          </w:p>
        </w:tc>
        <w:tc>
          <w:tcPr>
            <w:tcW w:w="0" w:type="auto"/>
            <w:shd w:val="clear" w:color="auto" w:fill="auto"/>
          </w:tcPr>
          <w:p w14:paraId="00BAD043" w14:textId="77777777" w:rsidR="00871BDF" w:rsidRDefault="00871BDF">
            <w:pPr>
              <w:rPr>
                <w:rFonts w:ascii="宋体"/>
              </w:rPr>
            </w:pPr>
          </w:p>
        </w:tc>
        <w:tc>
          <w:tcPr>
            <w:tcW w:w="0" w:type="auto"/>
            <w:shd w:val="clear" w:color="auto" w:fill="auto"/>
          </w:tcPr>
          <w:p w14:paraId="00BAD044" w14:textId="77777777" w:rsidR="00871BDF" w:rsidRDefault="00871BDF">
            <w:pPr>
              <w:rPr>
                <w:rFonts w:ascii="宋体"/>
              </w:rPr>
            </w:pPr>
          </w:p>
        </w:tc>
        <w:tc>
          <w:tcPr>
            <w:tcW w:w="0" w:type="auto"/>
            <w:shd w:val="clear" w:color="auto" w:fill="auto"/>
          </w:tcPr>
          <w:p w14:paraId="00BAD045" w14:textId="77777777" w:rsidR="00871BDF" w:rsidRDefault="00871BDF">
            <w:pPr>
              <w:rPr>
                <w:rFonts w:ascii="宋体"/>
              </w:rPr>
            </w:pPr>
          </w:p>
        </w:tc>
        <w:tc>
          <w:tcPr>
            <w:tcW w:w="0" w:type="auto"/>
            <w:shd w:val="clear" w:color="auto" w:fill="auto"/>
          </w:tcPr>
          <w:p w14:paraId="00BAD046" w14:textId="77777777" w:rsidR="00871BDF" w:rsidRDefault="00871BDF">
            <w:pPr>
              <w:rPr>
                <w:rFonts w:ascii="宋体"/>
              </w:rPr>
            </w:pPr>
          </w:p>
        </w:tc>
        <w:tc>
          <w:tcPr>
            <w:tcW w:w="0" w:type="auto"/>
            <w:shd w:val="clear" w:color="auto" w:fill="auto"/>
          </w:tcPr>
          <w:p w14:paraId="00BAD047" w14:textId="77777777" w:rsidR="00871BDF" w:rsidRDefault="00871BDF">
            <w:pPr>
              <w:rPr>
                <w:rFonts w:ascii="宋体"/>
              </w:rPr>
            </w:pPr>
          </w:p>
        </w:tc>
        <w:tc>
          <w:tcPr>
            <w:tcW w:w="0" w:type="auto"/>
            <w:shd w:val="clear" w:color="auto" w:fill="auto"/>
          </w:tcPr>
          <w:p w14:paraId="00BAD048" w14:textId="77777777" w:rsidR="00871BDF" w:rsidRDefault="00871BDF">
            <w:pPr>
              <w:rPr>
                <w:rFonts w:ascii="宋体"/>
              </w:rPr>
            </w:pPr>
          </w:p>
        </w:tc>
        <w:tc>
          <w:tcPr>
            <w:tcW w:w="0" w:type="auto"/>
            <w:shd w:val="clear" w:color="auto" w:fill="auto"/>
          </w:tcPr>
          <w:p w14:paraId="00BAD049" w14:textId="77777777" w:rsidR="00871BDF" w:rsidRDefault="00871BDF">
            <w:pPr>
              <w:rPr>
                <w:rFonts w:ascii="宋体"/>
              </w:rPr>
            </w:pPr>
          </w:p>
        </w:tc>
        <w:tc>
          <w:tcPr>
            <w:tcW w:w="0" w:type="auto"/>
            <w:shd w:val="clear" w:color="auto" w:fill="auto"/>
          </w:tcPr>
          <w:p w14:paraId="00BAD04A" w14:textId="77777777" w:rsidR="00871BDF" w:rsidRDefault="00871BDF">
            <w:pPr>
              <w:rPr>
                <w:rFonts w:ascii="宋体"/>
              </w:rPr>
            </w:pPr>
          </w:p>
        </w:tc>
        <w:tc>
          <w:tcPr>
            <w:tcW w:w="0" w:type="auto"/>
            <w:shd w:val="clear" w:color="auto" w:fill="auto"/>
          </w:tcPr>
          <w:p w14:paraId="00BAD04B" w14:textId="77777777" w:rsidR="00871BDF" w:rsidRDefault="00871BDF">
            <w:pPr>
              <w:rPr>
                <w:rFonts w:ascii="宋体"/>
              </w:rPr>
            </w:pPr>
          </w:p>
        </w:tc>
        <w:tc>
          <w:tcPr>
            <w:tcW w:w="0" w:type="auto"/>
            <w:shd w:val="clear" w:color="auto" w:fill="auto"/>
          </w:tcPr>
          <w:p w14:paraId="00BAD04C" w14:textId="77777777" w:rsidR="00871BDF" w:rsidRDefault="00871BDF">
            <w:pPr>
              <w:rPr>
                <w:rFonts w:ascii="宋体"/>
              </w:rPr>
            </w:pPr>
          </w:p>
        </w:tc>
        <w:tc>
          <w:tcPr>
            <w:tcW w:w="0" w:type="auto"/>
            <w:shd w:val="clear" w:color="auto" w:fill="auto"/>
          </w:tcPr>
          <w:p w14:paraId="00BAD04D" w14:textId="77777777" w:rsidR="00871BDF" w:rsidRDefault="00871BDF">
            <w:pPr>
              <w:rPr>
                <w:rFonts w:ascii="宋体"/>
              </w:rPr>
            </w:pPr>
          </w:p>
        </w:tc>
        <w:tc>
          <w:tcPr>
            <w:tcW w:w="0" w:type="auto"/>
            <w:shd w:val="clear" w:color="auto" w:fill="auto"/>
          </w:tcPr>
          <w:p w14:paraId="00BAD04E" w14:textId="77777777" w:rsidR="00871BDF" w:rsidRDefault="00871BDF">
            <w:pPr>
              <w:rPr>
                <w:rFonts w:ascii="宋体"/>
              </w:rPr>
            </w:pPr>
          </w:p>
        </w:tc>
        <w:tc>
          <w:tcPr>
            <w:tcW w:w="0" w:type="auto"/>
            <w:shd w:val="clear" w:color="auto" w:fill="auto"/>
          </w:tcPr>
          <w:p w14:paraId="00BAD04F" w14:textId="77777777" w:rsidR="00871BDF" w:rsidRDefault="00871BDF">
            <w:pPr>
              <w:rPr>
                <w:rFonts w:ascii="宋体"/>
              </w:rPr>
            </w:pPr>
          </w:p>
        </w:tc>
        <w:tc>
          <w:tcPr>
            <w:tcW w:w="0" w:type="auto"/>
            <w:shd w:val="clear" w:color="auto" w:fill="auto"/>
          </w:tcPr>
          <w:p w14:paraId="00BAD050" w14:textId="77777777" w:rsidR="00871BDF" w:rsidRDefault="00871BDF">
            <w:pPr>
              <w:rPr>
                <w:rFonts w:ascii="宋体"/>
              </w:rPr>
            </w:pPr>
          </w:p>
        </w:tc>
        <w:tc>
          <w:tcPr>
            <w:tcW w:w="0" w:type="auto"/>
            <w:shd w:val="clear" w:color="auto" w:fill="auto"/>
          </w:tcPr>
          <w:p w14:paraId="00BAD051" w14:textId="77777777" w:rsidR="00871BDF" w:rsidRDefault="00871BDF">
            <w:pPr>
              <w:rPr>
                <w:rFonts w:ascii="宋体"/>
              </w:rPr>
            </w:pPr>
          </w:p>
        </w:tc>
        <w:tc>
          <w:tcPr>
            <w:tcW w:w="0" w:type="auto"/>
            <w:shd w:val="clear" w:color="auto" w:fill="auto"/>
          </w:tcPr>
          <w:p w14:paraId="00BAD052" w14:textId="77777777" w:rsidR="00871BDF" w:rsidRDefault="00871BDF">
            <w:pPr>
              <w:rPr>
                <w:rFonts w:ascii="宋体"/>
              </w:rPr>
            </w:pPr>
          </w:p>
        </w:tc>
        <w:tc>
          <w:tcPr>
            <w:tcW w:w="0" w:type="auto"/>
            <w:shd w:val="clear" w:color="auto" w:fill="auto"/>
          </w:tcPr>
          <w:p w14:paraId="00BAD053" w14:textId="77777777" w:rsidR="00871BDF" w:rsidRDefault="00871BDF">
            <w:pPr>
              <w:rPr>
                <w:rFonts w:ascii="宋体"/>
              </w:rPr>
            </w:pPr>
          </w:p>
        </w:tc>
      </w:tr>
      <w:tr w:rsidR="00871BDF" w14:paraId="00BAD082" w14:textId="77777777">
        <w:trPr>
          <w:jc w:val="center"/>
        </w:trPr>
        <w:tc>
          <w:tcPr>
            <w:tcW w:w="0" w:type="auto"/>
            <w:gridSpan w:val="3"/>
            <w:shd w:val="clear" w:color="auto" w:fill="D7E4BC"/>
            <w:tcMar>
              <w:top w:w="40" w:type="dxa"/>
              <w:left w:w="20" w:type="dxa"/>
              <w:bottom w:w="40" w:type="dxa"/>
              <w:right w:w="20" w:type="dxa"/>
            </w:tcMar>
            <w:vAlign w:val="bottom"/>
          </w:tcPr>
          <w:p w14:paraId="00BAD055" w14:textId="77777777" w:rsidR="00871BDF" w:rsidRDefault="005C5088">
            <w:pPr>
              <w:textAlignment w:val="bottom"/>
            </w:pPr>
            <w:r>
              <w:rPr>
                <w:rFonts w:ascii="Times New Roman" w:eastAsia="宋体" w:hAnsi="Times New Roman"/>
                <w:color w:val="000000"/>
                <w:sz w:val="20"/>
                <w:szCs w:val="20"/>
              </w:rPr>
              <w:t>EPS —</w:t>
            </w:r>
            <w:r>
              <w:rPr>
                <w:rFonts w:ascii="Times New Roman" w:eastAsia="宋体" w:hAnsi="Times New Roman"/>
                <w:color w:val="000000"/>
                <w:sz w:val="20"/>
                <w:szCs w:val="20"/>
              </w:rPr>
              <w:t xml:space="preserve"> diluted</w:t>
            </w:r>
            <w:r>
              <w:rPr>
                <w:rFonts w:ascii="Times New Roman" w:eastAsia="宋体" w:hAnsi="Times New Roman"/>
                <w:color w:val="000000"/>
                <w:sz w:val="13"/>
                <w:szCs w:val="13"/>
              </w:rPr>
              <w:t>(2)</w:t>
            </w:r>
          </w:p>
        </w:tc>
        <w:tc>
          <w:tcPr>
            <w:tcW w:w="0" w:type="auto"/>
            <w:gridSpan w:val="2"/>
            <w:shd w:val="clear" w:color="auto" w:fill="D7E4BC"/>
            <w:tcMar>
              <w:top w:w="40" w:type="dxa"/>
              <w:left w:w="20" w:type="dxa"/>
              <w:bottom w:w="40" w:type="dxa"/>
              <w:right w:w="0" w:type="dxa"/>
            </w:tcMar>
            <w:vAlign w:val="bottom"/>
          </w:tcPr>
          <w:p w14:paraId="00BAD056" w14:textId="77777777" w:rsidR="00871BDF" w:rsidRDefault="005C5088">
            <w:pPr>
              <w:jc w:val="right"/>
              <w:textAlignment w:val="bottom"/>
            </w:pPr>
            <w:r>
              <w:rPr>
                <w:rFonts w:ascii="Times New Roman" w:eastAsia="宋体" w:hAnsi="Times New Roman"/>
                <w:color w:val="000000"/>
                <w:sz w:val="20"/>
                <w:szCs w:val="20"/>
              </w:rPr>
              <w:t>0.79 </w:t>
            </w:r>
          </w:p>
        </w:tc>
        <w:tc>
          <w:tcPr>
            <w:tcW w:w="0" w:type="auto"/>
            <w:shd w:val="clear" w:color="auto" w:fill="D7E4BC"/>
            <w:tcMar>
              <w:top w:w="40" w:type="dxa"/>
              <w:left w:w="0" w:type="dxa"/>
              <w:bottom w:w="40" w:type="dxa"/>
              <w:right w:w="20" w:type="dxa"/>
            </w:tcMar>
            <w:vAlign w:val="bottom"/>
          </w:tcPr>
          <w:p w14:paraId="00BAD05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05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059" w14:textId="77777777" w:rsidR="00871BDF" w:rsidRDefault="005C5088">
            <w:pPr>
              <w:jc w:val="right"/>
              <w:textAlignment w:val="bottom"/>
            </w:pPr>
            <w:r>
              <w:rPr>
                <w:rFonts w:ascii="Times New Roman" w:eastAsia="宋体" w:hAnsi="Times New Roman"/>
                <w:color w:val="000000"/>
                <w:sz w:val="20"/>
                <w:szCs w:val="20"/>
              </w:rPr>
              <w:t>2.92 </w:t>
            </w:r>
          </w:p>
        </w:tc>
        <w:tc>
          <w:tcPr>
            <w:tcW w:w="0" w:type="auto"/>
            <w:shd w:val="clear" w:color="auto" w:fill="D7E4BC"/>
            <w:tcMar>
              <w:top w:w="40" w:type="dxa"/>
              <w:left w:w="0" w:type="dxa"/>
              <w:bottom w:w="40" w:type="dxa"/>
              <w:right w:w="20" w:type="dxa"/>
            </w:tcMar>
            <w:vAlign w:val="bottom"/>
          </w:tcPr>
          <w:p w14:paraId="00BAD05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05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05C" w14:textId="77777777" w:rsidR="00871BDF" w:rsidRDefault="005C5088">
            <w:pPr>
              <w:jc w:val="right"/>
              <w:textAlignment w:val="bottom"/>
            </w:pPr>
            <w:r>
              <w:rPr>
                <w:rFonts w:ascii="Times New Roman" w:eastAsia="宋体" w:hAnsi="Times New Roman"/>
                <w:color w:val="000000"/>
                <w:sz w:val="20"/>
                <w:szCs w:val="20"/>
              </w:rPr>
              <w:t>3.24 </w:t>
            </w:r>
          </w:p>
        </w:tc>
        <w:tc>
          <w:tcPr>
            <w:tcW w:w="0" w:type="auto"/>
            <w:shd w:val="clear" w:color="auto" w:fill="D7E4BC"/>
            <w:tcMar>
              <w:top w:w="40" w:type="dxa"/>
              <w:left w:w="0" w:type="dxa"/>
              <w:bottom w:w="40" w:type="dxa"/>
              <w:right w:w="20" w:type="dxa"/>
            </w:tcMar>
            <w:vAlign w:val="bottom"/>
          </w:tcPr>
          <w:p w14:paraId="00BAD05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05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05F" w14:textId="77777777" w:rsidR="00871BDF" w:rsidRDefault="005C5088">
            <w:pPr>
              <w:jc w:val="right"/>
              <w:textAlignment w:val="bottom"/>
            </w:pPr>
            <w:r>
              <w:rPr>
                <w:rFonts w:ascii="Times New Roman" w:eastAsia="宋体" w:hAnsi="Times New Roman"/>
                <w:color w:val="000000"/>
                <w:sz w:val="20"/>
                <w:szCs w:val="20"/>
              </w:rPr>
              <w:t>1.97 </w:t>
            </w:r>
          </w:p>
        </w:tc>
        <w:tc>
          <w:tcPr>
            <w:tcW w:w="0" w:type="auto"/>
            <w:shd w:val="clear" w:color="auto" w:fill="D7E4BC"/>
            <w:tcMar>
              <w:top w:w="40" w:type="dxa"/>
              <w:left w:w="0" w:type="dxa"/>
              <w:bottom w:w="40" w:type="dxa"/>
              <w:right w:w="20" w:type="dxa"/>
            </w:tcMar>
            <w:vAlign w:val="bottom"/>
          </w:tcPr>
          <w:p w14:paraId="00BAD06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06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062" w14:textId="77777777" w:rsidR="00871BDF" w:rsidRDefault="005C5088">
            <w:pPr>
              <w:jc w:val="right"/>
              <w:textAlignment w:val="bottom"/>
            </w:pPr>
            <w:r>
              <w:rPr>
                <w:rFonts w:ascii="Times New Roman" w:eastAsia="宋体" w:hAnsi="Times New Roman"/>
                <w:color w:val="000000"/>
                <w:sz w:val="20"/>
                <w:szCs w:val="20"/>
              </w:rPr>
              <w:t>1.90 </w:t>
            </w:r>
          </w:p>
        </w:tc>
        <w:tc>
          <w:tcPr>
            <w:tcW w:w="0" w:type="auto"/>
            <w:shd w:val="clear" w:color="auto" w:fill="D7E4BC"/>
            <w:tcMar>
              <w:top w:w="40" w:type="dxa"/>
              <w:left w:w="0" w:type="dxa"/>
              <w:bottom w:w="40" w:type="dxa"/>
              <w:right w:w="20" w:type="dxa"/>
            </w:tcMar>
            <w:vAlign w:val="bottom"/>
          </w:tcPr>
          <w:p w14:paraId="00BAD063" w14:textId="77777777" w:rsidR="00871BDF" w:rsidRDefault="00871BDF">
            <w:pPr>
              <w:jc w:val="right"/>
              <w:rPr>
                <w:rFonts w:ascii="宋体"/>
              </w:rPr>
            </w:pPr>
          </w:p>
        </w:tc>
        <w:tc>
          <w:tcPr>
            <w:tcW w:w="0" w:type="auto"/>
            <w:shd w:val="clear" w:color="auto" w:fill="auto"/>
          </w:tcPr>
          <w:p w14:paraId="00BAD064" w14:textId="77777777" w:rsidR="00871BDF" w:rsidRDefault="00871BDF">
            <w:pPr>
              <w:rPr>
                <w:rFonts w:ascii="宋体"/>
              </w:rPr>
            </w:pPr>
          </w:p>
        </w:tc>
        <w:tc>
          <w:tcPr>
            <w:tcW w:w="0" w:type="auto"/>
            <w:shd w:val="clear" w:color="auto" w:fill="auto"/>
          </w:tcPr>
          <w:p w14:paraId="00BAD065" w14:textId="77777777" w:rsidR="00871BDF" w:rsidRDefault="00871BDF">
            <w:pPr>
              <w:rPr>
                <w:rFonts w:ascii="宋体"/>
              </w:rPr>
            </w:pPr>
          </w:p>
        </w:tc>
        <w:tc>
          <w:tcPr>
            <w:tcW w:w="0" w:type="auto"/>
            <w:shd w:val="clear" w:color="auto" w:fill="auto"/>
          </w:tcPr>
          <w:p w14:paraId="00BAD066" w14:textId="77777777" w:rsidR="00871BDF" w:rsidRDefault="00871BDF">
            <w:pPr>
              <w:rPr>
                <w:rFonts w:ascii="宋体"/>
              </w:rPr>
            </w:pPr>
          </w:p>
        </w:tc>
        <w:tc>
          <w:tcPr>
            <w:tcW w:w="0" w:type="auto"/>
            <w:shd w:val="clear" w:color="auto" w:fill="auto"/>
          </w:tcPr>
          <w:p w14:paraId="00BAD067" w14:textId="77777777" w:rsidR="00871BDF" w:rsidRDefault="00871BDF">
            <w:pPr>
              <w:rPr>
                <w:rFonts w:ascii="宋体"/>
              </w:rPr>
            </w:pPr>
          </w:p>
        </w:tc>
        <w:tc>
          <w:tcPr>
            <w:tcW w:w="0" w:type="auto"/>
            <w:shd w:val="clear" w:color="auto" w:fill="auto"/>
          </w:tcPr>
          <w:p w14:paraId="00BAD068" w14:textId="77777777" w:rsidR="00871BDF" w:rsidRDefault="00871BDF">
            <w:pPr>
              <w:rPr>
                <w:rFonts w:ascii="宋体"/>
              </w:rPr>
            </w:pPr>
          </w:p>
        </w:tc>
        <w:tc>
          <w:tcPr>
            <w:tcW w:w="0" w:type="auto"/>
            <w:shd w:val="clear" w:color="auto" w:fill="auto"/>
          </w:tcPr>
          <w:p w14:paraId="00BAD069" w14:textId="77777777" w:rsidR="00871BDF" w:rsidRDefault="00871BDF">
            <w:pPr>
              <w:rPr>
                <w:rFonts w:ascii="宋体"/>
              </w:rPr>
            </w:pPr>
          </w:p>
        </w:tc>
        <w:tc>
          <w:tcPr>
            <w:tcW w:w="0" w:type="auto"/>
            <w:shd w:val="clear" w:color="auto" w:fill="auto"/>
          </w:tcPr>
          <w:p w14:paraId="00BAD06A" w14:textId="77777777" w:rsidR="00871BDF" w:rsidRDefault="00871BDF">
            <w:pPr>
              <w:rPr>
                <w:rFonts w:ascii="宋体"/>
              </w:rPr>
            </w:pPr>
          </w:p>
        </w:tc>
        <w:tc>
          <w:tcPr>
            <w:tcW w:w="0" w:type="auto"/>
            <w:shd w:val="clear" w:color="auto" w:fill="auto"/>
          </w:tcPr>
          <w:p w14:paraId="00BAD06B" w14:textId="77777777" w:rsidR="00871BDF" w:rsidRDefault="00871BDF">
            <w:pPr>
              <w:rPr>
                <w:rFonts w:ascii="宋体"/>
              </w:rPr>
            </w:pPr>
          </w:p>
        </w:tc>
        <w:tc>
          <w:tcPr>
            <w:tcW w:w="0" w:type="auto"/>
            <w:shd w:val="clear" w:color="auto" w:fill="auto"/>
          </w:tcPr>
          <w:p w14:paraId="00BAD06C" w14:textId="77777777" w:rsidR="00871BDF" w:rsidRDefault="00871BDF">
            <w:pPr>
              <w:rPr>
                <w:rFonts w:ascii="宋体"/>
              </w:rPr>
            </w:pPr>
          </w:p>
        </w:tc>
        <w:tc>
          <w:tcPr>
            <w:tcW w:w="0" w:type="auto"/>
            <w:shd w:val="clear" w:color="auto" w:fill="auto"/>
          </w:tcPr>
          <w:p w14:paraId="00BAD06D" w14:textId="77777777" w:rsidR="00871BDF" w:rsidRDefault="00871BDF">
            <w:pPr>
              <w:rPr>
                <w:rFonts w:ascii="宋体"/>
              </w:rPr>
            </w:pPr>
          </w:p>
        </w:tc>
        <w:tc>
          <w:tcPr>
            <w:tcW w:w="0" w:type="auto"/>
            <w:shd w:val="clear" w:color="auto" w:fill="auto"/>
          </w:tcPr>
          <w:p w14:paraId="00BAD06E" w14:textId="77777777" w:rsidR="00871BDF" w:rsidRDefault="00871BDF">
            <w:pPr>
              <w:rPr>
                <w:rFonts w:ascii="宋体"/>
              </w:rPr>
            </w:pPr>
          </w:p>
        </w:tc>
        <w:tc>
          <w:tcPr>
            <w:tcW w:w="0" w:type="auto"/>
            <w:shd w:val="clear" w:color="auto" w:fill="auto"/>
          </w:tcPr>
          <w:p w14:paraId="00BAD06F" w14:textId="77777777" w:rsidR="00871BDF" w:rsidRDefault="00871BDF">
            <w:pPr>
              <w:rPr>
                <w:rFonts w:ascii="宋体"/>
              </w:rPr>
            </w:pPr>
          </w:p>
        </w:tc>
        <w:tc>
          <w:tcPr>
            <w:tcW w:w="0" w:type="auto"/>
            <w:shd w:val="clear" w:color="auto" w:fill="auto"/>
          </w:tcPr>
          <w:p w14:paraId="00BAD070" w14:textId="77777777" w:rsidR="00871BDF" w:rsidRDefault="00871BDF">
            <w:pPr>
              <w:rPr>
                <w:rFonts w:ascii="宋体"/>
              </w:rPr>
            </w:pPr>
          </w:p>
        </w:tc>
        <w:tc>
          <w:tcPr>
            <w:tcW w:w="0" w:type="auto"/>
            <w:shd w:val="clear" w:color="auto" w:fill="auto"/>
          </w:tcPr>
          <w:p w14:paraId="00BAD071" w14:textId="77777777" w:rsidR="00871BDF" w:rsidRDefault="00871BDF">
            <w:pPr>
              <w:rPr>
                <w:rFonts w:ascii="宋体"/>
              </w:rPr>
            </w:pPr>
          </w:p>
        </w:tc>
        <w:tc>
          <w:tcPr>
            <w:tcW w:w="0" w:type="auto"/>
            <w:shd w:val="clear" w:color="auto" w:fill="auto"/>
          </w:tcPr>
          <w:p w14:paraId="00BAD072" w14:textId="77777777" w:rsidR="00871BDF" w:rsidRDefault="00871BDF">
            <w:pPr>
              <w:rPr>
                <w:rFonts w:ascii="宋体"/>
              </w:rPr>
            </w:pPr>
          </w:p>
        </w:tc>
        <w:tc>
          <w:tcPr>
            <w:tcW w:w="0" w:type="auto"/>
            <w:shd w:val="clear" w:color="auto" w:fill="auto"/>
          </w:tcPr>
          <w:p w14:paraId="00BAD073" w14:textId="77777777" w:rsidR="00871BDF" w:rsidRDefault="00871BDF">
            <w:pPr>
              <w:rPr>
                <w:rFonts w:ascii="宋体"/>
              </w:rPr>
            </w:pPr>
          </w:p>
        </w:tc>
        <w:tc>
          <w:tcPr>
            <w:tcW w:w="0" w:type="auto"/>
            <w:shd w:val="clear" w:color="auto" w:fill="auto"/>
          </w:tcPr>
          <w:p w14:paraId="00BAD074" w14:textId="77777777" w:rsidR="00871BDF" w:rsidRDefault="00871BDF">
            <w:pPr>
              <w:rPr>
                <w:rFonts w:ascii="宋体"/>
              </w:rPr>
            </w:pPr>
          </w:p>
        </w:tc>
        <w:tc>
          <w:tcPr>
            <w:tcW w:w="0" w:type="auto"/>
            <w:shd w:val="clear" w:color="auto" w:fill="auto"/>
          </w:tcPr>
          <w:p w14:paraId="00BAD075" w14:textId="77777777" w:rsidR="00871BDF" w:rsidRDefault="00871BDF">
            <w:pPr>
              <w:rPr>
                <w:rFonts w:ascii="宋体"/>
              </w:rPr>
            </w:pPr>
          </w:p>
        </w:tc>
        <w:tc>
          <w:tcPr>
            <w:tcW w:w="0" w:type="auto"/>
            <w:shd w:val="clear" w:color="auto" w:fill="auto"/>
          </w:tcPr>
          <w:p w14:paraId="00BAD076" w14:textId="77777777" w:rsidR="00871BDF" w:rsidRDefault="00871BDF">
            <w:pPr>
              <w:rPr>
                <w:rFonts w:ascii="宋体"/>
              </w:rPr>
            </w:pPr>
          </w:p>
        </w:tc>
        <w:tc>
          <w:tcPr>
            <w:tcW w:w="0" w:type="auto"/>
            <w:shd w:val="clear" w:color="auto" w:fill="auto"/>
          </w:tcPr>
          <w:p w14:paraId="00BAD077" w14:textId="77777777" w:rsidR="00871BDF" w:rsidRDefault="00871BDF">
            <w:pPr>
              <w:rPr>
                <w:rFonts w:ascii="宋体"/>
              </w:rPr>
            </w:pPr>
          </w:p>
        </w:tc>
        <w:tc>
          <w:tcPr>
            <w:tcW w:w="0" w:type="auto"/>
            <w:shd w:val="clear" w:color="auto" w:fill="auto"/>
          </w:tcPr>
          <w:p w14:paraId="00BAD078" w14:textId="77777777" w:rsidR="00871BDF" w:rsidRDefault="00871BDF">
            <w:pPr>
              <w:rPr>
                <w:rFonts w:ascii="宋体"/>
              </w:rPr>
            </w:pPr>
          </w:p>
        </w:tc>
        <w:tc>
          <w:tcPr>
            <w:tcW w:w="0" w:type="auto"/>
            <w:shd w:val="clear" w:color="auto" w:fill="auto"/>
          </w:tcPr>
          <w:p w14:paraId="00BAD079" w14:textId="77777777" w:rsidR="00871BDF" w:rsidRDefault="00871BDF">
            <w:pPr>
              <w:rPr>
                <w:rFonts w:ascii="宋体"/>
              </w:rPr>
            </w:pPr>
          </w:p>
        </w:tc>
        <w:tc>
          <w:tcPr>
            <w:tcW w:w="0" w:type="auto"/>
            <w:shd w:val="clear" w:color="auto" w:fill="auto"/>
          </w:tcPr>
          <w:p w14:paraId="00BAD07A" w14:textId="77777777" w:rsidR="00871BDF" w:rsidRDefault="00871BDF">
            <w:pPr>
              <w:rPr>
                <w:rFonts w:ascii="宋体"/>
              </w:rPr>
            </w:pPr>
          </w:p>
        </w:tc>
        <w:tc>
          <w:tcPr>
            <w:tcW w:w="0" w:type="auto"/>
            <w:shd w:val="clear" w:color="auto" w:fill="auto"/>
          </w:tcPr>
          <w:p w14:paraId="00BAD07B" w14:textId="77777777" w:rsidR="00871BDF" w:rsidRDefault="00871BDF">
            <w:pPr>
              <w:rPr>
                <w:rFonts w:ascii="宋体"/>
              </w:rPr>
            </w:pPr>
          </w:p>
        </w:tc>
        <w:tc>
          <w:tcPr>
            <w:tcW w:w="0" w:type="auto"/>
            <w:shd w:val="clear" w:color="auto" w:fill="auto"/>
          </w:tcPr>
          <w:p w14:paraId="00BAD07C" w14:textId="77777777" w:rsidR="00871BDF" w:rsidRDefault="00871BDF">
            <w:pPr>
              <w:rPr>
                <w:rFonts w:ascii="宋体"/>
              </w:rPr>
            </w:pPr>
          </w:p>
        </w:tc>
        <w:tc>
          <w:tcPr>
            <w:tcW w:w="0" w:type="auto"/>
            <w:shd w:val="clear" w:color="auto" w:fill="auto"/>
          </w:tcPr>
          <w:p w14:paraId="00BAD07D" w14:textId="77777777" w:rsidR="00871BDF" w:rsidRDefault="00871BDF">
            <w:pPr>
              <w:rPr>
                <w:rFonts w:ascii="宋体"/>
              </w:rPr>
            </w:pPr>
          </w:p>
        </w:tc>
        <w:tc>
          <w:tcPr>
            <w:tcW w:w="0" w:type="auto"/>
            <w:shd w:val="clear" w:color="auto" w:fill="auto"/>
          </w:tcPr>
          <w:p w14:paraId="00BAD07E" w14:textId="77777777" w:rsidR="00871BDF" w:rsidRDefault="00871BDF">
            <w:pPr>
              <w:rPr>
                <w:rFonts w:ascii="宋体"/>
              </w:rPr>
            </w:pPr>
          </w:p>
        </w:tc>
        <w:tc>
          <w:tcPr>
            <w:tcW w:w="0" w:type="auto"/>
            <w:shd w:val="clear" w:color="auto" w:fill="auto"/>
          </w:tcPr>
          <w:p w14:paraId="00BAD07F" w14:textId="77777777" w:rsidR="00871BDF" w:rsidRDefault="00871BDF">
            <w:pPr>
              <w:rPr>
                <w:rFonts w:ascii="宋体"/>
              </w:rPr>
            </w:pPr>
          </w:p>
        </w:tc>
        <w:tc>
          <w:tcPr>
            <w:tcW w:w="0" w:type="auto"/>
            <w:shd w:val="clear" w:color="auto" w:fill="auto"/>
          </w:tcPr>
          <w:p w14:paraId="00BAD080" w14:textId="77777777" w:rsidR="00871BDF" w:rsidRDefault="00871BDF">
            <w:pPr>
              <w:rPr>
                <w:rFonts w:ascii="宋体"/>
              </w:rPr>
            </w:pPr>
          </w:p>
        </w:tc>
        <w:tc>
          <w:tcPr>
            <w:tcW w:w="0" w:type="auto"/>
            <w:shd w:val="clear" w:color="auto" w:fill="auto"/>
          </w:tcPr>
          <w:p w14:paraId="00BAD081" w14:textId="77777777" w:rsidR="00871BDF" w:rsidRDefault="00871BDF">
            <w:pPr>
              <w:rPr>
                <w:rFonts w:ascii="宋体"/>
              </w:rPr>
            </w:pPr>
          </w:p>
        </w:tc>
      </w:tr>
      <w:tr w:rsidR="00871BDF" w14:paraId="00BAD0B0" w14:textId="77777777">
        <w:trPr>
          <w:jc w:val="center"/>
        </w:trPr>
        <w:tc>
          <w:tcPr>
            <w:tcW w:w="0" w:type="auto"/>
            <w:gridSpan w:val="3"/>
            <w:shd w:val="clear" w:color="auto" w:fill="FFFFFF"/>
            <w:tcMar>
              <w:top w:w="40" w:type="dxa"/>
              <w:left w:w="20" w:type="dxa"/>
              <w:bottom w:w="40" w:type="dxa"/>
              <w:right w:w="20" w:type="dxa"/>
            </w:tcMar>
            <w:vAlign w:val="bottom"/>
          </w:tcPr>
          <w:p w14:paraId="00BAD083" w14:textId="77777777" w:rsidR="00871BDF" w:rsidRDefault="005C5088">
            <w:pPr>
              <w:textAlignment w:val="bottom"/>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dividends declared per share</w:t>
            </w:r>
            <w:r>
              <w:rPr>
                <w:rFonts w:ascii="Times New Roman" w:eastAsia="宋体" w:hAnsi="Times New Roman"/>
                <w:color w:val="000000"/>
                <w:sz w:val="13"/>
                <w:szCs w:val="13"/>
              </w:rPr>
              <w:t>(3)</w:t>
            </w:r>
          </w:p>
        </w:tc>
        <w:tc>
          <w:tcPr>
            <w:tcW w:w="0" w:type="auto"/>
            <w:gridSpan w:val="2"/>
            <w:shd w:val="clear" w:color="auto" w:fill="FFFFFF"/>
            <w:tcMar>
              <w:top w:w="40" w:type="dxa"/>
              <w:left w:w="20" w:type="dxa"/>
              <w:bottom w:w="40" w:type="dxa"/>
              <w:right w:w="0" w:type="dxa"/>
            </w:tcMar>
            <w:vAlign w:val="bottom"/>
          </w:tcPr>
          <w:p w14:paraId="00BAD084" w14:textId="77777777" w:rsidR="00871BDF" w:rsidRDefault="005C5088">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bottom"/>
          </w:tcPr>
          <w:p w14:paraId="00BAD08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08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087" w14:textId="77777777" w:rsidR="00871BDF" w:rsidRDefault="005C5088">
            <w:pPr>
              <w:jc w:val="right"/>
              <w:textAlignment w:val="bottom"/>
            </w:pPr>
            <w:r>
              <w:rPr>
                <w:rFonts w:ascii="Times New Roman" w:eastAsia="宋体" w:hAnsi="Times New Roman"/>
                <w:color w:val="000000"/>
                <w:sz w:val="20"/>
                <w:szCs w:val="20"/>
              </w:rPr>
              <w:t>1.49 </w:t>
            </w:r>
          </w:p>
        </w:tc>
        <w:tc>
          <w:tcPr>
            <w:tcW w:w="0" w:type="auto"/>
            <w:shd w:val="clear" w:color="auto" w:fill="FFFFFF"/>
            <w:tcMar>
              <w:top w:w="40" w:type="dxa"/>
              <w:left w:w="0" w:type="dxa"/>
              <w:bottom w:w="40" w:type="dxa"/>
              <w:right w:w="20" w:type="dxa"/>
            </w:tcMar>
            <w:vAlign w:val="bottom"/>
          </w:tcPr>
          <w:p w14:paraId="00BAD08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08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08A" w14:textId="77777777" w:rsidR="00871BDF" w:rsidRDefault="005C5088">
            <w:pPr>
              <w:jc w:val="right"/>
              <w:textAlignment w:val="bottom"/>
            </w:pPr>
            <w:r>
              <w:rPr>
                <w:rFonts w:ascii="Times New Roman" w:eastAsia="宋体" w:hAnsi="Times New Roman"/>
                <w:color w:val="000000"/>
                <w:sz w:val="20"/>
                <w:szCs w:val="20"/>
              </w:rPr>
              <w:t>1.32 </w:t>
            </w:r>
          </w:p>
        </w:tc>
        <w:tc>
          <w:tcPr>
            <w:tcW w:w="0" w:type="auto"/>
            <w:shd w:val="clear" w:color="auto" w:fill="FFFFFF"/>
            <w:tcMar>
              <w:top w:w="40" w:type="dxa"/>
              <w:left w:w="0" w:type="dxa"/>
              <w:bottom w:w="40" w:type="dxa"/>
              <w:right w:w="20" w:type="dxa"/>
            </w:tcMar>
            <w:vAlign w:val="bottom"/>
          </w:tcPr>
          <w:p w14:paraId="00BAD08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08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08D" w14:textId="77777777" w:rsidR="00871BDF" w:rsidRDefault="005C5088">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left w:w="0" w:type="dxa"/>
              <w:bottom w:w="40" w:type="dxa"/>
              <w:right w:w="20" w:type="dxa"/>
            </w:tcMar>
            <w:vAlign w:val="bottom"/>
          </w:tcPr>
          <w:p w14:paraId="00BAD08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08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090" w14:textId="77777777" w:rsidR="00871BDF" w:rsidRDefault="005C5088">
            <w:pPr>
              <w:jc w:val="right"/>
              <w:textAlignment w:val="bottom"/>
            </w:pPr>
            <w:r>
              <w:rPr>
                <w:rFonts w:ascii="Times New Roman" w:eastAsia="宋体" w:hAnsi="Times New Roman"/>
                <w:color w:val="000000"/>
                <w:sz w:val="20"/>
                <w:szCs w:val="20"/>
              </w:rPr>
              <w:t>0.85 </w:t>
            </w:r>
          </w:p>
        </w:tc>
        <w:tc>
          <w:tcPr>
            <w:tcW w:w="0" w:type="auto"/>
            <w:shd w:val="clear" w:color="auto" w:fill="FFFFFF"/>
            <w:tcMar>
              <w:top w:w="40" w:type="dxa"/>
              <w:left w:w="0" w:type="dxa"/>
              <w:bottom w:w="40" w:type="dxa"/>
              <w:right w:w="20" w:type="dxa"/>
            </w:tcMar>
            <w:vAlign w:val="bottom"/>
          </w:tcPr>
          <w:p w14:paraId="00BAD091" w14:textId="77777777" w:rsidR="00871BDF" w:rsidRDefault="00871BDF">
            <w:pPr>
              <w:jc w:val="right"/>
              <w:rPr>
                <w:rFonts w:ascii="宋体"/>
              </w:rPr>
            </w:pPr>
          </w:p>
        </w:tc>
        <w:tc>
          <w:tcPr>
            <w:tcW w:w="0" w:type="auto"/>
            <w:shd w:val="clear" w:color="auto" w:fill="auto"/>
          </w:tcPr>
          <w:p w14:paraId="00BAD092" w14:textId="77777777" w:rsidR="00871BDF" w:rsidRDefault="00871BDF">
            <w:pPr>
              <w:rPr>
                <w:rFonts w:ascii="宋体"/>
              </w:rPr>
            </w:pPr>
          </w:p>
        </w:tc>
        <w:tc>
          <w:tcPr>
            <w:tcW w:w="0" w:type="auto"/>
            <w:shd w:val="clear" w:color="auto" w:fill="auto"/>
          </w:tcPr>
          <w:p w14:paraId="00BAD093" w14:textId="77777777" w:rsidR="00871BDF" w:rsidRDefault="00871BDF">
            <w:pPr>
              <w:rPr>
                <w:rFonts w:ascii="宋体"/>
              </w:rPr>
            </w:pPr>
          </w:p>
        </w:tc>
        <w:tc>
          <w:tcPr>
            <w:tcW w:w="0" w:type="auto"/>
            <w:shd w:val="clear" w:color="auto" w:fill="auto"/>
          </w:tcPr>
          <w:p w14:paraId="00BAD094" w14:textId="77777777" w:rsidR="00871BDF" w:rsidRDefault="00871BDF">
            <w:pPr>
              <w:rPr>
                <w:rFonts w:ascii="宋体"/>
              </w:rPr>
            </w:pPr>
          </w:p>
        </w:tc>
        <w:tc>
          <w:tcPr>
            <w:tcW w:w="0" w:type="auto"/>
            <w:shd w:val="clear" w:color="auto" w:fill="auto"/>
          </w:tcPr>
          <w:p w14:paraId="00BAD095" w14:textId="77777777" w:rsidR="00871BDF" w:rsidRDefault="00871BDF">
            <w:pPr>
              <w:rPr>
                <w:rFonts w:ascii="宋体"/>
              </w:rPr>
            </w:pPr>
          </w:p>
        </w:tc>
        <w:tc>
          <w:tcPr>
            <w:tcW w:w="0" w:type="auto"/>
            <w:shd w:val="clear" w:color="auto" w:fill="auto"/>
          </w:tcPr>
          <w:p w14:paraId="00BAD096" w14:textId="77777777" w:rsidR="00871BDF" w:rsidRDefault="00871BDF">
            <w:pPr>
              <w:rPr>
                <w:rFonts w:ascii="宋体"/>
              </w:rPr>
            </w:pPr>
          </w:p>
        </w:tc>
        <w:tc>
          <w:tcPr>
            <w:tcW w:w="0" w:type="auto"/>
            <w:shd w:val="clear" w:color="auto" w:fill="auto"/>
          </w:tcPr>
          <w:p w14:paraId="00BAD097" w14:textId="77777777" w:rsidR="00871BDF" w:rsidRDefault="00871BDF">
            <w:pPr>
              <w:rPr>
                <w:rFonts w:ascii="宋体"/>
              </w:rPr>
            </w:pPr>
          </w:p>
        </w:tc>
        <w:tc>
          <w:tcPr>
            <w:tcW w:w="0" w:type="auto"/>
            <w:shd w:val="clear" w:color="auto" w:fill="auto"/>
          </w:tcPr>
          <w:p w14:paraId="00BAD098" w14:textId="77777777" w:rsidR="00871BDF" w:rsidRDefault="00871BDF">
            <w:pPr>
              <w:rPr>
                <w:rFonts w:ascii="宋体"/>
              </w:rPr>
            </w:pPr>
          </w:p>
        </w:tc>
        <w:tc>
          <w:tcPr>
            <w:tcW w:w="0" w:type="auto"/>
            <w:shd w:val="clear" w:color="auto" w:fill="auto"/>
          </w:tcPr>
          <w:p w14:paraId="00BAD099" w14:textId="77777777" w:rsidR="00871BDF" w:rsidRDefault="00871BDF">
            <w:pPr>
              <w:rPr>
                <w:rFonts w:ascii="宋体"/>
              </w:rPr>
            </w:pPr>
          </w:p>
        </w:tc>
        <w:tc>
          <w:tcPr>
            <w:tcW w:w="0" w:type="auto"/>
            <w:shd w:val="clear" w:color="auto" w:fill="auto"/>
          </w:tcPr>
          <w:p w14:paraId="00BAD09A" w14:textId="77777777" w:rsidR="00871BDF" w:rsidRDefault="00871BDF">
            <w:pPr>
              <w:rPr>
                <w:rFonts w:ascii="宋体"/>
              </w:rPr>
            </w:pPr>
          </w:p>
        </w:tc>
        <w:tc>
          <w:tcPr>
            <w:tcW w:w="0" w:type="auto"/>
            <w:shd w:val="clear" w:color="auto" w:fill="auto"/>
          </w:tcPr>
          <w:p w14:paraId="00BAD09B" w14:textId="77777777" w:rsidR="00871BDF" w:rsidRDefault="00871BDF">
            <w:pPr>
              <w:rPr>
                <w:rFonts w:ascii="宋体"/>
              </w:rPr>
            </w:pPr>
          </w:p>
        </w:tc>
        <w:tc>
          <w:tcPr>
            <w:tcW w:w="0" w:type="auto"/>
            <w:shd w:val="clear" w:color="auto" w:fill="auto"/>
          </w:tcPr>
          <w:p w14:paraId="00BAD09C" w14:textId="77777777" w:rsidR="00871BDF" w:rsidRDefault="00871BDF">
            <w:pPr>
              <w:rPr>
                <w:rFonts w:ascii="宋体"/>
              </w:rPr>
            </w:pPr>
          </w:p>
        </w:tc>
        <w:tc>
          <w:tcPr>
            <w:tcW w:w="0" w:type="auto"/>
            <w:shd w:val="clear" w:color="auto" w:fill="auto"/>
          </w:tcPr>
          <w:p w14:paraId="00BAD09D" w14:textId="77777777" w:rsidR="00871BDF" w:rsidRDefault="00871BDF">
            <w:pPr>
              <w:rPr>
                <w:rFonts w:ascii="宋体"/>
              </w:rPr>
            </w:pPr>
          </w:p>
        </w:tc>
        <w:tc>
          <w:tcPr>
            <w:tcW w:w="0" w:type="auto"/>
            <w:shd w:val="clear" w:color="auto" w:fill="auto"/>
          </w:tcPr>
          <w:p w14:paraId="00BAD09E" w14:textId="77777777" w:rsidR="00871BDF" w:rsidRDefault="00871BDF">
            <w:pPr>
              <w:rPr>
                <w:rFonts w:ascii="宋体"/>
              </w:rPr>
            </w:pPr>
          </w:p>
        </w:tc>
        <w:tc>
          <w:tcPr>
            <w:tcW w:w="0" w:type="auto"/>
            <w:shd w:val="clear" w:color="auto" w:fill="auto"/>
          </w:tcPr>
          <w:p w14:paraId="00BAD09F" w14:textId="77777777" w:rsidR="00871BDF" w:rsidRDefault="00871BDF">
            <w:pPr>
              <w:rPr>
                <w:rFonts w:ascii="宋体"/>
              </w:rPr>
            </w:pPr>
          </w:p>
        </w:tc>
        <w:tc>
          <w:tcPr>
            <w:tcW w:w="0" w:type="auto"/>
            <w:shd w:val="clear" w:color="auto" w:fill="auto"/>
          </w:tcPr>
          <w:p w14:paraId="00BAD0A0" w14:textId="77777777" w:rsidR="00871BDF" w:rsidRDefault="00871BDF">
            <w:pPr>
              <w:rPr>
                <w:rFonts w:ascii="宋体"/>
              </w:rPr>
            </w:pPr>
          </w:p>
        </w:tc>
        <w:tc>
          <w:tcPr>
            <w:tcW w:w="0" w:type="auto"/>
            <w:shd w:val="clear" w:color="auto" w:fill="auto"/>
          </w:tcPr>
          <w:p w14:paraId="00BAD0A1" w14:textId="77777777" w:rsidR="00871BDF" w:rsidRDefault="00871BDF">
            <w:pPr>
              <w:rPr>
                <w:rFonts w:ascii="宋体"/>
              </w:rPr>
            </w:pPr>
          </w:p>
        </w:tc>
        <w:tc>
          <w:tcPr>
            <w:tcW w:w="0" w:type="auto"/>
            <w:shd w:val="clear" w:color="auto" w:fill="auto"/>
          </w:tcPr>
          <w:p w14:paraId="00BAD0A2" w14:textId="77777777" w:rsidR="00871BDF" w:rsidRDefault="00871BDF">
            <w:pPr>
              <w:rPr>
                <w:rFonts w:ascii="宋体"/>
              </w:rPr>
            </w:pPr>
          </w:p>
        </w:tc>
        <w:tc>
          <w:tcPr>
            <w:tcW w:w="0" w:type="auto"/>
            <w:shd w:val="clear" w:color="auto" w:fill="auto"/>
          </w:tcPr>
          <w:p w14:paraId="00BAD0A3" w14:textId="77777777" w:rsidR="00871BDF" w:rsidRDefault="00871BDF">
            <w:pPr>
              <w:rPr>
                <w:rFonts w:ascii="宋体"/>
              </w:rPr>
            </w:pPr>
          </w:p>
        </w:tc>
        <w:tc>
          <w:tcPr>
            <w:tcW w:w="0" w:type="auto"/>
            <w:shd w:val="clear" w:color="auto" w:fill="auto"/>
          </w:tcPr>
          <w:p w14:paraId="00BAD0A4" w14:textId="77777777" w:rsidR="00871BDF" w:rsidRDefault="00871BDF">
            <w:pPr>
              <w:rPr>
                <w:rFonts w:ascii="宋体"/>
              </w:rPr>
            </w:pPr>
          </w:p>
        </w:tc>
        <w:tc>
          <w:tcPr>
            <w:tcW w:w="0" w:type="auto"/>
            <w:shd w:val="clear" w:color="auto" w:fill="auto"/>
          </w:tcPr>
          <w:p w14:paraId="00BAD0A5" w14:textId="77777777" w:rsidR="00871BDF" w:rsidRDefault="00871BDF">
            <w:pPr>
              <w:rPr>
                <w:rFonts w:ascii="宋体"/>
              </w:rPr>
            </w:pPr>
          </w:p>
        </w:tc>
        <w:tc>
          <w:tcPr>
            <w:tcW w:w="0" w:type="auto"/>
            <w:shd w:val="clear" w:color="auto" w:fill="auto"/>
          </w:tcPr>
          <w:p w14:paraId="00BAD0A6" w14:textId="77777777" w:rsidR="00871BDF" w:rsidRDefault="00871BDF">
            <w:pPr>
              <w:rPr>
                <w:rFonts w:ascii="宋体"/>
              </w:rPr>
            </w:pPr>
          </w:p>
        </w:tc>
        <w:tc>
          <w:tcPr>
            <w:tcW w:w="0" w:type="auto"/>
            <w:shd w:val="clear" w:color="auto" w:fill="auto"/>
          </w:tcPr>
          <w:p w14:paraId="00BAD0A7" w14:textId="77777777" w:rsidR="00871BDF" w:rsidRDefault="00871BDF">
            <w:pPr>
              <w:rPr>
                <w:rFonts w:ascii="宋体"/>
              </w:rPr>
            </w:pPr>
          </w:p>
        </w:tc>
        <w:tc>
          <w:tcPr>
            <w:tcW w:w="0" w:type="auto"/>
            <w:shd w:val="clear" w:color="auto" w:fill="auto"/>
          </w:tcPr>
          <w:p w14:paraId="00BAD0A8" w14:textId="77777777" w:rsidR="00871BDF" w:rsidRDefault="00871BDF">
            <w:pPr>
              <w:rPr>
                <w:rFonts w:ascii="宋体"/>
              </w:rPr>
            </w:pPr>
          </w:p>
        </w:tc>
        <w:tc>
          <w:tcPr>
            <w:tcW w:w="0" w:type="auto"/>
            <w:shd w:val="clear" w:color="auto" w:fill="auto"/>
          </w:tcPr>
          <w:p w14:paraId="00BAD0A9" w14:textId="77777777" w:rsidR="00871BDF" w:rsidRDefault="00871BDF">
            <w:pPr>
              <w:rPr>
                <w:rFonts w:ascii="宋体"/>
              </w:rPr>
            </w:pPr>
          </w:p>
        </w:tc>
        <w:tc>
          <w:tcPr>
            <w:tcW w:w="0" w:type="auto"/>
            <w:shd w:val="clear" w:color="auto" w:fill="auto"/>
          </w:tcPr>
          <w:p w14:paraId="00BAD0AA" w14:textId="77777777" w:rsidR="00871BDF" w:rsidRDefault="00871BDF">
            <w:pPr>
              <w:rPr>
                <w:rFonts w:ascii="宋体"/>
              </w:rPr>
            </w:pPr>
          </w:p>
        </w:tc>
        <w:tc>
          <w:tcPr>
            <w:tcW w:w="0" w:type="auto"/>
            <w:shd w:val="clear" w:color="auto" w:fill="auto"/>
          </w:tcPr>
          <w:p w14:paraId="00BAD0AB" w14:textId="77777777" w:rsidR="00871BDF" w:rsidRDefault="00871BDF">
            <w:pPr>
              <w:rPr>
                <w:rFonts w:ascii="宋体"/>
              </w:rPr>
            </w:pPr>
          </w:p>
        </w:tc>
        <w:tc>
          <w:tcPr>
            <w:tcW w:w="0" w:type="auto"/>
            <w:shd w:val="clear" w:color="auto" w:fill="auto"/>
          </w:tcPr>
          <w:p w14:paraId="00BAD0AC" w14:textId="77777777" w:rsidR="00871BDF" w:rsidRDefault="00871BDF">
            <w:pPr>
              <w:rPr>
                <w:rFonts w:ascii="宋体"/>
              </w:rPr>
            </w:pPr>
          </w:p>
        </w:tc>
        <w:tc>
          <w:tcPr>
            <w:tcW w:w="0" w:type="auto"/>
            <w:shd w:val="clear" w:color="auto" w:fill="auto"/>
          </w:tcPr>
          <w:p w14:paraId="00BAD0AD" w14:textId="77777777" w:rsidR="00871BDF" w:rsidRDefault="00871BDF">
            <w:pPr>
              <w:rPr>
                <w:rFonts w:ascii="宋体"/>
              </w:rPr>
            </w:pPr>
          </w:p>
        </w:tc>
        <w:tc>
          <w:tcPr>
            <w:tcW w:w="0" w:type="auto"/>
            <w:shd w:val="clear" w:color="auto" w:fill="auto"/>
          </w:tcPr>
          <w:p w14:paraId="00BAD0AE" w14:textId="77777777" w:rsidR="00871BDF" w:rsidRDefault="00871BDF">
            <w:pPr>
              <w:rPr>
                <w:rFonts w:ascii="宋体"/>
              </w:rPr>
            </w:pPr>
          </w:p>
        </w:tc>
        <w:tc>
          <w:tcPr>
            <w:tcW w:w="0" w:type="auto"/>
            <w:shd w:val="clear" w:color="auto" w:fill="auto"/>
          </w:tcPr>
          <w:p w14:paraId="00BAD0AF" w14:textId="77777777" w:rsidR="00871BDF" w:rsidRDefault="00871BDF">
            <w:pPr>
              <w:rPr>
                <w:rFonts w:ascii="宋体"/>
              </w:rPr>
            </w:pPr>
          </w:p>
        </w:tc>
      </w:tr>
      <w:tr w:rsidR="00871BDF" w14:paraId="00BAD0DE" w14:textId="77777777">
        <w:trPr>
          <w:jc w:val="center"/>
        </w:trPr>
        <w:tc>
          <w:tcPr>
            <w:tcW w:w="0" w:type="auto"/>
            <w:gridSpan w:val="3"/>
            <w:shd w:val="clear" w:color="auto" w:fill="D7E4BC"/>
            <w:tcMar>
              <w:top w:w="40" w:type="dxa"/>
              <w:left w:w="20" w:type="dxa"/>
              <w:bottom w:w="40" w:type="dxa"/>
              <w:right w:w="20" w:type="dxa"/>
            </w:tcMar>
            <w:vAlign w:val="bottom"/>
          </w:tcPr>
          <w:p w14:paraId="00BAD0B1" w14:textId="77777777" w:rsidR="00871BDF" w:rsidRDefault="005C5088">
            <w:pPr>
              <w:textAlignment w:val="bottom"/>
            </w:pPr>
            <w:r>
              <w:rPr>
                <w:rFonts w:ascii="Times New Roman" w:eastAsia="宋体" w:hAnsi="Times New Roman"/>
                <w:color w:val="000000"/>
                <w:sz w:val="20"/>
                <w:szCs w:val="20"/>
              </w:rPr>
              <w:t>Net c</w:t>
            </w:r>
            <w:r>
              <w:rPr>
                <w:rFonts w:ascii="Times New Roman" w:eastAsia="宋体" w:hAnsi="Times New Roman"/>
                <w:color w:val="000000"/>
                <w:sz w:val="20"/>
                <w:szCs w:val="20"/>
              </w:rPr>
              <w:t>ash provided by operating activities</w:t>
            </w:r>
            <w:r>
              <w:rPr>
                <w:rFonts w:ascii="Times New Roman" w:eastAsia="宋体" w:hAnsi="Times New Roman"/>
                <w:color w:val="000000"/>
                <w:sz w:val="13"/>
                <w:szCs w:val="13"/>
              </w:rPr>
              <w:t>(4)</w:t>
            </w:r>
          </w:p>
        </w:tc>
        <w:tc>
          <w:tcPr>
            <w:tcW w:w="0" w:type="auto"/>
            <w:gridSpan w:val="2"/>
            <w:shd w:val="clear" w:color="auto" w:fill="D7E4BC"/>
            <w:tcMar>
              <w:top w:w="40" w:type="dxa"/>
              <w:left w:w="20" w:type="dxa"/>
              <w:bottom w:w="40" w:type="dxa"/>
              <w:right w:w="0" w:type="dxa"/>
            </w:tcMar>
            <w:vAlign w:val="bottom"/>
          </w:tcPr>
          <w:p w14:paraId="00BAD0B2" w14:textId="77777777" w:rsidR="00871BDF" w:rsidRDefault="005C5088">
            <w:pPr>
              <w:jc w:val="right"/>
              <w:textAlignment w:val="bottom"/>
            </w:pPr>
            <w:r>
              <w:rPr>
                <w:rFonts w:ascii="Times New Roman" w:eastAsia="宋体" w:hAnsi="Times New Roman"/>
                <w:color w:val="000000"/>
                <w:sz w:val="20"/>
                <w:szCs w:val="20"/>
              </w:rPr>
              <w:t>1,597.8 </w:t>
            </w:r>
          </w:p>
        </w:tc>
        <w:tc>
          <w:tcPr>
            <w:tcW w:w="0" w:type="auto"/>
            <w:shd w:val="clear" w:color="auto" w:fill="D7E4BC"/>
            <w:tcMar>
              <w:top w:w="40" w:type="dxa"/>
              <w:left w:w="0" w:type="dxa"/>
              <w:bottom w:w="40" w:type="dxa"/>
              <w:right w:w="20" w:type="dxa"/>
            </w:tcMar>
            <w:vAlign w:val="bottom"/>
          </w:tcPr>
          <w:p w14:paraId="00BAD0B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0B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0B5" w14:textId="77777777" w:rsidR="00871BDF" w:rsidRDefault="005C5088">
            <w:pPr>
              <w:jc w:val="right"/>
              <w:textAlignment w:val="bottom"/>
            </w:pPr>
            <w:r>
              <w:rPr>
                <w:rFonts w:ascii="Times New Roman" w:eastAsia="宋体" w:hAnsi="Times New Roman"/>
                <w:color w:val="000000"/>
                <w:sz w:val="20"/>
                <w:szCs w:val="20"/>
              </w:rPr>
              <w:t>5,047.0 </w:t>
            </w:r>
          </w:p>
        </w:tc>
        <w:tc>
          <w:tcPr>
            <w:tcW w:w="0" w:type="auto"/>
            <w:shd w:val="clear" w:color="auto" w:fill="D7E4BC"/>
            <w:tcMar>
              <w:top w:w="40" w:type="dxa"/>
              <w:left w:w="0" w:type="dxa"/>
              <w:bottom w:w="40" w:type="dxa"/>
              <w:right w:w="20" w:type="dxa"/>
            </w:tcMar>
            <w:vAlign w:val="bottom"/>
          </w:tcPr>
          <w:p w14:paraId="00BAD0B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0B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0B8" w14:textId="77777777" w:rsidR="00871BDF" w:rsidRDefault="005C5088">
            <w:pPr>
              <w:jc w:val="right"/>
              <w:textAlignment w:val="bottom"/>
            </w:pPr>
            <w:r>
              <w:rPr>
                <w:rFonts w:ascii="Times New Roman" w:eastAsia="宋体" w:hAnsi="Times New Roman"/>
                <w:color w:val="000000"/>
                <w:sz w:val="20"/>
                <w:szCs w:val="20"/>
              </w:rPr>
              <w:t>11,937.8 </w:t>
            </w:r>
          </w:p>
        </w:tc>
        <w:tc>
          <w:tcPr>
            <w:tcW w:w="0" w:type="auto"/>
            <w:shd w:val="clear" w:color="auto" w:fill="D7E4BC"/>
            <w:tcMar>
              <w:top w:w="40" w:type="dxa"/>
              <w:left w:w="0" w:type="dxa"/>
              <w:bottom w:w="40" w:type="dxa"/>
              <w:right w:w="20" w:type="dxa"/>
            </w:tcMar>
            <w:vAlign w:val="bottom"/>
          </w:tcPr>
          <w:p w14:paraId="00BAD0B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0B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0BB" w14:textId="77777777" w:rsidR="00871BDF" w:rsidRDefault="005C5088">
            <w:pPr>
              <w:jc w:val="right"/>
              <w:textAlignment w:val="bottom"/>
            </w:pPr>
            <w:r>
              <w:rPr>
                <w:rFonts w:ascii="Times New Roman" w:eastAsia="宋体" w:hAnsi="Times New Roman"/>
                <w:color w:val="000000"/>
                <w:sz w:val="20"/>
                <w:szCs w:val="20"/>
              </w:rPr>
              <w:t>4,251.8 </w:t>
            </w:r>
          </w:p>
        </w:tc>
        <w:tc>
          <w:tcPr>
            <w:tcW w:w="0" w:type="auto"/>
            <w:shd w:val="clear" w:color="auto" w:fill="D7E4BC"/>
            <w:tcMar>
              <w:top w:w="40" w:type="dxa"/>
              <w:left w:w="0" w:type="dxa"/>
              <w:bottom w:w="40" w:type="dxa"/>
              <w:right w:w="20" w:type="dxa"/>
            </w:tcMar>
            <w:vAlign w:val="bottom"/>
          </w:tcPr>
          <w:p w14:paraId="00BAD0B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0B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0BE" w14:textId="77777777" w:rsidR="00871BDF" w:rsidRDefault="005C5088">
            <w:pPr>
              <w:jc w:val="right"/>
              <w:textAlignment w:val="bottom"/>
            </w:pPr>
            <w:r>
              <w:rPr>
                <w:rFonts w:ascii="Times New Roman" w:eastAsia="宋体" w:hAnsi="Times New Roman"/>
                <w:color w:val="000000"/>
                <w:sz w:val="20"/>
                <w:szCs w:val="20"/>
              </w:rPr>
              <w:t>4,697.9 </w:t>
            </w:r>
          </w:p>
        </w:tc>
        <w:tc>
          <w:tcPr>
            <w:tcW w:w="0" w:type="auto"/>
            <w:shd w:val="clear" w:color="auto" w:fill="D7E4BC"/>
            <w:tcMar>
              <w:top w:w="40" w:type="dxa"/>
              <w:left w:w="0" w:type="dxa"/>
              <w:bottom w:w="40" w:type="dxa"/>
              <w:right w:w="20" w:type="dxa"/>
            </w:tcMar>
            <w:vAlign w:val="bottom"/>
          </w:tcPr>
          <w:p w14:paraId="00BAD0BF" w14:textId="77777777" w:rsidR="00871BDF" w:rsidRDefault="00871BDF">
            <w:pPr>
              <w:jc w:val="right"/>
              <w:rPr>
                <w:rFonts w:ascii="宋体"/>
              </w:rPr>
            </w:pPr>
          </w:p>
        </w:tc>
        <w:tc>
          <w:tcPr>
            <w:tcW w:w="0" w:type="auto"/>
            <w:shd w:val="clear" w:color="auto" w:fill="auto"/>
          </w:tcPr>
          <w:p w14:paraId="00BAD0C0" w14:textId="77777777" w:rsidR="00871BDF" w:rsidRDefault="00871BDF">
            <w:pPr>
              <w:rPr>
                <w:rFonts w:ascii="宋体"/>
              </w:rPr>
            </w:pPr>
          </w:p>
        </w:tc>
        <w:tc>
          <w:tcPr>
            <w:tcW w:w="0" w:type="auto"/>
            <w:shd w:val="clear" w:color="auto" w:fill="auto"/>
          </w:tcPr>
          <w:p w14:paraId="00BAD0C1" w14:textId="77777777" w:rsidR="00871BDF" w:rsidRDefault="00871BDF">
            <w:pPr>
              <w:rPr>
                <w:rFonts w:ascii="宋体"/>
              </w:rPr>
            </w:pPr>
          </w:p>
        </w:tc>
        <w:tc>
          <w:tcPr>
            <w:tcW w:w="0" w:type="auto"/>
            <w:shd w:val="clear" w:color="auto" w:fill="auto"/>
          </w:tcPr>
          <w:p w14:paraId="00BAD0C2" w14:textId="77777777" w:rsidR="00871BDF" w:rsidRDefault="00871BDF">
            <w:pPr>
              <w:rPr>
                <w:rFonts w:ascii="宋体"/>
              </w:rPr>
            </w:pPr>
          </w:p>
        </w:tc>
        <w:tc>
          <w:tcPr>
            <w:tcW w:w="0" w:type="auto"/>
            <w:shd w:val="clear" w:color="auto" w:fill="auto"/>
          </w:tcPr>
          <w:p w14:paraId="00BAD0C3" w14:textId="77777777" w:rsidR="00871BDF" w:rsidRDefault="00871BDF">
            <w:pPr>
              <w:rPr>
                <w:rFonts w:ascii="宋体"/>
              </w:rPr>
            </w:pPr>
          </w:p>
        </w:tc>
        <w:tc>
          <w:tcPr>
            <w:tcW w:w="0" w:type="auto"/>
            <w:shd w:val="clear" w:color="auto" w:fill="auto"/>
          </w:tcPr>
          <w:p w14:paraId="00BAD0C4" w14:textId="77777777" w:rsidR="00871BDF" w:rsidRDefault="00871BDF">
            <w:pPr>
              <w:rPr>
                <w:rFonts w:ascii="宋体"/>
              </w:rPr>
            </w:pPr>
          </w:p>
        </w:tc>
        <w:tc>
          <w:tcPr>
            <w:tcW w:w="0" w:type="auto"/>
            <w:shd w:val="clear" w:color="auto" w:fill="auto"/>
          </w:tcPr>
          <w:p w14:paraId="00BAD0C5" w14:textId="77777777" w:rsidR="00871BDF" w:rsidRDefault="00871BDF">
            <w:pPr>
              <w:rPr>
                <w:rFonts w:ascii="宋体"/>
              </w:rPr>
            </w:pPr>
          </w:p>
        </w:tc>
        <w:tc>
          <w:tcPr>
            <w:tcW w:w="0" w:type="auto"/>
            <w:shd w:val="clear" w:color="auto" w:fill="auto"/>
          </w:tcPr>
          <w:p w14:paraId="00BAD0C6" w14:textId="77777777" w:rsidR="00871BDF" w:rsidRDefault="00871BDF">
            <w:pPr>
              <w:rPr>
                <w:rFonts w:ascii="宋体"/>
              </w:rPr>
            </w:pPr>
          </w:p>
        </w:tc>
        <w:tc>
          <w:tcPr>
            <w:tcW w:w="0" w:type="auto"/>
            <w:shd w:val="clear" w:color="auto" w:fill="auto"/>
          </w:tcPr>
          <w:p w14:paraId="00BAD0C7" w14:textId="77777777" w:rsidR="00871BDF" w:rsidRDefault="00871BDF">
            <w:pPr>
              <w:rPr>
                <w:rFonts w:ascii="宋体"/>
              </w:rPr>
            </w:pPr>
          </w:p>
        </w:tc>
        <w:tc>
          <w:tcPr>
            <w:tcW w:w="0" w:type="auto"/>
            <w:shd w:val="clear" w:color="auto" w:fill="auto"/>
          </w:tcPr>
          <w:p w14:paraId="00BAD0C8" w14:textId="77777777" w:rsidR="00871BDF" w:rsidRDefault="00871BDF">
            <w:pPr>
              <w:rPr>
                <w:rFonts w:ascii="宋体"/>
              </w:rPr>
            </w:pPr>
          </w:p>
        </w:tc>
        <w:tc>
          <w:tcPr>
            <w:tcW w:w="0" w:type="auto"/>
            <w:shd w:val="clear" w:color="auto" w:fill="auto"/>
          </w:tcPr>
          <w:p w14:paraId="00BAD0C9" w14:textId="77777777" w:rsidR="00871BDF" w:rsidRDefault="00871BDF">
            <w:pPr>
              <w:rPr>
                <w:rFonts w:ascii="宋体"/>
              </w:rPr>
            </w:pPr>
          </w:p>
        </w:tc>
        <w:tc>
          <w:tcPr>
            <w:tcW w:w="0" w:type="auto"/>
            <w:shd w:val="clear" w:color="auto" w:fill="auto"/>
          </w:tcPr>
          <w:p w14:paraId="00BAD0CA" w14:textId="77777777" w:rsidR="00871BDF" w:rsidRDefault="00871BDF">
            <w:pPr>
              <w:rPr>
                <w:rFonts w:ascii="宋体"/>
              </w:rPr>
            </w:pPr>
          </w:p>
        </w:tc>
        <w:tc>
          <w:tcPr>
            <w:tcW w:w="0" w:type="auto"/>
            <w:shd w:val="clear" w:color="auto" w:fill="auto"/>
          </w:tcPr>
          <w:p w14:paraId="00BAD0CB" w14:textId="77777777" w:rsidR="00871BDF" w:rsidRDefault="00871BDF">
            <w:pPr>
              <w:rPr>
                <w:rFonts w:ascii="宋体"/>
              </w:rPr>
            </w:pPr>
          </w:p>
        </w:tc>
        <w:tc>
          <w:tcPr>
            <w:tcW w:w="0" w:type="auto"/>
            <w:shd w:val="clear" w:color="auto" w:fill="auto"/>
          </w:tcPr>
          <w:p w14:paraId="00BAD0CC" w14:textId="77777777" w:rsidR="00871BDF" w:rsidRDefault="00871BDF">
            <w:pPr>
              <w:rPr>
                <w:rFonts w:ascii="宋体"/>
              </w:rPr>
            </w:pPr>
          </w:p>
        </w:tc>
        <w:tc>
          <w:tcPr>
            <w:tcW w:w="0" w:type="auto"/>
            <w:shd w:val="clear" w:color="auto" w:fill="auto"/>
          </w:tcPr>
          <w:p w14:paraId="00BAD0CD" w14:textId="77777777" w:rsidR="00871BDF" w:rsidRDefault="00871BDF">
            <w:pPr>
              <w:rPr>
                <w:rFonts w:ascii="宋体"/>
              </w:rPr>
            </w:pPr>
          </w:p>
        </w:tc>
        <w:tc>
          <w:tcPr>
            <w:tcW w:w="0" w:type="auto"/>
            <w:shd w:val="clear" w:color="auto" w:fill="auto"/>
          </w:tcPr>
          <w:p w14:paraId="00BAD0CE" w14:textId="77777777" w:rsidR="00871BDF" w:rsidRDefault="00871BDF">
            <w:pPr>
              <w:rPr>
                <w:rFonts w:ascii="宋体"/>
              </w:rPr>
            </w:pPr>
          </w:p>
        </w:tc>
        <w:tc>
          <w:tcPr>
            <w:tcW w:w="0" w:type="auto"/>
            <w:shd w:val="clear" w:color="auto" w:fill="auto"/>
          </w:tcPr>
          <w:p w14:paraId="00BAD0CF" w14:textId="77777777" w:rsidR="00871BDF" w:rsidRDefault="00871BDF">
            <w:pPr>
              <w:rPr>
                <w:rFonts w:ascii="宋体"/>
              </w:rPr>
            </w:pPr>
          </w:p>
        </w:tc>
        <w:tc>
          <w:tcPr>
            <w:tcW w:w="0" w:type="auto"/>
            <w:shd w:val="clear" w:color="auto" w:fill="auto"/>
          </w:tcPr>
          <w:p w14:paraId="00BAD0D0" w14:textId="77777777" w:rsidR="00871BDF" w:rsidRDefault="00871BDF">
            <w:pPr>
              <w:rPr>
                <w:rFonts w:ascii="宋体"/>
              </w:rPr>
            </w:pPr>
          </w:p>
        </w:tc>
        <w:tc>
          <w:tcPr>
            <w:tcW w:w="0" w:type="auto"/>
            <w:shd w:val="clear" w:color="auto" w:fill="auto"/>
          </w:tcPr>
          <w:p w14:paraId="00BAD0D1" w14:textId="77777777" w:rsidR="00871BDF" w:rsidRDefault="00871BDF">
            <w:pPr>
              <w:rPr>
                <w:rFonts w:ascii="宋体"/>
              </w:rPr>
            </w:pPr>
          </w:p>
        </w:tc>
        <w:tc>
          <w:tcPr>
            <w:tcW w:w="0" w:type="auto"/>
            <w:shd w:val="clear" w:color="auto" w:fill="auto"/>
          </w:tcPr>
          <w:p w14:paraId="00BAD0D2" w14:textId="77777777" w:rsidR="00871BDF" w:rsidRDefault="00871BDF">
            <w:pPr>
              <w:rPr>
                <w:rFonts w:ascii="宋体"/>
              </w:rPr>
            </w:pPr>
          </w:p>
        </w:tc>
        <w:tc>
          <w:tcPr>
            <w:tcW w:w="0" w:type="auto"/>
            <w:shd w:val="clear" w:color="auto" w:fill="auto"/>
          </w:tcPr>
          <w:p w14:paraId="00BAD0D3" w14:textId="77777777" w:rsidR="00871BDF" w:rsidRDefault="00871BDF">
            <w:pPr>
              <w:rPr>
                <w:rFonts w:ascii="宋体"/>
              </w:rPr>
            </w:pPr>
          </w:p>
        </w:tc>
        <w:tc>
          <w:tcPr>
            <w:tcW w:w="0" w:type="auto"/>
            <w:shd w:val="clear" w:color="auto" w:fill="auto"/>
          </w:tcPr>
          <w:p w14:paraId="00BAD0D4" w14:textId="77777777" w:rsidR="00871BDF" w:rsidRDefault="00871BDF">
            <w:pPr>
              <w:rPr>
                <w:rFonts w:ascii="宋体"/>
              </w:rPr>
            </w:pPr>
          </w:p>
        </w:tc>
        <w:tc>
          <w:tcPr>
            <w:tcW w:w="0" w:type="auto"/>
            <w:shd w:val="clear" w:color="auto" w:fill="auto"/>
          </w:tcPr>
          <w:p w14:paraId="00BAD0D5" w14:textId="77777777" w:rsidR="00871BDF" w:rsidRDefault="00871BDF">
            <w:pPr>
              <w:rPr>
                <w:rFonts w:ascii="宋体"/>
              </w:rPr>
            </w:pPr>
          </w:p>
        </w:tc>
        <w:tc>
          <w:tcPr>
            <w:tcW w:w="0" w:type="auto"/>
            <w:shd w:val="clear" w:color="auto" w:fill="auto"/>
          </w:tcPr>
          <w:p w14:paraId="00BAD0D6" w14:textId="77777777" w:rsidR="00871BDF" w:rsidRDefault="00871BDF">
            <w:pPr>
              <w:rPr>
                <w:rFonts w:ascii="宋体"/>
              </w:rPr>
            </w:pPr>
          </w:p>
        </w:tc>
        <w:tc>
          <w:tcPr>
            <w:tcW w:w="0" w:type="auto"/>
            <w:shd w:val="clear" w:color="auto" w:fill="auto"/>
          </w:tcPr>
          <w:p w14:paraId="00BAD0D7" w14:textId="77777777" w:rsidR="00871BDF" w:rsidRDefault="00871BDF">
            <w:pPr>
              <w:rPr>
                <w:rFonts w:ascii="宋体"/>
              </w:rPr>
            </w:pPr>
          </w:p>
        </w:tc>
        <w:tc>
          <w:tcPr>
            <w:tcW w:w="0" w:type="auto"/>
            <w:shd w:val="clear" w:color="auto" w:fill="auto"/>
          </w:tcPr>
          <w:p w14:paraId="00BAD0D8" w14:textId="77777777" w:rsidR="00871BDF" w:rsidRDefault="00871BDF">
            <w:pPr>
              <w:rPr>
                <w:rFonts w:ascii="宋体"/>
              </w:rPr>
            </w:pPr>
          </w:p>
        </w:tc>
        <w:tc>
          <w:tcPr>
            <w:tcW w:w="0" w:type="auto"/>
            <w:shd w:val="clear" w:color="auto" w:fill="auto"/>
          </w:tcPr>
          <w:p w14:paraId="00BAD0D9" w14:textId="77777777" w:rsidR="00871BDF" w:rsidRDefault="00871BDF">
            <w:pPr>
              <w:rPr>
                <w:rFonts w:ascii="宋体"/>
              </w:rPr>
            </w:pPr>
          </w:p>
        </w:tc>
        <w:tc>
          <w:tcPr>
            <w:tcW w:w="0" w:type="auto"/>
            <w:shd w:val="clear" w:color="auto" w:fill="auto"/>
          </w:tcPr>
          <w:p w14:paraId="00BAD0DA" w14:textId="77777777" w:rsidR="00871BDF" w:rsidRDefault="00871BDF">
            <w:pPr>
              <w:rPr>
                <w:rFonts w:ascii="宋体"/>
              </w:rPr>
            </w:pPr>
          </w:p>
        </w:tc>
        <w:tc>
          <w:tcPr>
            <w:tcW w:w="0" w:type="auto"/>
            <w:shd w:val="clear" w:color="auto" w:fill="auto"/>
          </w:tcPr>
          <w:p w14:paraId="00BAD0DB" w14:textId="77777777" w:rsidR="00871BDF" w:rsidRDefault="00871BDF">
            <w:pPr>
              <w:rPr>
                <w:rFonts w:ascii="宋体"/>
              </w:rPr>
            </w:pPr>
          </w:p>
        </w:tc>
        <w:tc>
          <w:tcPr>
            <w:tcW w:w="0" w:type="auto"/>
            <w:shd w:val="clear" w:color="auto" w:fill="auto"/>
          </w:tcPr>
          <w:p w14:paraId="00BAD0DC" w14:textId="77777777" w:rsidR="00871BDF" w:rsidRDefault="00871BDF">
            <w:pPr>
              <w:rPr>
                <w:rFonts w:ascii="宋体"/>
              </w:rPr>
            </w:pPr>
          </w:p>
        </w:tc>
        <w:tc>
          <w:tcPr>
            <w:tcW w:w="0" w:type="auto"/>
            <w:shd w:val="clear" w:color="auto" w:fill="auto"/>
          </w:tcPr>
          <w:p w14:paraId="00BAD0DD" w14:textId="77777777" w:rsidR="00871BDF" w:rsidRDefault="00871BDF">
            <w:pPr>
              <w:rPr>
                <w:rFonts w:ascii="宋体"/>
              </w:rPr>
            </w:pPr>
          </w:p>
        </w:tc>
      </w:tr>
      <w:tr w:rsidR="00871BDF" w14:paraId="00BAD10C" w14:textId="77777777">
        <w:trPr>
          <w:jc w:val="center"/>
        </w:trPr>
        <w:tc>
          <w:tcPr>
            <w:tcW w:w="0" w:type="auto"/>
            <w:gridSpan w:val="3"/>
            <w:shd w:val="clear" w:color="auto" w:fill="FFFFFF"/>
            <w:tcMar>
              <w:top w:w="40" w:type="dxa"/>
              <w:left w:w="20" w:type="dxa"/>
              <w:bottom w:w="40" w:type="dxa"/>
              <w:right w:w="20" w:type="dxa"/>
            </w:tcMar>
            <w:vAlign w:val="bottom"/>
          </w:tcPr>
          <w:p w14:paraId="00BAD0DF" w14:textId="77777777" w:rsidR="00871BDF" w:rsidRDefault="005C5088">
            <w:pPr>
              <w:textAlignment w:val="bottom"/>
            </w:pPr>
            <w:r>
              <w:rPr>
                <w:rFonts w:ascii="Times New Roman" w:eastAsia="宋体" w:hAnsi="Times New Roman"/>
                <w:color w:val="000000"/>
                <w:sz w:val="20"/>
                <w:szCs w:val="20"/>
              </w:rPr>
              <w:t>Capit</w:t>
            </w:r>
            <w:r>
              <w:rPr>
                <w:rFonts w:ascii="Times New Roman" w:eastAsia="宋体" w:hAnsi="Times New Roman"/>
                <w:color w:val="000000"/>
                <w:sz w:val="20"/>
                <w:szCs w:val="20"/>
              </w:rPr>
              <w:t>al expenditures (additions to property, plant and equipment)</w:t>
            </w:r>
          </w:p>
        </w:tc>
        <w:tc>
          <w:tcPr>
            <w:tcW w:w="0" w:type="auto"/>
            <w:gridSpan w:val="2"/>
            <w:shd w:val="clear" w:color="auto" w:fill="FFFFFF"/>
            <w:tcMar>
              <w:top w:w="40" w:type="dxa"/>
              <w:left w:w="20" w:type="dxa"/>
              <w:bottom w:w="40" w:type="dxa"/>
              <w:right w:w="0" w:type="dxa"/>
            </w:tcMar>
            <w:vAlign w:val="bottom"/>
          </w:tcPr>
          <w:p w14:paraId="00BAD0E0" w14:textId="77777777" w:rsidR="00871BDF" w:rsidRDefault="005C5088">
            <w:pPr>
              <w:jc w:val="right"/>
              <w:textAlignment w:val="bottom"/>
            </w:pPr>
            <w:r>
              <w:rPr>
                <w:rFonts w:ascii="Times New Roman" w:eastAsia="宋体" w:hAnsi="Times New Roman"/>
                <w:color w:val="000000"/>
                <w:sz w:val="20"/>
                <w:szCs w:val="20"/>
              </w:rPr>
              <w:t>1,483.6 </w:t>
            </w:r>
          </w:p>
        </w:tc>
        <w:tc>
          <w:tcPr>
            <w:tcW w:w="0" w:type="auto"/>
            <w:shd w:val="clear" w:color="auto" w:fill="FFFFFF"/>
            <w:tcMar>
              <w:top w:w="40" w:type="dxa"/>
              <w:left w:w="0" w:type="dxa"/>
              <w:bottom w:w="40" w:type="dxa"/>
              <w:right w:w="20" w:type="dxa"/>
            </w:tcMar>
            <w:vAlign w:val="bottom"/>
          </w:tcPr>
          <w:p w14:paraId="00BAD0E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0E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0E3" w14:textId="77777777" w:rsidR="00871BDF" w:rsidRDefault="005C5088">
            <w:pPr>
              <w:jc w:val="right"/>
              <w:textAlignment w:val="bottom"/>
            </w:pPr>
            <w:r>
              <w:rPr>
                <w:rFonts w:ascii="Times New Roman" w:eastAsia="宋体" w:hAnsi="Times New Roman"/>
                <w:color w:val="000000"/>
                <w:sz w:val="20"/>
                <w:szCs w:val="20"/>
              </w:rPr>
              <w:t>1,806.6 </w:t>
            </w:r>
          </w:p>
        </w:tc>
        <w:tc>
          <w:tcPr>
            <w:tcW w:w="0" w:type="auto"/>
            <w:shd w:val="clear" w:color="auto" w:fill="FFFFFF"/>
            <w:tcMar>
              <w:top w:w="40" w:type="dxa"/>
              <w:left w:w="0" w:type="dxa"/>
              <w:bottom w:w="40" w:type="dxa"/>
              <w:right w:w="20" w:type="dxa"/>
            </w:tcMar>
            <w:vAlign w:val="bottom"/>
          </w:tcPr>
          <w:p w14:paraId="00BAD0E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0E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0E6" w14:textId="77777777" w:rsidR="00871BDF" w:rsidRDefault="005C5088">
            <w:pPr>
              <w:jc w:val="right"/>
              <w:textAlignment w:val="bottom"/>
            </w:pPr>
            <w:r>
              <w:rPr>
                <w:rFonts w:ascii="Times New Roman" w:eastAsia="宋体" w:hAnsi="Times New Roman"/>
                <w:color w:val="000000"/>
                <w:sz w:val="20"/>
                <w:szCs w:val="20"/>
              </w:rPr>
              <w:t>1,976.4 </w:t>
            </w:r>
          </w:p>
        </w:tc>
        <w:tc>
          <w:tcPr>
            <w:tcW w:w="0" w:type="auto"/>
            <w:shd w:val="clear" w:color="auto" w:fill="FFFFFF"/>
            <w:tcMar>
              <w:top w:w="40" w:type="dxa"/>
              <w:left w:w="0" w:type="dxa"/>
              <w:bottom w:w="40" w:type="dxa"/>
              <w:right w:w="20" w:type="dxa"/>
            </w:tcMar>
            <w:vAlign w:val="bottom"/>
          </w:tcPr>
          <w:p w14:paraId="00BAD0E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0E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0E9" w14:textId="77777777" w:rsidR="00871BDF" w:rsidRDefault="005C5088">
            <w:pPr>
              <w:jc w:val="right"/>
              <w:textAlignment w:val="bottom"/>
            </w:pPr>
            <w:r>
              <w:rPr>
                <w:rFonts w:ascii="Times New Roman" w:eastAsia="宋体" w:hAnsi="Times New Roman"/>
                <w:color w:val="000000"/>
                <w:sz w:val="20"/>
                <w:szCs w:val="20"/>
              </w:rPr>
              <w:t>1,519.4 </w:t>
            </w:r>
          </w:p>
        </w:tc>
        <w:tc>
          <w:tcPr>
            <w:tcW w:w="0" w:type="auto"/>
            <w:shd w:val="clear" w:color="auto" w:fill="FFFFFF"/>
            <w:tcMar>
              <w:top w:w="40" w:type="dxa"/>
              <w:left w:w="0" w:type="dxa"/>
              <w:bottom w:w="40" w:type="dxa"/>
              <w:right w:w="20" w:type="dxa"/>
            </w:tcMar>
            <w:vAlign w:val="bottom"/>
          </w:tcPr>
          <w:p w14:paraId="00BAD0E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0E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0EC" w14:textId="77777777" w:rsidR="00871BDF" w:rsidRDefault="005C5088">
            <w:pPr>
              <w:jc w:val="right"/>
              <w:textAlignment w:val="bottom"/>
            </w:pPr>
            <w:r>
              <w:rPr>
                <w:rFonts w:ascii="Times New Roman" w:eastAsia="宋体" w:hAnsi="Times New Roman"/>
                <w:color w:val="000000"/>
                <w:sz w:val="20"/>
                <w:szCs w:val="20"/>
              </w:rPr>
              <w:t>1,440.3 </w:t>
            </w:r>
          </w:p>
        </w:tc>
        <w:tc>
          <w:tcPr>
            <w:tcW w:w="0" w:type="auto"/>
            <w:shd w:val="clear" w:color="auto" w:fill="FFFFFF"/>
            <w:tcMar>
              <w:top w:w="40" w:type="dxa"/>
              <w:left w:w="0" w:type="dxa"/>
              <w:bottom w:w="40" w:type="dxa"/>
              <w:right w:w="20" w:type="dxa"/>
            </w:tcMar>
            <w:vAlign w:val="bottom"/>
          </w:tcPr>
          <w:p w14:paraId="00BAD0ED" w14:textId="77777777" w:rsidR="00871BDF" w:rsidRDefault="00871BDF">
            <w:pPr>
              <w:jc w:val="right"/>
              <w:rPr>
                <w:rFonts w:ascii="宋体"/>
              </w:rPr>
            </w:pPr>
          </w:p>
        </w:tc>
        <w:tc>
          <w:tcPr>
            <w:tcW w:w="0" w:type="auto"/>
            <w:shd w:val="clear" w:color="auto" w:fill="auto"/>
          </w:tcPr>
          <w:p w14:paraId="00BAD0EE" w14:textId="77777777" w:rsidR="00871BDF" w:rsidRDefault="00871BDF">
            <w:pPr>
              <w:rPr>
                <w:rFonts w:ascii="宋体"/>
              </w:rPr>
            </w:pPr>
          </w:p>
        </w:tc>
        <w:tc>
          <w:tcPr>
            <w:tcW w:w="0" w:type="auto"/>
            <w:shd w:val="clear" w:color="auto" w:fill="auto"/>
          </w:tcPr>
          <w:p w14:paraId="00BAD0EF" w14:textId="77777777" w:rsidR="00871BDF" w:rsidRDefault="00871BDF">
            <w:pPr>
              <w:rPr>
                <w:rFonts w:ascii="宋体"/>
              </w:rPr>
            </w:pPr>
          </w:p>
        </w:tc>
        <w:tc>
          <w:tcPr>
            <w:tcW w:w="0" w:type="auto"/>
            <w:shd w:val="clear" w:color="auto" w:fill="auto"/>
          </w:tcPr>
          <w:p w14:paraId="00BAD0F0" w14:textId="77777777" w:rsidR="00871BDF" w:rsidRDefault="00871BDF">
            <w:pPr>
              <w:rPr>
                <w:rFonts w:ascii="宋体"/>
              </w:rPr>
            </w:pPr>
          </w:p>
        </w:tc>
        <w:tc>
          <w:tcPr>
            <w:tcW w:w="0" w:type="auto"/>
            <w:shd w:val="clear" w:color="auto" w:fill="auto"/>
          </w:tcPr>
          <w:p w14:paraId="00BAD0F1" w14:textId="77777777" w:rsidR="00871BDF" w:rsidRDefault="00871BDF">
            <w:pPr>
              <w:rPr>
                <w:rFonts w:ascii="宋体"/>
              </w:rPr>
            </w:pPr>
          </w:p>
        </w:tc>
        <w:tc>
          <w:tcPr>
            <w:tcW w:w="0" w:type="auto"/>
            <w:shd w:val="clear" w:color="auto" w:fill="auto"/>
          </w:tcPr>
          <w:p w14:paraId="00BAD0F2" w14:textId="77777777" w:rsidR="00871BDF" w:rsidRDefault="00871BDF">
            <w:pPr>
              <w:rPr>
                <w:rFonts w:ascii="宋体"/>
              </w:rPr>
            </w:pPr>
          </w:p>
        </w:tc>
        <w:tc>
          <w:tcPr>
            <w:tcW w:w="0" w:type="auto"/>
            <w:shd w:val="clear" w:color="auto" w:fill="auto"/>
          </w:tcPr>
          <w:p w14:paraId="00BAD0F3" w14:textId="77777777" w:rsidR="00871BDF" w:rsidRDefault="00871BDF">
            <w:pPr>
              <w:rPr>
                <w:rFonts w:ascii="宋体"/>
              </w:rPr>
            </w:pPr>
          </w:p>
        </w:tc>
        <w:tc>
          <w:tcPr>
            <w:tcW w:w="0" w:type="auto"/>
            <w:shd w:val="clear" w:color="auto" w:fill="auto"/>
          </w:tcPr>
          <w:p w14:paraId="00BAD0F4" w14:textId="77777777" w:rsidR="00871BDF" w:rsidRDefault="00871BDF">
            <w:pPr>
              <w:rPr>
                <w:rFonts w:ascii="宋体"/>
              </w:rPr>
            </w:pPr>
          </w:p>
        </w:tc>
        <w:tc>
          <w:tcPr>
            <w:tcW w:w="0" w:type="auto"/>
            <w:shd w:val="clear" w:color="auto" w:fill="auto"/>
          </w:tcPr>
          <w:p w14:paraId="00BAD0F5" w14:textId="77777777" w:rsidR="00871BDF" w:rsidRDefault="00871BDF">
            <w:pPr>
              <w:rPr>
                <w:rFonts w:ascii="宋体"/>
              </w:rPr>
            </w:pPr>
          </w:p>
        </w:tc>
        <w:tc>
          <w:tcPr>
            <w:tcW w:w="0" w:type="auto"/>
            <w:shd w:val="clear" w:color="auto" w:fill="auto"/>
          </w:tcPr>
          <w:p w14:paraId="00BAD0F6" w14:textId="77777777" w:rsidR="00871BDF" w:rsidRDefault="00871BDF">
            <w:pPr>
              <w:rPr>
                <w:rFonts w:ascii="宋体"/>
              </w:rPr>
            </w:pPr>
          </w:p>
        </w:tc>
        <w:tc>
          <w:tcPr>
            <w:tcW w:w="0" w:type="auto"/>
            <w:shd w:val="clear" w:color="auto" w:fill="auto"/>
          </w:tcPr>
          <w:p w14:paraId="00BAD0F7" w14:textId="77777777" w:rsidR="00871BDF" w:rsidRDefault="00871BDF">
            <w:pPr>
              <w:rPr>
                <w:rFonts w:ascii="宋体"/>
              </w:rPr>
            </w:pPr>
          </w:p>
        </w:tc>
        <w:tc>
          <w:tcPr>
            <w:tcW w:w="0" w:type="auto"/>
            <w:shd w:val="clear" w:color="auto" w:fill="auto"/>
          </w:tcPr>
          <w:p w14:paraId="00BAD0F8" w14:textId="77777777" w:rsidR="00871BDF" w:rsidRDefault="00871BDF">
            <w:pPr>
              <w:rPr>
                <w:rFonts w:ascii="宋体"/>
              </w:rPr>
            </w:pPr>
          </w:p>
        </w:tc>
        <w:tc>
          <w:tcPr>
            <w:tcW w:w="0" w:type="auto"/>
            <w:shd w:val="clear" w:color="auto" w:fill="auto"/>
          </w:tcPr>
          <w:p w14:paraId="00BAD0F9" w14:textId="77777777" w:rsidR="00871BDF" w:rsidRDefault="00871BDF">
            <w:pPr>
              <w:rPr>
                <w:rFonts w:ascii="宋体"/>
              </w:rPr>
            </w:pPr>
          </w:p>
        </w:tc>
        <w:tc>
          <w:tcPr>
            <w:tcW w:w="0" w:type="auto"/>
            <w:shd w:val="clear" w:color="auto" w:fill="auto"/>
          </w:tcPr>
          <w:p w14:paraId="00BAD0FA" w14:textId="77777777" w:rsidR="00871BDF" w:rsidRDefault="00871BDF">
            <w:pPr>
              <w:rPr>
                <w:rFonts w:ascii="宋体"/>
              </w:rPr>
            </w:pPr>
          </w:p>
        </w:tc>
        <w:tc>
          <w:tcPr>
            <w:tcW w:w="0" w:type="auto"/>
            <w:shd w:val="clear" w:color="auto" w:fill="auto"/>
          </w:tcPr>
          <w:p w14:paraId="00BAD0FB" w14:textId="77777777" w:rsidR="00871BDF" w:rsidRDefault="00871BDF">
            <w:pPr>
              <w:rPr>
                <w:rFonts w:ascii="宋体"/>
              </w:rPr>
            </w:pPr>
          </w:p>
        </w:tc>
        <w:tc>
          <w:tcPr>
            <w:tcW w:w="0" w:type="auto"/>
            <w:shd w:val="clear" w:color="auto" w:fill="auto"/>
          </w:tcPr>
          <w:p w14:paraId="00BAD0FC" w14:textId="77777777" w:rsidR="00871BDF" w:rsidRDefault="00871BDF">
            <w:pPr>
              <w:rPr>
                <w:rFonts w:ascii="宋体"/>
              </w:rPr>
            </w:pPr>
          </w:p>
        </w:tc>
        <w:tc>
          <w:tcPr>
            <w:tcW w:w="0" w:type="auto"/>
            <w:shd w:val="clear" w:color="auto" w:fill="auto"/>
          </w:tcPr>
          <w:p w14:paraId="00BAD0FD" w14:textId="77777777" w:rsidR="00871BDF" w:rsidRDefault="00871BDF">
            <w:pPr>
              <w:rPr>
                <w:rFonts w:ascii="宋体"/>
              </w:rPr>
            </w:pPr>
          </w:p>
        </w:tc>
        <w:tc>
          <w:tcPr>
            <w:tcW w:w="0" w:type="auto"/>
            <w:shd w:val="clear" w:color="auto" w:fill="auto"/>
          </w:tcPr>
          <w:p w14:paraId="00BAD0FE" w14:textId="77777777" w:rsidR="00871BDF" w:rsidRDefault="00871BDF">
            <w:pPr>
              <w:rPr>
                <w:rFonts w:ascii="宋体"/>
              </w:rPr>
            </w:pPr>
          </w:p>
        </w:tc>
        <w:tc>
          <w:tcPr>
            <w:tcW w:w="0" w:type="auto"/>
            <w:shd w:val="clear" w:color="auto" w:fill="auto"/>
          </w:tcPr>
          <w:p w14:paraId="00BAD0FF" w14:textId="77777777" w:rsidR="00871BDF" w:rsidRDefault="00871BDF">
            <w:pPr>
              <w:rPr>
                <w:rFonts w:ascii="宋体"/>
              </w:rPr>
            </w:pPr>
          </w:p>
        </w:tc>
        <w:tc>
          <w:tcPr>
            <w:tcW w:w="0" w:type="auto"/>
            <w:shd w:val="clear" w:color="auto" w:fill="auto"/>
          </w:tcPr>
          <w:p w14:paraId="00BAD100" w14:textId="77777777" w:rsidR="00871BDF" w:rsidRDefault="00871BDF">
            <w:pPr>
              <w:rPr>
                <w:rFonts w:ascii="宋体"/>
              </w:rPr>
            </w:pPr>
          </w:p>
        </w:tc>
        <w:tc>
          <w:tcPr>
            <w:tcW w:w="0" w:type="auto"/>
            <w:shd w:val="clear" w:color="auto" w:fill="auto"/>
          </w:tcPr>
          <w:p w14:paraId="00BAD101" w14:textId="77777777" w:rsidR="00871BDF" w:rsidRDefault="00871BDF">
            <w:pPr>
              <w:rPr>
                <w:rFonts w:ascii="宋体"/>
              </w:rPr>
            </w:pPr>
          </w:p>
        </w:tc>
        <w:tc>
          <w:tcPr>
            <w:tcW w:w="0" w:type="auto"/>
            <w:shd w:val="clear" w:color="auto" w:fill="auto"/>
          </w:tcPr>
          <w:p w14:paraId="00BAD102" w14:textId="77777777" w:rsidR="00871BDF" w:rsidRDefault="00871BDF">
            <w:pPr>
              <w:rPr>
                <w:rFonts w:ascii="宋体"/>
              </w:rPr>
            </w:pPr>
          </w:p>
        </w:tc>
        <w:tc>
          <w:tcPr>
            <w:tcW w:w="0" w:type="auto"/>
            <w:shd w:val="clear" w:color="auto" w:fill="auto"/>
          </w:tcPr>
          <w:p w14:paraId="00BAD103" w14:textId="77777777" w:rsidR="00871BDF" w:rsidRDefault="00871BDF">
            <w:pPr>
              <w:rPr>
                <w:rFonts w:ascii="宋体"/>
              </w:rPr>
            </w:pPr>
          </w:p>
        </w:tc>
        <w:tc>
          <w:tcPr>
            <w:tcW w:w="0" w:type="auto"/>
            <w:shd w:val="clear" w:color="auto" w:fill="auto"/>
          </w:tcPr>
          <w:p w14:paraId="00BAD104" w14:textId="77777777" w:rsidR="00871BDF" w:rsidRDefault="00871BDF">
            <w:pPr>
              <w:rPr>
                <w:rFonts w:ascii="宋体"/>
              </w:rPr>
            </w:pPr>
          </w:p>
        </w:tc>
        <w:tc>
          <w:tcPr>
            <w:tcW w:w="0" w:type="auto"/>
            <w:shd w:val="clear" w:color="auto" w:fill="auto"/>
          </w:tcPr>
          <w:p w14:paraId="00BAD105" w14:textId="77777777" w:rsidR="00871BDF" w:rsidRDefault="00871BDF">
            <w:pPr>
              <w:rPr>
                <w:rFonts w:ascii="宋体"/>
              </w:rPr>
            </w:pPr>
          </w:p>
        </w:tc>
        <w:tc>
          <w:tcPr>
            <w:tcW w:w="0" w:type="auto"/>
            <w:shd w:val="clear" w:color="auto" w:fill="auto"/>
          </w:tcPr>
          <w:p w14:paraId="00BAD106" w14:textId="77777777" w:rsidR="00871BDF" w:rsidRDefault="00871BDF">
            <w:pPr>
              <w:rPr>
                <w:rFonts w:ascii="宋体"/>
              </w:rPr>
            </w:pPr>
          </w:p>
        </w:tc>
        <w:tc>
          <w:tcPr>
            <w:tcW w:w="0" w:type="auto"/>
            <w:shd w:val="clear" w:color="auto" w:fill="auto"/>
          </w:tcPr>
          <w:p w14:paraId="00BAD107" w14:textId="77777777" w:rsidR="00871BDF" w:rsidRDefault="00871BDF">
            <w:pPr>
              <w:rPr>
                <w:rFonts w:ascii="宋体"/>
              </w:rPr>
            </w:pPr>
          </w:p>
        </w:tc>
        <w:tc>
          <w:tcPr>
            <w:tcW w:w="0" w:type="auto"/>
            <w:shd w:val="clear" w:color="auto" w:fill="auto"/>
          </w:tcPr>
          <w:p w14:paraId="00BAD108" w14:textId="77777777" w:rsidR="00871BDF" w:rsidRDefault="00871BDF">
            <w:pPr>
              <w:rPr>
                <w:rFonts w:ascii="宋体"/>
              </w:rPr>
            </w:pPr>
          </w:p>
        </w:tc>
        <w:tc>
          <w:tcPr>
            <w:tcW w:w="0" w:type="auto"/>
            <w:shd w:val="clear" w:color="auto" w:fill="auto"/>
          </w:tcPr>
          <w:p w14:paraId="00BAD109" w14:textId="77777777" w:rsidR="00871BDF" w:rsidRDefault="00871BDF">
            <w:pPr>
              <w:rPr>
                <w:rFonts w:ascii="宋体"/>
              </w:rPr>
            </w:pPr>
          </w:p>
        </w:tc>
        <w:tc>
          <w:tcPr>
            <w:tcW w:w="0" w:type="auto"/>
            <w:shd w:val="clear" w:color="auto" w:fill="auto"/>
          </w:tcPr>
          <w:p w14:paraId="00BAD10A" w14:textId="77777777" w:rsidR="00871BDF" w:rsidRDefault="00871BDF">
            <w:pPr>
              <w:rPr>
                <w:rFonts w:ascii="宋体"/>
              </w:rPr>
            </w:pPr>
          </w:p>
        </w:tc>
        <w:tc>
          <w:tcPr>
            <w:tcW w:w="0" w:type="auto"/>
            <w:shd w:val="clear" w:color="auto" w:fill="auto"/>
          </w:tcPr>
          <w:p w14:paraId="00BAD10B" w14:textId="77777777" w:rsidR="00871BDF" w:rsidRDefault="00871BDF">
            <w:pPr>
              <w:rPr>
                <w:rFonts w:ascii="宋体"/>
              </w:rPr>
            </w:pPr>
          </w:p>
        </w:tc>
      </w:tr>
      <w:tr w:rsidR="00871BDF" w14:paraId="00BAD135" w14:textId="77777777">
        <w:trPr>
          <w:jc w:val="center"/>
        </w:trPr>
        <w:tc>
          <w:tcPr>
            <w:tcW w:w="0" w:type="auto"/>
            <w:gridSpan w:val="3"/>
            <w:shd w:val="clear" w:color="auto" w:fill="D7E4BC"/>
            <w:tcMar>
              <w:top w:w="40" w:type="dxa"/>
              <w:left w:w="20" w:type="dxa"/>
              <w:bottom w:w="40" w:type="dxa"/>
              <w:right w:w="20" w:type="dxa"/>
            </w:tcMar>
            <w:vAlign w:val="bottom"/>
          </w:tcPr>
          <w:p w14:paraId="00BAD10D" w14:textId="77777777" w:rsidR="00871BDF" w:rsidRDefault="005C5088">
            <w:pPr>
              <w:textAlignment w:val="bottom"/>
            </w:pPr>
            <w:r>
              <w:rPr>
                <w:rFonts w:ascii="Times New Roman" w:eastAsia="宋体" w:hAnsi="Times New Roman"/>
                <w:b/>
                <w:bCs/>
                <w:color w:val="000000"/>
                <w:sz w:val="20"/>
                <w:szCs w:val="20"/>
              </w:rPr>
              <w:t>Balan</w:t>
            </w:r>
            <w:r>
              <w:rPr>
                <w:rFonts w:ascii="Times New Roman" w:eastAsia="宋体" w:hAnsi="Times New Roman"/>
                <w:b/>
                <w:bCs/>
                <w:color w:val="000000"/>
                <w:sz w:val="20"/>
                <w:szCs w:val="20"/>
              </w:rPr>
              <w:t>ce Sheet</w:t>
            </w:r>
          </w:p>
        </w:tc>
        <w:tc>
          <w:tcPr>
            <w:tcW w:w="0" w:type="auto"/>
            <w:gridSpan w:val="3"/>
            <w:shd w:val="clear" w:color="auto" w:fill="D7E4BC"/>
            <w:tcMar>
              <w:top w:w="0" w:type="dxa"/>
              <w:left w:w="20" w:type="dxa"/>
              <w:bottom w:w="0" w:type="dxa"/>
              <w:right w:w="20" w:type="dxa"/>
            </w:tcMar>
          </w:tcPr>
          <w:p w14:paraId="00BAD10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10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11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11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11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11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11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11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116" w14:textId="77777777" w:rsidR="00871BDF" w:rsidRDefault="00871BDF">
            <w:pPr>
              <w:rPr>
                <w:rFonts w:ascii="宋体"/>
              </w:rPr>
            </w:pPr>
          </w:p>
        </w:tc>
        <w:tc>
          <w:tcPr>
            <w:tcW w:w="0" w:type="auto"/>
            <w:shd w:val="clear" w:color="auto" w:fill="auto"/>
          </w:tcPr>
          <w:p w14:paraId="00BAD117" w14:textId="77777777" w:rsidR="00871BDF" w:rsidRDefault="00871BDF">
            <w:pPr>
              <w:rPr>
                <w:rFonts w:ascii="宋体"/>
              </w:rPr>
            </w:pPr>
          </w:p>
        </w:tc>
        <w:tc>
          <w:tcPr>
            <w:tcW w:w="0" w:type="auto"/>
            <w:shd w:val="clear" w:color="auto" w:fill="auto"/>
          </w:tcPr>
          <w:p w14:paraId="00BAD118" w14:textId="77777777" w:rsidR="00871BDF" w:rsidRDefault="00871BDF">
            <w:pPr>
              <w:rPr>
                <w:rFonts w:ascii="宋体"/>
              </w:rPr>
            </w:pPr>
          </w:p>
        </w:tc>
        <w:tc>
          <w:tcPr>
            <w:tcW w:w="0" w:type="auto"/>
            <w:shd w:val="clear" w:color="auto" w:fill="auto"/>
          </w:tcPr>
          <w:p w14:paraId="00BAD119" w14:textId="77777777" w:rsidR="00871BDF" w:rsidRDefault="00871BDF">
            <w:pPr>
              <w:rPr>
                <w:rFonts w:ascii="宋体"/>
              </w:rPr>
            </w:pPr>
          </w:p>
        </w:tc>
        <w:tc>
          <w:tcPr>
            <w:tcW w:w="0" w:type="auto"/>
            <w:shd w:val="clear" w:color="auto" w:fill="auto"/>
          </w:tcPr>
          <w:p w14:paraId="00BAD11A" w14:textId="77777777" w:rsidR="00871BDF" w:rsidRDefault="00871BDF">
            <w:pPr>
              <w:rPr>
                <w:rFonts w:ascii="宋体"/>
              </w:rPr>
            </w:pPr>
          </w:p>
        </w:tc>
        <w:tc>
          <w:tcPr>
            <w:tcW w:w="0" w:type="auto"/>
            <w:shd w:val="clear" w:color="auto" w:fill="auto"/>
          </w:tcPr>
          <w:p w14:paraId="00BAD11B" w14:textId="77777777" w:rsidR="00871BDF" w:rsidRDefault="00871BDF">
            <w:pPr>
              <w:rPr>
                <w:rFonts w:ascii="宋体"/>
              </w:rPr>
            </w:pPr>
          </w:p>
        </w:tc>
        <w:tc>
          <w:tcPr>
            <w:tcW w:w="0" w:type="auto"/>
            <w:shd w:val="clear" w:color="auto" w:fill="auto"/>
          </w:tcPr>
          <w:p w14:paraId="00BAD11C" w14:textId="77777777" w:rsidR="00871BDF" w:rsidRDefault="00871BDF">
            <w:pPr>
              <w:rPr>
                <w:rFonts w:ascii="宋体"/>
              </w:rPr>
            </w:pPr>
          </w:p>
        </w:tc>
        <w:tc>
          <w:tcPr>
            <w:tcW w:w="0" w:type="auto"/>
            <w:shd w:val="clear" w:color="auto" w:fill="auto"/>
          </w:tcPr>
          <w:p w14:paraId="00BAD11D" w14:textId="77777777" w:rsidR="00871BDF" w:rsidRDefault="00871BDF">
            <w:pPr>
              <w:rPr>
                <w:rFonts w:ascii="宋体"/>
              </w:rPr>
            </w:pPr>
          </w:p>
        </w:tc>
        <w:tc>
          <w:tcPr>
            <w:tcW w:w="0" w:type="auto"/>
            <w:shd w:val="clear" w:color="auto" w:fill="auto"/>
          </w:tcPr>
          <w:p w14:paraId="00BAD11E" w14:textId="77777777" w:rsidR="00871BDF" w:rsidRDefault="00871BDF">
            <w:pPr>
              <w:rPr>
                <w:rFonts w:ascii="宋体"/>
              </w:rPr>
            </w:pPr>
          </w:p>
        </w:tc>
        <w:tc>
          <w:tcPr>
            <w:tcW w:w="0" w:type="auto"/>
            <w:shd w:val="clear" w:color="auto" w:fill="auto"/>
          </w:tcPr>
          <w:p w14:paraId="00BAD11F" w14:textId="77777777" w:rsidR="00871BDF" w:rsidRDefault="00871BDF">
            <w:pPr>
              <w:rPr>
                <w:rFonts w:ascii="宋体"/>
              </w:rPr>
            </w:pPr>
          </w:p>
        </w:tc>
        <w:tc>
          <w:tcPr>
            <w:tcW w:w="0" w:type="auto"/>
            <w:shd w:val="clear" w:color="auto" w:fill="auto"/>
          </w:tcPr>
          <w:p w14:paraId="00BAD120" w14:textId="77777777" w:rsidR="00871BDF" w:rsidRDefault="00871BDF">
            <w:pPr>
              <w:rPr>
                <w:rFonts w:ascii="宋体"/>
              </w:rPr>
            </w:pPr>
          </w:p>
        </w:tc>
        <w:tc>
          <w:tcPr>
            <w:tcW w:w="0" w:type="auto"/>
            <w:shd w:val="clear" w:color="auto" w:fill="auto"/>
          </w:tcPr>
          <w:p w14:paraId="00BAD121" w14:textId="77777777" w:rsidR="00871BDF" w:rsidRDefault="00871BDF">
            <w:pPr>
              <w:rPr>
                <w:rFonts w:ascii="宋体"/>
              </w:rPr>
            </w:pPr>
          </w:p>
        </w:tc>
        <w:tc>
          <w:tcPr>
            <w:tcW w:w="0" w:type="auto"/>
            <w:shd w:val="clear" w:color="auto" w:fill="auto"/>
          </w:tcPr>
          <w:p w14:paraId="00BAD122" w14:textId="77777777" w:rsidR="00871BDF" w:rsidRDefault="00871BDF">
            <w:pPr>
              <w:rPr>
                <w:rFonts w:ascii="宋体"/>
              </w:rPr>
            </w:pPr>
          </w:p>
        </w:tc>
        <w:tc>
          <w:tcPr>
            <w:tcW w:w="0" w:type="auto"/>
            <w:shd w:val="clear" w:color="auto" w:fill="auto"/>
          </w:tcPr>
          <w:p w14:paraId="00BAD123" w14:textId="77777777" w:rsidR="00871BDF" w:rsidRDefault="00871BDF">
            <w:pPr>
              <w:rPr>
                <w:rFonts w:ascii="宋体"/>
              </w:rPr>
            </w:pPr>
          </w:p>
        </w:tc>
        <w:tc>
          <w:tcPr>
            <w:tcW w:w="0" w:type="auto"/>
            <w:shd w:val="clear" w:color="auto" w:fill="auto"/>
          </w:tcPr>
          <w:p w14:paraId="00BAD124" w14:textId="77777777" w:rsidR="00871BDF" w:rsidRDefault="00871BDF">
            <w:pPr>
              <w:rPr>
                <w:rFonts w:ascii="宋体"/>
              </w:rPr>
            </w:pPr>
          </w:p>
        </w:tc>
        <w:tc>
          <w:tcPr>
            <w:tcW w:w="0" w:type="auto"/>
            <w:shd w:val="clear" w:color="auto" w:fill="auto"/>
          </w:tcPr>
          <w:p w14:paraId="00BAD125" w14:textId="77777777" w:rsidR="00871BDF" w:rsidRDefault="00871BDF">
            <w:pPr>
              <w:rPr>
                <w:rFonts w:ascii="宋体"/>
              </w:rPr>
            </w:pPr>
          </w:p>
        </w:tc>
        <w:tc>
          <w:tcPr>
            <w:tcW w:w="0" w:type="auto"/>
            <w:shd w:val="clear" w:color="auto" w:fill="auto"/>
          </w:tcPr>
          <w:p w14:paraId="00BAD126" w14:textId="77777777" w:rsidR="00871BDF" w:rsidRDefault="00871BDF">
            <w:pPr>
              <w:rPr>
                <w:rFonts w:ascii="宋体"/>
              </w:rPr>
            </w:pPr>
          </w:p>
        </w:tc>
        <w:tc>
          <w:tcPr>
            <w:tcW w:w="0" w:type="auto"/>
            <w:shd w:val="clear" w:color="auto" w:fill="auto"/>
          </w:tcPr>
          <w:p w14:paraId="00BAD127" w14:textId="77777777" w:rsidR="00871BDF" w:rsidRDefault="00871BDF">
            <w:pPr>
              <w:rPr>
                <w:rFonts w:ascii="宋体"/>
              </w:rPr>
            </w:pPr>
          </w:p>
        </w:tc>
        <w:tc>
          <w:tcPr>
            <w:tcW w:w="0" w:type="auto"/>
            <w:shd w:val="clear" w:color="auto" w:fill="auto"/>
          </w:tcPr>
          <w:p w14:paraId="00BAD128" w14:textId="77777777" w:rsidR="00871BDF" w:rsidRDefault="00871BDF">
            <w:pPr>
              <w:rPr>
                <w:rFonts w:ascii="宋体"/>
              </w:rPr>
            </w:pPr>
          </w:p>
        </w:tc>
        <w:tc>
          <w:tcPr>
            <w:tcW w:w="0" w:type="auto"/>
            <w:shd w:val="clear" w:color="auto" w:fill="auto"/>
          </w:tcPr>
          <w:p w14:paraId="00BAD129" w14:textId="77777777" w:rsidR="00871BDF" w:rsidRDefault="00871BDF">
            <w:pPr>
              <w:rPr>
                <w:rFonts w:ascii="宋体"/>
              </w:rPr>
            </w:pPr>
          </w:p>
        </w:tc>
        <w:tc>
          <w:tcPr>
            <w:tcW w:w="0" w:type="auto"/>
            <w:shd w:val="clear" w:color="auto" w:fill="auto"/>
          </w:tcPr>
          <w:p w14:paraId="00BAD12A" w14:textId="77777777" w:rsidR="00871BDF" w:rsidRDefault="00871BDF">
            <w:pPr>
              <w:rPr>
                <w:rFonts w:ascii="宋体"/>
              </w:rPr>
            </w:pPr>
          </w:p>
        </w:tc>
        <w:tc>
          <w:tcPr>
            <w:tcW w:w="0" w:type="auto"/>
            <w:shd w:val="clear" w:color="auto" w:fill="auto"/>
          </w:tcPr>
          <w:p w14:paraId="00BAD12B" w14:textId="77777777" w:rsidR="00871BDF" w:rsidRDefault="00871BDF">
            <w:pPr>
              <w:rPr>
                <w:rFonts w:ascii="宋体"/>
              </w:rPr>
            </w:pPr>
          </w:p>
        </w:tc>
        <w:tc>
          <w:tcPr>
            <w:tcW w:w="0" w:type="auto"/>
            <w:shd w:val="clear" w:color="auto" w:fill="auto"/>
          </w:tcPr>
          <w:p w14:paraId="00BAD12C" w14:textId="77777777" w:rsidR="00871BDF" w:rsidRDefault="00871BDF">
            <w:pPr>
              <w:rPr>
                <w:rFonts w:ascii="宋体"/>
              </w:rPr>
            </w:pPr>
          </w:p>
        </w:tc>
        <w:tc>
          <w:tcPr>
            <w:tcW w:w="0" w:type="auto"/>
            <w:shd w:val="clear" w:color="auto" w:fill="auto"/>
          </w:tcPr>
          <w:p w14:paraId="00BAD12D" w14:textId="77777777" w:rsidR="00871BDF" w:rsidRDefault="00871BDF">
            <w:pPr>
              <w:rPr>
                <w:rFonts w:ascii="宋体"/>
              </w:rPr>
            </w:pPr>
          </w:p>
        </w:tc>
        <w:tc>
          <w:tcPr>
            <w:tcW w:w="0" w:type="auto"/>
            <w:shd w:val="clear" w:color="auto" w:fill="auto"/>
          </w:tcPr>
          <w:p w14:paraId="00BAD12E" w14:textId="77777777" w:rsidR="00871BDF" w:rsidRDefault="00871BDF">
            <w:pPr>
              <w:rPr>
                <w:rFonts w:ascii="宋体"/>
              </w:rPr>
            </w:pPr>
          </w:p>
        </w:tc>
        <w:tc>
          <w:tcPr>
            <w:tcW w:w="0" w:type="auto"/>
            <w:shd w:val="clear" w:color="auto" w:fill="auto"/>
          </w:tcPr>
          <w:p w14:paraId="00BAD12F" w14:textId="77777777" w:rsidR="00871BDF" w:rsidRDefault="00871BDF">
            <w:pPr>
              <w:rPr>
                <w:rFonts w:ascii="宋体"/>
              </w:rPr>
            </w:pPr>
          </w:p>
        </w:tc>
        <w:tc>
          <w:tcPr>
            <w:tcW w:w="0" w:type="auto"/>
            <w:shd w:val="clear" w:color="auto" w:fill="auto"/>
          </w:tcPr>
          <w:p w14:paraId="00BAD130" w14:textId="77777777" w:rsidR="00871BDF" w:rsidRDefault="00871BDF">
            <w:pPr>
              <w:rPr>
                <w:rFonts w:ascii="宋体"/>
              </w:rPr>
            </w:pPr>
          </w:p>
        </w:tc>
        <w:tc>
          <w:tcPr>
            <w:tcW w:w="0" w:type="auto"/>
            <w:shd w:val="clear" w:color="auto" w:fill="auto"/>
          </w:tcPr>
          <w:p w14:paraId="00BAD131" w14:textId="77777777" w:rsidR="00871BDF" w:rsidRDefault="00871BDF">
            <w:pPr>
              <w:rPr>
                <w:rFonts w:ascii="宋体"/>
              </w:rPr>
            </w:pPr>
          </w:p>
        </w:tc>
        <w:tc>
          <w:tcPr>
            <w:tcW w:w="0" w:type="auto"/>
            <w:shd w:val="clear" w:color="auto" w:fill="auto"/>
          </w:tcPr>
          <w:p w14:paraId="00BAD132" w14:textId="77777777" w:rsidR="00871BDF" w:rsidRDefault="00871BDF">
            <w:pPr>
              <w:rPr>
                <w:rFonts w:ascii="宋体"/>
              </w:rPr>
            </w:pPr>
          </w:p>
        </w:tc>
        <w:tc>
          <w:tcPr>
            <w:tcW w:w="0" w:type="auto"/>
            <w:shd w:val="clear" w:color="auto" w:fill="auto"/>
          </w:tcPr>
          <w:p w14:paraId="00BAD133" w14:textId="77777777" w:rsidR="00871BDF" w:rsidRDefault="00871BDF">
            <w:pPr>
              <w:rPr>
                <w:rFonts w:ascii="宋体"/>
              </w:rPr>
            </w:pPr>
          </w:p>
        </w:tc>
        <w:tc>
          <w:tcPr>
            <w:tcW w:w="0" w:type="auto"/>
            <w:shd w:val="clear" w:color="auto" w:fill="auto"/>
          </w:tcPr>
          <w:p w14:paraId="00BAD134" w14:textId="77777777" w:rsidR="00871BDF" w:rsidRDefault="00871BDF">
            <w:pPr>
              <w:rPr>
                <w:rFonts w:ascii="宋体"/>
              </w:rPr>
            </w:pPr>
          </w:p>
        </w:tc>
      </w:tr>
      <w:tr w:rsidR="00871BDF" w14:paraId="00BAD168" w14:textId="77777777">
        <w:trPr>
          <w:jc w:val="center"/>
        </w:trPr>
        <w:tc>
          <w:tcPr>
            <w:tcW w:w="0" w:type="auto"/>
            <w:gridSpan w:val="3"/>
            <w:shd w:val="clear" w:color="auto" w:fill="FFFFFF"/>
            <w:tcMar>
              <w:top w:w="40" w:type="dxa"/>
              <w:left w:w="20" w:type="dxa"/>
              <w:bottom w:w="40" w:type="dxa"/>
              <w:right w:w="20" w:type="dxa"/>
            </w:tcMar>
            <w:vAlign w:val="bottom"/>
          </w:tcPr>
          <w:p w14:paraId="00BAD136" w14:textId="77777777" w:rsidR="00871BDF" w:rsidRDefault="005C5088">
            <w:pPr>
              <w:textAlignment w:val="bottom"/>
            </w:pPr>
            <w:r>
              <w:rPr>
                <w:rFonts w:ascii="Times New Roman" w:eastAsia="宋体" w:hAnsi="Times New Roman"/>
                <w:color w:val="000000"/>
                <w:sz w:val="20"/>
                <w:szCs w:val="20"/>
              </w:rPr>
              <w:t>Total assets</w:t>
            </w:r>
          </w:p>
        </w:tc>
        <w:tc>
          <w:tcPr>
            <w:tcW w:w="0" w:type="auto"/>
            <w:shd w:val="clear" w:color="auto" w:fill="FFFFFF"/>
            <w:tcMar>
              <w:top w:w="40" w:type="dxa"/>
              <w:left w:w="20" w:type="dxa"/>
              <w:bottom w:w="40" w:type="dxa"/>
              <w:right w:w="0" w:type="dxa"/>
            </w:tcMar>
            <w:vAlign w:val="bottom"/>
          </w:tcPr>
          <w:p w14:paraId="00BAD13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138" w14:textId="77777777" w:rsidR="00871BDF" w:rsidRDefault="005C5088">
            <w:pPr>
              <w:jc w:val="right"/>
              <w:textAlignment w:val="bottom"/>
            </w:pPr>
            <w:r>
              <w:rPr>
                <w:rFonts w:ascii="Times New Roman" w:eastAsia="宋体" w:hAnsi="Times New Roman"/>
                <w:color w:val="000000"/>
                <w:sz w:val="20"/>
                <w:szCs w:val="20"/>
              </w:rPr>
              <w:t>29,374.5 </w:t>
            </w:r>
          </w:p>
        </w:tc>
        <w:tc>
          <w:tcPr>
            <w:tcW w:w="0" w:type="auto"/>
            <w:shd w:val="clear" w:color="auto" w:fill="FFFFFF"/>
            <w:tcMar>
              <w:top w:w="40" w:type="dxa"/>
              <w:left w:w="0" w:type="dxa"/>
              <w:bottom w:w="40" w:type="dxa"/>
              <w:right w:w="20" w:type="dxa"/>
            </w:tcMar>
            <w:vAlign w:val="bottom"/>
          </w:tcPr>
          <w:p w14:paraId="00BAD13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13A"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D13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13C" w14:textId="77777777" w:rsidR="00871BDF" w:rsidRDefault="005C5088">
            <w:pPr>
              <w:jc w:val="right"/>
              <w:textAlignment w:val="bottom"/>
            </w:pPr>
            <w:r>
              <w:rPr>
                <w:rFonts w:ascii="Times New Roman" w:eastAsia="宋体" w:hAnsi="Times New Roman"/>
                <w:color w:val="000000"/>
                <w:sz w:val="20"/>
                <w:szCs w:val="20"/>
              </w:rPr>
              <w:t>19,219.6 </w:t>
            </w:r>
          </w:p>
        </w:tc>
        <w:tc>
          <w:tcPr>
            <w:tcW w:w="0" w:type="auto"/>
            <w:shd w:val="clear" w:color="auto" w:fill="FFFFFF"/>
            <w:tcMar>
              <w:top w:w="40" w:type="dxa"/>
              <w:left w:w="0" w:type="dxa"/>
              <w:bottom w:w="40" w:type="dxa"/>
              <w:right w:w="20" w:type="dxa"/>
            </w:tcMar>
            <w:vAlign w:val="bottom"/>
          </w:tcPr>
          <w:p w14:paraId="00BAD13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13E"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D13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140" w14:textId="77777777" w:rsidR="00871BDF" w:rsidRDefault="005C5088">
            <w:pPr>
              <w:jc w:val="right"/>
              <w:textAlignment w:val="bottom"/>
            </w:pPr>
            <w:r>
              <w:rPr>
                <w:rFonts w:ascii="Times New Roman" w:eastAsia="宋体" w:hAnsi="Times New Roman"/>
                <w:color w:val="000000"/>
                <w:sz w:val="20"/>
                <w:szCs w:val="20"/>
              </w:rPr>
              <w:t>24,156.4 </w:t>
            </w:r>
          </w:p>
        </w:tc>
        <w:tc>
          <w:tcPr>
            <w:tcW w:w="0" w:type="auto"/>
            <w:shd w:val="clear" w:color="auto" w:fill="FFFFFF"/>
            <w:tcMar>
              <w:top w:w="40" w:type="dxa"/>
              <w:left w:w="0" w:type="dxa"/>
              <w:bottom w:w="40" w:type="dxa"/>
              <w:right w:w="20" w:type="dxa"/>
            </w:tcMar>
            <w:vAlign w:val="bottom"/>
          </w:tcPr>
          <w:p w14:paraId="00BAD14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142"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D14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144" w14:textId="77777777" w:rsidR="00871BDF" w:rsidRDefault="005C5088">
            <w:pPr>
              <w:jc w:val="right"/>
              <w:textAlignment w:val="bottom"/>
            </w:pPr>
            <w:r>
              <w:rPr>
                <w:rFonts w:ascii="Times New Roman" w:eastAsia="宋体" w:hAnsi="Times New Roman"/>
                <w:color w:val="000000"/>
                <w:sz w:val="20"/>
                <w:szCs w:val="20"/>
              </w:rPr>
              <w:t>14,365.6 </w:t>
            </w:r>
          </w:p>
        </w:tc>
        <w:tc>
          <w:tcPr>
            <w:tcW w:w="0" w:type="auto"/>
            <w:shd w:val="clear" w:color="auto" w:fill="FFFFFF"/>
            <w:tcMar>
              <w:top w:w="40" w:type="dxa"/>
              <w:left w:w="0" w:type="dxa"/>
              <w:bottom w:w="40" w:type="dxa"/>
              <w:right w:w="20" w:type="dxa"/>
            </w:tcMar>
            <w:vAlign w:val="bottom"/>
          </w:tcPr>
          <w:p w14:paraId="00BAD14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146"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D14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148" w14:textId="77777777" w:rsidR="00871BDF" w:rsidRDefault="005C5088">
            <w:pPr>
              <w:jc w:val="right"/>
              <w:textAlignment w:val="bottom"/>
            </w:pPr>
            <w:r>
              <w:rPr>
                <w:rFonts w:ascii="Times New Roman" w:eastAsia="宋体" w:hAnsi="Times New Roman"/>
                <w:color w:val="000000"/>
                <w:sz w:val="20"/>
                <w:szCs w:val="20"/>
              </w:rPr>
              <w:t>14,312.5 </w:t>
            </w:r>
          </w:p>
        </w:tc>
        <w:tc>
          <w:tcPr>
            <w:tcW w:w="0" w:type="auto"/>
            <w:shd w:val="clear" w:color="auto" w:fill="FFFFFF"/>
            <w:tcMar>
              <w:top w:w="40" w:type="dxa"/>
              <w:left w:w="0" w:type="dxa"/>
              <w:bottom w:w="40" w:type="dxa"/>
              <w:right w:w="20" w:type="dxa"/>
            </w:tcMar>
            <w:vAlign w:val="bottom"/>
          </w:tcPr>
          <w:p w14:paraId="00BAD149" w14:textId="77777777" w:rsidR="00871BDF" w:rsidRDefault="00871BDF">
            <w:pPr>
              <w:jc w:val="right"/>
              <w:rPr>
                <w:rFonts w:ascii="宋体"/>
              </w:rPr>
            </w:pPr>
          </w:p>
        </w:tc>
        <w:tc>
          <w:tcPr>
            <w:tcW w:w="0" w:type="auto"/>
            <w:shd w:val="clear" w:color="auto" w:fill="auto"/>
          </w:tcPr>
          <w:p w14:paraId="00BAD14A" w14:textId="77777777" w:rsidR="00871BDF" w:rsidRDefault="00871BDF">
            <w:pPr>
              <w:rPr>
                <w:rFonts w:ascii="宋体"/>
              </w:rPr>
            </w:pPr>
          </w:p>
        </w:tc>
        <w:tc>
          <w:tcPr>
            <w:tcW w:w="0" w:type="auto"/>
            <w:shd w:val="clear" w:color="auto" w:fill="auto"/>
          </w:tcPr>
          <w:p w14:paraId="00BAD14B" w14:textId="77777777" w:rsidR="00871BDF" w:rsidRDefault="00871BDF">
            <w:pPr>
              <w:rPr>
                <w:rFonts w:ascii="宋体"/>
              </w:rPr>
            </w:pPr>
          </w:p>
        </w:tc>
        <w:tc>
          <w:tcPr>
            <w:tcW w:w="0" w:type="auto"/>
            <w:shd w:val="clear" w:color="auto" w:fill="auto"/>
          </w:tcPr>
          <w:p w14:paraId="00BAD14C" w14:textId="77777777" w:rsidR="00871BDF" w:rsidRDefault="00871BDF">
            <w:pPr>
              <w:rPr>
                <w:rFonts w:ascii="宋体"/>
              </w:rPr>
            </w:pPr>
          </w:p>
        </w:tc>
        <w:tc>
          <w:tcPr>
            <w:tcW w:w="0" w:type="auto"/>
            <w:shd w:val="clear" w:color="auto" w:fill="auto"/>
          </w:tcPr>
          <w:p w14:paraId="00BAD14D" w14:textId="77777777" w:rsidR="00871BDF" w:rsidRDefault="00871BDF">
            <w:pPr>
              <w:rPr>
                <w:rFonts w:ascii="宋体"/>
              </w:rPr>
            </w:pPr>
          </w:p>
        </w:tc>
        <w:tc>
          <w:tcPr>
            <w:tcW w:w="0" w:type="auto"/>
            <w:shd w:val="clear" w:color="auto" w:fill="auto"/>
          </w:tcPr>
          <w:p w14:paraId="00BAD14E" w14:textId="77777777" w:rsidR="00871BDF" w:rsidRDefault="00871BDF">
            <w:pPr>
              <w:rPr>
                <w:rFonts w:ascii="宋体"/>
              </w:rPr>
            </w:pPr>
          </w:p>
        </w:tc>
        <w:tc>
          <w:tcPr>
            <w:tcW w:w="0" w:type="auto"/>
            <w:shd w:val="clear" w:color="auto" w:fill="auto"/>
          </w:tcPr>
          <w:p w14:paraId="00BAD14F" w14:textId="77777777" w:rsidR="00871BDF" w:rsidRDefault="00871BDF">
            <w:pPr>
              <w:rPr>
                <w:rFonts w:ascii="宋体"/>
              </w:rPr>
            </w:pPr>
          </w:p>
        </w:tc>
        <w:tc>
          <w:tcPr>
            <w:tcW w:w="0" w:type="auto"/>
            <w:shd w:val="clear" w:color="auto" w:fill="auto"/>
          </w:tcPr>
          <w:p w14:paraId="00BAD150" w14:textId="77777777" w:rsidR="00871BDF" w:rsidRDefault="00871BDF">
            <w:pPr>
              <w:rPr>
                <w:rFonts w:ascii="宋体"/>
              </w:rPr>
            </w:pPr>
          </w:p>
        </w:tc>
        <w:tc>
          <w:tcPr>
            <w:tcW w:w="0" w:type="auto"/>
            <w:shd w:val="clear" w:color="auto" w:fill="auto"/>
          </w:tcPr>
          <w:p w14:paraId="00BAD151" w14:textId="77777777" w:rsidR="00871BDF" w:rsidRDefault="00871BDF">
            <w:pPr>
              <w:rPr>
                <w:rFonts w:ascii="宋体"/>
              </w:rPr>
            </w:pPr>
          </w:p>
        </w:tc>
        <w:tc>
          <w:tcPr>
            <w:tcW w:w="0" w:type="auto"/>
            <w:shd w:val="clear" w:color="auto" w:fill="auto"/>
          </w:tcPr>
          <w:p w14:paraId="00BAD152" w14:textId="77777777" w:rsidR="00871BDF" w:rsidRDefault="00871BDF">
            <w:pPr>
              <w:rPr>
                <w:rFonts w:ascii="宋体"/>
              </w:rPr>
            </w:pPr>
          </w:p>
        </w:tc>
        <w:tc>
          <w:tcPr>
            <w:tcW w:w="0" w:type="auto"/>
            <w:shd w:val="clear" w:color="auto" w:fill="auto"/>
          </w:tcPr>
          <w:p w14:paraId="00BAD153" w14:textId="77777777" w:rsidR="00871BDF" w:rsidRDefault="00871BDF">
            <w:pPr>
              <w:rPr>
                <w:rFonts w:ascii="宋体"/>
              </w:rPr>
            </w:pPr>
          </w:p>
        </w:tc>
        <w:tc>
          <w:tcPr>
            <w:tcW w:w="0" w:type="auto"/>
            <w:shd w:val="clear" w:color="auto" w:fill="auto"/>
          </w:tcPr>
          <w:p w14:paraId="00BAD154" w14:textId="77777777" w:rsidR="00871BDF" w:rsidRDefault="00871BDF">
            <w:pPr>
              <w:rPr>
                <w:rFonts w:ascii="宋体"/>
              </w:rPr>
            </w:pPr>
          </w:p>
        </w:tc>
        <w:tc>
          <w:tcPr>
            <w:tcW w:w="0" w:type="auto"/>
            <w:shd w:val="clear" w:color="auto" w:fill="auto"/>
          </w:tcPr>
          <w:p w14:paraId="00BAD155" w14:textId="77777777" w:rsidR="00871BDF" w:rsidRDefault="00871BDF">
            <w:pPr>
              <w:rPr>
                <w:rFonts w:ascii="宋体"/>
              </w:rPr>
            </w:pPr>
          </w:p>
        </w:tc>
        <w:tc>
          <w:tcPr>
            <w:tcW w:w="0" w:type="auto"/>
            <w:shd w:val="clear" w:color="auto" w:fill="auto"/>
          </w:tcPr>
          <w:p w14:paraId="00BAD156" w14:textId="77777777" w:rsidR="00871BDF" w:rsidRDefault="00871BDF">
            <w:pPr>
              <w:rPr>
                <w:rFonts w:ascii="宋体"/>
              </w:rPr>
            </w:pPr>
          </w:p>
        </w:tc>
        <w:tc>
          <w:tcPr>
            <w:tcW w:w="0" w:type="auto"/>
            <w:shd w:val="clear" w:color="auto" w:fill="auto"/>
          </w:tcPr>
          <w:p w14:paraId="00BAD157" w14:textId="77777777" w:rsidR="00871BDF" w:rsidRDefault="00871BDF">
            <w:pPr>
              <w:rPr>
                <w:rFonts w:ascii="宋体"/>
              </w:rPr>
            </w:pPr>
          </w:p>
        </w:tc>
        <w:tc>
          <w:tcPr>
            <w:tcW w:w="0" w:type="auto"/>
            <w:shd w:val="clear" w:color="auto" w:fill="auto"/>
          </w:tcPr>
          <w:p w14:paraId="00BAD158" w14:textId="77777777" w:rsidR="00871BDF" w:rsidRDefault="00871BDF">
            <w:pPr>
              <w:rPr>
                <w:rFonts w:ascii="宋体"/>
              </w:rPr>
            </w:pPr>
          </w:p>
        </w:tc>
        <w:tc>
          <w:tcPr>
            <w:tcW w:w="0" w:type="auto"/>
            <w:shd w:val="clear" w:color="auto" w:fill="auto"/>
          </w:tcPr>
          <w:p w14:paraId="00BAD159" w14:textId="77777777" w:rsidR="00871BDF" w:rsidRDefault="00871BDF">
            <w:pPr>
              <w:rPr>
                <w:rFonts w:ascii="宋体"/>
              </w:rPr>
            </w:pPr>
          </w:p>
        </w:tc>
        <w:tc>
          <w:tcPr>
            <w:tcW w:w="0" w:type="auto"/>
            <w:shd w:val="clear" w:color="auto" w:fill="auto"/>
          </w:tcPr>
          <w:p w14:paraId="00BAD15A" w14:textId="77777777" w:rsidR="00871BDF" w:rsidRDefault="00871BDF">
            <w:pPr>
              <w:rPr>
                <w:rFonts w:ascii="宋体"/>
              </w:rPr>
            </w:pPr>
          </w:p>
        </w:tc>
        <w:tc>
          <w:tcPr>
            <w:tcW w:w="0" w:type="auto"/>
            <w:shd w:val="clear" w:color="auto" w:fill="auto"/>
          </w:tcPr>
          <w:p w14:paraId="00BAD15B" w14:textId="77777777" w:rsidR="00871BDF" w:rsidRDefault="00871BDF">
            <w:pPr>
              <w:rPr>
                <w:rFonts w:ascii="宋体"/>
              </w:rPr>
            </w:pPr>
          </w:p>
        </w:tc>
        <w:tc>
          <w:tcPr>
            <w:tcW w:w="0" w:type="auto"/>
            <w:shd w:val="clear" w:color="auto" w:fill="auto"/>
          </w:tcPr>
          <w:p w14:paraId="00BAD15C" w14:textId="77777777" w:rsidR="00871BDF" w:rsidRDefault="00871BDF">
            <w:pPr>
              <w:rPr>
                <w:rFonts w:ascii="宋体"/>
              </w:rPr>
            </w:pPr>
          </w:p>
        </w:tc>
        <w:tc>
          <w:tcPr>
            <w:tcW w:w="0" w:type="auto"/>
            <w:shd w:val="clear" w:color="auto" w:fill="auto"/>
          </w:tcPr>
          <w:p w14:paraId="00BAD15D" w14:textId="77777777" w:rsidR="00871BDF" w:rsidRDefault="00871BDF">
            <w:pPr>
              <w:rPr>
                <w:rFonts w:ascii="宋体"/>
              </w:rPr>
            </w:pPr>
          </w:p>
        </w:tc>
        <w:tc>
          <w:tcPr>
            <w:tcW w:w="0" w:type="auto"/>
            <w:shd w:val="clear" w:color="auto" w:fill="auto"/>
          </w:tcPr>
          <w:p w14:paraId="00BAD15E" w14:textId="77777777" w:rsidR="00871BDF" w:rsidRDefault="00871BDF">
            <w:pPr>
              <w:rPr>
                <w:rFonts w:ascii="宋体"/>
              </w:rPr>
            </w:pPr>
          </w:p>
        </w:tc>
        <w:tc>
          <w:tcPr>
            <w:tcW w:w="0" w:type="auto"/>
            <w:shd w:val="clear" w:color="auto" w:fill="auto"/>
          </w:tcPr>
          <w:p w14:paraId="00BAD15F" w14:textId="77777777" w:rsidR="00871BDF" w:rsidRDefault="00871BDF">
            <w:pPr>
              <w:rPr>
                <w:rFonts w:ascii="宋体"/>
              </w:rPr>
            </w:pPr>
          </w:p>
        </w:tc>
        <w:tc>
          <w:tcPr>
            <w:tcW w:w="0" w:type="auto"/>
            <w:shd w:val="clear" w:color="auto" w:fill="auto"/>
          </w:tcPr>
          <w:p w14:paraId="00BAD160" w14:textId="77777777" w:rsidR="00871BDF" w:rsidRDefault="00871BDF">
            <w:pPr>
              <w:rPr>
                <w:rFonts w:ascii="宋体"/>
              </w:rPr>
            </w:pPr>
          </w:p>
        </w:tc>
        <w:tc>
          <w:tcPr>
            <w:tcW w:w="0" w:type="auto"/>
            <w:shd w:val="clear" w:color="auto" w:fill="auto"/>
          </w:tcPr>
          <w:p w14:paraId="00BAD161" w14:textId="77777777" w:rsidR="00871BDF" w:rsidRDefault="00871BDF">
            <w:pPr>
              <w:rPr>
                <w:rFonts w:ascii="宋体"/>
              </w:rPr>
            </w:pPr>
          </w:p>
        </w:tc>
        <w:tc>
          <w:tcPr>
            <w:tcW w:w="0" w:type="auto"/>
            <w:shd w:val="clear" w:color="auto" w:fill="auto"/>
          </w:tcPr>
          <w:p w14:paraId="00BAD162" w14:textId="77777777" w:rsidR="00871BDF" w:rsidRDefault="00871BDF">
            <w:pPr>
              <w:rPr>
                <w:rFonts w:ascii="宋体"/>
              </w:rPr>
            </w:pPr>
          </w:p>
        </w:tc>
        <w:tc>
          <w:tcPr>
            <w:tcW w:w="0" w:type="auto"/>
            <w:shd w:val="clear" w:color="auto" w:fill="auto"/>
          </w:tcPr>
          <w:p w14:paraId="00BAD163" w14:textId="77777777" w:rsidR="00871BDF" w:rsidRDefault="00871BDF">
            <w:pPr>
              <w:rPr>
                <w:rFonts w:ascii="宋体"/>
              </w:rPr>
            </w:pPr>
          </w:p>
        </w:tc>
        <w:tc>
          <w:tcPr>
            <w:tcW w:w="0" w:type="auto"/>
            <w:shd w:val="clear" w:color="auto" w:fill="auto"/>
          </w:tcPr>
          <w:p w14:paraId="00BAD164" w14:textId="77777777" w:rsidR="00871BDF" w:rsidRDefault="00871BDF">
            <w:pPr>
              <w:rPr>
                <w:rFonts w:ascii="宋体"/>
              </w:rPr>
            </w:pPr>
          </w:p>
        </w:tc>
        <w:tc>
          <w:tcPr>
            <w:tcW w:w="0" w:type="auto"/>
            <w:shd w:val="clear" w:color="auto" w:fill="auto"/>
          </w:tcPr>
          <w:p w14:paraId="00BAD165" w14:textId="77777777" w:rsidR="00871BDF" w:rsidRDefault="00871BDF">
            <w:pPr>
              <w:rPr>
                <w:rFonts w:ascii="宋体"/>
              </w:rPr>
            </w:pPr>
          </w:p>
        </w:tc>
        <w:tc>
          <w:tcPr>
            <w:tcW w:w="0" w:type="auto"/>
            <w:shd w:val="clear" w:color="auto" w:fill="auto"/>
          </w:tcPr>
          <w:p w14:paraId="00BAD166" w14:textId="77777777" w:rsidR="00871BDF" w:rsidRDefault="00871BDF">
            <w:pPr>
              <w:rPr>
                <w:rFonts w:ascii="宋体"/>
              </w:rPr>
            </w:pPr>
          </w:p>
        </w:tc>
        <w:tc>
          <w:tcPr>
            <w:tcW w:w="0" w:type="auto"/>
            <w:shd w:val="clear" w:color="auto" w:fill="auto"/>
          </w:tcPr>
          <w:p w14:paraId="00BAD167" w14:textId="77777777" w:rsidR="00871BDF" w:rsidRDefault="00871BDF">
            <w:pPr>
              <w:rPr>
                <w:rFonts w:ascii="宋体"/>
              </w:rPr>
            </w:pPr>
          </w:p>
        </w:tc>
      </w:tr>
      <w:tr w:rsidR="00871BDF" w14:paraId="00BAD196" w14:textId="77777777">
        <w:trPr>
          <w:jc w:val="center"/>
        </w:trPr>
        <w:tc>
          <w:tcPr>
            <w:tcW w:w="0" w:type="auto"/>
            <w:gridSpan w:val="3"/>
            <w:shd w:val="clear" w:color="auto" w:fill="D7E4BC"/>
            <w:tcMar>
              <w:top w:w="40" w:type="dxa"/>
              <w:left w:w="20" w:type="dxa"/>
              <w:bottom w:w="40" w:type="dxa"/>
              <w:right w:w="20" w:type="dxa"/>
            </w:tcMar>
            <w:vAlign w:val="bottom"/>
          </w:tcPr>
          <w:p w14:paraId="00BAD169" w14:textId="77777777" w:rsidR="00871BDF" w:rsidRDefault="005C5088">
            <w:pPr>
              <w:textAlignment w:val="bottom"/>
            </w:pPr>
            <w:r>
              <w:rPr>
                <w:rFonts w:ascii="Times New Roman" w:eastAsia="宋体" w:hAnsi="Times New Roman"/>
                <w:color w:val="000000"/>
                <w:sz w:val="20"/>
                <w:szCs w:val="20"/>
              </w:rPr>
              <w:t>Long-term debt (including current portion)</w:t>
            </w:r>
          </w:p>
        </w:tc>
        <w:tc>
          <w:tcPr>
            <w:tcW w:w="0" w:type="auto"/>
            <w:gridSpan w:val="2"/>
            <w:shd w:val="clear" w:color="auto" w:fill="D7E4BC"/>
            <w:tcMar>
              <w:top w:w="40" w:type="dxa"/>
              <w:left w:w="20" w:type="dxa"/>
              <w:bottom w:w="40" w:type="dxa"/>
              <w:right w:w="0" w:type="dxa"/>
            </w:tcMar>
            <w:vAlign w:val="bottom"/>
          </w:tcPr>
          <w:p w14:paraId="00BAD16A" w14:textId="77777777" w:rsidR="00871BDF" w:rsidRDefault="005C5088">
            <w:pPr>
              <w:jc w:val="right"/>
              <w:textAlignment w:val="bottom"/>
            </w:pPr>
            <w:r>
              <w:rPr>
                <w:rFonts w:ascii="Times New Roman" w:eastAsia="宋体" w:hAnsi="Times New Roman"/>
                <w:color w:val="000000"/>
                <w:sz w:val="20"/>
                <w:szCs w:val="20"/>
              </w:rPr>
              <w:t>15,909.5 </w:t>
            </w:r>
          </w:p>
        </w:tc>
        <w:tc>
          <w:tcPr>
            <w:tcW w:w="0" w:type="auto"/>
            <w:shd w:val="clear" w:color="auto" w:fill="D7E4BC"/>
            <w:tcMar>
              <w:top w:w="40" w:type="dxa"/>
              <w:left w:w="0" w:type="dxa"/>
              <w:bottom w:w="40" w:type="dxa"/>
              <w:right w:w="20" w:type="dxa"/>
            </w:tcMar>
            <w:vAlign w:val="bottom"/>
          </w:tcPr>
          <w:p w14:paraId="00BAD16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16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16D" w14:textId="77777777" w:rsidR="00871BDF" w:rsidRDefault="005C5088">
            <w:pPr>
              <w:jc w:val="right"/>
              <w:textAlignment w:val="bottom"/>
            </w:pPr>
            <w:r>
              <w:rPr>
                <w:rFonts w:ascii="Times New Roman" w:eastAsia="宋体" w:hAnsi="Times New Roman"/>
                <w:color w:val="000000"/>
                <w:sz w:val="20"/>
                <w:szCs w:val="20"/>
              </w:rPr>
              <w:t>11,167.0 </w:t>
            </w:r>
          </w:p>
        </w:tc>
        <w:tc>
          <w:tcPr>
            <w:tcW w:w="0" w:type="auto"/>
            <w:shd w:val="clear" w:color="auto" w:fill="D7E4BC"/>
            <w:tcMar>
              <w:top w:w="40" w:type="dxa"/>
              <w:left w:w="0" w:type="dxa"/>
              <w:bottom w:w="40" w:type="dxa"/>
              <w:right w:w="20" w:type="dxa"/>
            </w:tcMar>
            <w:vAlign w:val="bottom"/>
          </w:tcPr>
          <w:p w14:paraId="00BAD16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16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170" w14:textId="77777777" w:rsidR="00871BDF" w:rsidRDefault="005C5088">
            <w:pPr>
              <w:jc w:val="right"/>
              <w:textAlignment w:val="bottom"/>
            </w:pPr>
            <w:r>
              <w:rPr>
                <w:rFonts w:ascii="Times New Roman" w:eastAsia="宋体" w:hAnsi="Times New Roman"/>
                <w:color w:val="000000"/>
                <w:sz w:val="20"/>
                <w:szCs w:val="20"/>
              </w:rPr>
              <w:t>9,440.1 </w:t>
            </w:r>
          </w:p>
        </w:tc>
        <w:tc>
          <w:tcPr>
            <w:tcW w:w="0" w:type="auto"/>
            <w:shd w:val="clear" w:color="auto" w:fill="D7E4BC"/>
            <w:tcMar>
              <w:top w:w="40" w:type="dxa"/>
              <w:left w:w="0" w:type="dxa"/>
              <w:bottom w:w="40" w:type="dxa"/>
              <w:right w:w="20" w:type="dxa"/>
            </w:tcMar>
            <w:vAlign w:val="bottom"/>
          </w:tcPr>
          <w:p w14:paraId="00BAD17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17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173" w14:textId="77777777" w:rsidR="00871BDF" w:rsidRDefault="005C5088">
            <w:pPr>
              <w:jc w:val="right"/>
              <w:textAlignment w:val="bottom"/>
            </w:pPr>
            <w:r>
              <w:rPr>
                <w:rFonts w:ascii="Times New Roman" w:eastAsia="宋体" w:hAnsi="Times New Roman"/>
                <w:color w:val="000000"/>
                <w:sz w:val="20"/>
                <w:szCs w:val="20"/>
              </w:rPr>
              <w:t>3,932.6 </w:t>
            </w:r>
          </w:p>
        </w:tc>
        <w:tc>
          <w:tcPr>
            <w:tcW w:w="0" w:type="auto"/>
            <w:shd w:val="clear" w:color="auto" w:fill="D7E4BC"/>
            <w:tcMar>
              <w:top w:w="40" w:type="dxa"/>
              <w:left w:w="0" w:type="dxa"/>
              <w:bottom w:w="40" w:type="dxa"/>
              <w:right w:w="20" w:type="dxa"/>
            </w:tcMar>
            <w:vAlign w:val="bottom"/>
          </w:tcPr>
          <w:p w14:paraId="00BAD17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17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176" w14:textId="77777777" w:rsidR="00871BDF" w:rsidRDefault="005C5088">
            <w:pPr>
              <w:jc w:val="right"/>
              <w:textAlignment w:val="bottom"/>
            </w:pPr>
            <w:r>
              <w:rPr>
                <w:rFonts w:ascii="Times New Roman" w:eastAsia="宋体" w:hAnsi="Times New Roman"/>
                <w:color w:val="000000"/>
                <w:sz w:val="20"/>
                <w:szCs w:val="20"/>
              </w:rPr>
              <w:t>3,585.2 </w:t>
            </w:r>
          </w:p>
        </w:tc>
        <w:tc>
          <w:tcPr>
            <w:tcW w:w="0" w:type="auto"/>
            <w:shd w:val="clear" w:color="auto" w:fill="D7E4BC"/>
            <w:tcMar>
              <w:top w:w="40" w:type="dxa"/>
              <w:left w:w="0" w:type="dxa"/>
              <w:bottom w:w="40" w:type="dxa"/>
              <w:right w:w="20" w:type="dxa"/>
            </w:tcMar>
            <w:vAlign w:val="bottom"/>
          </w:tcPr>
          <w:p w14:paraId="00BAD177" w14:textId="77777777" w:rsidR="00871BDF" w:rsidRDefault="00871BDF">
            <w:pPr>
              <w:jc w:val="right"/>
              <w:rPr>
                <w:rFonts w:ascii="宋体"/>
              </w:rPr>
            </w:pPr>
          </w:p>
        </w:tc>
        <w:tc>
          <w:tcPr>
            <w:tcW w:w="0" w:type="auto"/>
            <w:shd w:val="clear" w:color="auto" w:fill="auto"/>
          </w:tcPr>
          <w:p w14:paraId="00BAD178" w14:textId="77777777" w:rsidR="00871BDF" w:rsidRDefault="00871BDF">
            <w:pPr>
              <w:rPr>
                <w:rFonts w:ascii="宋体"/>
              </w:rPr>
            </w:pPr>
          </w:p>
        </w:tc>
        <w:tc>
          <w:tcPr>
            <w:tcW w:w="0" w:type="auto"/>
            <w:shd w:val="clear" w:color="auto" w:fill="auto"/>
          </w:tcPr>
          <w:p w14:paraId="00BAD179" w14:textId="77777777" w:rsidR="00871BDF" w:rsidRDefault="00871BDF">
            <w:pPr>
              <w:rPr>
                <w:rFonts w:ascii="宋体"/>
              </w:rPr>
            </w:pPr>
          </w:p>
        </w:tc>
        <w:tc>
          <w:tcPr>
            <w:tcW w:w="0" w:type="auto"/>
            <w:shd w:val="clear" w:color="auto" w:fill="auto"/>
          </w:tcPr>
          <w:p w14:paraId="00BAD17A" w14:textId="77777777" w:rsidR="00871BDF" w:rsidRDefault="00871BDF">
            <w:pPr>
              <w:rPr>
                <w:rFonts w:ascii="宋体"/>
              </w:rPr>
            </w:pPr>
          </w:p>
        </w:tc>
        <w:tc>
          <w:tcPr>
            <w:tcW w:w="0" w:type="auto"/>
            <w:shd w:val="clear" w:color="auto" w:fill="auto"/>
          </w:tcPr>
          <w:p w14:paraId="00BAD17B" w14:textId="77777777" w:rsidR="00871BDF" w:rsidRDefault="00871BDF">
            <w:pPr>
              <w:rPr>
                <w:rFonts w:ascii="宋体"/>
              </w:rPr>
            </w:pPr>
          </w:p>
        </w:tc>
        <w:tc>
          <w:tcPr>
            <w:tcW w:w="0" w:type="auto"/>
            <w:shd w:val="clear" w:color="auto" w:fill="auto"/>
          </w:tcPr>
          <w:p w14:paraId="00BAD17C" w14:textId="77777777" w:rsidR="00871BDF" w:rsidRDefault="00871BDF">
            <w:pPr>
              <w:rPr>
                <w:rFonts w:ascii="宋体"/>
              </w:rPr>
            </w:pPr>
          </w:p>
        </w:tc>
        <w:tc>
          <w:tcPr>
            <w:tcW w:w="0" w:type="auto"/>
            <w:shd w:val="clear" w:color="auto" w:fill="auto"/>
          </w:tcPr>
          <w:p w14:paraId="00BAD17D" w14:textId="77777777" w:rsidR="00871BDF" w:rsidRDefault="00871BDF">
            <w:pPr>
              <w:rPr>
                <w:rFonts w:ascii="宋体"/>
              </w:rPr>
            </w:pPr>
          </w:p>
        </w:tc>
        <w:tc>
          <w:tcPr>
            <w:tcW w:w="0" w:type="auto"/>
            <w:shd w:val="clear" w:color="auto" w:fill="auto"/>
          </w:tcPr>
          <w:p w14:paraId="00BAD17E" w14:textId="77777777" w:rsidR="00871BDF" w:rsidRDefault="00871BDF">
            <w:pPr>
              <w:rPr>
                <w:rFonts w:ascii="宋体"/>
              </w:rPr>
            </w:pPr>
          </w:p>
        </w:tc>
        <w:tc>
          <w:tcPr>
            <w:tcW w:w="0" w:type="auto"/>
            <w:shd w:val="clear" w:color="auto" w:fill="auto"/>
          </w:tcPr>
          <w:p w14:paraId="00BAD17F" w14:textId="77777777" w:rsidR="00871BDF" w:rsidRDefault="00871BDF">
            <w:pPr>
              <w:rPr>
                <w:rFonts w:ascii="宋体"/>
              </w:rPr>
            </w:pPr>
          </w:p>
        </w:tc>
        <w:tc>
          <w:tcPr>
            <w:tcW w:w="0" w:type="auto"/>
            <w:shd w:val="clear" w:color="auto" w:fill="auto"/>
          </w:tcPr>
          <w:p w14:paraId="00BAD180" w14:textId="77777777" w:rsidR="00871BDF" w:rsidRDefault="00871BDF">
            <w:pPr>
              <w:rPr>
                <w:rFonts w:ascii="宋体"/>
              </w:rPr>
            </w:pPr>
          </w:p>
        </w:tc>
        <w:tc>
          <w:tcPr>
            <w:tcW w:w="0" w:type="auto"/>
            <w:shd w:val="clear" w:color="auto" w:fill="auto"/>
          </w:tcPr>
          <w:p w14:paraId="00BAD181" w14:textId="77777777" w:rsidR="00871BDF" w:rsidRDefault="00871BDF">
            <w:pPr>
              <w:rPr>
                <w:rFonts w:ascii="宋体"/>
              </w:rPr>
            </w:pPr>
          </w:p>
        </w:tc>
        <w:tc>
          <w:tcPr>
            <w:tcW w:w="0" w:type="auto"/>
            <w:shd w:val="clear" w:color="auto" w:fill="auto"/>
          </w:tcPr>
          <w:p w14:paraId="00BAD182" w14:textId="77777777" w:rsidR="00871BDF" w:rsidRDefault="00871BDF">
            <w:pPr>
              <w:rPr>
                <w:rFonts w:ascii="宋体"/>
              </w:rPr>
            </w:pPr>
          </w:p>
        </w:tc>
        <w:tc>
          <w:tcPr>
            <w:tcW w:w="0" w:type="auto"/>
            <w:shd w:val="clear" w:color="auto" w:fill="auto"/>
          </w:tcPr>
          <w:p w14:paraId="00BAD183" w14:textId="77777777" w:rsidR="00871BDF" w:rsidRDefault="00871BDF">
            <w:pPr>
              <w:rPr>
                <w:rFonts w:ascii="宋体"/>
              </w:rPr>
            </w:pPr>
          </w:p>
        </w:tc>
        <w:tc>
          <w:tcPr>
            <w:tcW w:w="0" w:type="auto"/>
            <w:shd w:val="clear" w:color="auto" w:fill="auto"/>
          </w:tcPr>
          <w:p w14:paraId="00BAD184" w14:textId="77777777" w:rsidR="00871BDF" w:rsidRDefault="00871BDF">
            <w:pPr>
              <w:rPr>
                <w:rFonts w:ascii="宋体"/>
              </w:rPr>
            </w:pPr>
          </w:p>
        </w:tc>
        <w:tc>
          <w:tcPr>
            <w:tcW w:w="0" w:type="auto"/>
            <w:shd w:val="clear" w:color="auto" w:fill="auto"/>
          </w:tcPr>
          <w:p w14:paraId="00BAD185" w14:textId="77777777" w:rsidR="00871BDF" w:rsidRDefault="00871BDF">
            <w:pPr>
              <w:rPr>
                <w:rFonts w:ascii="宋体"/>
              </w:rPr>
            </w:pPr>
          </w:p>
        </w:tc>
        <w:tc>
          <w:tcPr>
            <w:tcW w:w="0" w:type="auto"/>
            <w:shd w:val="clear" w:color="auto" w:fill="auto"/>
          </w:tcPr>
          <w:p w14:paraId="00BAD186" w14:textId="77777777" w:rsidR="00871BDF" w:rsidRDefault="00871BDF">
            <w:pPr>
              <w:rPr>
                <w:rFonts w:ascii="宋体"/>
              </w:rPr>
            </w:pPr>
          </w:p>
        </w:tc>
        <w:tc>
          <w:tcPr>
            <w:tcW w:w="0" w:type="auto"/>
            <w:shd w:val="clear" w:color="auto" w:fill="auto"/>
          </w:tcPr>
          <w:p w14:paraId="00BAD187" w14:textId="77777777" w:rsidR="00871BDF" w:rsidRDefault="00871BDF">
            <w:pPr>
              <w:rPr>
                <w:rFonts w:ascii="宋体"/>
              </w:rPr>
            </w:pPr>
          </w:p>
        </w:tc>
        <w:tc>
          <w:tcPr>
            <w:tcW w:w="0" w:type="auto"/>
            <w:shd w:val="clear" w:color="auto" w:fill="auto"/>
          </w:tcPr>
          <w:p w14:paraId="00BAD188" w14:textId="77777777" w:rsidR="00871BDF" w:rsidRDefault="00871BDF">
            <w:pPr>
              <w:rPr>
                <w:rFonts w:ascii="宋体"/>
              </w:rPr>
            </w:pPr>
          </w:p>
        </w:tc>
        <w:tc>
          <w:tcPr>
            <w:tcW w:w="0" w:type="auto"/>
            <w:shd w:val="clear" w:color="auto" w:fill="auto"/>
          </w:tcPr>
          <w:p w14:paraId="00BAD189" w14:textId="77777777" w:rsidR="00871BDF" w:rsidRDefault="00871BDF">
            <w:pPr>
              <w:rPr>
                <w:rFonts w:ascii="宋体"/>
              </w:rPr>
            </w:pPr>
          </w:p>
        </w:tc>
        <w:tc>
          <w:tcPr>
            <w:tcW w:w="0" w:type="auto"/>
            <w:shd w:val="clear" w:color="auto" w:fill="auto"/>
          </w:tcPr>
          <w:p w14:paraId="00BAD18A" w14:textId="77777777" w:rsidR="00871BDF" w:rsidRDefault="00871BDF">
            <w:pPr>
              <w:rPr>
                <w:rFonts w:ascii="宋体"/>
              </w:rPr>
            </w:pPr>
          </w:p>
        </w:tc>
        <w:tc>
          <w:tcPr>
            <w:tcW w:w="0" w:type="auto"/>
            <w:shd w:val="clear" w:color="auto" w:fill="auto"/>
          </w:tcPr>
          <w:p w14:paraId="00BAD18B" w14:textId="77777777" w:rsidR="00871BDF" w:rsidRDefault="00871BDF">
            <w:pPr>
              <w:rPr>
                <w:rFonts w:ascii="宋体"/>
              </w:rPr>
            </w:pPr>
          </w:p>
        </w:tc>
        <w:tc>
          <w:tcPr>
            <w:tcW w:w="0" w:type="auto"/>
            <w:shd w:val="clear" w:color="auto" w:fill="auto"/>
          </w:tcPr>
          <w:p w14:paraId="00BAD18C" w14:textId="77777777" w:rsidR="00871BDF" w:rsidRDefault="00871BDF">
            <w:pPr>
              <w:rPr>
                <w:rFonts w:ascii="宋体"/>
              </w:rPr>
            </w:pPr>
          </w:p>
        </w:tc>
        <w:tc>
          <w:tcPr>
            <w:tcW w:w="0" w:type="auto"/>
            <w:shd w:val="clear" w:color="auto" w:fill="auto"/>
          </w:tcPr>
          <w:p w14:paraId="00BAD18D" w14:textId="77777777" w:rsidR="00871BDF" w:rsidRDefault="00871BDF">
            <w:pPr>
              <w:rPr>
                <w:rFonts w:ascii="宋体"/>
              </w:rPr>
            </w:pPr>
          </w:p>
        </w:tc>
        <w:tc>
          <w:tcPr>
            <w:tcW w:w="0" w:type="auto"/>
            <w:shd w:val="clear" w:color="auto" w:fill="auto"/>
          </w:tcPr>
          <w:p w14:paraId="00BAD18E" w14:textId="77777777" w:rsidR="00871BDF" w:rsidRDefault="00871BDF">
            <w:pPr>
              <w:rPr>
                <w:rFonts w:ascii="宋体"/>
              </w:rPr>
            </w:pPr>
          </w:p>
        </w:tc>
        <w:tc>
          <w:tcPr>
            <w:tcW w:w="0" w:type="auto"/>
            <w:shd w:val="clear" w:color="auto" w:fill="auto"/>
          </w:tcPr>
          <w:p w14:paraId="00BAD18F" w14:textId="77777777" w:rsidR="00871BDF" w:rsidRDefault="00871BDF">
            <w:pPr>
              <w:rPr>
                <w:rFonts w:ascii="宋体"/>
              </w:rPr>
            </w:pPr>
          </w:p>
        </w:tc>
        <w:tc>
          <w:tcPr>
            <w:tcW w:w="0" w:type="auto"/>
            <w:shd w:val="clear" w:color="auto" w:fill="auto"/>
          </w:tcPr>
          <w:p w14:paraId="00BAD190" w14:textId="77777777" w:rsidR="00871BDF" w:rsidRDefault="00871BDF">
            <w:pPr>
              <w:rPr>
                <w:rFonts w:ascii="宋体"/>
              </w:rPr>
            </w:pPr>
          </w:p>
        </w:tc>
        <w:tc>
          <w:tcPr>
            <w:tcW w:w="0" w:type="auto"/>
            <w:shd w:val="clear" w:color="auto" w:fill="auto"/>
          </w:tcPr>
          <w:p w14:paraId="00BAD191" w14:textId="77777777" w:rsidR="00871BDF" w:rsidRDefault="00871BDF">
            <w:pPr>
              <w:rPr>
                <w:rFonts w:ascii="宋体"/>
              </w:rPr>
            </w:pPr>
          </w:p>
        </w:tc>
        <w:tc>
          <w:tcPr>
            <w:tcW w:w="0" w:type="auto"/>
            <w:shd w:val="clear" w:color="auto" w:fill="auto"/>
          </w:tcPr>
          <w:p w14:paraId="00BAD192" w14:textId="77777777" w:rsidR="00871BDF" w:rsidRDefault="00871BDF">
            <w:pPr>
              <w:rPr>
                <w:rFonts w:ascii="宋体"/>
              </w:rPr>
            </w:pPr>
          </w:p>
        </w:tc>
        <w:tc>
          <w:tcPr>
            <w:tcW w:w="0" w:type="auto"/>
            <w:shd w:val="clear" w:color="auto" w:fill="auto"/>
          </w:tcPr>
          <w:p w14:paraId="00BAD193" w14:textId="77777777" w:rsidR="00871BDF" w:rsidRDefault="00871BDF">
            <w:pPr>
              <w:rPr>
                <w:rFonts w:ascii="宋体"/>
              </w:rPr>
            </w:pPr>
          </w:p>
        </w:tc>
        <w:tc>
          <w:tcPr>
            <w:tcW w:w="0" w:type="auto"/>
            <w:shd w:val="clear" w:color="auto" w:fill="auto"/>
          </w:tcPr>
          <w:p w14:paraId="00BAD194" w14:textId="77777777" w:rsidR="00871BDF" w:rsidRDefault="00871BDF">
            <w:pPr>
              <w:rPr>
                <w:rFonts w:ascii="宋体"/>
              </w:rPr>
            </w:pPr>
          </w:p>
        </w:tc>
        <w:tc>
          <w:tcPr>
            <w:tcW w:w="0" w:type="auto"/>
            <w:shd w:val="clear" w:color="auto" w:fill="auto"/>
          </w:tcPr>
          <w:p w14:paraId="00BAD195" w14:textId="77777777" w:rsidR="00871BDF" w:rsidRDefault="00871BDF">
            <w:pPr>
              <w:rPr>
                <w:rFonts w:ascii="宋体"/>
              </w:rPr>
            </w:pPr>
          </w:p>
        </w:tc>
      </w:tr>
      <w:tr w:rsidR="00871BDF" w14:paraId="00BAD1C4" w14:textId="77777777">
        <w:trPr>
          <w:jc w:val="center"/>
        </w:trPr>
        <w:tc>
          <w:tcPr>
            <w:tcW w:w="0" w:type="auto"/>
            <w:gridSpan w:val="3"/>
            <w:shd w:val="clear" w:color="auto" w:fill="FFFFFF"/>
            <w:tcMar>
              <w:top w:w="40" w:type="dxa"/>
              <w:left w:w="20" w:type="dxa"/>
              <w:bottom w:w="40" w:type="dxa"/>
              <w:right w:w="20" w:type="dxa"/>
            </w:tcMar>
            <w:vAlign w:val="bottom"/>
          </w:tcPr>
          <w:p w14:paraId="00BAD197" w14:textId="77777777" w:rsidR="00871BDF" w:rsidRDefault="005C5088">
            <w:pPr>
              <w:textAlignment w:val="bottom"/>
            </w:pPr>
            <w:r>
              <w:rPr>
                <w:rFonts w:ascii="Times New Roman" w:eastAsia="宋体" w:hAnsi="Times New Roman"/>
                <w:color w:val="000000"/>
                <w:sz w:val="20"/>
                <w:szCs w:val="20"/>
              </w:rPr>
              <w:t>Share</w:t>
            </w:r>
            <w:r>
              <w:rPr>
                <w:rFonts w:ascii="Times New Roman" w:eastAsia="宋体" w:hAnsi="Times New Roman"/>
                <w:color w:val="000000"/>
                <w:sz w:val="20"/>
                <w:szCs w:val="20"/>
              </w:rPr>
              <w:t>holders’ equity/(deficit)</w:t>
            </w:r>
          </w:p>
        </w:tc>
        <w:tc>
          <w:tcPr>
            <w:tcW w:w="0" w:type="auto"/>
            <w:gridSpan w:val="2"/>
            <w:shd w:val="clear" w:color="auto" w:fill="FFFFFF"/>
            <w:tcMar>
              <w:top w:w="40" w:type="dxa"/>
              <w:left w:w="20" w:type="dxa"/>
              <w:bottom w:w="40" w:type="dxa"/>
              <w:right w:w="0" w:type="dxa"/>
            </w:tcMar>
            <w:vAlign w:val="bottom"/>
          </w:tcPr>
          <w:p w14:paraId="00BAD198" w14:textId="77777777" w:rsidR="00871BDF" w:rsidRDefault="005C5088">
            <w:pPr>
              <w:jc w:val="right"/>
              <w:textAlignment w:val="bottom"/>
            </w:pPr>
            <w:r>
              <w:rPr>
                <w:rFonts w:ascii="Times New Roman" w:eastAsia="宋体" w:hAnsi="Times New Roman"/>
                <w:color w:val="000000"/>
                <w:sz w:val="20"/>
                <w:szCs w:val="20"/>
              </w:rPr>
              <w:t>(7,805.1)</w:t>
            </w:r>
          </w:p>
        </w:tc>
        <w:tc>
          <w:tcPr>
            <w:tcW w:w="0" w:type="auto"/>
            <w:shd w:val="clear" w:color="auto" w:fill="FFFFFF"/>
            <w:tcMar>
              <w:top w:w="40" w:type="dxa"/>
              <w:left w:w="0" w:type="dxa"/>
              <w:bottom w:w="40" w:type="dxa"/>
              <w:right w:w="20" w:type="dxa"/>
            </w:tcMar>
            <w:vAlign w:val="bottom"/>
          </w:tcPr>
          <w:p w14:paraId="00BAD19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19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19B" w14:textId="77777777" w:rsidR="00871BDF" w:rsidRDefault="005C5088">
            <w:pPr>
              <w:jc w:val="right"/>
              <w:textAlignment w:val="bottom"/>
            </w:pPr>
            <w:r>
              <w:rPr>
                <w:rFonts w:ascii="Times New Roman" w:eastAsia="宋体" w:hAnsi="Times New Roman"/>
                <w:color w:val="000000"/>
                <w:sz w:val="20"/>
                <w:szCs w:val="20"/>
              </w:rPr>
              <w:t>(6,232.2)</w:t>
            </w:r>
          </w:p>
        </w:tc>
        <w:tc>
          <w:tcPr>
            <w:tcW w:w="0" w:type="auto"/>
            <w:shd w:val="clear" w:color="auto" w:fill="FFFFFF"/>
            <w:tcMar>
              <w:top w:w="40" w:type="dxa"/>
              <w:left w:w="0" w:type="dxa"/>
              <w:bottom w:w="40" w:type="dxa"/>
              <w:right w:w="20" w:type="dxa"/>
            </w:tcMar>
            <w:vAlign w:val="bottom"/>
          </w:tcPr>
          <w:p w14:paraId="00BAD19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19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19E" w14:textId="77777777" w:rsidR="00871BDF" w:rsidRDefault="005C5088">
            <w:pPr>
              <w:jc w:val="right"/>
              <w:textAlignment w:val="bottom"/>
            </w:pPr>
            <w:r>
              <w:rPr>
                <w:rFonts w:ascii="Times New Roman" w:eastAsia="宋体" w:hAnsi="Times New Roman"/>
                <w:color w:val="000000"/>
                <w:sz w:val="20"/>
                <w:szCs w:val="20"/>
              </w:rPr>
              <w:t>1,169.5 </w:t>
            </w:r>
          </w:p>
        </w:tc>
        <w:tc>
          <w:tcPr>
            <w:tcW w:w="0" w:type="auto"/>
            <w:shd w:val="clear" w:color="auto" w:fill="FFFFFF"/>
            <w:tcMar>
              <w:top w:w="40" w:type="dxa"/>
              <w:left w:w="0" w:type="dxa"/>
              <w:bottom w:w="40" w:type="dxa"/>
              <w:right w:w="20" w:type="dxa"/>
            </w:tcMar>
            <w:vAlign w:val="bottom"/>
          </w:tcPr>
          <w:p w14:paraId="00BAD19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1A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1A1" w14:textId="77777777" w:rsidR="00871BDF" w:rsidRDefault="005C5088">
            <w:pPr>
              <w:jc w:val="right"/>
              <w:textAlignment w:val="bottom"/>
            </w:pPr>
            <w:r>
              <w:rPr>
                <w:rFonts w:ascii="Times New Roman" w:eastAsia="宋体" w:hAnsi="Times New Roman"/>
                <w:color w:val="000000"/>
                <w:sz w:val="20"/>
                <w:szCs w:val="20"/>
              </w:rPr>
              <w:t>5,450.1 </w:t>
            </w:r>
          </w:p>
        </w:tc>
        <w:tc>
          <w:tcPr>
            <w:tcW w:w="0" w:type="auto"/>
            <w:shd w:val="clear" w:color="auto" w:fill="FFFFFF"/>
            <w:tcMar>
              <w:top w:w="40" w:type="dxa"/>
              <w:left w:w="0" w:type="dxa"/>
              <w:bottom w:w="40" w:type="dxa"/>
              <w:right w:w="20" w:type="dxa"/>
            </w:tcMar>
            <w:vAlign w:val="bottom"/>
          </w:tcPr>
          <w:p w14:paraId="00BAD1A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1A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1A4" w14:textId="77777777" w:rsidR="00871BDF" w:rsidRDefault="005C5088">
            <w:pPr>
              <w:jc w:val="right"/>
              <w:textAlignment w:val="bottom"/>
            </w:pPr>
            <w:r>
              <w:rPr>
                <w:rFonts w:ascii="Times New Roman" w:eastAsia="宋体" w:hAnsi="Times New Roman"/>
                <w:color w:val="000000"/>
                <w:sz w:val="20"/>
                <w:szCs w:val="20"/>
              </w:rPr>
              <w:t>5,884.0 </w:t>
            </w:r>
          </w:p>
        </w:tc>
        <w:tc>
          <w:tcPr>
            <w:tcW w:w="0" w:type="auto"/>
            <w:shd w:val="clear" w:color="auto" w:fill="FFFFFF"/>
            <w:tcMar>
              <w:top w:w="40" w:type="dxa"/>
              <w:left w:w="0" w:type="dxa"/>
              <w:bottom w:w="40" w:type="dxa"/>
              <w:right w:w="20" w:type="dxa"/>
            </w:tcMar>
            <w:vAlign w:val="bottom"/>
          </w:tcPr>
          <w:p w14:paraId="00BAD1A5" w14:textId="77777777" w:rsidR="00871BDF" w:rsidRDefault="00871BDF">
            <w:pPr>
              <w:jc w:val="right"/>
              <w:rPr>
                <w:rFonts w:ascii="宋体"/>
              </w:rPr>
            </w:pPr>
          </w:p>
        </w:tc>
        <w:tc>
          <w:tcPr>
            <w:tcW w:w="0" w:type="auto"/>
            <w:shd w:val="clear" w:color="auto" w:fill="auto"/>
          </w:tcPr>
          <w:p w14:paraId="00BAD1A6" w14:textId="77777777" w:rsidR="00871BDF" w:rsidRDefault="00871BDF">
            <w:pPr>
              <w:rPr>
                <w:rFonts w:ascii="宋体"/>
              </w:rPr>
            </w:pPr>
          </w:p>
        </w:tc>
        <w:tc>
          <w:tcPr>
            <w:tcW w:w="0" w:type="auto"/>
            <w:shd w:val="clear" w:color="auto" w:fill="auto"/>
          </w:tcPr>
          <w:p w14:paraId="00BAD1A7" w14:textId="77777777" w:rsidR="00871BDF" w:rsidRDefault="00871BDF">
            <w:pPr>
              <w:rPr>
                <w:rFonts w:ascii="宋体"/>
              </w:rPr>
            </w:pPr>
          </w:p>
        </w:tc>
        <w:tc>
          <w:tcPr>
            <w:tcW w:w="0" w:type="auto"/>
            <w:shd w:val="clear" w:color="auto" w:fill="auto"/>
          </w:tcPr>
          <w:p w14:paraId="00BAD1A8" w14:textId="77777777" w:rsidR="00871BDF" w:rsidRDefault="00871BDF">
            <w:pPr>
              <w:rPr>
                <w:rFonts w:ascii="宋体"/>
              </w:rPr>
            </w:pPr>
          </w:p>
        </w:tc>
        <w:tc>
          <w:tcPr>
            <w:tcW w:w="0" w:type="auto"/>
            <w:shd w:val="clear" w:color="auto" w:fill="auto"/>
          </w:tcPr>
          <w:p w14:paraId="00BAD1A9" w14:textId="77777777" w:rsidR="00871BDF" w:rsidRDefault="00871BDF">
            <w:pPr>
              <w:rPr>
                <w:rFonts w:ascii="宋体"/>
              </w:rPr>
            </w:pPr>
          </w:p>
        </w:tc>
        <w:tc>
          <w:tcPr>
            <w:tcW w:w="0" w:type="auto"/>
            <w:shd w:val="clear" w:color="auto" w:fill="auto"/>
          </w:tcPr>
          <w:p w14:paraId="00BAD1AA" w14:textId="77777777" w:rsidR="00871BDF" w:rsidRDefault="00871BDF">
            <w:pPr>
              <w:rPr>
                <w:rFonts w:ascii="宋体"/>
              </w:rPr>
            </w:pPr>
          </w:p>
        </w:tc>
        <w:tc>
          <w:tcPr>
            <w:tcW w:w="0" w:type="auto"/>
            <w:shd w:val="clear" w:color="auto" w:fill="auto"/>
          </w:tcPr>
          <w:p w14:paraId="00BAD1AB" w14:textId="77777777" w:rsidR="00871BDF" w:rsidRDefault="00871BDF">
            <w:pPr>
              <w:rPr>
                <w:rFonts w:ascii="宋体"/>
              </w:rPr>
            </w:pPr>
          </w:p>
        </w:tc>
        <w:tc>
          <w:tcPr>
            <w:tcW w:w="0" w:type="auto"/>
            <w:shd w:val="clear" w:color="auto" w:fill="auto"/>
          </w:tcPr>
          <w:p w14:paraId="00BAD1AC" w14:textId="77777777" w:rsidR="00871BDF" w:rsidRDefault="00871BDF">
            <w:pPr>
              <w:rPr>
                <w:rFonts w:ascii="宋体"/>
              </w:rPr>
            </w:pPr>
          </w:p>
        </w:tc>
        <w:tc>
          <w:tcPr>
            <w:tcW w:w="0" w:type="auto"/>
            <w:shd w:val="clear" w:color="auto" w:fill="auto"/>
          </w:tcPr>
          <w:p w14:paraId="00BAD1AD" w14:textId="77777777" w:rsidR="00871BDF" w:rsidRDefault="00871BDF">
            <w:pPr>
              <w:rPr>
                <w:rFonts w:ascii="宋体"/>
              </w:rPr>
            </w:pPr>
          </w:p>
        </w:tc>
        <w:tc>
          <w:tcPr>
            <w:tcW w:w="0" w:type="auto"/>
            <w:shd w:val="clear" w:color="auto" w:fill="auto"/>
          </w:tcPr>
          <w:p w14:paraId="00BAD1AE" w14:textId="77777777" w:rsidR="00871BDF" w:rsidRDefault="00871BDF">
            <w:pPr>
              <w:rPr>
                <w:rFonts w:ascii="宋体"/>
              </w:rPr>
            </w:pPr>
          </w:p>
        </w:tc>
        <w:tc>
          <w:tcPr>
            <w:tcW w:w="0" w:type="auto"/>
            <w:shd w:val="clear" w:color="auto" w:fill="auto"/>
          </w:tcPr>
          <w:p w14:paraId="00BAD1AF" w14:textId="77777777" w:rsidR="00871BDF" w:rsidRDefault="00871BDF">
            <w:pPr>
              <w:rPr>
                <w:rFonts w:ascii="宋体"/>
              </w:rPr>
            </w:pPr>
          </w:p>
        </w:tc>
        <w:tc>
          <w:tcPr>
            <w:tcW w:w="0" w:type="auto"/>
            <w:shd w:val="clear" w:color="auto" w:fill="auto"/>
          </w:tcPr>
          <w:p w14:paraId="00BAD1B0" w14:textId="77777777" w:rsidR="00871BDF" w:rsidRDefault="00871BDF">
            <w:pPr>
              <w:rPr>
                <w:rFonts w:ascii="宋体"/>
              </w:rPr>
            </w:pPr>
          </w:p>
        </w:tc>
        <w:tc>
          <w:tcPr>
            <w:tcW w:w="0" w:type="auto"/>
            <w:shd w:val="clear" w:color="auto" w:fill="auto"/>
          </w:tcPr>
          <w:p w14:paraId="00BAD1B1" w14:textId="77777777" w:rsidR="00871BDF" w:rsidRDefault="00871BDF">
            <w:pPr>
              <w:rPr>
                <w:rFonts w:ascii="宋体"/>
              </w:rPr>
            </w:pPr>
          </w:p>
        </w:tc>
        <w:tc>
          <w:tcPr>
            <w:tcW w:w="0" w:type="auto"/>
            <w:shd w:val="clear" w:color="auto" w:fill="auto"/>
          </w:tcPr>
          <w:p w14:paraId="00BAD1B2" w14:textId="77777777" w:rsidR="00871BDF" w:rsidRDefault="00871BDF">
            <w:pPr>
              <w:rPr>
                <w:rFonts w:ascii="宋体"/>
              </w:rPr>
            </w:pPr>
          </w:p>
        </w:tc>
        <w:tc>
          <w:tcPr>
            <w:tcW w:w="0" w:type="auto"/>
            <w:shd w:val="clear" w:color="auto" w:fill="auto"/>
          </w:tcPr>
          <w:p w14:paraId="00BAD1B3" w14:textId="77777777" w:rsidR="00871BDF" w:rsidRDefault="00871BDF">
            <w:pPr>
              <w:rPr>
                <w:rFonts w:ascii="宋体"/>
              </w:rPr>
            </w:pPr>
          </w:p>
        </w:tc>
        <w:tc>
          <w:tcPr>
            <w:tcW w:w="0" w:type="auto"/>
            <w:shd w:val="clear" w:color="auto" w:fill="auto"/>
          </w:tcPr>
          <w:p w14:paraId="00BAD1B4" w14:textId="77777777" w:rsidR="00871BDF" w:rsidRDefault="00871BDF">
            <w:pPr>
              <w:rPr>
                <w:rFonts w:ascii="宋体"/>
              </w:rPr>
            </w:pPr>
          </w:p>
        </w:tc>
        <w:tc>
          <w:tcPr>
            <w:tcW w:w="0" w:type="auto"/>
            <w:shd w:val="clear" w:color="auto" w:fill="auto"/>
          </w:tcPr>
          <w:p w14:paraId="00BAD1B5" w14:textId="77777777" w:rsidR="00871BDF" w:rsidRDefault="00871BDF">
            <w:pPr>
              <w:rPr>
                <w:rFonts w:ascii="宋体"/>
              </w:rPr>
            </w:pPr>
          </w:p>
        </w:tc>
        <w:tc>
          <w:tcPr>
            <w:tcW w:w="0" w:type="auto"/>
            <w:shd w:val="clear" w:color="auto" w:fill="auto"/>
          </w:tcPr>
          <w:p w14:paraId="00BAD1B6" w14:textId="77777777" w:rsidR="00871BDF" w:rsidRDefault="00871BDF">
            <w:pPr>
              <w:rPr>
                <w:rFonts w:ascii="宋体"/>
              </w:rPr>
            </w:pPr>
          </w:p>
        </w:tc>
        <w:tc>
          <w:tcPr>
            <w:tcW w:w="0" w:type="auto"/>
            <w:shd w:val="clear" w:color="auto" w:fill="auto"/>
          </w:tcPr>
          <w:p w14:paraId="00BAD1B7" w14:textId="77777777" w:rsidR="00871BDF" w:rsidRDefault="00871BDF">
            <w:pPr>
              <w:rPr>
                <w:rFonts w:ascii="宋体"/>
              </w:rPr>
            </w:pPr>
          </w:p>
        </w:tc>
        <w:tc>
          <w:tcPr>
            <w:tcW w:w="0" w:type="auto"/>
            <w:shd w:val="clear" w:color="auto" w:fill="auto"/>
          </w:tcPr>
          <w:p w14:paraId="00BAD1B8" w14:textId="77777777" w:rsidR="00871BDF" w:rsidRDefault="00871BDF">
            <w:pPr>
              <w:rPr>
                <w:rFonts w:ascii="宋体"/>
              </w:rPr>
            </w:pPr>
          </w:p>
        </w:tc>
        <w:tc>
          <w:tcPr>
            <w:tcW w:w="0" w:type="auto"/>
            <w:shd w:val="clear" w:color="auto" w:fill="auto"/>
          </w:tcPr>
          <w:p w14:paraId="00BAD1B9" w14:textId="77777777" w:rsidR="00871BDF" w:rsidRDefault="00871BDF">
            <w:pPr>
              <w:rPr>
                <w:rFonts w:ascii="宋体"/>
              </w:rPr>
            </w:pPr>
          </w:p>
        </w:tc>
        <w:tc>
          <w:tcPr>
            <w:tcW w:w="0" w:type="auto"/>
            <w:shd w:val="clear" w:color="auto" w:fill="auto"/>
          </w:tcPr>
          <w:p w14:paraId="00BAD1BA" w14:textId="77777777" w:rsidR="00871BDF" w:rsidRDefault="00871BDF">
            <w:pPr>
              <w:rPr>
                <w:rFonts w:ascii="宋体"/>
              </w:rPr>
            </w:pPr>
          </w:p>
        </w:tc>
        <w:tc>
          <w:tcPr>
            <w:tcW w:w="0" w:type="auto"/>
            <w:shd w:val="clear" w:color="auto" w:fill="auto"/>
          </w:tcPr>
          <w:p w14:paraId="00BAD1BB" w14:textId="77777777" w:rsidR="00871BDF" w:rsidRDefault="00871BDF">
            <w:pPr>
              <w:rPr>
                <w:rFonts w:ascii="宋体"/>
              </w:rPr>
            </w:pPr>
          </w:p>
        </w:tc>
        <w:tc>
          <w:tcPr>
            <w:tcW w:w="0" w:type="auto"/>
            <w:shd w:val="clear" w:color="auto" w:fill="auto"/>
          </w:tcPr>
          <w:p w14:paraId="00BAD1BC" w14:textId="77777777" w:rsidR="00871BDF" w:rsidRDefault="00871BDF">
            <w:pPr>
              <w:rPr>
                <w:rFonts w:ascii="宋体"/>
              </w:rPr>
            </w:pPr>
          </w:p>
        </w:tc>
        <w:tc>
          <w:tcPr>
            <w:tcW w:w="0" w:type="auto"/>
            <w:shd w:val="clear" w:color="auto" w:fill="auto"/>
          </w:tcPr>
          <w:p w14:paraId="00BAD1BD" w14:textId="77777777" w:rsidR="00871BDF" w:rsidRDefault="00871BDF">
            <w:pPr>
              <w:rPr>
                <w:rFonts w:ascii="宋体"/>
              </w:rPr>
            </w:pPr>
          </w:p>
        </w:tc>
        <w:tc>
          <w:tcPr>
            <w:tcW w:w="0" w:type="auto"/>
            <w:shd w:val="clear" w:color="auto" w:fill="auto"/>
          </w:tcPr>
          <w:p w14:paraId="00BAD1BE" w14:textId="77777777" w:rsidR="00871BDF" w:rsidRDefault="00871BDF">
            <w:pPr>
              <w:rPr>
                <w:rFonts w:ascii="宋体"/>
              </w:rPr>
            </w:pPr>
          </w:p>
        </w:tc>
        <w:tc>
          <w:tcPr>
            <w:tcW w:w="0" w:type="auto"/>
            <w:shd w:val="clear" w:color="auto" w:fill="auto"/>
          </w:tcPr>
          <w:p w14:paraId="00BAD1BF" w14:textId="77777777" w:rsidR="00871BDF" w:rsidRDefault="00871BDF">
            <w:pPr>
              <w:rPr>
                <w:rFonts w:ascii="宋体"/>
              </w:rPr>
            </w:pPr>
          </w:p>
        </w:tc>
        <w:tc>
          <w:tcPr>
            <w:tcW w:w="0" w:type="auto"/>
            <w:shd w:val="clear" w:color="auto" w:fill="auto"/>
          </w:tcPr>
          <w:p w14:paraId="00BAD1C0" w14:textId="77777777" w:rsidR="00871BDF" w:rsidRDefault="00871BDF">
            <w:pPr>
              <w:rPr>
                <w:rFonts w:ascii="宋体"/>
              </w:rPr>
            </w:pPr>
          </w:p>
        </w:tc>
        <w:tc>
          <w:tcPr>
            <w:tcW w:w="0" w:type="auto"/>
            <w:shd w:val="clear" w:color="auto" w:fill="auto"/>
          </w:tcPr>
          <w:p w14:paraId="00BAD1C1" w14:textId="77777777" w:rsidR="00871BDF" w:rsidRDefault="00871BDF">
            <w:pPr>
              <w:rPr>
                <w:rFonts w:ascii="宋体"/>
              </w:rPr>
            </w:pPr>
          </w:p>
        </w:tc>
        <w:tc>
          <w:tcPr>
            <w:tcW w:w="0" w:type="auto"/>
            <w:shd w:val="clear" w:color="auto" w:fill="auto"/>
          </w:tcPr>
          <w:p w14:paraId="00BAD1C2" w14:textId="77777777" w:rsidR="00871BDF" w:rsidRDefault="00871BDF">
            <w:pPr>
              <w:rPr>
                <w:rFonts w:ascii="宋体"/>
              </w:rPr>
            </w:pPr>
          </w:p>
        </w:tc>
        <w:tc>
          <w:tcPr>
            <w:tcW w:w="0" w:type="auto"/>
            <w:shd w:val="clear" w:color="auto" w:fill="auto"/>
          </w:tcPr>
          <w:p w14:paraId="00BAD1C3" w14:textId="77777777" w:rsidR="00871BDF" w:rsidRDefault="00871BDF">
            <w:pPr>
              <w:rPr>
                <w:rFonts w:ascii="宋体"/>
              </w:rPr>
            </w:pPr>
          </w:p>
        </w:tc>
      </w:tr>
    </w:tbl>
    <w:p w14:paraId="00BAD1C5" w14:textId="77777777" w:rsidR="00871BDF" w:rsidRDefault="005C5088">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Ou</w:t>
      </w:r>
      <w:r>
        <w:rPr>
          <w:rFonts w:ascii="Times New Roman" w:eastAsia="宋体" w:hAnsi="Times New Roman"/>
          <w:color w:val="000000"/>
          <w:sz w:val="20"/>
          <w:szCs w:val="20"/>
        </w:rPr>
        <w:t>r fiscal year ends on the Sunday closest to September 30. The fiscal year ending on October 2, 2016 included 53 weeks, with the 53</w:t>
      </w:r>
      <w:r>
        <w:rPr>
          <w:rFonts w:ascii="Times New Roman" w:eastAsia="宋体" w:hAnsi="Times New Roman"/>
          <w:color w:val="000000"/>
          <w:sz w:val="13"/>
          <w:szCs w:val="13"/>
        </w:rPr>
        <w:t>rd</w:t>
      </w:r>
      <w:r>
        <w:rPr>
          <w:rFonts w:ascii="Times New Roman" w:eastAsia="宋体" w:hAnsi="Times New Roman"/>
          <w:color w:val="000000"/>
          <w:sz w:val="20"/>
          <w:szCs w:val="20"/>
        </w:rPr>
        <w:t xml:space="preserve"> week falling in our fourth fiscal quarter.</w:t>
      </w:r>
    </w:p>
    <w:p w14:paraId="00BAD1C6" w14:textId="77777777" w:rsidR="00871BDF" w:rsidRDefault="005C5088">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Fiscal 2018 results include a gain not subject to income tax of $1.4 billion </w:t>
      </w:r>
      <w:r>
        <w:rPr>
          <w:rFonts w:ascii="Times New Roman" w:eastAsia="宋体" w:hAnsi="Times New Roman"/>
          <w:color w:val="000000"/>
          <w:sz w:val="20"/>
          <w:szCs w:val="20"/>
        </w:rPr>
        <w:t xml:space="preserve">resulting from the acquisition of our East China joint venture. The impact of the gain to our diluted EPS was $0.99. </w:t>
      </w:r>
    </w:p>
    <w:p w14:paraId="00BAD1C7" w14:textId="77777777" w:rsidR="00871BDF" w:rsidRDefault="005C5088">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Subsequent to our year-end, on September 30, 2020, we declared a cash dividend of $0.45 per share payable on November 27, 2020 to share</w:t>
      </w:r>
      <w:r>
        <w:rPr>
          <w:rFonts w:ascii="Times New Roman" w:eastAsia="宋体" w:hAnsi="Times New Roman"/>
          <w:color w:val="000000"/>
          <w:sz w:val="20"/>
          <w:szCs w:val="20"/>
        </w:rPr>
        <w:t>holders of record on November 12, 2020.</w:t>
      </w:r>
    </w:p>
    <w:p w14:paraId="00BAD1C8" w14:textId="77777777" w:rsidR="00871BDF" w:rsidRDefault="005C5088">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 xml:space="preserve">Net cash provided by operating activities for fiscal 2016 and fiscal 2017 has been adjusted for the adoption of new accounting guidance related to excess tax benefits as discussed in </w:t>
      </w:r>
      <w:hyperlink r:id="rId83" w:anchor="i54ccc64cb5384be5a4849ef1cdef4dde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w:t>
      </w:r>
    </w:p>
    <w:p w14:paraId="00BAD1C9" w14:textId="77777777" w:rsidR="00871BDF" w:rsidRDefault="00871BDF">
      <w:pPr>
        <w:spacing w:before="120"/>
      </w:pPr>
    </w:p>
    <w:p w14:paraId="00BAD1CA" w14:textId="77777777" w:rsidR="00871BDF" w:rsidRDefault="005C5088">
      <w:pPr>
        <w:jc w:val="center"/>
      </w:pPr>
      <w:r>
        <w:rPr>
          <w:rFonts w:ascii="Times New Roman" w:eastAsia="宋体" w:hAnsi="Times New Roman"/>
          <w:color w:val="000000"/>
          <w:sz w:val="20"/>
          <w:szCs w:val="20"/>
        </w:rPr>
        <w:t>22</w:t>
      </w:r>
    </w:p>
    <w:p w14:paraId="00BAD1CB" w14:textId="77777777" w:rsidR="00871BDF" w:rsidRDefault="005C5088">
      <w:r>
        <w:pict w14:anchorId="00BB147B">
          <v:rect id="_x0000_i1049" style="width:415.3pt;height:1.5pt" o:hralign="center" o:hrstd="t" o:hr="t" fillcolor="#a0a0a0" stroked="f"/>
        </w:pict>
      </w:r>
    </w:p>
    <w:p w14:paraId="00BAD1CC" w14:textId="77777777" w:rsidR="00871BDF" w:rsidRDefault="005C5088">
      <w:hyperlink r:id="rId84" w:anchor="i54ccc64cb5384be5a4849ef1cdef4dde_7" w:history="1">
        <w:r>
          <w:rPr>
            <w:rStyle w:val="a5"/>
            <w:rFonts w:ascii="Times New Roman" w:eastAsia="宋体" w:hAnsi="Times New Roman"/>
            <w:sz w:val="20"/>
            <w:szCs w:val="20"/>
          </w:rPr>
          <w:t>Table of Contents</w:t>
        </w:r>
      </w:hyperlink>
    </w:p>
    <w:p w14:paraId="00BAD1CD" w14:textId="77777777" w:rsidR="00871BDF" w:rsidRDefault="005C5088">
      <w:pPr>
        <w:spacing w:before="120"/>
      </w:pPr>
      <w:r>
        <w:rPr>
          <w:rFonts w:ascii="Times New Roman" w:eastAsia="宋体" w:hAnsi="Times New Roman"/>
          <w:b/>
          <w:bCs/>
          <w:color w:val="000000"/>
          <w:sz w:val="20"/>
          <w:szCs w:val="20"/>
        </w:rPr>
        <w:t>Comparable Store Sales:</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2950"/>
        <w:gridCol w:w="38"/>
        <w:gridCol w:w="37"/>
        <w:gridCol w:w="584"/>
        <w:gridCol w:w="187"/>
        <w:gridCol w:w="36"/>
        <w:gridCol w:w="36"/>
        <w:gridCol w:w="36"/>
        <w:gridCol w:w="37"/>
        <w:gridCol w:w="513"/>
        <w:gridCol w:w="187"/>
        <w:gridCol w:w="36"/>
        <w:gridCol w:w="36"/>
        <w:gridCol w:w="36"/>
        <w:gridCol w:w="37"/>
        <w:gridCol w:w="513"/>
        <w:gridCol w:w="187"/>
        <w:gridCol w:w="36"/>
        <w:gridCol w:w="36"/>
        <w:gridCol w:w="36"/>
        <w:gridCol w:w="37"/>
        <w:gridCol w:w="513"/>
        <w:gridCol w:w="187"/>
        <w:gridCol w:w="36"/>
        <w:gridCol w:w="36"/>
        <w:gridCol w:w="36"/>
        <w:gridCol w:w="37"/>
        <w:gridCol w:w="517"/>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71BDF" w14:paraId="00BAD1EC" w14:textId="77777777">
        <w:trPr>
          <w:gridAfter w:val="30"/>
          <w:jc w:val="center"/>
        </w:trPr>
        <w:tc>
          <w:tcPr>
            <w:tcW w:w="50" w:type="pct"/>
            <w:shd w:val="clear" w:color="auto" w:fill="auto"/>
          </w:tcPr>
          <w:p w14:paraId="00BAD1CE" w14:textId="77777777" w:rsidR="00871BDF" w:rsidRDefault="00871BDF">
            <w:pPr>
              <w:rPr>
                <w:rFonts w:ascii="宋体"/>
              </w:rPr>
            </w:pPr>
          </w:p>
        </w:tc>
        <w:tc>
          <w:tcPr>
            <w:tcW w:w="2118" w:type="pct"/>
            <w:shd w:val="clear" w:color="auto" w:fill="auto"/>
          </w:tcPr>
          <w:p w14:paraId="00BAD1CF" w14:textId="77777777" w:rsidR="00871BDF" w:rsidRDefault="00871BDF">
            <w:pPr>
              <w:rPr>
                <w:rFonts w:ascii="宋体"/>
              </w:rPr>
            </w:pPr>
          </w:p>
        </w:tc>
        <w:tc>
          <w:tcPr>
            <w:tcW w:w="5" w:type="pct"/>
            <w:shd w:val="clear" w:color="auto" w:fill="auto"/>
          </w:tcPr>
          <w:p w14:paraId="00BAD1D0" w14:textId="77777777" w:rsidR="00871BDF" w:rsidRDefault="00871BDF">
            <w:pPr>
              <w:rPr>
                <w:rFonts w:ascii="宋体"/>
              </w:rPr>
            </w:pPr>
          </w:p>
        </w:tc>
        <w:tc>
          <w:tcPr>
            <w:tcW w:w="50" w:type="pct"/>
            <w:shd w:val="clear" w:color="auto" w:fill="auto"/>
          </w:tcPr>
          <w:p w14:paraId="00BAD1D1" w14:textId="77777777" w:rsidR="00871BDF" w:rsidRDefault="00871BDF">
            <w:pPr>
              <w:rPr>
                <w:rFonts w:ascii="宋体"/>
              </w:rPr>
            </w:pPr>
          </w:p>
        </w:tc>
        <w:tc>
          <w:tcPr>
            <w:tcW w:w="480" w:type="pct"/>
            <w:shd w:val="clear" w:color="auto" w:fill="auto"/>
          </w:tcPr>
          <w:p w14:paraId="00BAD1D2" w14:textId="77777777" w:rsidR="00871BDF" w:rsidRDefault="00871BDF">
            <w:pPr>
              <w:rPr>
                <w:rFonts w:ascii="宋体"/>
              </w:rPr>
            </w:pPr>
          </w:p>
        </w:tc>
        <w:tc>
          <w:tcPr>
            <w:tcW w:w="5" w:type="pct"/>
            <w:shd w:val="clear" w:color="auto" w:fill="auto"/>
          </w:tcPr>
          <w:p w14:paraId="00BAD1D3" w14:textId="77777777" w:rsidR="00871BDF" w:rsidRDefault="00871BDF">
            <w:pPr>
              <w:rPr>
                <w:rFonts w:ascii="宋体"/>
              </w:rPr>
            </w:pPr>
          </w:p>
        </w:tc>
        <w:tc>
          <w:tcPr>
            <w:tcW w:w="5" w:type="pct"/>
            <w:shd w:val="clear" w:color="auto" w:fill="auto"/>
          </w:tcPr>
          <w:p w14:paraId="00BAD1D4" w14:textId="77777777" w:rsidR="00871BDF" w:rsidRDefault="00871BDF">
            <w:pPr>
              <w:rPr>
                <w:rFonts w:ascii="宋体"/>
              </w:rPr>
            </w:pPr>
          </w:p>
        </w:tc>
        <w:tc>
          <w:tcPr>
            <w:tcW w:w="26" w:type="pct"/>
            <w:shd w:val="clear" w:color="auto" w:fill="auto"/>
          </w:tcPr>
          <w:p w14:paraId="00BAD1D5" w14:textId="77777777" w:rsidR="00871BDF" w:rsidRDefault="00871BDF">
            <w:pPr>
              <w:rPr>
                <w:rFonts w:ascii="宋体"/>
              </w:rPr>
            </w:pPr>
          </w:p>
        </w:tc>
        <w:tc>
          <w:tcPr>
            <w:tcW w:w="5" w:type="pct"/>
            <w:shd w:val="clear" w:color="auto" w:fill="auto"/>
          </w:tcPr>
          <w:p w14:paraId="00BAD1D6" w14:textId="77777777" w:rsidR="00871BDF" w:rsidRDefault="00871BDF">
            <w:pPr>
              <w:rPr>
                <w:rFonts w:ascii="宋体"/>
              </w:rPr>
            </w:pPr>
          </w:p>
        </w:tc>
        <w:tc>
          <w:tcPr>
            <w:tcW w:w="50" w:type="pct"/>
            <w:shd w:val="clear" w:color="auto" w:fill="auto"/>
          </w:tcPr>
          <w:p w14:paraId="00BAD1D7" w14:textId="77777777" w:rsidR="00871BDF" w:rsidRDefault="00871BDF">
            <w:pPr>
              <w:rPr>
                <w:rFonts w:ascii="宋体"/>
              </w:rPr>
            </w:pPr>
          </w:p>
        </w:tc>
        <w:tc>
          <w:tcPr>
            <w:tcW w:w="480" w:type="pct"/>
            <w:shd w:val="clear" w:color="auto" w:fill="auto"/>
          </w:tcPr>
          <w:p w14:paraId="00BAD1D8" w14:textId="77777777" w:rsidR="00871BDF" w:rsidRDefault="00871BDF">
            <w:pPr>
              <w:rPr>
                <w:rFonts w:ascii="宋体"/>
              </w:rPr>
            </w:pPr>
          </w:p>
        </w:tc>
        <w:tc>
          <w:tcPr>
            <w:tcW w:w="5" w:type="pct"/>
            <w:shd w:val="clear" w:color="auto" w:fill="auto"/>
          </w:tcPr>
          <w:p w14:paraId="00BAD1D9" w14:textId="77777777" w:rsidR="00871BDF" w:rsidRDefault="00871BDF">
            <w:pPr>
              <w:rPr>
                <w:rFonts w:ascii="宋体"/>
              </w:rPr>
            </w:pPr>
          </w:p>
        </w:tc>
        <w:tc>
          <w:tcPr>
            <w:tcW w:w="5" w:type="pct"/>
            <w:shd w:val="clear" w:color="auto" w:fill="auto"/>
          </w:tcPr>
          <w:p w14:paraId="00BAD1DA" w14:textId="77777777" w:rsidR="00871BDF" w:rsidRDefault="00871BDF">
            <w:pPr>
              <w:rPr>
                <w:rFonts w:ascii="宋体"/>
              </w:rPr>
            </w:pPr>
          </w:p>
        </w:tc>
        <w:tc>
          <w:tcPr>
            <w:tcW w:w="26" w:type="pct"/>
            <w:shd w:val="clear" w:color="auto" w:fill="auto"/>
          </w:tcPr>
          <w:p w14:paraId="00BAD1DB" w14:textId="77777777" w:rsidR="00871BDF" w:rsidRDefault="00871BDF">
            <w:pPr>
              <w:rPr>
                <w:rFonts w:ascii="宋体"/>
              </w:rPr>
            </w:pPr>
          </w:p>
        </w:tc>
        <w:tc>
          <w:tcPr>
            <w:tcW w:w="5" w:type="pct"/>
            <w:shd w:val="clear" w:color="auto" w:fill="auto"/>
          </w:tcPr>
          <w:p w14:paraId="00BAD1DC" w14:textId="77777777" w:rsidR="00871BDF" w:rsidRDefault="00871BDF">
            <w:pPr>
              <w:rPr>
                <w:rFonts w:ascii="宋体"/>
              </w:rPr>
            </w:pPr>
          </w:p>
        </w:tc>
        <w:tc>
          <w:tcPr>
            <w:tcW w:w="50" w:type="pct"/>
            <w:shd w:val="clear" w:color="auto" w:fill="auto"/>
          </w:tcPr>
          <w:p w14:paraId="00BAD1DD" w14:textId="77777777" w:rsidR="00871BDF" w:rsidRDefault="00871BDF">
            <w:pPr>
              <w:rPr>
                <w:rFonts w:ascii="宋体"/>
              </w:rPr>
            </w:pPr>
          </w:p>
        </w:tc>
        <w:tc>
          <w:tcPr>
            <w:tcW w:w="480" w:type="pct"/>
            <w:shd w:val="clear" w:color="auto" w:fill="auto"/>
          </w:tcPr>
          <w:p w14:paraId="00BAD1DE" w14:textId="77777777" w:rsidR="00871BDF" w:rsidRDefault="00871BDF">
            <w:pPr>
              <w:rPr>
                <w:rFonts w:ascii="宋体"/>
              </w:rPr>
            </w:pPr>
          </w:p>
        </w:tc>
        <w:tc>
          <w:tcPr>
            <w:tcW w:w="5" w:type="pct"/>
            <w:shd w:val="clear" w:color="auto" w:fill="auto"/>
          </w:tcPr>
          <w:p w14:paraId="00BAD1DF" w14:textId="77777777" w:rsidR="00871BDF" w:rsidRDefault="00871BDF">
            <w:pPr>
              <w:rPr>
                <w:rFonts w:ascii="宋体"/>
              </w:rPr>
            </w:pPr>
          </w:p>
        </w:tc>
        <w:tc>
          <w:tcPr>
            <w:tcW w:w="5" w:type="pct"/>
            <w:shd w:val="clear" w:color="auto" w:fill="auto"/>
          </w:tcPr>
          <w:p w14:paraId="00BAD1E0" w14:textId="77777777" w:rsidR="00871BDF" w:rsidRDefault="00871BDF">
            <w:pPr>
              <w:rPr>
                <w:rFonts w:ascii="宋体"/>
              </w:rPr>
            </w:pPr>
          </w:p>
        </w:tc>
        <w:tc>
          <w:tcPr>
            <w:tcW w:w="26" w:type="pct"/>
            <w:shd w:val="clear" w:color="auto" w:fill="auto"/>
          </w:tcPr>
          <w:p w14:paraId="00BAD1E1" w14:textId="77777777" w:rsidR="00871BDF" w:rsidRDefault="00871BDF">
            <w:pPr>
              <w:rPr>
                <w:rFonts w:ascii="宋体"/>
              </w:rPr>
            </w:pPr>
          </w:p>
        </w:tc>
        <w:tc>
          <w:tcPr>
            <w:tcW w:w="5" w:type="pct"/>
            <w:shd w:val="clear" w:color="auto" w:fill="auto"/>
          </w:tcPr>
          <w:p w14:paraId="00BAD1E2" w14:textId="77777777" w:rsidR="00871BDF" w:rsidRDefault="00871BDF">
            <w:pPr>
              <w:rPr>
                <w:rFonts w:ascii="宋体"/>
              </w:rPr>
            </w:pPr>
          </w:p>
        </w:tc>
        <w:tc>
          <w:tcPr>
            <w:tcW w:w="50" w:type="pct"/>
            <w:shd w:val="clear" w:color="auto" w:fill="auto"/>
          </w:tcPr>
          <w:p w14:paraId="00BAD1E3" w14:textId="77777777" w:rsidR="00871BDF" w:rsidRDefault="00871BDF">
            <w:pPr>
              <w:rPr>
                <w:rFonts w:ascii="宋体"/>
              </w:rPr>
            </w:pPr>
          </w:p>
        </w:tc>
        <w:tc>
          <w:tcPr>
            <w:tcW w:w="480" w:type="pct"/>
            <w:shd w:val="clear" w:color="auto" w:fill="auto"/>
          </w:tcPr>
          <w:p w14:paraId="00BAD1E4" w14:textId="77777777" w:rsidR="00871BDF" w:rsidRDefault="00871BDF">
            <w:pPr>
              <w:rPr>
                <w:rFonts w:ascii="宋体"/>
              </w:rPr>
            </w:pPr>
          </w:p>
        </w:tc>
        <w:tc>
          <w:tcPr>
            <w:tcW w:w="5" w:type="pct"/>
            <w:shd w:val="clear" w:color="auto" w:fill="auto"/>
          </w:tcPr>
          <w:p w14:paraId="00BAD1E5" w14:textId="77777777" w:rsidR="00871BDF" w:rsidRDefault="00871BDF">
            <w:pPr>
              <w:rPr>
                <w:rFonts w:ascii="宋体"/>
              </w:rPr>
            </w:pPr>
          </w:p>
        </w:tc>
        <w:tc>
          <w:tcPr>
            <w:tcW w:w="5" w:type="pct"/>
            <w:shd w:val="clear" w:color="auto" w:fill="auto"/>
          </w:tcPr>
          <w:p w14:paraId="00BAD1E6" w14:textId="77777777" w:rsidR="00871BDF" w:rsidRDefault="00871BDF">
            <w:pPr>
              <w:rPr>
                <w:rFonts w:ascii="宋体"/>
              </w:rPr>
            </w:pPr>
          </w:p>
        </w:tc>
        <w:tc>
          <w:tcPr>
            <w:tcW w:w="26" w:type="pct"/>
            <w:shd w:val="clear" w:color="auto" w:fill="auto"/>
          </w:tcPr>
          <w:p w14:paraId="00BAD1E7" w14:textId="77777777" w:rsidR="00871BDF" w:rsidRDefault="00871BDF">
            <w:pPr>
              <w:rPr>
                <w:rFonts w:ascii="宋体"/>
              </w:rPr>
            </w:pPr>
          </w:p>
        </w:tc>
        <w:tc>
          <w:tcPr>
            <w:tcW w:w="5" w:type="pct"/>
            <w:shd w:val="clear" w:color="auto" w:fill="auto"/>
          </w:tcPr>
          <w:p w14:paraId="00BAD1E8" w14:textId="77777777" w:rsidR="00871BDF" w:rsidRDefault="00871BDF">
            <w:pPr>
              <w:rPr>
                <w:rFonts w:ascii="宋体"/>
              </w:rPr>
            </w:pPr>
          </w:p>
        </w:tc>
        <w:tc>
          <w:tcPr>
            <w:tcW w:w="50" w:type="pct"/>
            <w:shd w:val="clear" w:color="auto" w:fill="auto"/>
          </w:tcPr>
          <w:p w14:paraId="00BAD1E9" w14:textId="77777777" w:rsidR="00871BDF" w:rsidRDefault="00871BDF">
            <w:pPr>
              <w:rPr>
                <w:rFonts w:ascii="宋体"/>
              </w:rPr>
            </w:pPr>
          </w:p>
        </w:tc>
        <w:tc>
          <w:tcPr>
            <w:tcW w:w="481" w:type="pct"/>
            <w:shd w:val="clear" w:color="auto" w:fill="auto"/>
          </w:tcPr>
          <w:p w14:paraId="00BAD1EA" w14:textId="77777777" w:rsidR="00871BDF" w:rsidRDefault="00871BDF">
            <w:pPr>
              <w:rPr>
                <w:rFonts w:ascii="宋体"/>
              </w:rPr>
            </w:pPr>
          </w:p>
        </w:tc>
        <w:tc>
          <w:tcPr>
            <w:tcW w:w="5" w:type="pct"/>
            <w:shd w:val="clear" w:color="auto" w:fill="auto"/>
          </w:tcPr>
          <w:p w14:paraId="00BAD1EB" w14:textId="77777777" w:rsidR="00871BDF" w:rsidRDefault="00871BDF">
            <w:pPr>
              <w:rPr>
                <w:rFonts w:ascii="宋体"/>
              </w:rPr>
            </w:pPr>
          </w:p>
        </w:tc>
      </w:tr>
      <w:tr w:rsidR="00871BDF" w14:paraId="00BAD1F7" w14:textId="77777777">
        <w:trPr>
          <w:gridAfter w:val="30"/>
          <w:trHeight w:val="311"/>
          <w:jc w:val="center"/>
        </w:trPr>
        <w:tc>
          <w:tcPr>
            <w:tcW w:w="0" w:type="auto"/>
            <w:gridSpan w:val="3"/>
            <w:vMerge w:val="restart"/>
            <w:shd w:val="clear" w:color="auto" w:fill="auto"/>
            <w:tcMar>
              <w:top w:w="40" w:type="dxa"/>
              <w:left w:w="20" w:type="dxa"/>
              <w:bottom w:w="40" w:type="dxa"/>
              <w:right w:w="20" w:type="dxa"/>
            </w:tcMar>
            <w:vAlign w:val="bottom"/>
          </w:tcPr>
          <w:p w14:paraId="00BAD1ED"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vMerge w:val="restart"/>
            <w:shd w:val="clear" w:color="auto" w:fill="00704A"/>
            <w:tcMar>
              <w:top w:w="40" w:type="dxa"/>
              <w:left w:w="20" w:type="dxa"/>
              <w:bottom w:w="40" w:type="dxa"/>
              <w:right w:w="20" w:type="dxa"/>
            </w:tcMar>
            <w:vAlign w:val="center"/>
          </w:tcPr>
          <w:p w14:paraId="00BAD1EE" w14:textId="77777777" w:rsidR="00871BDF" w:rsidRDefault="005C5088">
            <w:pPr>
              <w:jc w:val="center"/>
              <w:textAlignment w:val="center"/>
            </w:pPr>
            <w:r>
              <w:rPr>
                <w:rFonts w:ascii="Times New Roman" w:eastAsia="宋体" w:hAnsi="Times New Roman"/>
                <w:b/>
                <w:bCs/>
                <w:color w:val="FFFFFF"/>
                <w:sz w:val="16"/>
                <w:szCs w:val="16"/>
              </w:rPr>
              <w:t xml:space="preserve">Sep 27, </w:t>
            </w:r>
            <w:r>
              <w:rPr>
                <w:rFonts w:ascii="Times New Roman" w:eastAsia="宋体" w:hAnsi="Times New Roman"/>
                <w:b/>
                <w:bCs/>
                <w:color w:val="FFFFFF"/>
                <w:sz w:val="16"/>
                <w:szCs w:val="16"/>
              </w:rPr>
              <w:br/>
              <w:t>2020</w:t>
            </w:r>
          </w:p>
        </w:tc>
        <w:tc>
          <w:tcPr>
            <w:tcW w:w="0" w:type="auto"/>
            <w:gridSpan w:val="3"/>
            <w:vMerge w:val="restart"/>
            <w:shd w:val="clear" w:color="auto" w:fill="auto"/>
            <w:tcMar>
              <w:top w:w="0" w:type="dxa"/>
              <w:left w:w="20" w:type="dxa"/>
              <w:bottom w:w="0" w:type="dxa"/>
              <w:right w:w="20" w:type="dxa"/>
            </w:tcMar>
          </w:tcPr>
          <w:p w14:paraId="00BAD1EF"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center"/>
          </w:tcPr>
          <w:p w14:paraId="00BAD1F0" w14:textId="77777777" w:rsidR="00871BDF" w:rsidRDefault="005C5088">
            <w:pPr>
              <w:jc w:val="center"/>
              <w:textAlignment w:val="center"/>
            </w:pPr>
            <w:r>
              <w:rPr>
                <w:rFonts w:ascii="Times New Roman" w:eastAsia="宋体" w:hAnsi="Times New Roman"/>
                <w:b/>
                <w:bCs/>
                <w:color w:val="FFFFFF"/>
                <w:sz w:val="16"/>
                <w:szCs w:val="16"/>
              </w:rPr>
              <w:t xml:space="preserve">Sep 29, </w:t>
            </w:r>
            <w:r>
              <w:rPr>
                <w:rFonts w:ascii="Times New Roman" w:eastAsia="宋体" w:hAnsi="Times New Roman"/>
                <w:b/>
                <w:bCs/>
                <w:color w:val="FFFFFF"/>
                <w:sz w:val="16"/>
                <w:szCs w:val="16"/>
              </w:rPr>
              <w:br/>
              <w:t>2019</w:t>
            </w:r>
          </w:p>
        </w:tc>
        <w:tc>
          <w:tcPr>
            <w:tcW w:w="0" w:type="auto"/>
            <w:gridSpan w:val="3"/>
            <w:vMerge w:val="restart"/>
            <w:shd w:val="clear" w:color="auto" w:fill="auto"/>
            <w:tcMar>
              <w:top w:w="0" w:type="dxa"/>
              <w:left w:w="20" w:type="dxa"/>
              <w:bottom w:w="0" w:type="dxa"/>
              <w:right w:w="20" w:type="dxa"/>
            </w:tcMar>
          </w:tcPr>
          <w:p w14:paraId="00BAD1F1"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center"/>
          </w:tcPr>
          <w:p w14:paraId="00BAD1F2" w14:textId="77777777" w:rsidR="00871BDF" w:rsidRDefault="005C5088">
            <w:pPr>
              <w:jc w:val="center"/>
              <w:textAlignment w:val="center"/>
            </w:pPr>
            <w:r>
              <w:rPr>
                <w:rFonts w:ascii="Times New Roman" w:eastAsia="宋体" w:hAnsi="Times New Roman"/>
                <w:b/>
                <w:bCs/>
                <w:color w:val="FFFFFF"/>
                <w:sz w:val="16"/>
                <w:szCs w:val="16"/>
              </w:rPr>
              <w:t xml:space="preserve">Sep 30, </w:t>
            </w:r>
            <w:r>
              <w:rPr>
                <w:rFonts w:ascii="Times New Roman" w:eastAsia="宋体" w:hAnsi="Times New Roman"/>
                <w:b/>
                <w:bCs/>
                <w:color w:val="FFFFFF"/>
                <w:sz w:val="16"/>
                <w:szCs w:val="16"/>
              </w:rPr>
              <w:br/>
              <w:t>2018</w:t>
            </w:r>
          </w:p>
        </w:tc>
        <w:tc>
          <w:tcPr>
            <w:tcW w:w="0" w:type="auto"/>
            <w:gridSpan w:val="3"/>
            <w:vMerge w:val="restart"/>
            <w:shd w:val="clear" w:color="auto" w:fill="auto"/>
            <w:tcMar>
              <w:top w:w="0" w:type="dxa"/>
              <w:left w:w="20" w:type="dxa"/>
              <w:bottom w:w="0" w:type="dxa"/>
              <w:right w:w="20" w:type="dxa"/>
            </w:tcMar>
          </w:tcPr>
          <w:p w14:paraId="00BAD1F3"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center"/>
          </w:tcPr>
          <w:p w14:paraId="00BAD1F4" w14:textId="77777777" w:rsidR="00871BDF" w:rsidRDefault="005C5088">
            <w:pPr>
              <w:jc w:val="center"/>
              <w:textAlignment w:val="center"/>
            </w:pPr>
            <w:r>
              <w:rPr>
                <w:rFonts w:ascii="Times New Roman" w:eastAsia="宋体" w:hAnsi="Times New Roman"/>
                <w:b/>
                <w:bCs/>
                <w:color w:val="FFFFFF"/>
                <w:sz w:val="16"/>
                <w:szCs w:val="16"/>
              </w:rPr>
              <w:t xml:space="preserve">Oct 1, </w:t>
            </w:r>
            <w:r>
              <w:rPr>
                <w:rFonts w:ascii="Times New Roman" w:eastAsia="宋体" w:hAnsi="Times New Roman"/>
                <w:b/>
                <w:bCs/>
                <w:color w:val="FFFFFF"/>
                <w:sz w:val="16"/>
                <w:szCs w:val="16"/>
              </w:rPr>
              <w:br/>
              <w:t>2017</w:t>
            </w:r>
          </w:p>
        </w:tc>
        <w:tc>
          <w:tcPr>
            <w:tcW w:w="0" w:type="auto"/>
            <w:gridSpan w:val="3"/>
            <w:vMerge w:val="restart"/>
            <w:shd w:val="clear" w:color="auto" w:fill="auto"/>
            <w:tcMar>
              <w:top w:w="0" w:type="dxa"/>
              <w:left w:w="20" w:type="dxa"/>
              <w:bottom w:w="0" w:type="dxa"/>
              <w:right w:w="20" w:type="dxa"/>
            </w:tcMar>
          </w:tcPr>
          <w:p w14:paraId="00BAD1F5"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center"/>
          </w:tcPr>
          <w:p w14:paraId="00BAD1F6" w14:textId="77777777" w:rsidR="00871BDF" w:rsidRDefault="005C5088">
            <w:pPr>
              <w:jc w:val="center"/>
              <w:textAlignment w:val="center"/>
            </w:pPr>
            <w:r>
              <w:rPr>
                <w:rFonts w:ascii="Times New Roman" w:eastAsia="宋体" w:hAnsi="Times New Roman"/>
                <w:b/>
                <w:bCs/>
                <w:color w:val="FFFFFF"/>
                <w:sz w:val="16"/>
                <w:szCs w:val="16"/>
              </w:rPr>
              <w:t xml:space="preserve">Oct 2, </w:t>
            </w:r>
            <w:r>
              <w:rPr>
                <w:rFonts w:ascii="Times New Roman" w:eastAsia="宋体" w:hAnsi="Times New Roman"/>
                <w:b/>
                <w:bCs/>
                <w:color w:val="FFFFFF"/>
                <w:sz w:val="16"/>
                <w:szCs w:val="16"/>
              </w:rPr>
              <w:br/>
              <w:t>2016</w:t>
            </w:r>
          </w:p>
        </w:tc>
      </w:tr>
      <w:tr w:rsidR="00871BDF" w14:paraId="00BAD203" w14:textId="77777777">
        <w:trPr>
          <w:trHeight w:val="160"/>
          <w:jc w:val="center"/>
        </w:trPr>
        <w:tc>
          <w:tcPr>
            <w:tcW w:w="0" w:type="auto"/>
            <w:gridSpan w:val="3"/>
            <w:vMerge/>
            <w:shd w:val="clear" w:color="auto" w:fill="auto"/>
            <w:tcMar>
              <w:top w:w="40" w:type="dxa"/>
              <w:left w:w="20" w:type="dxa"/>
              <w:bottom w:w="40" w:type="dxa"/>
              <w:right w:w="20" w:type="dxa"/>
            </w:tcMar>
            <w:vAlign w:val="bottom"/>
          </w:tcPr>
          <w:p w14:paraId="00BAD1F8"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D1F9"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D1FA"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D1FB"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D1FC"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D1FD"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D1FE"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D1FF"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D200"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D201" w14:textId="77777777" w:rsidR="00871BDF" w:rsidRDefault="00871BDF">
            <w:pPr>
              <w:jc w:val="center"/>
              <w:rPr>
                <w:rFonts w:ascii="宋体"/>
              </w:rPr>
            </w:pPr>
          </w:p>
        </w:tc>
        <w:tc>
          <w:tcPr>
            <w:tcW w:w="0" w:type="auto"/>
            <w:gridSpan w:val="30"/>
            <w:shd w:val="clear" w:color="auto" w:fill="auto"/>
          </w:tcPr>
          <w:p w14:paraId="00BAD202" w14:textId="77777777" w:rsidR="00871BDF" w:rsidRDefault="00871BDF">
            <w:pPr>
              <w:rPr>
                <w:rFonts w:ascii="宋体"/>
                <w:vanish/>
              </w:rPr>
            </w:pPr>
          </w:p>
        </w:tc>
      </w:tr>
      <w:tr w:rsidR="00871BDF" w14:paraId="00BAD22C" w14:textId="77777777">
        <w:trPr>
          <w:jc w:val="center"/>
        </w:trPr>
        <w:tc>
          <w:tcPr>
            <w:tcW w:w="0" w:type="auto"/>
            <w:gridSpan w:val="3"/>
            <w:shd w:val="clear" w:color="auto" w:fill="D7E4BC"/>
            <w:tcMar>
              <w:top w:w="40" w:type="dxa"/>
              <w:left w:w="20" w:type="dxa"/>
              <w:bottom w:w="40" w:type="dxa"/>
              <w:right w:w="20" w:type="dxa"/>
            </w:tcMar>
            <w:vAlign w:val="bottom"/>
          </w:tcPr>
          <w:p w14:paraId="00BAD204" w14:textId="77777777" w:rsidR="00871BDF" w:rsidRDefault="005C5088">
            <w:pPr>
              <w:textAlignment w:val="bottom"/>
            </w:pPr>
            <w:r>
              <w:rPr>
                <w:rFonts w:ascii="Times New Roman" w:eastAsia="宋体" w:hAnsi="Times New Roman"/>
                <w:color w:val="000000"/>
                <w:sz w:val="20"/>
                <w:szCs w:val="20"/>
              </w:rPr>
              <w:t>Per</w:t>
            </w:r>
            <w:r>
              <w:rPr>
                <w:rFonts w:ascii="Times New Roman" w:eastAsia="宋体" w:hAnsi="Times New Roman"/>
                <w:color w:val="000000"/>
                <w:sz w:val="20"/>
                <w:szCs w:val="20"/>
              </w:rPr>
              <w:t>centage change in comparable store sales</w:t>
            </w:r>
            <w:r>
              <w:rPr>
                <w:rFonts w:ascii="Times New Roman" w:eastAsia="宋体" w:hAnsi="Times New Roman"/>
                <w:color w:val="000000"/>
                <w:sz w:val="13"/>
                <w:szCs w:val="13"/>
              </w:rPr>
              <w:t>(1)</w:t>
            </w:r>
          </w:p>
        </w:tc>
        <w:tc>
          <w:tcPr>
            <w:tcW w:w="0" w:type="auto"/>
            <w:gridSpan w:val="3"/>
            <w:tcBorders>
              <w:top w:val="single" w:sz="8" w:space="0" w:color="000000"/>
            </w:tcBorders>
            <w:shd w:val="clear" w:color="auto" w:fill="D7E4BC"/>
            <w:tcMar>
              <w:top w:w="0" w:type="dxa"/>
              <w:left w:w="20" w:type="dxa"/>
              <w:bottom w:w="0" w:type="dxa"/>
              <w:right w:w="20" w:type="dxa"/>
            </w:tcMar>
          </w:tcPr>
          <w:p w14:paraId="00BAD20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206"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20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208"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20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20A"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20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20C"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20D" w14:textId="77777777" w:rsidR="00871BDF" w:rsidRDefault="00871BDF">
            <w:pPr>
              <w:rPr>
                <w:rFonts w:ascii="宋体"/>
              </w:rPr>
            </w:pPr>
          </w:p>
        </w:tc>
        <w:tc>
          <w:tcPr>
            <w:tcW w:w="0" w:type="auto"/>
            <w:shd w:val="clear" w:color="auto" w:fill="auto"/>
          </w:tcPr>
          <w:p w14:paraId="00BAD20E" w14:textId="77777777" w:rsidR="00871BDF" w:rsidRDefault="00871BDF">
            <w:pPr>
              <w:rPr>
                <w:rFonts w:ascii="宋体"/>
              </w:rPr>
            </w:pPr>
          </w:p>
        </w:tc>
        <w:tc>
          <w:tcPr>
            <w:tcW w:w="0" w:type="auto"/>
            <w:shd w:val="clear" w:color="auto" w:fill="auto"/>
          </w:tcPr>
          <w:p w14:paraId="00BAD20F" w14:textId="77777777" w:rsidR="00871BDF" w:rsidRDefault="00871BDF">
            <w:pPr>
              <w:rPr>
                <w:rFonts w:ascii="宋体"/>
              </w:rPr>
            </w:pPr>
          </w:p>
        </w:tc>
        <w:tc>
          <w:tcPr>
            <w:tcW w:w="0" w:type="auto"/>
            <w:shd w:val="clear" w:color="auto" w:fill="auto"/>
          </w:tcPr>
          <w:p w14:paraId="00BAD210" w14:textId="77777777" w:rsidR="00871BDF" w:rsidRDefault="00871BDF">
            <w:pPr>
              <w:rPr>
                <w:rFonts w:ascii="宋体"/>
              </w:rPr>
            </w:pPr>
          </w:p>
        </w:tc>
        <w:tc>
          <w:tcPr>
            <w:tcW w:w="0" w:type="auto"/>
            <w:shd w:val="clear" w:color="auto" w:fill="auto"/>
          </w:tcPr>
          <w:p w14:paraId="00BAD211" w14:textId="77777777" w:rsidR="00871BDF" w:rsidRDefault="00871BDF">
            <w:pPr>
              <w:rPr>
                <w:rFonts w:ascii="宋体"/>
              </w:rPr>
            </w:pPr>
          </w:p>
        </w:tc>
        <w:tc>
          <w:tcPr>
            <w:tcW w:w="0" w:type="auto"/>
            <w:shd w:val="clear" w:color="auto" w:fill="auto"/>
          </w:tcPr>
          <w:p w14:paraId="00BAD212" w14:textId="77777777" w:rsidR="00871BDF" w:rsidRDefault="00871BDF">
            <w:pPr>
              <w:rPr>
                <w:rFonts w:ascii="宋体"/>
              </w:rPr>
            </w:pPr>
          </w:p>
        </w:tc>
        <w:tc>
          <w:tcPr>
            <w:tcW w:w="0" w:type="auto"/>
            <w:shd w:val="clear" w:color="auto" w:fill="auto"/>
          </w:tcPr>
          <w:p w14:paraId="00BAD213" w14:textId="77777777" w:rsidR="00871BDF" w:rsidRDefault="00871BDF">
            <w:pPr>
              <w:rPr>
                <w:rFonts w:ascii="宋体"/>
              </w:rPr>
            </w:pPr>
          </w:p>
        </w:tc>
        <w:tc>
          <w:tcPr>
            <w:tcW w:w="0" w:type="auto"/>
            <w:shd w:val="clear" w:color="auto" w:fill="auto"/>
          </w:tcPr>
          <w:p w14:paraId="00BAD214" w14:textId="77777777" w:rsidR="00871BDF" w:rsidRDefault="00871BDF">
            <w:pPr>
              <w:rPr>
                <w:rFonts w:ascii="宋体"/>
              </w:rPr>
            </w:pPr>
          </w:p>
        </w:tc>
        <w:tc>
          <w:tcPr>
            <w:tcW w:w="0" w:type="auto"/>
            <w:shd w:val="clear" w:color="auto" w:fill="auto"/>
          </w:tcPr>
          <w:p w14:paraId="00BAD215" w14:textId="77777777" w:rsidR="00871BDF" w:rsidRDefault="00871BDF">
            <w:pPr>
              <w:rPr>
                <w:rFonts w:ascii="宋体"/>
              </w:rPr>
            </w:pPr>
          </w:p>
        </w:tc>
        <w:tc>
          <w:tcPr>
            <w:tcW w:w="0" w:type="auto"/>
            <w:shd w:val="clear" w:color="auto" w:fill="auto"/>
          </w:tcPr>
          <w:p w14:paraId="00BAD216" w14:textId="77777777" w:rsidR="00871BDF" w:rsidRDefault="00871BDF">
            <w:pPr>
              <w:rPr>
                <w:rFonts w:ascii="宋体"/>
              </w:rPr>
            </w:pPr>
          </w:p>
        </w:tc>
        <w:tc>
          <w:tcPr>
            <w:tcW w:w="0" w:type="auto"/>
            <w:shd w:val="clear" w:color="auto" w:fill="auto"/>
          </w:tcPr>
          <w:p w14:paraId="00BAD217" w14:textId="77777777" w:rsidR="00871BDF" w:rsidRDefault="00871BDF">
            <w:pPr>
              <w:rPr>
                <w:rFonts w:ascii="宋体"/>
              </w:rPr>
            </w:pPr>
          </w:p>
        </w:tc>
        <w:tc>
          <w:tcPr>
            <w:tcW w:w="0" w:type="auto"/>
            <w:shd w:val="clear" w:color="auto" w:fill="auto"/>
          </w:tcPr>
          <w:p w14:paraId="00BAD218" w14:textId="77777777" w:rsidR="00871BDF" w:rsidRDefault="00871BDF">
            <w:pPr>
              <w:rPr>
                <w:rFonts w:ascii="宋体"/>
              </w:rPr>
            </w:pPr>
          </w:p>
        </w:tc>
        <w:tc>
          <w:tcPr>
            <w:tcW w:w="0" w:type="auto"/>
            <w:shd w:val="clear" w:color="auto" w:fill="auto"/>
          </w:tcPr>
          <w:p w14:paraId="00BAD219" w14:textId="77777777" w:rsidR="00871BDF" w:rsidRDefault="00871BDF">
            <w:pPr>
              <w:rPr>
                <w:rFonts w:ascii="宋体"/>
              </w:rPr>
            </w:pPr>
          </w:p>
        </w:tc>
        <w:tc>
          <w:tcPr>
            <w:tcW w:w="0" w:type="auto"/>
            <w:shd w:val="clear" w:color="auto" w:fill="auto"/>
          </w:tcPr>
          <w:p w14:paraId="00BAD21A" w14:textId="77777777" w:rsidR="00871BDF" w:rsidRDefault="00871BDF">
            <w:pPr>
              <w:rPr>
                <w:rFonts w:ascii="宋体"/>
              </w:rPr>
            </w:pPr>
          </w:p>
        </w:tc>
        <w:tc>
          <w:tcPr>
            <w:tcW w:w="0" w:type="auto"/>
            <w:shd w:val="clear" w:color="auto" w:fill="auto"/>
          </w:tcPr>
          <w:p w14:paraId="00BAD21B" w14:textId="77777777" w:rsidR="00871BDF" w:rsidRDefault="00871BDF">
            <w:pPr>
              <w:rPr>
                <w:rFonts w:ascii="宋体"/>
              </w:rPr>
            </w:pPr>
          </w:p>
        </w:tc>
        <w:tc>
          <w:tcPr>
            <w:tcW w:w="0" w:type="auto"/>
            <w:shd w:val="clear" w:color="auto" w:fill="auto"/>
          </w:tcPr>
          <w:p w14:paraId="00BAD21C" w14:textId="77777777" w:rsidR="00871BDF" w:rsidRDefault="00871BDF">
            <w:pPr>
              <w:rPr>
                <w:rFonts w:ascii="宋体"/>
              </w:rPr>
            </w:pPr>
          </w:p>
        </w:tc>
        <w:tc>
          <w:tcPr>
            <w:tcW w:w="0" w:type="auto"/>
            <w:shd w:val="clear" w:color="auto" w:fill="auto"/>
          </w:tcPr>
          <w:p w14:paraId="00BAD21D" w14:textId="77777777" w:rsidR="00871BDF" w:rsidRDefault="00871BDF">
            <w:pPr>
              <w:rPr>
                <w:rFonts w:ascii="宋体"/>
              </w:rPr>
            </w:pPr>
          </w:p>
        </w:tc>
        <w:tc>
          <w:tcPr>
            <w:tcW w:w="0" w:type="auto"/>
            <w:shd w:val="clear" w:color="auto" w:fill="auto"/>
          </w:tcPr>
          <w:p w14:paraId="00BAD21E" w14:textId="77777777" w:rsidR="00871BDF" w:rsidRDefault="00871BDF">
            <w:pPr>
              <w:rPr>
                <w:rFonts w:ascii="宋体"/>
              </w:rPr>
            </w:pPr>
          </w:p>
        </w:tc>
        <w:tc>
          <w:tcPr>
            <w:tcW w:w="0" w:type="auto"/>
            <w:shd w:val="clear" w:color="auto" w:fill="auto"/>
          </w:tcPr>
          <w:p w14:paraId="00BAD21F" w14:textId="77777777" w:rsidR="00871BDF" w:rsidRDefault="00871BDF">
            <w:pPr>
              <w:rPr>
                <w:rFonts w:ascii="宋体"/>
              </w:rPr>
            </w:pPr>
          </w:p>
        </w:tc>
        <w:tc>
          <w:tcPr>
            <w:tcW w:w="0" w:type="auto"/>
            <w:shd w:val="clear" w:color="auto" w:fill="auto"/>
          </w:tcPr>
          <w:p w14:paraId="00BAD220" w14:textId="77777777" w:rsidR="00871BDF" w:rsidRDefault="00871BDF">
            <w:pPr>
              <w:rPr>
                <w:rFonts w:ascii="宋体"/>
              </w:rPr>
            </w:pPr>
          </w:p>
        </w:tc>
        <w:tc>
          <w:tcPr>
            <w:tcW w:w="0" w:type="auto"/>
            <w:shd w:val="clear" w:color="auto" w:fill="auto"/>
          </w:tcPr>
          <w:p w14:paraId="00BAD221" w14:textId="77777777" w:rsidR="00871BDF" w:rsidRDefault="00871BDF">
            <w:pPr>
              <w:rPr>
                <w:rFonts w:ascii="宋体"/>
              </w:rPr>
            </w:pPr>
          </w:p>
        </w:tc>
        <w:tc>
          <w:tcPr>
            <w:tcW w:w="0" w:type="auto"/>
            <w:shd w:val="clear" w:color="auto" w:fill="auto"/>
          </w:tcPr>
          <w:p w14:paraId="00BAD222" w14:textId="77777777" w:rsidR="00871BDF" w:rsidRDefault="00871BDF">
            <w:pPr>
              <w:rPr>
                <w:rFonts w:ascii="宋体"/>
              </w:rPr>
            </w:pPr>
          </w:p>
        </w:tc>
        <w:tc>
          <w:tcPr>
            <w:tcW w:w="0" w:type="auto"/>
            <w:shd w:val="clear" w:color="auto" w:fill="auto"/>
          </w:tcPr>
          <w:p w14:paraId="00BAD223" w14:textId="77777777" w:rsidR="00871BDF" w:rsidRDefault="00871BDF">
            <w:pPr>
              <w:rPr>
                <w:rFonts w:ascii="宋体"/>
              </w:rPr>
            </w:pPr>
          </w:p>
        </w:tc>
        <w:tc>
          <w:tcPr>
            <w:tcW w:w="0" w:type="auto"/>
            <w:shd w:val="clear" w:color="auto" w:fill="auto"/>
          </w:tcPr>
          <w:p w14:paraId="00BAD224" w14:textId="77777777" w:rsidR="00871BDF" w:rsidRDefault="00871BDF">
            <w:pPr>
              <w:rPr>
                <w:rFonts w:ascii="宋体"/>
              </w:rPr>
            </w:pPr>
          </w:p>
        </w:tc>
        <w:tc>
          <w:tcPr>
            <w:tcW w:w="0" w:type="auto"/>
            <w:shd w:val="clear" w:color="auto" w:fill="auto"/>
          </w:tcPr>
          <w:p w14:paraId="00BAD225" w14:textId="77777777" w:rsidR="00871BDF" w:rsidRDefault="00871BDF">
            <w:pPr>
              <w:rPr>
                <w:rFonts w:ascii="宋体"/>
              </w:rPr>
            </w:pPr>
          </w:p>
        </w:tc>
        <w:tc>
          <w:tcPr>
            <w:tcW w:w="0" w:type="auto"/>
            <w:shd w:val="clear" w:color="auto" w:fill="auto"/>
          </w:tcPr>
          <w:p w14:paraId="00BAD226" w14:textId="77777777" w:rsidR="00871BDF" w:rsidRDefault="00871BDF">
            <w:pPr>
              <w:rPr>
                <w:rFonts w:ascii="宋体"/>
              </w:rPr>
            </w:pPr>
          </w:p>
        </w:tc>
        <w:tc>
          <w:tcPr>
            <w:tcW w:w="0" w:type="auto"/>
            <w:shd w:val="clear" w:color="auto" w:fill="auto"/>
          </w:tcPr>
          <w:p w14:paraId="00BAD227" w14:textId="77777777" w:rsidR="00871BDF" w:rsidRDefault="00871BDF">
            <w:pPr>
              <w:rPr>
                <w:rFonts w:ascii="宋体"/>
              </w:rPr>
            </w:pPr>
          </w:p>
        </w:tc>
        <w:tc>
          <w:tcPr>
            <w:tcW w:w="0" w:type="auto"/>
            <w:shd w:val="clear" w:color="auto" w:fill="auto"/>
          </w:tcPr>
          <w:p w14:paraId="00BAD228" w14:textId="77777777" w:rsidR="00871BDF" w:rsidRDefault="00871BDF">
            <w:pPr>
              <w:rPr>
                <w:rFonts w:ascii="宋体"/>
              </w:rPr>
            </w:pPr>
          </w:p>
        </w:tc>
        <w:tc>
          <w:tcPr>
            <w:tcW w:w="0" w:type="auto"/>
            <w:shd w:val="clear" w:color="auto" w:fill="auto"/>
          </w:tcPr>
          <w:p w14:paraId="00BAD229" w14:textId="77777777" w:rsidR="00871BDF" w:rsidRDefault="00871BDF">
            <w:pPr>
              <w:rPr>
                <w:rFonts w:ascii="宋体"/>
              </w:rPr>
            </w:pPr>
          </w:p>
        </w:tc>
        <w:tc>
          <w:tcPr>
            <w:tcW w:w="0" w:type="auto"/>
            <w:shd w:val="clear" w:color="auto" w:fill="auto"/>
          </w:tcPr>
          <w:p w14:paraId="00BAD22A" w14:textId="77777777" w:rsidR="00871BDF" w:rsidRDefault="00871BDF">
            <w:pPr>
              <w:rPr>
                <w:rFonts w:ascii="宋体"/>
              </w:rPr>
            </w:pPr>
          </w:p>
        </w:tc>
        <w:tc>
          <w:tcPr>
            <w:tcW w:w="0" w:type="auto"/>
            <w:shd w:val="clear" w:color="auto" w:fill="auto"/>
          </w:tcPr>
          <w:p w14:paraId="00BAD22B" w14:textId="77777777" w:rsidR="00871BDF" w:rsidRDefault="00871BDF">
            <w:pPr>
              <w:rPr>
                <w:rFonts w:ascii="宋体"/>
              </w:rPr>
            </w:pPr>
          </w:p>
        </w:tc>
      </w:tr>
      <w:tr w:rsidR="00871BDF" w14:paraId="00BAD255" w14:textId="77777777">
        <w:trPr>
          <w:jc w:val="center"/>
        </w:trPr>
        <w:tc>
          <w:tcPr>
            <w:tcW w:w="0" w:type="auto"/>
            <w:gridSpan w:val="3"/>
            <w:shd w:val="clear" w:color="auto" w:fill="FFFFFF"/>
            <w:tcMar>
              <w:top w:w="40" w:type="dxa"/>
              <w:left w:w="20" w:type="dxa"/>
              <w:bottom w:w="40" w:type="dxa"/>
              <w:right w:w="20" w:type="dxa"/>
            </w:tcMar>
            <w:vAlign w:val="bottom"/>
          </w:tcPr>
          <w:p w14:paraId="00BAD22D" w14:textId="77777777" w:rsidR="00871BDF" w:rsidRDefault="005C5088">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tcPr>
          <w:p w14:paraId="00BAD22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2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3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3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3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3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3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3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36" w14:textId="77777777" w:rsidR="00871BDF" w:rsidRDefault="00871BDF">
            <w:pPr>
              <w:rPr>
                <w:rFonts w:ascii="宋体"/>
              </w:rPr>
            </w:pPr>
          </w:p>
        </w:tc>
        <w:tc>
          <w:tcPr>
            <w:tcW w:w="0" w:type="auto"/>
            <w:shd w:val="clear" w:color="auto" w:fill="auto"/>
          </w:tcPr>
          <w:p w14:paraId="00BAD237" w14:textId="77777777" w:rsidR="00871BDF" w:rsidRDefault="00871BDF">
            <w:pPr>
              <w:rPr>
                <w:rFonts w:ascii="宋体"/>
              </w:rPr>
            </w:pPr>
          </w:p>
        </w:tc>
        <w:tc>
          <w:tcPr>
            <w:tcW w:w="0" w:type="auto"/>
            <w:shd w:val="clear" w:color="auto" w:fill="auto"/>
          </w:tcPr>
          <w:p w14:paraId="00BAD238" w14:textId="77777777" w:rsidR="00871BDF" w:rsidRDefault="00871BDF">
            <w:pPr>
              <w:rPr>
                <w:rFonts w:ascii="宋体"/>
              </w:rPr>
            </w:pPr>
          </w:p>
        </w:tc>
        <w:tc>
          <w:tcPr>
            <w:tcW w:w="0" w:type="auto"/>
            <w:shd w:val="clear" w:color="auto" w:fill="auto"/>
          </w:tcPr>
          <w:p w14:paraId="00BAD239" w14:textId="77777777" w:rsidR="00871BDF" w:rsidRDefault="00871BDF">
            <w:pPr>
              <w:rPr>
                <w:rFonts w:ascii="宋体"/>
              </w:rPr>
            </w:pPr>
          </w:p>
        </w:tc>
        <w:tc>
          <w:tcPr>
            <w:tcW w:w="0" w:type="auto"/>
            <w:shd w:val="clear" w:color="auto" w:fill="auto"/>
          </w:tcPr>
          <w:p w14:paraId="00BAD23A" w14:textId="77777777" w:rsidR="00871BDF" w:rsidRDefault="00871BDF">
            <w:pPr>
              <w:rPr>
                <w:rFonts w:ascii="宋体"/>
              </w:rPr>
            </w:pPr>
          </w:p>
        </w:tc>
        <w:tc>
          <w:tcPr>
            <w:tcW w:w="0" w:type="auto"/>
            <w:shd w:val="clear" w:color="auto" w:fill="auto"/>
          </w:tcPr>
          <w:p w14:paraId="00BAD23B" w14:textId="77777777" w:rsidR="00871BDF" w:rsidRDefault="00871BDF">
            <w:pPr>
              <w:rPr>
                <w:rFonts w:ascii="宋体"/>
              </w:rPr>
            </w:pPr>
          </w:p>
        </w:tc>
        <w:tc>
          <w:tcPr>
            <w:tcW w:w="0" w:type="auto"/>
            <w:shd w:val="clear" w:color="auto" w:fill="auto"/>
          </w:tcPr>
          <w:p w14:paraId="00BAD23C" w14:textId="77777777" w:rsidR="00871BDF" w:rsidRDefault="00871BDF">
            <w:pPr>
              <w:rPr>
                <w:rFonts w:ascii="宋体"/>
              </w:rPr>
            </w:pPr>
          </w:p>
        </w:tc>
        <w:tc>
          <w:tcPr>
            <w:tcW w:w="0" w:type="auto"/>
            <w:shd w:val="clear" w:color="auto" w:fill="auto"/>
          </w:tcPr>
          <w:p w14:paraId="00BAD23D" w14:textId="77777777" w:rsidR="00871BDF" w:rsidRDefault="00871BDF">
            <w:pPr>
              <w:rPr>
                <w:rFonts w:ascii="宋体"/>
              </w:rPr>
            </w:pPr>
          </w:p>
        </w:tc>
        <w:tc>
          <w:tcPr>
            <w:tcW w:w="0" w:type="auto"/>
            <w:shd w:val="clear" w:color="auto" w:fill="auto"/>
          </w:tcPr>
          <w:p w14:paraId="00BAD23E" w14:textId="77777777" w:rsidR="00871BDF" w:rsidRDefault="00871BDF">
            <w:pPr>
              <w:rPr>
                <w:rFonts w:ascii="宋体"/>
              </w:rPr>
            </w:pPr>
          </w:p>
        </w:tc>
        <w:tc>
          <w:tcPr>
            <w:tcW w:w="0" w:type="auto"/>
            <w:shd w:val="clear" w:color="auto" w:fill="auto"/>
          </w:tcPr>
          <w:p w14:paraId="00BAD23F" w14:textId="77777777" w:rsidR="00871BDF" w:rsidRDefault="00871BDF">
            <w:pPr>
              <w:rPr>
                <w:rFonts w:ascii="宋体"/>
              </w:rPr>
            </w:pPr>
          </w:p>
        </w:tc>
        <w:tc>
          <w:tcPr>
            <w:tcW w:w="0" w:type="auto"/>
            <w:shd w:val="clear" w:color="auto" w:fill="auto"/>
          </w:tcPr>
          <w:p w14:paraId="00BAD240" w14:textId="77777777" w:rsidR="00871BDF" w:rsidRDefault="00871BDF">
            <w:pPr>
              <w:rPr>
                <w:rFonts w:ascii="宋体"/>
              </w:rPr>
            </w:pPr>
          </w:p>
        </w:tc>
        <w:tc>
          <w:tcPr>
            <w:tcW w:w="0" w:type="auto"/>
            <w:shd w:val="clear" w:color="auto" w:fill="auto"/>
          </w:tcPr>
          <w:p w14:paraId="00BAD241" w14:textId="77777777" w:rsidR="00871BDF" w:rsidRDefault="00871BDF">
            <w:pPr>
              <w:rPr>
                <w:rFonts w:ascii="宋体"/>
              </w:rPr>
            </w:pPr>
          </w:p>
        </w:tc>
        <w:tc>
          <w:tcPr>
            <w:tcW w:w="0" w:type="auto"/>
            <w:shd w:val="clear" w:color="auto" w:fill="auto"/>
          </w:tcPr>
          <w:p w14:paraId="00BAD242" w14:textId="77777777" w:rsidR="00871BDF" w:rsidRDefault="00871BDF">
            <w:pPr>
              <w:rPr>
                <w:rFonts w:ascii="宋体"/>
              </w:rPr>
            </w:pPr>
          </w:p>
        </w:tc>
        <w:tc>
          <w:tcPr>
            <w:tcW w:w="0" w:type="auto"/>
            <w:shd w:val="clear" w:color="auto" w:fill="auto"/>
          </w:tcPr>
          <w:p w14:paraId="00BAD243" w14:textId="77777777" w:rsidR="00871BDF" w:rsidRDefault="00871BDF">
            <w:pPr>
              <w:rPr>
                <w:rFonts w:ascii="宋体"/>
              </w:rPr>
            </w:pPr>
          </w:p>
        </w:tc>
        <w:tc>
          <w:tcPr>
            <w:tcW w:w="0" w:type="auto"/>
            <w:shd w:val="clear" w:color="auto" w:fill="auto"/>
          </w:tcPr>
          <w:p w14:paraId="00BAD244" w14:textId="77777777" w:rsidR="00871BDF" w:rsidRDefault="00871BDF">
            <w:pPr>
              <w:rPr>
                <w:rFonts w:ascii="宋体"/>
              </w:rPr>
            </w:pPr>
          </w:p>
        </w:tc>
        <w:tc>
          <w:tcPr>
            <w:tcW w:w="0" w:type="auto"/>
            <w:shd w:val="clear" w:color="auto" w:fill="auto"/>
          </w:tcPr>
          <w:p w14:paraId="00BAD245" w14:textId="77777777" w:rsidR="00871BDF" w:rsidRDefault="00871BDF">
            <w:pPr>
              <w:rPr>
                <w:rFonts w:ascii="宋体"/>
              </w:rPr>
            </w:pPr>
          </w:p>
        </w:tc>
        <w:tc>
          <w:tcPr>
            <w:tcW w:w="0" w:type="auto"/>
            <w:shd w:val="clear" w:color="auto" w:fill="auto"/>
          </w:tcPr>
          <w:p w14:paraId="00BAD246" w14:textId="77777777" w:rsidR="00871BDF" w:rsidRDefault="00871BDF">
            <w:pPr>
              <w:rPr>
                <w:rFonts w:ascii="宋体"/>
              </w:rPr>
            </w:pPr>
          </w:p>
        </w:tc>
        <w:tc>
          <w:tcPr>
            <w:tcW w:w="0" w:type="auto"/>
            <w:shd w:val="clear" w:color="auto" w:fill="auto"/>
          </w:tcPr>
          <w:p w14:paraId="00BAD247" w14:textId="77777777" w:rsidR="00871BDF" w:rsidRDefault="00871BDF">
            <w:pPr>
              <w:rPr>
                <w:rFonts w:ascii="宋体"/>
              </w:rPr>
            </w:pPr>
          </w:p>
        </w:tc>
        <w:tc>
          <w:tcPr>
            <w:tcW w:w="0" w:type="auto"/>
            <w:shd w:val="clear" w:color="auto" w:fill="auto"/>
          </w:tcPr>
          <w:p w14:paraId="00BAD248" w14:textId="77777777" w:rsidR="00871BDF" w:rsidRDefault="00871BDF">
            <w:pPr>
              <w:rPr>
                <w:rFonts w:ascii="宋体"/>
              </w:rPr>
            </w:pPr>
          </w:p>
        </w:tc>
        <w:tc>
          <w:tcPr>
            <w:tcW w:w="0" w:type="auto"/>
            <w:shd w:val="clear" w:color="auto" w:fill="auto"/>
          </w:tcPr>
          <w:p w14:paraId="00BAD249" w14:textId="77777777" w:rsidR="00871BDF" w:rsidRDefault="00871BDF">
            <w:pPr>
              <w:rPr>
                <w:rFonts w:ascii="宋体"/>
              </w:rPr>
            </w:pPr>
          </w:p>
        </w:tc>
        <w:tc>
          <w:tcPr>
            <w:tcW w:w="0" w:type="auto"/>
            <w:shd w:val="clear" w:color="auto" w:fill="auto"/>
          </w:tcPr>
          <w:p w14:paraId="00BAD24A" w14:textId="77777777" w:rsidR="00871BDF" w:rsidRDefault="00871BDF">
            <w:pPr>
              <w:rPr>
                <w:rFonts w:ascii="宋体"/>
              </w:rPr>
            </w:pPr>
          </w:p>
        </w:tc>
        <w:tc>
          <w:tcPr>
            <w:tcW w:w="0" w:type="auto"/>
            <w:shd w:val="clear" w:color="auto" w:fill="auto"/>
          </w:tcPr>
          <w:p w14:paraId="00BAD24B" w14:textId="77777777" w:rsidR="00871BDF" w:rsidRDefault="00871BDF">
            <w:pPr>
              <w:rPr>
                <w:rFonts w:ascii="宋体"/>
              </w:rPr>
            </w:pPr>
          </w:p>
        </w:tc>
        <w:tc>
          <w:tcPr>
            <w:tcW w:w="0" w:type="auto"/>
            <w:shd w:val="clear" w:color="auto" w:fill="auto"/>
          </w:tcPr>
          <w:p w14:paraId="00BAD24C" w14:textId="77777777" w:rsidR="00871BDF" w:rsidRDefault="00871BDF">
            <w:pPr>
              <w:rPr>
                <w:rFonts w:ascii="宋体"/>
              </w:rPr>
            </w:pPr>
          </w:p>
        </w:tc>
        <w:tc>
          <w:tcPr>
            <w:tcW w:w="0" w:type="auto"/>
            <w:shd w:val="clear" w:color="auto" w:fill="auto"/>
          </w:tcPr>
          <w:p w14:paraId="00BAD24D" w14:textId="77777777" w:rsidR="00871BDF" w:rsidRDefault="00871BDF">
            <w:pPr>
              <w:rPr>
                <w:rFonts w:ascii="宋体"/>
              </w:rPr>
            </w:pPr>
          </w:p>
        </w:tc>
        <w:tc>
          <w:tcPr>
            <w:tcW w:w="0" w:type="auto"/>
            <w:shd w:val="clear" w:color="auto" w:fill="auto"/>
          </w:tcPr>
          <w:p w14:paraId="00BAD24E" w14:textId="77777777" w:rsidR="00871BDF" w:rsidRDefault="00871BDF">
            <w:pPr>
              <w:rPr>
                <w:rFonts w:ascii="宋体"/>
              </w:rPr>
            </w:pPr>
          </w:p>
        </w:tc>
        <w:tc>
          <w:tcPr>
            <w:tcW w:w="0" w:type="auto"/>
            <w:shd w:val="clear" w:color="auto" w:fill="auto"/>
          </w:tcPr>
          <w:p w14:paraId="00BAD24F" w14:textId="77777777" w:rsidR="00871BDF" w:rsidRDefault="00871BDF">
            <w:pPr>
              <w:rPr>
                <w:rFonts w:ascii="宋体"/>
              </w:rPr>
            </w:pPr>
          </w:p>
        </w:tc>
        <w:tc>
          <w:tcPr>
            <w:tcW w:w="0" w:type="auto"/>
            <w:shd w:val="clear" w:color="auto" w:fill="auto"/>
          </w:tcPr>
          <w:p w14:paraId="00BAD250" w14:textId="77777777" w:rsidR="00871BDF" w:rsidRDefault="00871BDF">
            <w:pPr>
              <w:rPr>
                <w:rFonts w:ascii="宋体"/>
              </w:rPr>
            </w:pPr>
          </w:p>
        </w:tc>
        <w:tc>
          <w:tcPr>
            <w:tcW w:w="0" w:type="auto"/>
            <w:shd w:val="clear" w:color="auto" w:fill="auto"/>
          </w:tcPr>
          <w:p w14:paraId="00BAD251" w14:textId="77777777" w:rsidR="00871BDF" w:rsidRDefault="00871BDF">
            <w:pPr>
              <w:rPr>
                <w:rFonts w:ascii="宋体"/>
              </w:rPr>
            </w:pPr>
          </w:p>
        </w:tc>
        <w:tc>
          <w:tcPr>
            <w:tcW w:w="0" w:type="auto"/>
            <w:shd w:val="clear" w:color="auto" w:fill="auto"/>
          </w:tcPr>
          <w:p w14:paraId="00BAD252" w14:textId="77777777" w:rsidR="00871BDF" w:rsidRDefault="00871BDF">
            <w:pPr>
              <w:rPr>
                <w:rFonts w:ascii="宋体"/>
              </w:rPr>
            </w:pPr>
          </w:p>
        </w:tc>
        <w:tc>
          <w:tcPr>
            <w:tcW w:w="0" w:type="auto"/>
            <w:shd w:val="clear" w:color="auto" w:fill="auto"/>
          </w:tcPr>
          <w:p w14:paraId="00BAD253" w14:textId="77777777" w:rsidR="00871BDF" w:rsidRDefault="00871BDF">
            <w:pPr>
              <w:rPr>
                <w:rFonts w:ascii="宋体"/>
              </w:rPr>
            </w:pPr>
          </w:p>
        </w:tc>
        <w:tc>
          <w:tcPr>
            <w:tcW w:w="0" w:type="auto"/>
            <w:shd w:val="clear" w:color="auto" w:fill="auto"/>
          </w:tcPr>
          <w:p w14:paraId="00BAD254" w14:textId="77777777" w:rsidR="00871BDF" w:rsidRDefault="00871BDF">
            <w:pPr>
              <w:rPr>
                <w:rFonts w:ascii="宋体"/>
              </w:rPr>
            </w:pPr>
          </w:p>
        </w:tc>
      </w:tr>
      <w:tr w:rsidR="00871BDF" w14:paraId="00BAD283" w14:textId="77777777">
        <w:trPr>
          <w:jc w:val="center"/>
        </w:trPr>
        <w:tc>
          <w:tcPr>
            <w:tcW w:w="0" w:type="auto"/>
            <w:gridSpan w:val="3"/>
            <w:shd w:val="clear" w:color="auto" w:fill="D7E4BC"/>
            <w:tcMar>
              <w:top w:w="40" w:type="dxa"/>
              <w:left w:w="245" w:type="dxa"/>
              <w:bottom w:w="40" w:type="dxa"/>
              <w:right w:w="20" w:type="dxa"/>
            </w:tcMar>
            <w:vAlign w:val="bottom"/>
          </w:tcPr>
          <w:p w14:paraId="00BAD256" w14:textId="77777777" w:rsidR="00871BDF" w:rsidRDefault="005C5088">
            <w:pPr>
              <w:textAlignment w:val="bottom"/>
            </w:pPr>
            <w:r>
              <w:rPr>
                <w:rFonts w:ascii="Times New Roman" w:eastAsia="宋体" w:hAnsi="Times New Roman"/>
                <w:color w:val="000000"/>
                <w:sz w:val="20"/>
                <w:szCs w:val="20"/>
              </w:rPr>
              <w:t>Sales growth</w:t>
            </w:r>
          </w:p>
        </w:tc>
        <w:tc>
          <w:tcPr>
            <w:tcW w:w="0" w:type="auto"/>
            <w:gridSpan w:val="2"/>
            <w:shd w:val="clear" w:color="auto" w:fill="D7E4BC"/>
            <w:tcMar>
              <w:top w:w="40" w:type="dxa"/>
              <w:left w:w="20" w:type="dxa"/>
              <w:bottom w:w="40" w:type="dxa"/>
              <w:right w:w="0" w:type="dxa"/>
            </w:tcMar>
            <w:vAlign w:val="bottom"/>
          </w:tcPr>
          <w:p w14:paraId="00BAD257" w14:textId="77777777" w:rsidR="00871BDF" w:rsidRDefault="005C5088">
            <w:pPr>
              <w:jc w:val="right"/>
              <w:textAlignment w:val="bottom"/>
            </w:pPr>
            <w:r>
              <w:rPr>
                <w:rFonts w:ascii="Times New Roman" w:eastAsia="宋体" w:hAnsi="Times New Roman"/>
                <w:color w:val="000000"/>
                <w:sz w:val="20"/>
                <w:szCs w:val="20"/>
              </w:rPr>
              <w:t>(12)</w:t>
            </w:r>
          </w:p>
        </w:tc>
        <w:tc>
          <w:tcPr>
            <w:tcW w:w="0" w:type="auto"/>
            <w:shd w:val="clear" w:color="auto" w:fill="D7E4BC"/>
            <w:tcMar>
              <w:top w:w="40" w:type="dxa"/>
              <w:left w:w="0" w:type="dxa"/>
              <w:bottom w:w="40" w:type="dxa"/>
              <w:right w:w="20" w:type="dxa"/>
            </w:tcMar>
            <w:vAlign w:val="bottom"/>
          </w:tcPr>
          <w:p w14:paraId="00BAD25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25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25A" w14:textId="77777777" w:rsidR="00871BDF" w:rsidRDefault="005C5088">
            <w:pPr>
              <w:jc w:val="right"/>
              <w:textAlignment w:val="bottom"/>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bottom"/>
          </w:tcPr>
          <w:p w14:paraId="00BAD25B"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25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25D" w14:textId="77777777" w:rsidR="00871BDF" w:rsidRDefault="005C5088">
            <w:pPr>
              <w:jc w:val="right"/>
              <w:textAlignment w:val="bottom"/>
            </w:pPr>
            <w:r>
              <w:rPr>
                <w:rFonts w:ascii="Times New Roman" w:eastAsia="宋体" w:hAnsi="Times New Roman"/>
                <w:color w:val="000000"/>
                <w:sz w:val="20"/>
                <w:szCs w:val="20"/>
              </w:rPr>
              <w:t>2 </w:t>
            </w:r>
          </w:p>
        </w:tc>
        <w:tc>
          <w:tcPr>
            <w:tcW w:w="0" w:type="auto"/>
            <w:shd w:val="clear" w:color="auto" w:fill="D7E4BC"/>
            <w:tcMar>
              <w:top w:w="40" w:type="dxa"/>
              <w:left w:w="0" w:type="dxa"/>
              <w:bottom w:w="40" w:type="dxa"/>
              <w:right w:w="20" w:type="dxa"/>
            </w:tcMar>
            <w:vAlign w:val="bottom"/>
          </w:tcPr>
          <w:p w14:paraId="00BAD25E"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25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260" w14:textId="77777777" w:rsidR="00871BDF" w:rsidRDefault="005C5088">
            <w:pPr>
              <w:jc w:val="right"/>
              <w:textAlignment w:val="bottom"/>
            </w:pPr>
            <w:r>
              <w:rPr>
                <w:rFonts w:ascii="Times New Roman" w:eastAsia="宋体" w:hAnsi="Times New Roman"/>
                <w:color w:val="000000"/>
                <w:sz w:val="20"/>
                <w:szCs w:val="20"/>
              </w:rPr>
              <w:t>3 </w:t>
            </w:r>
          </w:p>
        </w:tc>
        <w:tc>
          <w:tcPr>
            <w:tcW w:w="0" w:type="auto"/>
            <w:shd w:val="clear" w:color="auto" w:fill="D7E4BC"/>
            <w:tcMar>
              <w:top w:w="40" w:type="dxa"/>
              <w:left w:w="0" w:type="dxa"/>
              <w:bottom w:w="40" w:type="dxa"/>
              <w:right w:w="20" w:type="dxa"/>
            </w:tcMar>
            <w:vAlign w:val="bottom"/>
          </w:tcPr>
          <w:p w14:paraId="00BAD261"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26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263" w14:textId="77777777" w:rsidR="00871BDF" w:rsidRDefault="005C5088">
            <w:pPr>
              <w:jc w:val="right"/>
              <w:textAlignment w:val="bottom"/>
            </w:pPr>
            <w:r>
              <w:rPr>
                <w:rFonts w:ascii="Times New Roman" w:eastAsia="宋体" w:hAnsi="Times New Roman"/>
                <w:color w:val="000000"/>
                <w:sz w:val="20"/>
                <w:szCs w:val="20"/>
              </w:rPr>
              <w:t>6 </w:t>
            </w:r>
          </w:p>
        </w:tc>
        <w:tc>
          <w:tcPr>
            <w:tcW w:w="0" w:type="auto"/>
            <w:shd w:val="clear" w:color="auto" w:fill="D7E4BC"/>
            <w:tcMar>
              <w:top w:w="40" w:type="dxa"/>
              <w:left w:w="0" w:type="dxa"/>
              <w:bottom w:w="40" w:type="dxa"/>
              <w:right w:w="20" w:type="dxa"/>
            </w:tcMar>
            <w:vAlign w:val="bottom"/>
          </w:tcPr>
          <w:p w14:paraId="00BAD264" w14:textId="77777777" w:rsidR="00871BDF" w:rsidRDefault="005C5088">
            <w:pPr>
              <w:jc w:val="right"/>
              <w:textAlignment w:val="bottom"/>
            </w:pPr>
            <w:r>
              <w:rPr>
                <w:rFonts w:ascii="Times New Roman" w:eastAsia="宋体" w:hAnsi="Times New Roman"/>
                <w:color w:val="000000"/>
                <w:sz w:val="20"/>
                <w:szCs w:val="20"/>
              </w:rPr>
              <w:t>%</w:t>
            </w:r>
          </w:p>
        </w:tc>
        <w:tc>
          <w:tcPr>
            <w:tcW w:w="0" w:type="auto"/>
            <w:shd w:val="clear" w:color="auto" w:fill="auto"/>
          </w:tcPr>
          <w:p w14:paraId="00BAD265" w14:textId="77777777" w:rsidR="00871BDF" w:rsidRDefault="00871BDF">
            <w:pPr>
              <w:rPr>
                <w:rFonts w:ascii="宋体"/>
              </w:rPr>
            </w:pPr>
          </w:p>
        </w:tc>
        <w:tc>
          <w:tcPr>
            <w:tcW w:w="0" w:type="auto"/>
            <w:shd w:val="clear" w:color="auto" w:fill="auto"/>
          </w:tcPr>
          <w:p w14:paraId="00BAD266" w14:textId="77777777" w:rsidR="00871BDF" w:rsidRDefault="00871BDF">
            <w:pPr>
              <w:rPr>
                <w:rFonts w:ascii="宋体"/>
              </w:rPr>
            </w:pPr>
          </w:p>
        </w:tc>
        <w:tc>
          <w:tcPr>
            <w:tcW w:w="0" w:type="auto"/>
            <w:shd w:val="clear" w:color="auto" w:fill="auto"/>
          </w:tcPr>
          <w:p w14:paraId="00BAD267" w14:textId="77777777" w:rsidR="00871BDF" w:rsidRDefault="00871BDF">
            <w:pPr>
              <w:rPr>
                <w:rFonts w:ascii="宋体"/>
              </w:rPr>
            </w:pPr>
          </w:p>
        </w:tc>
        <w:tc>
          <w:tcPr>
            <w:tcW w:w="0" w:type="auto"/>
            <w:shd w:val="clear" w:color="auto" w:fill="auto"/>
          </w:tcPr>
          <w:p w14:paraId="00BAD268" w14:textId="77777777" w:rsidR="00871BDF" w:rsidRDefault="00871BDF">
            <w:pPr>
              <w:rPr>
                <w:rFonts w:ascii="宋体"/>
              </w:rPr>
            </w:pPr>
          </w:p>
        </w:tc>
        <w:tc>
          <w:tcPr>
            <w:tcW w:w="0" w:type="auto"/>
            <w:shd w:val="clear" w:color="auto" w:fill="auto"/>
          </w:tcPr>
          <w:p w14:paraId="00BAD269" w14:textId="77777777" w:rsidR="00871BDF" w:rsidRDefault="00871BDF">
            <w:pPr>
              <w:rPr>
                <w:rFonts w:ascii="宋体"/>
              </w:rPr>
            </w:pPr>
          </w:p>
        </w:tc>
        <w:tc>
          <w:tcPr>
            <w:tcW w:w="0" w:type="auto"/>
            <w:shd w:val="clear" w:color="auto" w:fill="auto"/>
          </w:tcPr>
          <w:p w14:paraId="00BAD26A" w14:textId="77777777" w:rsidR="00871BDF" w:rsidRDefault="00871BDF">
            <w:pPr>
              <w:rPr>
                <w:rFonts w:ascii="宋体"/>
              </w:rPr>
            </w:pPr>
          </w:p>
        </w:tc>
        <w:tc>
          <w:tcPr>
            <w:tcW w:w="0" w:type="auto"/>
            <w:shd w:val="clear" w:color="auto" w:fill="auto"/>
          </w:tcPr>
          <w:p w14:paraId="00BAD26B" w14:textId="77777777" w:rsidR="00871BDF" w:rsidRDefault="00871BDF">
            <w:pPr>
              <w:rPr>
                <w:rFonts w:ascii="宋体"/>
              </w:rPr>
            </w:pPr>
          </w:p>
        </w:tc>
        <w:tc>
          <w:tcPr>
            <w:tcW w:w="0" w:type="auto"/>
            <w:shd w:val="clear" w:color="auto" w:fill="auto"/>
          </w:tcPr>
          <w:p w14:paraId="00BAD26C" w14:textId="77777777" w:rsidR="00871BDF" w:rsidRDefault="00871BDF">
            <w:pPr>
              <w:rPr>
                <w:rFonts w:ascii="宋体"/>
              </w:rPr>
            </w:pPr>
          </w:p>
        </w:tc>
        <w:tc>
          <w:tcPr>
            <w:tcW w:w="0" w:type="auto"/>
            <w:shd w:val="clear" w:color="auto" w:fill="auto"/>
          </w:tcPr>
          <w:p w14:paraId="00BAD26D" w14:textId="77777777" w:rsidR="00871BDF" w:rsidRDefault="00871BDF">
            <w:pPr>
              <w:rPr>
                <w:rFonts w:ascii="宋体"/>
              </w:rPr>
            </w:pPr>
          </w:p>
        </w:tc>
        <w:tc>
          <w:tcPr>
            <w:tcW w:w="0" w:type="auto"/>
            <w:shd w:val="clear" w:color="auto" w:fill="auto"/>
          </w:tcPr>
          <w:p w14:paraId="00BAD26E" w14:textId="77777777" w:rsidR="00871BDF" w:rsidRDefault="00871BDF">
            <w:pPr>
              <w:rPr>
                <w:rFonts w:ascii="宋体"/>
              </w:rPr>
            </w:pPr>
          </w:p>
        </w:tc>
        <w:tc>
          <w:tcPr>
            <w:tcW w:w="0" w:type="auto"/>
            <w:shd w:val="clear" w:color="auto" w:fill="auto"/>
          </w:tcPr>
          <w:p w14:paraId="00BAD26F" w14:textId="77777777" w:rsidR="00871BDF" w:rsidRDefault="00871BDF">
            <w:pPr>
              <w:rPr>
                <w:rFonts w:ascii="宋体"/>
              </w:rPr>
            </w:pPr>
          </w:p>
        </w:tc>
        <w:tc>
          <w:tcPr>
            <w:tcW w:w="0" w:type="auto"/>
            <w:shd w:val="clear" w:color="auto" w:fill="auto"/>
          </w:tcPr>
          <w:p w14:paraId="00BAD270" w14:textId="77777777" w:rsidR="00871BDF" w:rsidRDefault="00871BDF">
            <w:pPr>
              <w:rPr>
                <w:rFonts w:ascii="宋体"/>
              </w:rPr>
            </w:pPr>
          </w:p>
        </w:tc>
        <w:tc>
          <w:tcPr>
            <w:tcW w:w="0" w:type="auto"/>
            <w:shd w:val="clear" w:color="auto" w:fill="auto"/>
          </w:tcPr>
          <w:p w14:paraId="00BAD271" w14:textId="77777777" w:rsidR="00871BDF" w:rsidRDefault="00871BDF">
            <w:pPr>
              <w:rPr>
                <w:rFonts w:ascii="宋体"/>
              </w:rPr>
            </w:pPr>
          </w:p>
        </w:tc>
        <w:tc>
          <w:tcPr>
            <w:tcW w:w="0" w:type="auto"/>
            <w:shd w:val="clear" w:color="auto" w:fill="auto"/>
          </w:tcPr>
          <w:p w14:paraId="00BAD272" w14:textId="77777777" w:rsidR="00871BDF" w:rsidRDefault="00871BDF">
            <w:pPr>
              <w:rPr>
                <w:rFonts w:ascii="宋体"/>
              </w:rPr>
            </w:pPr>
          </w:p>
        </w:tc>
        <w:tc>
          <w:tcPr>
            <w:tcW w:w="0" w:type="auto"/>
            <w:shd w:val="clear" w:color="auto" w:fill="auto"/>
          </w:tcPr>
          <w:p w14:paraId="00BAD273" w14:textId="77777777" w:rsidR="00871BDF" w:rsidRDefault="00871BDF">
            <w:pPr>
              <w:rPr>
                <w:rFonts w:ascii="宋体"/>
              </w:rPr>
            </w:pPr>
          </w:p>
        </w:tc>
        <w:tc>
          <w:tcPr>
            <w:tcW w:w="0" w:type="auto"/>
            <w:shd w:val="clear" w:color="auto" w:fill="auto"/>
          </w:tcPr>
          <w:p w14:paraId="00BAD274" w14:textId="77777777" w:rsidR="00871BDF" w:rsidRDefault="00871BDF">
            <w:pPr>
              <w:rPr>
                <w:rFonts w:ascii="宋体"/>
              </w:rPr>
            </w:pPr>
          </w:p>
        </w:tc>
        <w:tc>
          <w:tcPr>
            <w:tcW w:w="0" w:type="auto"/>
            <w:shd w:val="clear" w:color="auto" w:fill="auto"/>
          </w:tcPr>
          <w:p w14:paraId="00BAD275" w14:textId="77777777" w:rsidR="00871BDF" w:rsidRDefault="00871BDF">
            <w:pPr>
              <w:rPr>
                <w:rFonts w:ascii="宋体"/>
              </w:rPr>
            </w:pPr>
          </w:p>
        </w:tc>
        <w:tc>
          <w:tcPr>
            <w:tcW w:w="0" w:type="auto"/>
            <w:shd w:val="clear" w:color="auto" w:fill="auto"/>
          </w:tcPr>
          <w:p w14:paraId="00BAD276" w14:textId="77777777" w:rsidR="00871BDF" w:rsidRDefault="00871BDF">
            <w:pPr>
              <w:rPr>
                <w:rFonts w:ascii="宋体"/>
              </w:rPr>
            </w:pPr>
          </w:p>
        </w:tc>
        <w:tc>
          <w:tcPr>
            <w:tcW w:w="0" w:type="auto"/>
            <w:shd w:val="clear" w:color="auto" w:fill="auto"/>
          </w:tcPr>
          <w:p w14:paraId="00BAD277" w14:textId="77777777" w:rsidR="00871BDF" w:rsidRDefault="00871BDF">
            <w:pPr>
              <w:rPr>
                <w:rFonts w:ascii="宋体"/>
              </w:rPr>
            </w:pPr>
          </w:p>
        </w:tc>
        <w:tc>
          <w:tcPr>
            <w:tcW w:w="0" w:type="auto"/>
            <w:shd w:val="clear" w:color="auto" w:fill="auto"/>
          </w:tcPr>
          <w:p w14:paraId="00BAD278" w14:textId="77777777" w:rsidR="00871BDF" w:rsidRDefault="00871BDF">
            <w:pPr>
              <w:rPr>
                <w:rFonts w:ascii="宋体"/>
              </w:rPr>
            </w:pPr>
          </w:p>
        </w:tc>
        <w:tc>
          <w:tcPr>
            <w:tcW w:w="0" w:type="auto"/>
            <w:shd w:val="clear" w:color="auto" w:fill="auto"/>
          </w:tcPr>
          <w:p w14:paraId="00BAD279" w14:textId="77777777" w:rsidR="00871BDF" w:rsidRDefault="00871BDF">
            <w:pPr>
              <w:rPr>
                <w:rFonts w:ascii="宋体"/>
              </w:rPr>
            </w:pPr>
          </w:p>
        </w:tc>
        <w:tc>
          <w:tcPr>
            <w:tcW w:w="0" w:type="auto"/>
            <w:shd w:val="clear" w:color="auto" w:fill="auto"/>
          </w:tcPr>
          <w:p w14:paraId="00BAD27A" w14:textId="77777777" w:rsidR="00871BDF" w:rsidRDefault="00871BDF">
            <w:pPr>
              <w:rPr>
                <w:rFonts w:ascii="宋体"/>
              </w:rPr>
            </w:pPr>
          </w:p>
        </w:tc>
        <w:tc>
          <w:tcPr>
            <w:tcW w:w="0" w:type="auto"/>
            <w:shd w:val="clear" w:color="auto" w:fill="auto"/>
          </w:tcPr>
          <w:p w14:paraId="00BAD27B" w14:textId="77777777" w:rsidR="00871BDF" w:rsidRDefault="00871BDF">
            <w:pPr>
              <w:rPr>
                <w:rFonts w:ascii="宋体"/>
              </w:rPr>
            </w:pPr>
          </w:p>
        </w:tc>
        <w:tc>
          <w:tcPr>
            <w:tcW w:w="0" w:type="auto"/>
            <w:shd w:val="clear" w:color="auto" w:fill="auto"/>
          </w:tcPr>
          <w:p w14:paraId="00BAD27C" w14:textId="77777777" w:rsidR="00871BDF" w:rsidRDefault="00871BDF">
            <w:pPr>
              <w:rPr>
                <w:rFonts w:ascii="宋体"/>
              </w:rPr>
            </w:pPr>
          </w:p>
        </w:tc>
        <w:tc>
          <w:tcPr>
            <w:tcW w:w="0" w:type="auto"/>
            <w:shd w:val="clear" w:color="auto" w:fill="auto"/>
          </w:tcPr>
          <w:p w14:paraId="00BAD27D" w14:textId="77777777" w:rsidR="00871BDF" w:rsidRDefault="00871BDF">
            <w:pPr>
              <w:rPr>
                <w:rFonts w:ascii="宋体"/>
              </w:rPr>
            </w:pPr>
          </w:p>
        </w:tc>
        <w:tc>
          <w:tcPr>
            <w:tcW w:w="0" w:type="auto"/>
            <w:shd w:val="clear" w:color="auto" w:fill="auto"/>
          </w:tcPr>
          <w:p w14:paraId="00BAD27E" w14:textId="77777777" w:rsidR="00871BDF" w:rsidRDefault="00871BDF">
            <w:pPr>
              <w:rPr>
                <w:rFonts w:ascii="宋体"/>
              </w:rPr>
            </w:pPr>
          </w:p>
        </w:tc>
        <w:tc>
          <w:tcPr>
            <w:tcW w:w="0" w:type="auto"/>
            <w:shd w:val="clear" w:color="auto" w:fill="auto"/>
          </w:tcPr>
          <w:p w14:paraId="00BAD27F" w14:textId="77777777" w:rsidR="00871BDF" w:rsidRDefault="00871BDF">
            <w:pPr>
              <w:rPr>
                <w:rFonts w:ascii="宋体"/>
              </w:rPr>
            </w:pPr>
          </w:p>
        </w:tc>
        <w:tc>
          <w:tcPr>
            <w:tcW w:w="0" w:type="auto"/>
            <w:shd w:val="clear" w:color="auto" w:fill="auto"/>
          </w:tcPr>
          <w:p w14:paraId="00BAD280" w14:textId="77777777" w:rsidR="00871BDF" w:rsidRDefault="00871BDF">
            <w:pPr>
              <w:rPr>
                <w:rFonts w:ascii="宋体"/>
              </w:rPr>
            </w:pPr>
          </w:p>
        </w:tc>
        <w:tc>
          <w:tcPr>
            <w:tcW w:w="0" w:type="auto"/>
            <w:shd w:val="clear" w:color="auto" w:fill="auto"/>
          </w:tcPr>
          <w:p w14:paraId="00BAD281" w14:textId="77777777" w:rsidR="00871BDF" w:rsidRDefault="00871BDF">
            <w:pPr>
              <w:rPr>
                <w:rFonts w:ascii="宋体"/>
              </w:rPr>
            </w:pPr>
          </w:p>
        </w:tc>
        <w:tc>
          <w:tcPr>
            <w:tcW w:w="0" w:type="auto"/>
            <w:shd w:val="clear" w:color="auto" w:fill="auto"/>
          </w:tcPr>
          <w:p w14:paraId="00BAD282" w14:textId="77777777" w:rsidR="00871BDF" w:rsidRDefault="00871BDF">
            <w:pPr>
              <w:rPr>
                <w:rFonts w:ascii="宋体"/>
              </w:rPr>
            </w:pPr>
          </w:p>
        </w:tc>
      </w:tr>
      <w:tr w:rsidR="00871BDF" w14:paraId="00BAD2B1" w14:textId="77777777">
        <w:trPr>
          <w:jc w:val="center"/>
        </w:trPr>
        <w:tc>
          <w:tcPr>
            <w:tcW w:w="0" w:type="auto"/>
            <w:gridSpan w:val="3"/>
            <w:shd w:val="clear" w:color="auto" w:fill="FFFFFF"/>
            <w:tcMar>
              <w:top w:w="40" w:type="dxa"/>
              <w:left w:w="245" w:type="dxa"/>
              <w:bottom w:w="40" w:type="dxa"/>
              <w:right w:w="20" w:type="dxa"/>
            </w:tcMar>
            <w:vAlign w:val="bottom"/>
          </w:tcPr>
          <w:p w14:paraId="00BAD284" w14:textId="77777777" w:rsidR="00871BDF" w:rsidRDefault="005C5088">
            <w:pPr>
              <w:textAlignment w:val="bottom"/>
            </w:pPr>
            <w:r>
              <w:rPr>
                <w:rFonts w:ascii="Times New Roman" w:eastAsia="宋体" w:hAnsi="Times New Roman"/>
                <w:color w:val="000000"/>
                <w:sz w:val="20"/>
                <w:szCs w:val="20"/>
              </w:rPr>
              <w:t>Change in transactions</w:t>
            </w:r>
          </w:p>
        </w:tc>
        <w:tc>
          <w:tcPr>
            <w:tcW w:w="0" w:type="auto"/>
            <w:gridSpan w:val="2"/>
            <w:shd w:val="clear" w:color="auto" w:fill="FFFFFF"/>
            <w:tcMar>
              <w:top w:w="40" w:type="dxa"/>
              <w:left w:w="20" w:type="dxa"/>
              <w:bottom w:w="40" w:type="dxa"/>
              <w:right w:w="0" w:type="dxa"/>
            </w:tcMar>
            <w:vAlign w:val="bottom"/>
          </w:tcPr>
          <w:p w14:paraId="00BAD285" w14:textId="77777777" w:rsidR="00871BDF" w:rsidRDefault="005C5088">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00BAD286"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28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288" w14:textId="77777777" w:rsidR="00871BDF" w:rsidRDefault="005C5088">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0BAD289"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28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28B" w14:textId="77777777" w:rsidR="00871BDF" w:rsidRDefault="005C5088">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00BAD28C"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28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28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D28F"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29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291" w14:textId="77777777" w:rsidR="00871BDF" w:rsidRDefault="005C5088">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0BAD292" w14:textId="77777777" w:rsidR="00871BDF" w:rsidRDefault="005C5088">
            <w:pPr>
              <w:jc w:val="right"/>
              <w:textAlignment w:val="bottom"/>
            </w:pPr>
            <w:r>
              <w:rPr>
                <w:rFonts w:ascii="Times New Roman" w:eastAsia="宋体" w:hAnsi="Times New Roman"/>
                <w:color w:val="000000"/>
                <w:sz w:val="20"/>
                <w:szCs w:val="20"/>
              </w:rPr>
              <w:t>%</w:t>
            </w:r>
          </w:p>
        </w:tc>
        <w:tc>
          <w:tcPr>
            <w:tcW w:w="0" w:type="auto"/>
            <w:shd w:val="clear" w:color="auto" w:fill="auto"/>
          </w:tcPr>
          <w:p w14:paraId="00BAD293" w14:textId="77777777" w:rsidR="00871BDF" w:rsidRDefault="00871BDF">
            <w:pPr>
              <w:rPr>
                <w:rFonts w:ascii="宋体"/>
              </w:rPr>
            </w:pPr>
          </w:p>
        </w:tc>
        <w:tc>
          <w:tcPr>
            <w:tcW w:w="0" w:type="auto"/>
            <w:shd w:val="clear" w:color="auto" w:fill="auto"/>
          </w:tcPr>
          <w:p w14:paraId="00BAD294" w14:textId="77777777" w:rsidR="00871BDF" w:rsidRDefault="00871BDF">
            <w:pPr>
              <w:rPr>
                <w:rFonts w:ascii="宋体"/>
              </w:rPr>
            </w:pPr>
          </w:p>
        </w:tc>
        <w:tc>
          <w:tcPr>
            <w:tcW w:w="0" w:type="auto"/>
            <w:shd w:val="clear" w:color="auto" w:fill="auto"/>
          </w:tcPr>
          <w:p w14:paraId="00BAD295" w14:textId="77777777" w:rsidR="00871BDF" w:rsidRDefault="00871BDF">
            <w:pPr>
              <w:rPr>
                <w:rFonts w:ascii="宋体"/>
              </w:rPr>
            </w:pPr>
          </w:p>
        </w:tc>
        <w:tc>
          <w:tcPr>
            <w:tcW w:w="0" w:type="auto"/>
            <w:shd w:val="clear" w:color="auto" w:fill="auto"/>
          </w:tcPr>
          <w:p w14:paraId="00BAD296" w14:textId="77777777" w:rsidR="00871BDF" w:rsidRDefault="00871BDF">
            <w:pPr>
              <w:rPr>
                <w:rFonts w:ascii="宋体"/>
              </w:rPr>
            </w:pPr>
          </w:p>
        </w:tc>
        <w:tc>
          <w:tcPr>
            <w:tcW w:w="0" w:type="auto"/>
            <w:shd w:val="clear" w:color="auto" w:fill="auto"/>
          </w:tcPr>
          <w:p w14:paraId="00BAD297" w14:textId="77777777" w:rsidR="00871BDF" w:rsidRDefault="00871BDF">
            <w:pPr>
              <w:rPr>
                <w:rFonts w:ascii="宋体"/>
              </w:rPr>
            </w:pPr>
          </w:p>
        </w:tc>
        <w:tc>
          <w:tcPr>
            <w:tcW w:w="0" w:type="auto"/>
            <w:shd w:val="clear" w:color="auto" w:fill="auto"/>
          </w:tcPr>
          <w:p w14:paraId="00BAD298" w14:textId="77777777" w:rsidR="00871BDF" w:rsidRDefault="00871BDF">
            <w:pPr>
              <w:rPr>
                <w:rFonts w:ascii="宋体"/>
              </w:rPr>
            </w:pPr>
          </w:p>
        </w:tc>
        <w:tc>
          <w:tcPr>
            <w:tcW w:w="0" w:type="auto"/>
            <w:shd w:val="clear" w:color="auto" w:fill="auto"/>
          </w:tcPr>
          <w:p w14:paraId="00BAD299" w14:textId="77777777" w:rsidR="00871BDF" w:rsidRDefault="00871BDF">
            <w:pPr>
              <w:rPr>
                <w:rFonts w:ascii="宋体"/>
              </w:rPr>
            </w:pPr>
          </w:p>
        </w:tc>
        <w:tc>
          <w:tcPr>
            <w:tcW w:w="0" w:type="auto"/>
            <w:shd w:val="clear" w:color="auto" w:fill="auto"/>
          </w:tcPr>
          <w:p w14:paraId="00BAD29A" w14:textId="77777777" w:rsidR="00871BDF" w:rsidRDefault="00871BDF">
            <w:pPr>
              <w:rPr>
                <w:rFonts w:ascii="宋体"/>
              </w:rPr>
            </w:pPr>
          </w:p>
        </w:tc>
        <w:tc>
          <w:tcPr>
            <w:tcW w:w="0" w:type="auto"/>
            <w:shd w:val="clear" w:color="auto" w:fill="auto"/>
          </w:tcPr>
          <w:p w14:paraId="00BAD29B" w14:textId="77777777" w:rsidR="00871BDF" w:rsidRDefault="00871BDF">
            <w:pPr>
              <w:rPr>
                <w:rFonts w:ascii="宋体"/>
              </w:rPr>
            </w:pPr>
          </w:p>
        </w:tc>
        <w:tc>
          <w:tcPr>
            <w:tcW w:w="0" w:type="auto"/>
            <w:shd w:val="clear" w:color="auto" w:fill="auto"/>
          </w:tcPr>
          <w:p w14:paraId="00BAD29C" w14:textId="77777777" w:rsidR="00871BDF" w:rsidRDefault="00871BDF">
            <w:pPr>
              <w:rPr>
                <w:rFonts w:ascii="宋体"/>
              </w:rPr>
            </w:pPr>
          </w:p>
        </w:tc>
        <w:tc>
          <w:tcPr>
            <w:tcW w:w="0" w:type="auto"/>
            <w:shd w:val="clear" w:color="auto" w:fill="auto"/>
          </w:tcPr>
          <w:p w14:paraId="00BAD29D" w14:textId="77777777" w:rsidR="00871BDF" w:rsidRDefault="00871BDF">
            <w:pPr>
              <w:rPr>
                <w:rFonts w:ascii="宋体"/>
              </w:rPr>
            </w:pPr>
          </w:p>
        </w:tc>
        <w:tc>
          <w:tcPr>
            <w:tcW w:w="0" w:type="auto"/>
            <w:shd w:val="clear" w:color="auto" w:fill="auto"/>
          </w:tcPr>
          <w:p w14:paraId="00BAD29E" w14:textId="77777777" w:rsidR="00871BDF" w:rsidRDefault="00871BDF">
            <w:pPr>
              <w:rPr>
                <w:rFonts w:ascii="宋体"/>
              </w:rPr>
            </w:pPr>
          </w:p>
        </w:tc>
        <w:tc>
          <w:tcPr>
            <w:tcW w:w="0" w:type="auto"/>
            <w:shd w:val="clear" w:color="auto" w:fill="auto"/>
          </w:tcPr>
          <w:p w14:paraId="00BAD29F" w14:textId="77777777" w:rsidR="00871BDF" w:rsidRDefault="00871BDF">
            <w:pPr>
              <w:rPr>
                <w:rFonts w:ascii="宋体"/>
              </w:rPr>
            </w:pPr>
          </w:p>
        </w:tc>
        <w:tc>
          <w:tcPr>
            <w:tcW w:w="0" w:type="auto"/>
            <w:shd w:val="clear" w:color="auto" w:fill="auto"/>
          </w:tcPr>
          <w:p w14:paraId="00BAD2A0" w14:textId="77777777" w:rsidR="00871BDF" w:rsidRDefault="00871BDF">
            <w:pPr>
              <w:rPr>
                <w:rFonts w:ascii="宋体"/>
              </w:rPr>
            </w:pPr>
          </w:p>
        </w:tc>
        <w:tc>
          <w:tcPr>
            <w:tcW w:w="0" w:type="auto"/>
            <w:shd w:val="clear" w:color="auto" w:fill="auto"/>
          </w:tcPr>
          <w:p w14:paraId="00BAD2A1" w14:textId="77777777" w:rsidR="00871BDF" w:rsidRDefault="00871BDF">
            <w:pPr>
              <w:rPr>
                <w:rFonts w:ascii="宋体"/>
              </w:rPr>
            </w:pPr>
          </w:p>
        </w:tc>
        <w:tc>
          <w:tcPr>
            <w:tcW w:w="0" w:type="auto"/>
            <w:shd w:val="clear" w:color="auto" w:fill="auto"/>
          </w:tcPr>
          <w:p w14:paraId="00BAD2A2" w14:textId="77777777" w:rsidR="00871BDF" w:rsidRDefault="00871BDF">
            <w:pPr>
              <w:rPr>
                <w:rFonts w:ascii="宋体"/>
              </w:rPr>
            </w:pPr>
          </w:p>
        </w:tc>
        <w:tc>
          <w:tcPr>
            <w:tcW w:w="0" w:type="auto"/>
            <w:shd w:val="clear" w:color="auto" w:fill="auto"/>
          </w:tcPr>
          <w:p w14:paraId="00BAD2A3" w14:textId="77777777" w:rsidR="00871BDF" w:rsidRDefault="00871BDF">
            <w:pPr>
              <w:rPr>
                <w:rFonts w:ascii="宋体"/>
              </w:rPr>
            </w:pPr>
          </w:p>
        </w:tc>
        <w:tc>
          <w:tcPr>
            <w:tcW w:w="0" w:type="auto"/>
            <w:shd w:val="clear" w:color="auto" w:fill="auto"/>
          </w:tcPr>
          <w:p w14:paraId="00BAD2A4" w14:textId="77777777" w:rsidR="00871BDF" w:rsidRDefault="00871BDF">
            <w:pPr>
              <w:rPr>
                <w:rFonts w:ascii="宋体"/>
              </w:rPr>
            </w:pPr>
          </w:p>
        </w:tc>
        <w:tc>
          <w:tcPr>
            <w:tcW w:w="0" w:type="auto"/>
            <w:shd w:val="clear" w:color="auto" w:fill="auto"/>
          </w:tcPr>
          <w:p w14:paraId="00BAD2A5" w14:textId="77777777" w:rsidR="00871BDF" w:rsidRDefault="00871BDF">
            <w:pPr>
              <w:rPr>
                <w:rFonts w:ascii="宋体"/>
              </w:rPr>
            </w:pPr>
          </w:p>
        </w:tc>
        <w:tc>
          <w:tcPr>
            <w:tcW w:w="0" w:type="auto"/>
            <w:shd w:val="clear" w:color="auto" w:fill="auto"/>
          </w:tcPr>
          <w:p w14:paraId="00BAD2A6" w14:textId="77777777" w:rsidR="00871BDF" w:rsidRDefault="00871BDF">
            <w:pPr>
              <w:rPr>
                <w:rFonts w:ascii="宋体"/>
              </w:rPr>
            </w:pPr>
          </w:p>
        </w:tc>
        <w:tc>
          <w:tcPr>
            <w:tcW w:w="0" w:type="auto"/>
            <w:shd w:val="clear" w:color="auto" w:fill="auto"/>
          </w:tcPr>
          <w:p w14:paraId="00BAD2A7" w14:textId="77777777" w:rsidR="00871BDF" w:rsidRDefault="00871BDF">
            <w:pPr>
              <w:rPr>
                <w:rFonts w:ascii="宋体"/>
              </w:rPr>
            </w:pPr>
          </w:p>
        </w:tc>
        <w:tc>
          <w:tcPr>
            <w:tcW w:w="0" w:type="auto"/>
            <w:shd w:val="clear" w:color="auto" w:fill="auto"/>
          </w:tcPr>
          <w:p w14:paraId="00BAD2A8" w14:textId="77777777" w:rsidR="00871BDF" w:rsidRDefault="00871BDF">
            <w:pPr>
              <w:rPr>
                <w:rFonts w:ascii="宋体"/>
              </w:rPr>
            </w:pPr>
          </w:p>
        </w:tc>
        <w:tc>
          <w:tcPr>
            <w:tcW w:w="0" w:type="auto"/>
            <w:shd w:val="clear" w:color="auto" w:fill="auto"/>
          </w:tcPr>
          <w:p w14:paraId="00BAD2A9" w14:textId="77777777" w:rsidR="00871BDF" w:rsidRDefault="00871BDF">
            <w:pPr>
              <w:rPr>
                <w:rFonts w:ascii="宋体"/>
              </w:rPr>
            </w:pPr>
          </w:p>
        </w:tc>
        <w:tc>
          <w:tcPr>
            <w:tcW w:w="0" w:type="auto"/>
            <w:shd w:val="clear" w:color="auto" w:fill="auto"/>
          </w:tcPr>
          <w:p w14:paraId="00BAD2AA" w14:textId="77777777" w:rsidR="00871BDF" w:rsidRDefault="00871BDF">
            <w:pPr>
              <w:rPr>
                <w:rFonts w:ascii="宋体"/>
              </w:rPr>
            </w:pPr>
          </w:p>
        </w:tc>
        <w:tc>
          <w:tcPr>
            <w:tcW w:w="0" w:type="auto"/>
            <w:shd w:val="clear" w:color="auto" w:fill="auto"/>
          </w:tcPr>
          <w:p w14:paraId="00BAD2AB" w14:textId="77777777" w:rsidR="00871BDF" w:rsidRDefault="00871BDF">
            <w:pPr>
              <w:rPr>
                <w:rFonts w:ascii="宋体"/>
              </w:rPr>
            </w:pPr>
          </w:p>
        </w:tc>
        <w:tc>
          <w:tcPr>
            <w:tcW w:w="0" w:type="auto"/>
            <w:shd w:val="clear" w:color="auto" w:fill="auto"/>
          </w:tcPr>
          <w:p w14:paraId="00BAD2AC" w14:textId="77777777" w:rsidR="00871BDF" w:rsidRDefault="00871BDF">
            <w:pPr>
              <w:rPr>
                <w:rFonts w:ascii="宋体"/>
              </w:rPr>
            </w:pPr>
          </w:p>
        </w:tc>
        <w:tc>
          <w:tcPr>
            <w:tcW w:w="0" w:type="auto"/>
            <w:shd w:val="clear" w:color="auto" w:fill="auto"/>
          </w:tcPr>
          <w:p w14:paraId="00BAD2AD" w14:textId="77777777" w:rsidR="00871BDF" w:rsidRDefault="00871BDF">
            <w:pPr>
              <w:rPr>
                <w:rFonts w:ascii="宋体"/>
              </w:rPr>
            </w:pPr>
          </w:p>
        </w:tc>
        <w:tc>
          <w:tcPr>
            <w:tcW w:w="0" w:type="auto"/>
            <w:shd w:val="clear" w:color="auto" w:fill="auto"/>
          </w:tcPr>
          <w:p w14:paraId="00BAD2AE" w14:textId="77777777" w:rsidR="00871BDF" w:rsidRDefault="00871BDF">
            <w:pPr>
              <w:rPr>
                <w:rFonts w:ascii="宋体"/>
              </w:rPr>
            </w:pPr>
          </w:p>
        </w:tc>
        <w:tc>
          <w:tcPr>
            <w:tcW w:w="0" w:type="auto"/>
            <w:shd w:val="clear" w:color="auto" w:fill="auto"/>
          </w:tcPr>
          <w:p w14:paraId="00BAD2AF" w14:textId="77777777" w:rsidR="00871BDF" w:rsidRDefault="00871BDF">
            <w:pPr>
              <w:rPr>
                <w:rFonts w:ascii="宋体"/>
              </w:rPr>
            </w:pPr>
          </w:p>
        </w:tc>
        <w:tc>
          <w:tcPr>
            <w:tcW w:w="0" w:type="auto"/>
            <w:shd w:val="clear" w:color="auto" w:fill="auto"/>
          </w:tcPr>
          <w:p w14:paraId="00BAD2B0" w14:textId="77777777" w:rsidR="00871BDF" w:rsidRDefault="00871BDF">
            <w:pPr>
              <w:rPr>
                <w:rFonts w:ascii="宋体"/>
              </w:rPr>
            </w:pPr>
          </w:p>
        </w:tc>
      </w:tr>
      <w:tr w:rsidR="00871BDF" w14:paraId="00BAD2DF" w14:textId="77777777">
        <w:trPr>
          <w:jc w:val="center"/>
        </w:trPr>
        <w:tc>
          <w:tcPr>
            <w:tcW w:w="0" w:type="auto"/>
            <w:gridSpan w:val="3"/>
            <w:shd w:val="clear" w:color="auto" w:fill="D7E4BC"/>
            <w:tcMar>
              <w:top w:w="40" w:type="dxa"/>
              <w:left w:w="245" w:type="dxa"/>
              <w:bottom w:w="40" w:type="dxa"/>
              <w:right w:w="20" w:type="dxa"/>
            </w:tcMar>
            <w:vAlign w:val="bottom"/>
          </w:tcPr>
          <w:p w14:paraId="00BAD2B2" w14:textId="77777777" w:rsidR="00871BDF" w:rsidRDefault="005C5088">
            <w:pPr>
              <w:textAlignment w:val="bottom"/>
            </w:pPr>
            <w:r>
              <w:rPr>
                <w:rFonts w:ascii="Times New Roman" w:eastAsia="宋体" w:hAnsi="Times New Roman"/>
                <w:color w:val="000000"/>
                <w:sz w:val="20"/>
                <w:szCs w:val="20"/>
              </w:rPr>
              <w:t>Change in ticket</w:t>
            </w:r>
          </w:p>
        </w:tc>
        <w:tc>
          <w:tcPr>
            <w:tcW w:w="0" w:type="auto"/>
            <w:gridSpan w:val="2"/>
            <w:shd w:val="clear" w:color="auto" w:fill="D7E4BC"/>
            <w:tcMar>
              <w:top w:w="40" w:type="dxa"/>
              <w:left w:w="20" w:type="dxa"/>
              <w:bottom w:w="40" w:type="dxa"/>
              <w:right w:w="0" w:type="dxa"/>
            </w:tcMar>
            <w:vAlign w:val="bottom"/>
          </w:tcPr>
          <w:p w14:paraId="00BAD2B3" w14:textId="77777777" w:rsidR="00871BDF" w:rsidRDefault="005C5088">
            <w:pPr>
              <w:jc w:val="right"/>
              <w:textAlignment w:val="bottom"/>
            </w:pPr>
            <w:r>
              <w:rPr>
                <w:rFonts w:ascii="Times New Roman" w:eastAsia="宋体" w:hAnsi="Times New Roman"/>
                <w:color w:val="000000"/>
                <w:sz w:val="20"/>
                <w:szCs w:val="20"/>
              </w:rPr>
              <w:t>11 </w:t>
            </w:r>
          </w:p>
        </w:tc>
        <w:tc>
          <w:tcPr>
            <w:tcW w:w="0" w:type="auto"/>
            <w:shd w:val="clear" w:color="auto" w:fill="D7E4BC"/>
            <w:tcMar>
              <w:top w:w="40" w:type="dxa"/>
              <w:left w:w="0" w:type="dxa"/>
              <w:bottom w:w="40" w:type="dxa"/>
              <w:right w:w="20" w:type="dxa"/>
            </w:tcMar>
            <w:vAlign w:val="bottom"/>
          </w:tcPr>
          <w:p w14:paraId="00BAD2B4"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2B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2B6" w14:textId="77777777" w:rsidR="00871BDF" w:rsidRDefault="005C5088">
            <w:pPr>
              <w:jc w:val="right"/>
              <w:textAlignment w:val="bottom"/>
            </w:pPr>
            <w:r>
              <w:rPr>
                <w:rFonts w:ascii="Times New Roman" w:eastAsia="宋体" w:hAnsi="Times New Roman"/>
                <w:color w:val="000000"/>
                <w:sz w:val="20"/>
                <w:szCs w:val="20"/>
              </w:rPr>
              <w:t>3 </w:t>
            </w:r>
          </w:p>
        </w:tc>
        <w:tc>
          <w:tcPr>
            <w:tcW w:w="0" w:type="auto"/>
            <w:shd w:val="clear" w:color="auto" w:fill="D7E4BC"/>
            <w:tcMar>
              <w:top w:w="40" w:type="dxa"/>
              <w:left w:w="0" w:type="dxa"/>
              <w:bottom w:w="40" w:type="dxa"/>
              <w:right w:w="20" w:type="dxa"/>
            </w:tcMar>
            <w:vAlign w:val="bottom"/>
          </w:tcPr>
          <w:p w14:paraId="00BAD2B7"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2B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2B9" w14:textId="77777777" w:rsidR="00871BDF" w:rsidRDefault="005C5088">
            <w:pPr>
              <w:jc w:val="right"/>
              <w:textAlignment w:val="bottom"/>
            </w:pPr>
            <w:r>
              <w:rPr>
                <w:rFonts w:ascii="Times New Roman" w:eastAsia="宋体" w:hAnsi="Times New Roman"/>
                <w:color w:val="000000"/>
                <w:sz w:val="20"/>
                <w:szCs w:val="20"/>
              </w:rPr>
              <w:t>3 </w:t>
            </w:r>
          </w:p>
        </w:tc>
        <w:tc>
          <w:tcPr>
            <w:tcW w:w="0" w:type="auto"/>
            <w:shd w:val="clear" w:color="auto" w:fill="D7E4BC"/>
            <w:tcMar>
              <w:top w:w="40" w:type="dxa"/>
              <w:left w:w="0" w:type="dxa"/>
              <w:bottom w:w="40" w:type="dxa"/>
              <w:right w:w="20" w:type="dxa"/>
            </w:tcMar>
            <w:vAlign w:val="bottom"/>
          </w:tcPr>
          <w:p w14:paraId="00BAD2BA"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2B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2BC" w14:textId="77777777" w:rsidR="00871BDF" w:rsidRDefault="005C5088">
            <w:pPr>
              <w:jc w:val="right"/>
              <w:textAlignment w:val="bottom"/>
            </w:pPr>
            <w:r>
              <w:rPr>
                <w:rFonts w:ascii="Times New Roman" w:eastAsia="宋体" w:hAnsi="Times New Roman"/>
                <w:color w:val="000000"/>
                <w:sz w:val="20"/>
                <w:szCs w:val="20"/>
              </w:rPr>
              <w:t>4 </w:t>
            </w:r>
          </w:p>
        </w:tc>
        <w:tc>
          <w:tcPr>
            <w:tcW w:w="0" w:type="auto"/>
            <w:shd w:val="clear" w:color="auto" w:fill="D7E4BC"/>
            <w:tcMar>
              <w:top w:w="40" w:type="dxa"/>
              <w:left w:w="0" w:type="dxa"/>
              <w:bottom w:w="40" w:type="dxa"/>
              <w:right w:w="20" w:type="dxa"/>
            </w:tcMar>
            <w:vAlign w:val="bottom"/>
          </w:tcPr>
          <w:p w14:paraId="00BAD2BD"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2B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2BF" w14:textId="77777777" w:rsidR="00871BDF" w:rsidRDefault="005C5088">
            <w:pPr>
              <w:jc w:val="right"/>
              <w:textAlignment w:val="bottom"/>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bottom"/>
          </w:tcPr>
          <w:p w14:paraId="00BAD2C0" w14:textId="77777777" w:rsidR="00871BDF" w:rsidRDefault="005C5088">
            <w:pPr>
              <w:jc w:val="right"/>
              <w:textAlignment w:val="bottom"/>
            </w:pPr>
            <w:r>
              <w:rPr>
                <w:rFonts w:ascii="Times New Roman" w:eastAsia="宋体" w:hAnsi="Times New Roman"/>
                <w:color w:val="000000"/>
                <w:sz w:val="20"/>
                <w:szCs w:val="20"/>
              </w:rPr>
              <w:t>%</w:t>
            </w:r>
          </w:p>
        </w:tc>
        <w:tc>
          <w:tcPr>
            <w:tcW w:w="0" w:type="auto"/>
            <w:shd w:val="clear" w:color="auto" w:fill="auto"/>
          </w:tcPr>
          <w:p w14:paraId="00BAD2C1" w14:textId="77777777" w:rsidR="00871BDF" w:rsidRDefault="00871BDF">
            <w:pPr>
              <w:rPr>
                <w:rFonts w:ascii="宋体"/>
              </w:rPr>
            </w:pPr>
          </w:p>
        </w:tc>
        <w:tc>
          <w:tcPr>
            <w:tcW w:w="0" w:type="auto"/>
            <w:shd w:val="clear" w:color="auto" w:fill="auto"/>
          </w:tcPr>
          <w:p w14:paraId="00BAD2C2" w14:textId="77777777" w:rsidR="00871BDF" w:rsidRDefault="00871BDF">
            <w:pPr>
              <w:rPr>
                <w:rFonts w:ascii="宋体"/>
              </w:rPr>
            </w:pPr>
          </w:p>
        </w:tc>
        <w:tc>
          <w:tcPr>
            <w:tcW w:w="0" w:type="auto"/>
            <w:shd w:val="clear" w:color="auto" w:fill="auto"/>
          </w:tcPr>
          <w:p w14:paraId="00BAD2C3" w14:textId="77777777" w:rsidR="00871BDF" w:rsidRDefault="00871BDF">
            <w:pPr>
              <w:rPr>
                <w:rFonts w:ascii="宋体"/>
              </w:rPr>
            </w:pPr>
          </w:p>
        </w:tc>
        <w:tc>
          <w:tcPr>
            <w:tcW w:w="0" w:type="auto"/>
            <w:shd w:val="clear" w:color="auto" w:fill="auto"/>
          </w:tcPr>
          <w:p w14:paraId="00BAD2C4" w14:textId="77777777" w:rsidR="00871BDF" w:rsidRDefault="00871BDF">
            <w:pPr>
              <w:rPr>
                <w:rFonts w:ascii="宋体"/>
              </w:rPr>
            </w:pPr>
          </w:p>
        </w:tc>
        <w:tc>
          <w:tcPr>
            <w:tcW w:w="0" w:type="auto"/>
            <w:shd w:val="clear" w:color="auto" w:fill="auto"/>
          </w:tcPr>
          <w:p w14:paraId="00BAD2C5" w14:textId="77777777" w:rsidR="00871BDF" w:rsidRDefault="00871BDF">
            <w:pPr>
              <w:rPr>
                <w:rFonts w:ascii="宋体"/>
              </w:rPr>
            </w:pPr>
          </w:p>
        </w:tc>
        <w:tc>
          <w:tcPr>
            <w:tcW w:w="0" w:type="auto"/>
            <w:shd w:val="clear" w:color="auto" w:fill="auto"/>
          </w:tcPr>
          <w:p w14:paraId="00BAD2C6" w14:textId="77777777" w:rsidR="00871BDF" w:rsidRDefault="00871BDF">
            <w:pPr>
              <w:rPr>
                <w:rFonts w:ascii="宋体"/>
              </w:rPr>
            </w:pPr>
          </w:p>
        </w:tc>
        <w:tc>
          <w:tcPr>
            <w:tcW w:w="0" w:type="auto"/>
            <w:shd w:val="clear" w:color="auto" w:fill="auto"/>
          </w:tcPr>
          <w:p w14:paraId="00BAD2C7" w14:textId="77777777" w:rsidR="00871BDF" w:rsidRDefault="00871BDF">
            <w:pPr>
              <w:rPr>
                <w:rFonts w:ascii="宋体"/>
              </w:rPr>
            </w:pPr>
          </w:p>
        </w:tc>
        <w:tc>
          <w:tcPr>
            <w:tcW w:w="0" w:type="auto"/>
            <w:shd w:val="clear" w:color="auto" w:fill="auto"/>
          </w:tcPr>
          <w:p w14:paraId="00BAD2C8" w14:textId="77777777" w:rsidR="00871BDF" w:rsidRDefault="00871BDF">
            <w:pPr>
              <w:rPr>
                <w:rFonts w:ascii="宋体"/>
              </w:rPr>
            </w:pPr>
          </w:p>
        </w:tc>
        <w:tc>
          <w:tcPr>
            <w:tcW w:w="0" w:type="auto"/>
            <w:shd w:val="clear" w:color="auto" w:fill="auto"/>
          </w:tcPr>
          <w:p w14:paraId="00BAD2C9" w14:textId="77777777" w:rsidR="00871BDF" w:rsidRDefault="00871BDF">
            <w:pPr>
              <w:rPr>
                <w:rFonts w:ascii="宋体"/>
              </w:rPr>
            </w:pPr>
          </w:p>
        </w:tc>
        <w:tc>
          <w:tcPr>
            <w:tcW w:w="0" w:type="auto"/>
            <w:shd w:val="clear" w:color="auto" w:fill="auto"/>
          </w:tcPr>
          <w:p w14:paraId="00BAD2CA" w14:textId="77777777" w:rsidR="00871BDF" w:rsidRDefault="00871BDF">
            <w:pPr>
              <w:rPr>
                <w:rFonts w:ascii="宋体"/>
              </w:rPr>
            </w:pPr>
          </w:p>
        </w:tc>
        <w:tc>
          <w:tcPr>
            <w:tcW w:w="0" w:type="auto"/>
            <w:shd w:val="clear" w:color="auto" w:fill="auto"/>
          </w:tcPr>
          <w:p w14:paraId="00BAD2CB" w14:textId="77777777" w:rsidR="00871BDF" w:rsidRDefault="00871BDF">
            <w:pPr>
              <w:rPr>
                <w:rFonts w:ascii="宋体"/>
              </w:rPr>
            </w:pPr>
          </w:p>
        </w:tc>
        <w:tc>
          <w:tcPr>
            <w:tcW w:w="0" w:type="auto"/>
            <w:shd w:val="clear" w:color="auto" w:fill="auto"/>
          </w:tcPr>
          <w:p w14:paraId="00BAD2CC" w14:textId="77777777" w:rsidR="00871BDF" w:rsidRDefault="00871BDF">
            <w:pPr>
              <w:rPr>
                <w:rFonts w:ascii="宋体"/>
              </w:rPr>
            </w:pPr>
          </w:p>
        </w:tc>
        <w:tc>
          <w:tcPr>
            <w:tcW w:w="0" w:type="auto"/>
            <w:shd w:val="clear" w:color="auto" w:fill="auto"/>
          </w:tcPr>
          <w:p w14:paraId="00BAD2CD" w14:textId="77777777" w:rsidR="00871BDF" w:rsidRDefault="00871BDF">
            <w:pPr>
              <w:rPr>
                <w:rFonts w:ascii="宋体"/>
              </w:rPr>
            </w:pPr>
          </w:p>
        </w:tc>
        <w:tc>
          <w:tcPr>
            <w:tcW w:w="0" w:type="auto"/>
            <w:shd w:val="clear" w:color="auto" w:fill="auto"/>
          </w:tcPr>
          <w:p w14:paraId="00BAD2CE" w14:textId="77777777" w:rsidR="00871BDF" w:rsidRDefault="00871BDF">
            <w:pPr>
              <w:rPr>
                <w:rFonts w:ascii="宋体"/>
              </w:rPr>
            </w:pPr>
          </w:p>
        </w:tc>
        <w:tc>
          <w:tcPr>
            <w:tcW w:w="0" w:type="auto"/>
            <w:shd w:val="clear" w:color="auto" w:fill="auto"/>
          </w:tcPr>
          <w:p w14:paraId="00BAD2CF" w14:textId="77777777" w:rsidR="00871BDF" w:rsidRDefault="00871BDF">
            <w:pPr>
              <w:rPr>
                <w:rFonts w:ascii="宋体"/>
              </w:rPr>
            </w:pPr>
          </w:p>
        </w:tc>
        <w:tc>
          <w:tcPr>
            <w:tcW w:w="0" w:type="auto"/>
            <w:shd w:val="clear" w:color="auto" w:fill="auto"/>
          </w:tcPr>
          <w:p w14:paraId="00BAD2D0" w14:textId="77777777" w:rsidR="00871BDF" w:rsidRDefault="00871BDF">
            <w:pPr>
              <w:rPr>
                <w:rFonts w:ascii="宋体"/>
              </w:rPr>
            </w:pPr>
          </w:p>
        </w:tc>
        <w:tc>
          <w:tcPr>
            <w:tcW w:w="0" w:type="auto"/>
            <w:shd w:val="clear" w:color="auto" w:fill="auto"/>
          </w:tcPr>
          <w:p w14:paraId="00BAD2D1" w14:textId="77777777" w:rsidR="00871BDF" w:rsidRDefault="00871BDF">
            <w:pPr>
              <w:rPr>
                <w:rFonts w:ascii="宋体"/>
              </w:rPr>
            </w:pPr>
          </w:p>
        </w:tc>
        <w:tc>
          <w:tcPr>
            <w:tcW w:w="0" w:type="auto"/>
            <w:shd w:val="clear" w:color="auto" w:fill="auto"/>
          </w:tcPr>
          <w:p w14:paraId="00BAD2D2" w14:textId="77777777" w:rsidR="00871BDF" w:rsidRDefault="00871BDF">
            <w:pPr>
              <w:rPr>
                <w:rFonts w:ascii="宋体"/>
              </w:rPr>
            </w:pPr>
          </w:p>
        </w:tc>
        <w:tc>
          <w:tcPr>
            <w:tcW w:w="0" w:type="auto"/>
            <w:shd w:val="clear" w:color="auto" w:fill="auto"/>
          </w:tcPr>
          <w:p w14:paraId="00BAD2D3" w14:textId="77777777" w:rsidR="00871BDF" w:rsidRDefault="00871BDF">
            <w:pPr>
              <w:rPr>
                <w:rFonts w:ascii="宋体"/>
              </w:rPr>
            </w:pPr>
          </w:p>
        </w:tc>
        <w:tc>
          <w:tcPr>
            <w:tcW w:w="0" w:type="auto"/>
            <w:shd w:val="clear" w:color="auto" w:fill="auto"/>
          </w:tcPr>
          <w:p w14:paraId="00BAD2D4" w14:textId="77777777" w:rsidR="00871BDF" w:rsidRDefault="00871BDF">
            <w:pPr>
              <w:rPr>
                <w:rFonts w:ascii="宋体"/>
              </w:rPr>
            </w:pPr>
          </w:p>
        </w:tc>
        <w:tc>
          <w:tcPr>
            <w:tcW w:w="0" w:type="auto"/>
            <w:shd w:val="clear" w:color="auto" w:fill="auto"/>
          </w:tcPr>
          <w:p w14:paraId="00BAD2D5" w14:textId="77777777" w:rsidR="00871BDF" w:rsidRDefault="00871BDF">
            <w:pPr>
              <w:rPr>
                <w:rFonts w:ascii="宋体"/>
              </w:rPr>
            </w:pPr>
          </w:p>
        </w:tc>
        <w:tc>
          <w:tcPr>
            <w:tcW w:w="0" w:type="auto"/>
            <w:shd w:val="clear" w:color="auto" w:fill="auto"/>
          </w:tcPr>
          <w:p w14:paraId="00BAD2D6" w14:textId="77777777" w:rsidR="00871BDF" w:rsidRDefault="00871BDF">
            <w:pPr>
              <w:rPr>
                <w:rFonts w:ascii="宋体"/>
              </w:rPr>
            </w:pPr>
          </w:p>
        </w:tc>
        <w:tc>
          <w:tcPr>
            <w:tcW w:w="0" w:type="auto"/>
            <w:shd w:val="clear" w:color="auto" w:fill="auto"/>
          </w:tcPr>
          <w:p w14:paraId="00BAD2D7" w14:textId="77777777" w:rsidR="00871BDF" w:rsidRDefault="00871BDF">
            <w:pPr>
              <w:rPr>
                <w:rFonts w:ascii="宋体"/>
              </w:rPr>
            </w:pPr>
          </w:p>
        </w:tc>
        <w:tc>
          <w:tcPr>
            <w:tcW w:w="0" w:type="auto"/>
            <w:shd w:val="clear" w:color="auto" w:fill="auto"/>
          </w:tcPr>
          <w:p w14:paraId="00BAD2D8" w14:textId="77777777" w:rsidR="00871BDF" w:rsidRDefault="00871BDF">
            <w:pPr>
              <w:rPr>
                <w:rFonts w:ascii="宋体"/>
              </w:rPr>
            </w:pPr>
          </w:p>
        </w:tc>
        <w:tc>
          <w:tcPr>
            <w:tcW w:w="0" w:type="auto"/>
            <w:shd w:val="clear" w:color="auto" w:fill="auto"/>
          </w:tcPr>
          <w:p w14:paraId="00BAD2D9" w14:textId="77777777" w:rsidR="00871BDF" w:rsidRDefault="00871BDF">
            <w:pPr>
              <w:rPr>
                <w:rFonts w:ascii="宋体"/>
              </w:rPr>
            </w:pPr>
          </w:p>
        </w:tc>
        <w:tc>
          <w:tcPr>
            <w:tcW w:w="0" w:type="auto"/>
            <w:shd w:val="clear" w:color="auto" w:fill="auto"/>
          </w:tcPr>
          <w:p w14:paraId="00BAD2DA" w14:textId="77777777" w:rsidR="00871BDF" w:rsidRDefault="00871BDF">
            <w:pPr>
              <w:rPr>
                <w:rFonts w:ascii="宋体"/>
              </w:rPr>
            </w:pPr>
          </w:p>
        </w:tc>
        <w:tc>
          <w:tcPr>
            <w:tcW w:w="0" w:type="auto"/>
            <w:shd w:val="clear" w:color="auto" w:fill="auto"/>
          </w:tcPr>
          <w:p w14:paraId="00BAD2DB" w14:textId="77777777" w:rsidR="00871BDF" w:rsidRDefault="00871BDF">
            <w:pPr>
              <w:rPr>
                <w:rFonts w:ascii="宋体"/>
              </w:rPr>
            </w:pPr>
          </w:p>
        </w:tc>
        <w:tc>
          <w:tcPr>
            <w:tcW w:w="0" w:type="auto"/>
            <w:shd w:val="clear" w:color="auto" w:fill="auto"/>
          </w:tcPr>
          <w:p w14:paraId="00BAD2DC" w14:textId="77777777" w:rsidR="00871BDF" w:rsidRDefault="00871BDF">
            <w:pPr>
              <w:rPr>
                <w:rFonts w:ascii="宋体"/>
              </w:rPr>
            </w:pPr>
          </w:p>
        </w:tc>
        <w:tc>
          <w:tcPr>
            <w:tcW w:w="0" w:type="auto"/>
            <w:shd w:val="clear" w:color="auto" w:fill="auto"/>
          </w:tcPr>
          <w:p w14:paraId="00BAD2DD" w14:textId="77777777" w:rsidR="00871BDF" w:rsidRDefault="00871BDF">
            <w:pPr>
              <w:rPr>
                <w:rFonts w:ascii="宋体"/>
              </w:rPr>
            </w:pPr>
          </w:p>
        </w:tc>
        <w:tc>
          <w:tcPr>
            <w:tcW w:w="0" w:type="auto"/>
            <w:shd w:val="clear" w:color="auto" w:fill="auto"/>
          </w:tcPr>
          <w:p w14:paraId="00BAD2DE" w14:textId="77777777" w:rsidR="00871BDF" w:rsidRDefault="00871BDF">
            <w:pPr>
              <w:rPr>
                <w:rFonts w:ascii="宋体"/>
              </w:rPr>
            </w:pPr>
          </w:p>
        </w:tc>
      </w:tr>
      <w:tr w:rsidR="00871BDF" w14:paraId="00BAD308" w14:textId="77777777">
        <w:trPr>
          <w:jc w:val="center"/>
        </w:trPr>
        <w:tc>
          <w:tcPr>
            <w:tcW w:w="0" w:type="auto"/>
            <w:gridSpan w:val="3"/>
            <w:shd w:val="clear" w:color="auto" w:fill="FFFFFF"/>
            <w:tcMar>
              <w:top w:w="40" w:type="dxa"/>
              <w:left w:w="20" w:type="dxa"/>
              <w:bottom w:w="40" w:type="dxa"/>
              <w:right w:w="20" w:type="dxa"/>
            </w:tcMar>
            <w:vAlign w:val="bottom"/>
          </w:tcPr>
          <w:p w14:paraId="00BAD2E0" w14:textId="77777777" w:rsidR="00871BDF" w:rsidRDefault="005C5088">
            <w:pPr>
              <w:textAlignment w:val="bottom"/>
            </w:pPr>
            <w:r>
              <w:rPr>
                <w:rFonts w:ascii="Times New Roman" w:eastAsia="宋体" w:hAnsi="Times New Roman"/>
                <w:color w:val="000000"/>
                <w:sz w:val="20"/>
                <w:szCs w:val="20"/>
              </w:rPr>
              <w:t>International</w:t>
            </w:r>
            <w:r>
              <w:rPr>
                <w:rFonts w:ascii="Times New Roman" w:eastAsia="宋体" w:hAnsi="Times New Roman"/>
                <w:color w:val="000000"/>
                <w:sz w:val="13"/>
                <w:szCs w:val="13"/>
              </w:rPr>
              <w:t>(2)</w:t>
            </w:r>
          </w:p>
        </w:tc>
        <w:tc>
          <w:tcPr>
            <w:tcW w:w="0" w:type="auto"/>
            <w:gridSpan w:val="3"/>
            <w:shd w:val="clear" w:color="auto" w:fill="FFFFFF"/>
            <w:tcMar>
              <w:top w:w="0" w:type="dxa"/>
              <w:left w:w="20" w:type="dxa"/>
              <w:bottom w:w="0" w:type="dxa"/>
              <w:right w:w="20" w:type="dxa"/>
            </w:tcMar>
          </w:tcPr>
          <w:p w14:paraId="00BAD2E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E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E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E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E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E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E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E8"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2E9" w14:textId="77777777" w:rsidR="00871BDF" w:rsidRDefault="00871BDF">
            <w:pPr>
              <w:rPr>
                <w:rFonts w:ascii="宋体"/>
              </w:rPr>
            </w:pPr>
          </w:p>
        </w:tc>
        <w:tc>
          <w:tcPr>
            <w:tcW w:w="0" w:type="auto"/>
            <w:shd w:val="clear" w:color="auto" w:fill="auto"/>
          </w:tcPr>
          <w:p w14:paraId="00BAD2EA" w14:textId="77777777" w:rsidR="00871BDF" w:rsidRDefault="00871BDF">
            <w:pPr>
              <w:rPr>
                <w:rFonts w:ascii="宋体"/>
              </w:rPr>
            </w:pPr>
          </w:p>
        </w:tc>
        <w:tc>
          <w:tcPr>
            <w:tcW w:w="0" w:type="auto"/>
            <w:shd w:val="clear" w:color="auto" w:fill="auto"/>
          </w:tcPr>
          <w:p w14:paraId="00BAD2EB" w14:textId="77777777" w:rsidR="00871BDF" w:rsidRDefault="00871BDF">
            <w:pPr>
              <w:rPr>
                <w:rFonts w:ascii="宋体"/>
              </w:rPr>
            </w:pPr>
          </w:p>
        </w:tc>
        <w:tc>
          <w:tcPr>
            <w:tcW w:w="0" w:type="auto"/>
            <w:shd w:val="clear" w:color="auto" w:fill="auto"/>
          </w:tcPr>
          <w:p w14:paraId="00BAD2EC" w14:textId="77777777" w:rsidR="00871BDF" w:rsidRDefault="00871BDF">
            <w:pPr>
              <w:rPr>
                <w:rFonts w:ascii="宋体"/>
              </w:rPr>
            </w:pPr>
          </w:p>
        </w:tc>
        <w:tc>
          <w:tcPr>
            <w:tcW w:w="0" w:type="auto"/>
            <w:shd w:val="clear" w:color="auto" w:fill="auto"/>
          </w:tcPr>
          <w:p w14:paraId="00BAD2ED" w14:textId="77777777" w:rsidR="00871BDF" w:rsidRDefault="00871BDF">
            <w:pPr>
              <w:rPr>
                <w:rFonts w:ascii="宋体"/>
              </w:rPr>
            </w:pPr>
          </w:p>
        </w:tc>
        <w:tc>
          <w:tcPr>
            <w:tcW w:w="0" w:type="auto"/>
            <w:shd w:val="clear" w:color="auto" w:fill="auto"/>
          </w:tcPr>
          <w:p w14:paraId="00BAD2EE" w14:textId="77777777" w:rsidR="00871BDF" w:rsidRDefault="00871BDF">
            <w:pPr>
              <w:rPr>
                <w:rFonts w:ascii="宋体"/>
              </w:rPr>
            </w:pPr>
          </w:p>
        </w:tc>
        <w:tc>
          <w:tcPr>
            <w:tcW w:w="0" w:type="auto"/>
            <w:shd w:val="clear" w:color="auto" w:fill="auto"/>
          </w:tcPr>
          <w:p w14:paraId="00BAD2EF" w14:textId="77777777" w:rsidR="00871BDF" w:rsidRDefault="00871BDF">
            <w:pPr>
              <w:rPr>
                <w:rFonts w:ascii="宋体"/>
              </w:rPr>
            </w:pPr>
          </w:p>
        </w:tc>
        <w:tc>
          <w:tcPr>
            <w:tcW w:w="0" w:type="auto"/>
            <w:shd w:val="clear" w:color="auto" w:fill="auto"/>
          </w:tcPr>
          <w:p w14:paraId="00BAD2F0" w14:textId="77777777" w:rsidR="00871BDF" w:rsidRDefault="00871BDF">
            <w:pPr>
              <w:rPr>
                <w:rFonts w:ascii="宋体"/>
              </w:rPr>
            </w:pPr>
          </w:p>
        </w:tc>
        <w:tc>
          <w:tcPr>
            <w:tcW w:w="0" w:type="auto"/>
            <w:shd w:val="clear" w:color="auto" w:fill="auto"/>
          </w:tcPr>
          <w:p w14:paraId="00BAD2F1" w14:textId="77777777" w:rsidR="00871BDF" w:rsidRDefault="00871BDF">
            <w:pPr>
              <w:rPr>
                <w:rFonts w:ascii="宋体"/>
              </w:rPr>
            </w:pPr>
          </w:p>
        </w:tc>
        <w:tc>
          <w:tcPr>
            <w:tcW w:w="0" w:type="auto"/>
            <w:shd w:val="clear" w:color="auto" w:fill="auto"/>
          </w:tcPr>
          <w:p w14:paraId="00BAD2F2" w14:textId="77777777" w:rsidR="00871BDF" w:rsidRDefault="00871BDF">
            <w:pPr>
              <w:rPr>
                <w:rFonts w:ascii="宋体"/>
              </w:rPr>
            </w:pPr>
          </w:p>
        </w:tc>
        <w:tc>
          <w:tcPr>
            <w:tcW w:w="0" w:type="auto"/>
            <w:shd w:val="clear" w:color="auto" w:fill="auto"/>
          </w:tcPr>
          <w:p w14:paraId="00BAD2F3" w14:textId="77777777" w:rsidR="00871BDF" w:rsidRDefault="00871BDF">
            <w:pPr>
              <w:rPr>
                <w:rFonts w:ascii="宋体"/>
              </w:rPr>
            </w:pPr>
          </w:p>
        </w:tc>
        <w:tc>
          <w:tcPr>
            <w:tcW w:w="0" w:type="auto"/>
            <w:shd w:val="clear" w:color="auto" w:fill="auto"/>
          </w:tcPr>
          <w:p w14:paraId="00BAD2F4" w14:textId="77777777" w:rsidR="00871BDF" w:rsidRDefault="00871BDF">
            <w:pPr>
              <w:rPr>
                <w:rFonts w:ascii="宋体"/>
              </w:rPr>
            </w:pPr>
          </w:p>
        </w:tc>
        <w:tc>
          <w:tcPr>
            <w:tcW w:w="0" w:type="auto"/>
            <w:shd w:val="clear" w:color="auto" w:fill="auto"/>
          </w:tcPr>
          <w:p w14:paraId="00BAD2F5" w14:textId="77777777" w:rsidR="00871BDF" w:rsidRDefault="00871BDF">
            <w:pPr>
              <w:rPr>
                <w:rFonts w:ascii="宋体"/>
              </w:rPr>
            </w:pPr>
          </w:p>
        </w:tc>
        <w:tc>
          <w:tcPr>
            <w:tcW w:w="0" w:type="auto"/>
            <w:shd w:val="clear" w:color="auto" w:fill="auto"/>
          </w:tcPr>
          <w:p w14:paraId="00BAD2F6" w14:textId="77777777" w:rsidR="00871BDF" w:rsidRDefault="00871BDF">
            <w:pPr>
              <w:rPr>
                <w:rFonts w:ascii="宋体"/>
              </w:rPr>
            </w:pPr>
          </w:p>
        </w:tc>
        <w:tc>
          <w:tcPr>
            <w:tcW w:w="0" w:type="auto"/>
            <w:shd w:val="clear" w:color="auto" w:fill="auto"/>
          </w:tcPr>
          <w:p w14:paraId="00BAD2F7" w14:textId="77777777" w:rsidR="00871BDF" w:rsidRDefault="00871BDF">
            <w:pPr>
              <w:rPr>
                <w:rFonts w:ascii="宋体"/>
              </w:rPr>
            </w:pPr>
          </w:p>
        </w:tc>
        <w:tc>
          <w:tcPr>
            <w:tcW w:w="0" w:type="auto"/>
            <w:shd w:val="clear" w:color="auto" w:fill="auto"/>
          </w:tcPr>
          <w:p w14:paraId="00BAD2F8" w14:textId="77777777" w:rsidR="00871BDF" w:rsidRDefault="00871BDF">
            <w:pPr>
              <w:rPr>
                <w:rFonts w:ascii="宋体"/>
              </w:rPr>
            </w:pPr>
          </w:p>
        </w:tc>
        <w:tc>
          <w:tcPr>
            <w:tcW w:w="0" w:type="auto"/>
            <w:shd w:val="clear" w:color="auto" w:fill="auto"/>
          </w:tcPr>
          <w:p w14:paraId="00BAD2F9" w14:textId="77777777" w:rsidR="00871BDF" w:rsidRDefault="00871BDF">
            <w:pPr>
              <w:rPr>
                <w:rFonts w:ascii="宋体"/>
              </w:rPr>
            </w:pPr>
          </w:p>
        </w:tc>
        <w:tc>
          <w:tcPr>
            <w:tcW w:w="0" w:type="auto"/>
            <w:shd w:val="clear" w:color="auto" w:fill="auto"/>
          </w:tcPr>
          <w:p w14:paraId="00BAD2FA" w14:textId="77777777" w:rsidR="00871BDF" w:rsidRDefault="00871BDF">
            <w:pPr>
              <w:rPr>
                <w:rFonts w:ascii="宋体"/>
              </w:rPr>
            </w:pPr>
          </w:p>
        </w:tc>
        <w:tc>
          <w:tcPr>
            <w:tcW w:w="0" w:type="auto"/>
            <w:shd w:val="clear" w:color="auto" w:fill="auto"/>
          </w:tcPr>
          <w:p w14:paraId="00BAD2FB" w14:textId="77777777" w:rsidR="00871BDF" w:rsidRDefault="00871BDF">
            <w:pPr>
              <w:rPr>
                <w:rFonts w:ascii="宋体"/>
              </w:rPr>
            </w:pPr>
          </w:p>
        </w:tc>
        <w:tc>
          <w:tcPr>
            <w:tcW w:w="0" w:type="auto"/>
            <w:shd w:val="clear" w:color="auto" w:fill="auto"/>
          </w:tcPr>
          <w:p w14:paraId="00BAD2FC" w14:textId="77777777" w:rsidR="00871BDF" w:rsidRDefault="00871BDF">
            <w:pPr>
              <w:rPr>
                <w:rFonts w:ascii="宋体"/>
              </w:rPr>
            </w:pPr>
          </w:p>
        </w:tc>
        <w:tc>
          <w:tcPr>
            <w:tcW w:w="0" w:type="auto"/>
            <w:shd w:val="clear" w:color="auto" w:fill="auto"/>
          </w:tcPr>
          <w:p w14:paraId="00BAD2FD" w14:textId="77777777" w:rsidR="00871BDF" w:rsidRDefault="00871BDF">
            <w:pPr>
              <w:rPr>
                <w:rFonts w:ascii="宋体"/>
              </w:rPr>
            </w:pPr>
          </w:p>
        </w:tc>
        <w:tc>
          <w:tcPr>
            <w:tcW w:w="0" w:type="auto"/>
            <w:shd w:val="clear" w:color="auto" w:fill="auto"/>
          </w:tcPr>
          <w:p w14:paraId="00BAD2FE" w14:textId="77777777" w:rsidR="00871BDF" w:rsidRDefault="00871BDF">
            <w:pPr>
              <w:rPr>
                <w:rFonts w:ascii="宋体"/>
              </w:rPr>
            </w:pPr>
          </w:p>
        </w:tc>
        <w:tc>
          <w:tcPr>
            <w:tcW w:w="0" w:type="auto"/>
            <w:shd w:val="clear" w:color="auto" w:fill="auto"/>
          </w:tcPr>
          <w:p w14:paraId="00BAD2FF" w14:textId="77777777" w:rsidR="00871BDF" w:rsidRDefault="00871BDF">
            <w:pPr>
              <w:rPr>
                <w:rFonts w:ascii="宋体"/>
              </w:rPr>
            </w:pPr>
          </w:p>
        </w:tc>
        <w:tc>
          <w:tcPr>
            <w:tcW w:w="0" w:type="auto"/>
            <w:shd w:val="clear" w:color="auto" w:fill="auto"/>
          </w:tcPr>
          <w:p w14:paraId="00BAD300" w14:textId="77777777" w:rsidR="00871BDF" w:rsidRDefault="00871BDF">
            <w:pPr>
              <w:rPr>
                <w:rFonts w:ascii="宋体"/>
              </w:rPr>
            </w:pPr>
          </w:p>
        </w:tc>
        <w:tc>
          <w:tcPr>
            <w:tcW w:w="0" w:type="auto"/>
            <w:shd w:val="clear" w:color="auto" w:fill="auto"/>
          </w:tcPr>
          <w:p w14:paraId="00BAD301" w14:textId="77777777" w:rsidR="00871BDF" w:rsidRDefault="00871BDF">
            <w:pPr>
              <w:rPr>
                <w:rFonts w:ascii="宋体"/>
              </w:rPr>
            </w:pPr>
          </w:p>
        </w:tc>
        <w:tc>
          <w:tcPr>
            <w:tcW w:w="0" w:type="auto"/>
            <w:shd w:val="clear" w:color="auto" w:fill="auto"/>
          </w:tcPr>
          <w:p w14:paraId="00BAD302" w14:textId="77777777" w:rsidR="00871BDF" w:rsidRDefault="00871BDF">
            <w:pPr>
              <w:rPr>
                <w:rFonts w:ascii="宋体"/>
              </w:rPr>
            </w:pPr>
          </w:p>
        </w:tc>
        <w:tc>
          <w:tcPr>
            <w:tcW w:w="0" w:type="auto"/>
            <w:shd w:val="clear" w:color="auto" w:fill="auto"/>
          </w:tcPr>
          <w:p w14:paraId="00BAD303" w14:textId="77777777" w:rsidR="00871BDF" w:rsidRDefault="00871BDF">
            <w:pPr>
              <w:rPr>
                <w:rFonts w:ascii="宋体"/>
              </w:rPr>
            </w:pPr>
          </w:p>
        </w:tc>
        <w:tc>
          <w:tcPr>
            <w:tcW w:w="0" w:type="auto"/>
            <w:shd w:val="clear" w:color="auto" w:fill="auto"/>
          </w:tcPr>
          <w:p w14:paraId="00BAD304" w14:textId="77777777" w:rsidR="00871BDF" w:rsidRDefault="00871BDF">
            <w:pPr>
              <w:rPr>
                <w:rFonts w:ascii="宋体"/>
              </w:rPr>
            </w:pPr>
          </w:p>
        </w:tc>
        <w:tc>
          <w:tcPr>
            <w:tcW w:w="0" w:type="auto"/>
            <w:shd w:val="clear" w:color="auto" w:fill="auto"/>
          </w:tcPr>
          <w:p w14:paraId="00BAD305" w14:textId="77777777" w:rsidR="00871BDF" w:rsidRDefault="00871BDF">
            <w:pPr>
              <w:rPr>
                <w:rFonts w:ascii="宋体"/>
              </w:rPr>
            </w:pPr>
          </w:p>
        </w:tc>
        <w:tc>
          <w:tcPr>
            <w:tcW w:w="0" w:type="auto"/>
            <w:shd w:val="clear" w:color="auto" w:fill="auto"/>
          </w:tcPr>
          <w:p w14:paraId="00BAD306" w14:textId="77777777" w:rsidR="00871BDF" w:rsidRDefault="00871BDF">
            <w:pPr>
              <w:rPr>
                <w:rFonts w:ascii="宋体"/>
              </w:rPr>
            </w:pPr>
          </w:p>
        </w:tc>
        <w:tc>
          <w:tcPr>
            <w:tcW w:w="0" w:type="auto"/>
            <w:shd w:val="clear" w:color="auto" w:fill="auto"/>
          </w:tcPr>
          <w:p w14:paraId="00BAD307" w14:textId="77777777" w:rsidR="00871BDF" w:rsidRDefault="00871BDF">
            <w:pPr>
              <w:rPr>
                <w:rFonts w:ascii="宋体"/>
              </w:rPr>
            </w:pPr>
          </w:p>
        </w:tc>
      </w:tr>
      <w:tr w:rsidR="00871BDF" w14:paraId="00BAD336" w14:textId="77777777">
        <w:trPr>
          <w:jc w:val="center"/>
        </w:trPr>
        <w:tc>
          <w:tcPr>
            <w:tcW w:w="0" w:type="auto"/>
            <w:gridSpan w:val="3"/>
            <w:shd w:val="clear" w:color="auto" w:fill="D7E4BC"/>
            <w:tcMar>
              <w:top w:w="40" w:type="dxa"/>
              <w:left w:w="245" w:type="dxa"/>
              <w:bottom w:w="40" w:type="dxa"/>
              <w:right w:w="20" w:type="dxa"/>
            </w:tcMar>
            <w:vAlign w:val="bottom"/>
          </w:tcPr>
          <w:p w14:paraId="00BAD309" w14:textId="77777777" w:rsidR="00871BDF" w:rsidRDefault="005C5088">
            <w:pPr>
              <w:textAlignment w:val="bottom"/>
            </w:pPr>
            <w:r>
              <w:rPr>
                <w:rFonts w:ascii="Times New Roman" w:eastAsia="宋体" w:hAnsi="Times New Roman"/>
                <w:color w:val="000000"/>
                <w:sz w:val="20"/>
                <w:szCs w:val="20"/>
              </w:rPr>
              <w:t>Sales growth</w:t>
            </w:r>
          </w:p>
        </w:tc>
        <w:tc>
          <w:tcPr>
            <w:tcW w:w="0" w:type="auto"/>
            <w:gridSpan w:val="2"/>
            <w:shd w:val="clear" w:color="auto" w:fill="D7E4BC"/>
            <w:tcMar>
              <w:top w:w="40" w:type="dxa"/>
              <w:left w:w="20" w:type="dxa"/>
              <w:bottom w:w="40" w:type="dxa"/>
              <w:right w:w="0" w:type="dxa"/>
            </w:tcMar>
            <w:vAlign w:val="bottom"/>
          </w:tcPr>
          <w:p w14:paraId="00BAD30A" w14:textId="77777777" w:rsidR="00871BDF" w:rsidRDefault="005C5088">
            <w:pPr>
              <w:jc w:val="right"/>
              <w:textAlignment w:val="bottom"/>
            </w:pPr>
            <w:r>
              <w:rPr>
                <w:rFonts w:ascii="Times New Roman" w:eastAsia="宋体" w:hAnsi="Times New Roman"/>
                <w:color w:val="000000"/>
                <w:sz w:val="20"/>
                <w:szCs w:val="20"/>
              </w:rPr>
              <w:t>(19)</w:t>
            </w:r>
          </w:p>
        </w:tc>
        <w:tc>
          <w:tcPr>
            <w:tcW w:w="0" w:type="auto"/>
            <w:shd w:val="clear" w:color="auto" w:fill="D7E4BC"/>
            <w:tcMar>
              <w:top w:w="40" w:type="dxa"/>
              <w:left w:w="0" w:type="dxa"/>
              <w:bottom w:w="40" w:type="dxa"/>
              <w:right w:w="20" w:type="dxa"/>
            </w:tcMar>
            <w:vAlign w:val="bottom"/>
          </w:tcPr>
          <w:p w14:paraId="00BAD30B"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30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30D" w14:textId="77777777" w:rsidR="00871BDF" w:rsidRDefault="005C5088">
            <w:pPr>
              <w:jc w:val="right"/>
              <w:textAlignment w:val="bottom"/>
            </w:pPr>
            <w:r>
              <w:rPr>
                <w:rFonts w:ascii="Times New Roman" w:eastAsia="宋体" w:hAnsi="Times New Roman"/>
                <w:color w:val="000000"/>
                <w:sz w:val="20"/>
                <w:szCs w:val="20"/>
              </w:rPr>
              <w:t>3 </w:t>
            </w:r>
          </w:p>
        </w:tc>
        <w:tc>
          <w:tcPr>
            <w:tcW w:w="0" w:type="auto"/>
            <w:shd w:val="clear" w:color="auto" w:fill="D7E4BC"/>
            <w:tcMar>
              <w:top w:w="40" w:type="dxa"/>
              <w:left w:w="0" w:type="dxa"/>
              <w:bottom w:w="40" w:type="dxa"/>
              <w:right w:w="20" w:type="dxa"/>
            </w:tcMar>
            <w:vAlign w:val="bottom"/>
          </w:tcPr>
          <w:p w14:paraId="00BAD30E"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30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310" w14:textId="77777777" w:rsidR="00871BDF" w:rsidRDefault="005C5088">
            <w:pPr>
              <w:jc w:val="right"/>
              <w:textAlignment w:val="bottom"/>
            </w:pPr>
            <w:r>
              <w:rPr>
                <w:rFonts w:ascii="Times New Roman" w:eastAsia="宋体" w:hAnsi="Times New Roman"/>
                <w:color w:val="000000"/>
                <w:sz w:val="20"/>
                <w:szCs w:val="20"/>
              </w:rPr>
              <w:t>1 </w:t>
            </w:r>
          </w:p>
        </w:tc>
        <w:tc>
          <w:tcPr>
            <w:tcW w:w="0" w:type="auto"/>
            <w:shd w:val="clear" w:color="auto" w:fill="D7E4BC"/>
            <w:tcMar>
              <w:top w:w="40" w:type="dxa"/>
              <w:left w:w="0" w:type="dxa"/>
              <w:bottom w:w="40" w:type="dxa"/>
              <w:right w:w="20" w:type="dxa"/>
            </w:tcMar>
            <w:vAlign w:val="bottom"/>
          </w:tcPr>
          <w:p w14:paraId="00BAD311"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31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313" w14:textId="77777777" w:rsidR="00871BDF" w:rsidRDefault="005C5088">
            <w:pPr>
              <w:jc w:val="right"/>
              <w:textAlignment w:val="bottom"/>
            </w:pPr>
            <w:r>
              <w:rPr>
                <w:rFonts w:ascii="Times New Roman" w:eastAsia="宋体" w:hAnsi="Times New Roman"/>
                <w:color w:val="000000"/>
                <w:sz w:val="20"/>
                <w:szCs w:val="20"/>
              </w:rPr>
              <w:t>2 </w:t>
            </w:r>
          </w:p>
        </w:tc>
        <w:tc>
          <w:tcPr>
            <w:tcW w:w="0" w:type="auto"/>
            <w:shd w:val="clear" w:color="auto" w:fill="D7E4BC"/>
            <w:tcMar>
              <w:top w:w="40" w:type="dxa"/>
              <w:left w:w="0" w:type="dxa"/>
              <w:bottom w:w="40" w:type="dxa"/>
              <w:right w:w="20" w:type="dxa"/>
            </w:tcMar>
            <w:vAlign w:val="bottom"/>
          </w:tcPr>
          <w:p w14:paraId="00BAD314"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31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316" w14:textId="77777777" w:rsidR="00871BDF" w:rsidRDefault="005C5088">
            <w:pPr>
              <w:jc w:val="right"/>
              <w:textAlignment w:val="bottom"/>
            </w:pPr>
            <w:r>
              <w:rPr>
                <w:rFonts w:ascii="Times New Roman" w:eastAsia="宋体" w:hAnsi="Times New Roman"/>
                <w:color w:val="000000"/>
                <w:sz w:val="20"/>
                <w:szCs w:val="20"/>
              </w:rPr>
              <w:t>2 </w:t>
            </w:r>
          </w:p>
        </w:tc>
        <w:tc>
          <w:tcPr>
            <w:tcW w:w="0" w:type="auto"/>
            <w:shd w:val="clear" w:color="auto" w:fill="D7E4BC"/>
            <w:tcMar>
              <w:top w:w="40" w:type="dxa"/>
              <w:left w:w="0" w:type="dxa"/>
              <w:bottom w:w="40" w:type="dxa"/>
              <w:right w:w="20" w:type="dxa"/>
            </w:tcMar>
            <w:vAlign w:val="bottom"/>
          </w:tcPr>
          <w:p w14:paraId="00BAD317" w14:textId="77777777" w:rsidR="00871BDF" w:rsidRDefault="005C5088">
            <w:pPr>
              <w:jc w:val="right"/>
              <w:textAlignment w:val="bottom"/>
            </w:pPr>
            <w:r>
              <w:rPr>
                <w:rFonts w:ascii="Times New Roman" w:eastAsia="宋体" w:hAnsi="Times New Roman"/>
                <w:color w:val="000000"/>
                <w:sz w:val="20"/>
                <w:szCs w:val="20"/>
              </w:rPr>
              <w:t>%</w:t>
            </w:r>
          </w:p>
        </w:tc>
        <w:tc>
          <w:tcPr>
            <w:tcW w:w="0" w:type="auto"/>
            <w:shd w:val="clear" w:color="auto" w:fill="auto"/>
          </w:tcPr>
          <w:p w14:paraId="00BAD318" w14:textId="77777777" w:rsidR="00871BDF" w:rsidRDefault="00871BDF">
            <w:pPr>
              <w:rPr>
                <w:rFonts w:ascii="宋体"/>
              </w:rPr>
            </w:pPr>
          </w:p>
        </w:tc>
        <w:tc>
          <w:tcPr>
            <w:tcW w:w="0" w:type="auto"/>
            <w:shd w:val="clear" w:color="auto" w:fill="auto"/>
          </w:tcPr>
          <w:p w14:paraId="00BAD319" w14:textId="77777777" w:rsidR="00871BDF" w:rsidRDefault="00871BDF">
            <w:pPr>
              <w:rPr>
                <w:rFonts w:ascii="宋体"/>
              </w:rPr>
            </w:pPr>
          </w:p>
        </w:tc>
        <w:tc>
          <w:tcPr>
            <w:tcW w:w="0" w:type="auto"/>
            <w:shd w:val="clear" w:color="auto" w:fill="auto"/>
          </w:tcPr>
          <w:p w14:paraId="00BAD31A" w14:textId="77777777" w:rsidR="00871BDF" w:rsidRDefault="00871BDF">
            <w:pPr>
              <w:rPr>
                <w:rFonts w:ascii="宋体"/>
              </w:rPr>
            </w:pPr>
          </w:p>
        </w:tc>
        <w:tc>
          <w:tcPr>
            <w:tcW w:w="0" w:type="auto"/>
            <w:shd w:val="clear" w:color="auto" w:fill="auto"/>
          </w:tcPr>
          <w:p w14:paraId="00BAD31B" w14:textId="77777777" w:rsidR="00871BDF" w:rsidRDefault="00871BDF">
            <w:pPr>
              <w:rPr>
                <w:rFonts w:ascii="宋体"/>
              </w:rPr>
            </w:pPr>
          </w:p>
        </w:tc>
        <w:tc>
          <w:tcPr>
            <w:tcW w:w="0" w:type="auto"/>
            <w:shd w:val="clear" w:color="auto" w:fill="auto"/>
          </w:tcPr>
          <w:p w14:paraId="00BAD31C" w14:textId="77777777" w:rsidR="00871BDF" w:rsidRDefault="00871BDF">
            <w:pPr>
              <w:rPr>
                <w:rFonts w:ascii="宋体"/>
              </w:rPr>
            </w:pPr>
          </w:p>
        </w:tc>
        <w:tc>
          <w:tcPr>
            <w:tcW w:w="0" w:type="auto"/>
            <w:shd w:val="clear" w:color="auto" w:fill="auto"/>
          </w:tcPr>
          <w:p w14:paraId="00BAD31D" w14:textId="77777777" w:rsidR="00871BDF" w:rsidRDefault="00871BDF">
            <w:pPr>
              <w:rPr>
                <w:rFonts w:ascii="宋体"/>
              </w:rPr>
            </w:pPr>
          </w:p>
        </w:tc>
        <w:tc>
          <w:tcPr>
            <w:tcW w:w="0" w:type="auto"/>
            <w:shd w:val="clear" w:color="auto" w:fill="auto"/>
          </w:tcPr>
          <w:p w14:paraId="00BAD31E" w14:textId="77777777" w:rsidR="00871BDF" w:rsidRDefault="00871BDF">
            <w:pPr>
              <w:rPr>
                <w:rFonts w:ascii="宋体"/>
              </w:rPr>
            </w:pPr>
          </w:p>
        </w:tc>
        <w:tc>
          <w:tcPr>
            <w:tcW w:w="0" w:type="auto"/>
            <w:shd w:val="clear" w:color="auto" w:fill="auto"/>
          </w:tcPr>
          <w:p w14:paraId="00BAD31F" w14:textId="77777777" w:rsidR="00871BDF" w:rsidRDefault="00871BDF">
            <w:pPr>
              <w:rPr>
                <w:rFonts w:ascii="宋体"/>
              </w:rPr>
            </w:pPr>
          </w:p>
        </w:tc>
        <w:tc>
          <w:tcPr>
            <w:tcW w:w="0" w:type="auto"/>
            <w:shd w:val="clear" w:color="auto" w:fill="auto"/>
          </w:tcPr>
          <w:p w14:paraId="00BAD320" w14:textId="77777777" w:rsidR="00871BDF" w:rsidRDefault="00871BDF">
            <w:pPr>
              <w:rPr>
                <w:rFonts w:ascii="宋体"/>
              </w:rPr>
            </w:pPr>
          </w:p>
        </w:tc>
        <w:tc>
          <w:tcPr>
            <w:tcW w:w="0" w:type="auto"/>
            <w:shd w:val="clear" w:color="auto" w:fill="auto"/>
          </w:tcPr>
          <w:p w14:paraId="00BAD321" w14:textId="77777777" w:rsidR="00871BDF" w:rsidRDefault="00871BDF">
            <w:pPr>
              <w:rPr>
                <w:rFonts w:ascii="宋体"/>
              </w:rPr>
            </w:pPr>
          </w:p>
        </w:tc>
        <w:tc>
          <w:tcPr>
            <w:tcW w:w="0" w:type="auto"/>
            <w:shd w:val="clear" w:color="auto" w:fill="auto"/>
          </w:tcPr>
          <w:p w14:paraId="00BAD322" w14:textId="77777777" w:rsidR="00871BDF" w:rsidRDefault="00871BDF">
            <w:pPr>
              <w:rPr>
                <w:rFonts w:ascii="宋体"/>
              </w:rPr>
            </w:pPr>
          </w:p>
        </w:tc>
        <w:tc>
          <w:tcPr>
            <w:tcW w:w="0" w:type="auto"/>
            <w:shd w:val="clear" w:color="auto" w:fill="auto"/>
          </w:tcPr>
          <w:p w14:paraId="00BAD323" w14:textId="77777777" w:rsidR="00871BDF" w:rsidRDefault="00871BDF">
            <w:pPr>
              <w:rPr>
                <w:rFonts w:ascii="宋体"/>
              </w:rPr>
            </w:pPr>
          </w:p>
        </w:tc>
        <w:tc>
          <w:tcPr>
            <w:tcW w:w="0" w:type="auto"/>
            <w:shd w:val="clear" w:color="auto" w:fill="auto"/>
          </w:tcPr>
          <w:p w14:paraId="00BAD324" w14:textId="77777777" w:rsidR="00871BDF" w:rsidRDefault="00871BDF">
            <w:pPr>
              <w:rPr>
                <w:rFonts w:ascii="宋体"/>
              </w:rPr>
            </w:pPr>
          </w:p>
        </w:tc>
        <w:tc>
          <w:tcPr>
            <w:tcW w:w="0" w:type="auto"/>
            <w:shd w:val="clear" w:color="auto" w:fill="auto"/>
          </w:tcPr>
          <w:p w14:paraId="00BAD325" w14:textId="77777777" w:rsidR="00871BDF" w:rsidRDefault="00871BDF">
            <w:pPr>
              <w:rPr>
                <w:rFonts w:ascii="宋体"/>
              </w:rPr>
            </w:pPr>
          </w:p>
        </w:tc>
        <w:tc>
          <w:tcPr>
            <w:tcW w:w="0" w:type="auto"/>
            <w:shd w:val="clear" w:color="auto" w:fill="auto"/>
          </w:tcPr>
          <w:p w14:paraId="00BAD326" w14:textId="77777777" w:rsidR="00871BDF" w:rsidRDefault="00871BDF">
            <w:pPr>
              <w:rPr>
                <w:rFonts w:ascii="宋体"/>
              </w:rPr>
            </w:pPr>
          </w:p>
        </w:tc>
        <w:tc>
          <w:tcPr>
            <w:tcW w:w="0" w:type="auto"/>
            <w:shd w:val="clear" w:color="auto" w:fill="auto"/>
          </w:tcPr>
          <w:p w14:paraId="00BAD327" w14:textId="77777777" w:rsidR="00871BDF" w:rsidRDefault="00871BDF">
            <w:pPr>
              <w:rPr>
                <w:rFonts w:ascii="宋体"/>
              </w:rPr>
            </w:pPr>
          </w:p>
        </w:tc>
        <w:tc>
          <w:tcPr>
            <w:tcW w:w="0" w:type="auto"/>
            <w:shd w:val="clear" w:color="auto" w:fill="auto"/>
          </w:tcPr>
          <w:p w14:paraId="00BAD328" w14:textId="77777777" w:rsidR="00871BDF" w:rsidRDefault="00871BDF">
            <w:pPr>
              <w:rPr>
                <w:rFonts w:ascii="宋体"/>
              </w:rPr>
            </w:pPr>
          </w:p>
        </w:tc>
        <w:tc>
          <w:tcPr>
            <w:tcW w:w="0" w:type="auto"/>
            <w:shd w:val="clear" w:color="auto" w:fill="auto"/>
          </w:tcPr>
          <w:p w14:paraId="00BAD329" w14:textId="77777777" w:rsidR="00871BDF" w:rsidRDefault="00871BDF">
            <w:pPr>
              <w:rPr>
                <w:rFonts w:ascii="宋体"/>
              </w:rPr>
            </w:pPr>
          </w:p>
        </w:tc>
        <w:tc>
          <w:tcPr>
            <w:tcW w:w="0" w:type="auto"/>
            <w:shd w:val="clear" w:color="auto" w:fill="auto"/>
          </w:tcPr>
          <w:p w14:paraId="00BAD32A" w14:textId="77777777" w:rsidR="00871BDF" w:rsidRDefault="00871BDF">
            <w:pPr>
              <w:rPr>
                <w:rFonts w:ascii="宋体"/>
              </w:rPr>
            </w:pPr>
          </w:p>
        </w:tc>
        <w:tc>
          <w:tcPr>
            <w:tcW w:w="0" w:type="auto"/>
            <w:shd w:val="clear" w:color="auto" w:fill="auto"/>
          </w:tcPr>
          <w:p w14:paraId="00BAD32B" w14:textId="77777777" w:rsidR="00871BDF" w:rsidRDefault="00871BDF">
            <w:pPr>
              <w:rPr>
                <w:rFonts w:ascii="宋体"/>
              </w:rPr>
            </w:pPr>
          </w:p>
        </w:tc>
        <w:tc>
          <w:tcPr>
            <w:tcW w:w="0" w:type="auto"/>
            <w:shd w:val="clear" w:color="auto" w:fill="auto"/>
          </w:tcPr>
          <w:p w14:paraId="00BAD32C" w14:textId="77777777" w:rsidR="00871BDF" w:rsidRDefault="00871BDF">
            <w:pPr>
              <w:rPr>
                <w:rFonts w:ascii="宋体"/>
              </w:rPr>
            </w:pPr>
          </w:p>
        </w:tc>
        <w:tc>
          <w:tcPr>
            <w:tcW w:w="0" w:type="auto"/>
            <w:shd w:val="clear" w:color="auto" w:fill="auto"/>
          </w:tcPr>
          <w:p w14:paraId="00BAD32D" w14:textId="77777777" w:rsidR="00871BDF" w:rsidRDefault="00871BDF">
            <w:pPr>
              <w:rPr>
                <w:rFonts w:ascii="宋体"/>
              </w:rPr>
            </w:pPr>
          </w:p>
        </w:tc>
        <w:tc>
          <w:tcPr>
            <w:tcW w:w="0" w:type="auto"/>
            <w:shd w:val="clear" w:color="auto" w:fill="auto"/>
          </w:tcPr>
          <w:p w14:paraId="00BAD32E" w14:textId="77777777" w:rsidR="00871BDF" w:rsidRDefault="00871BDF">
            <w:pPr>
              <w:rPr>
                <w:rFonts w:ascii="宋体"/>
              </w:rPr>
            </w:pPr>
          </w:p>
        </w:tc>
        <w:tc>
          <w:tcPr>
            <w:tcW w:w="0" w:type="auto"/>
            <w:shd w:val="clear" w:color="auto" w:fill="auto"/>
          </w:tcPr>
          <w:p w14:paraId="00BAD32F" w14:textId="77777777" w:rsidR="00871BDF" w:rsidRDefault="00871BDF">
            <w:pPr>
              <w:rPr>
                <w:rFonts w:ascii="宋体"/>
              </w:rPr>
            </w:pPr>
          </w:p>
        </w:tc>
        <w:tc>
          <w:tcPr>
            <w:tcW w:w="0" w:type="auto"/>
            <w:shd w:val="clear" w:color="auto" w:fill="auto"/>
          </w:tcPr>
          <w:p w14:paraId="00BAD330" w14:textId="77777777" w:rsidR="00871BDF" w:rsidRDefault="00871BDF">
            <w:pPr>
              <w:rPr>
                <w:rFonts w:ascii="宋体"/>
              </w:rPr>
            </w:pPr>
          </w:p>
        </w:tc>
        <w:tc>
          <w:tcPr>
            <w:tcW w:w="0" w:type="auto"/>
            <w:shd w:val="clear" w:color="auto" w:fill="auto"/>
          </w:tcPr>
          <w:p w14:paraId="00BAD331" w14:textId="77777777" w:rsidR="00871BDF" w:rsidRDefault="00871BDF">
            <w:pPr>
              <w:rPr>
                <w:rFonts w:ascii="宋体"/>
              </w:rPr>
            </w:pPr>
          </w:p>
        </w:tc>
        <w:tc>
          <w:tcPr>
            <w:tcW w:w="0" w:type="auto"/>
            <w:shd w:val="clear" w:color="auto" w:fill="auto"/>
          </w:tcPr>
          <w:p w14:paraId="00BAD332" w14:textId="77777777" w:rsidR="00871BDF" w:rsidRDefault="00871BDF">
            <w:pPr>
              <w:rPr>
                <w:rFonts w:ascii="宋体"/>
              </w:rPr>
            </w:pPr>
          </w:p>
        </w:tc>
        <w:tc>
          <w:tcPr>
            <w:tcW w:w="0" w:type="auto"/>
            <w:shd w:val="clear" w:color="auto" w:fill="auto"/>
          </w:tcPr>
          <w:p w14:paraId="00BAD333" w14:textId="77777777" w:rsidR="00871BDF" w:rsidRDefault="00871BDF">
            <w:pPr>
              <w:rPr>
                <w:rFonts w:ascii="宋体"/>
              </w:rPr>
            </w:pPr>
          </w:p>
        </w:tc>
        <w:tc>
          <w:tcPr>
            <w:tcW w:w="0" w:type="auto"/>
            <w:shd w:val="clear" w:color="auto" w:fill="auto"/>
          </w:tcPr>
          <w:p w14:paraId="00BAD334" w14:textId="77777777" w:rsidR="00871BDF" w:rsidRDefault="00871BDF">
            <w:pPr>
              <w:rPr>
                <w:rFonts w:ascii="宋体"/>
              </w:rPr>
            </w:pPr>
          </w:p>
        </w:tc>
        <w:tc>
          <w:tcPr>
            <w:tcW w:w="0" w:type="auto"/>
            <w:shd w:val="clear" w:color="auto" w:fill="auto"/>
          </w:tcPr>
          <w:p w14:paraId="00BAD335" w14:textId="77777777" w:rsidR="00871BDF" w:rsidRDefault="00871BDF">
            <w:pPr>
              <w:rPr>
                <w:rFonts w:ascii="宋体"/>
              </w:rPr>
            </w:pPr>
          </w:p>
        </w:tc>
      </w:tr>
      <w:tr w:rsidR="00871BDF" w14:paraId="00BAD364" w14:textId="77777777">
        <w:trPr>
          <w:jc w:val="center"/>
        </w:trPr>
        <w:tc>
          <w:tcPr>
            <w:tcW w:w="0" w:type="auto"/>
            <w:gridSpan w:val="3"/>
            <w:shd w:val="clear" w:color="auto" w:fill="FFFFFF"/>
            <w:tcMar>
              <w:top w:w="40" w:type="dxa"/>
              <w:left w:w="245" w:type="dxa"/>
              <w:bottom w:w="40" w:type="dxa"/>
              <w:right w:w="20" w:type="dxa"/>
            </w:tcMar>
            <w:vAlign w:val="bottom"/>
          </w:tcPr>
          <w:p w14:paraId="00BAD337" w14:textId="77777777" w:rsidR="00871BDF" w:rsidRDefault="005C5088">
            <w:pPr>
              <w:textAlignment w:val="bottom"/>
            </w:pPr>
            <w:r>
              <w:rPr>
                <w:rFonts w:ascii="Times New Roman" w:eastAsia="宋体" w:hAnsi="Times New Roman"/>
                <w:color w:val="000000"/>
                <w:sz w:val="20"/>
                <w:szCs w:val="20"/>
              </w:rPr>
              <w:t>Change in transactions</w:t>
            </w:r>
          </w:p>
        </w:tc>
        <w:tc>
          <w:tcPr>
            <w:tcW w:w="0" w:type="auto"/>
            <w:gridSpan w:val="2"/>
            <w:shd w:val="clear" w:color="auto" w:fill="FFFFFF"/>
            <w:tcMar>
              <w:top w:w="40" w:type="dxa"/>
              <w:left w:w="20" w:type="dxa"/>
              <w:bottom w:w="40" w:type="dxa"/>
              <w:right w:w="0" w:type="dxa"/>
            </w:tcMar>
            <w:vAlign w:val="bottom"/>
          </w:tcPr>
          <w:p w14:paraId="00BAD338" w14:textId="77777777" w:rsidR="00871BDF" w:rsidRDefault="005C5088">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bottom"/>
          </w:tcPr>
          <w:p w14:paraId="00BAD339"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33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33B" w14:textId="77777777" w:rsidR="00871BDF" w:rsidRDefault="005C5088">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0BAD33C"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33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33E" w14:textId="77777777" w:rsidR="00871BDF" w:rsidRDefault="005C5088">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00BAD33F"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34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341" w14:textId="77777777" w:rsidR="00871BDF" w:rsidRDefault="005C5088">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0BAD342"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34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344" w14:textId="77777777" w:rsidR="00871BDF" w:rsidRDefault="005C5088">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0BAD345" w14:textId="77777777" w:rsidR="00871BDF" w:rsidRDefault="005C5088">
            <w:pPr>
              <w:jc w:val="right"/>
              <w:textAlignment w:val="bottom"/>
            </w:pPr>
            <w:r>
              <w:rPr>
                <w:rFonts w:ascii="Times New Roman" w:eastAsia="宋体" w:hAnsi="Times New Roman"/>
                <w:color w:val="000000"/>
                <w:sz w:val="20"/>
                <w:szCs w:val="20"/>
              </w:rPr>
              <w:t>%</w:t>
            </w:r>
          </w:p>
        </w:tc>
        <w:tc>
          <w:tcPr>
            <w:tcW w:w="0" w:type="auto"/>
            <w:shd w:val="clear" w:color="auto" w:fill="auto"/>
          </w:tcPr>
          <w:p w14:paraId="00BAD346" w14:textId="77777777" w:rsidR="00871BDF" w:rsidRDefault="00871BDF">
            <w:pPr>
              <w:rPr>
                <w:rFonts w:ascii="宋体"/>
              </w:rPr>
            </w:pPr>
          </w:p>
        </w:tc>
        <w:tc>
          <w:tcPr>
            <w:tcW w:w="0" w:type="auto"/>
            <w:shd w:val="clear" w:color="auto" w:fill="auto"/>
          </w:tcPr>
          <w:p w14:paraId="00BAD347" w14:textId="77777777" w:rsidR="00871BDF" w:rsidRDefault="00871BDF">
            <w:pPr>
              <w:rPr>
                <w:rFonts w:ascii="宋体"/>
              </w:rPr>
            </w:pPr>
          </w:p>
        </w:tc>
        <w:tc>
          <w:tcPr>
            <w:tcW w:w="0" w:type="auto"/>
            <w:shd w:val="clear" w:color="auto" w:fill="auto"/>
          </w:tcPr>
          <w:p w14:paraId="00BAD348" w14:textId="77777777" w:rsidR="00871BDF" w:rsidRDefault="00871BDF">
            <w:pPr>
              <w:rPr>
                <w:rFonts w:ascii="宋体"/>
              </w:rPr>
            </w:pPr>
          </w:p>
        </w:tc>
        <w:tc>
          <w:tcPr>
            <w:tcW w:w="0" w:type="auto"/>
            <w:shd w:val="clear" w:color="auto" w:fill="auto"/>
          </w:tcPr>
          <w:p w14:paraId="00BAD349" w14:textId="77777777" w:rsidR="00871BDF" w:rsidRDefault="00871BDF">
            <w:pPr>
              <w:rPr>
                <w:rFonts w:ascii="宋体"/>
              </w:rPr>
            </w:pPr>
          </w:p>
        </w:tc>
        <w:tc>
          <w:tcPr>
            <w:tcW w:w="0" w:type="auto"/>
            <w:shd w:val="clear" w:color="auto" w:fill="auto"/>
          </w:tcPr>
          <w:p w14:paraId="00BAD34A" w14:textId="77777777" w:rsidR="00871BDF" w:rsidRDefault="00871BDF">
            <w:pPr>
              <w:rPr>
                <w:rFonts w:ascii="宋体"/>
              </w:rPr>
            </w:pPr>
          </w:p>
        </w:tc>
        <w:tc>
          <w:tcPr>
            <w:tcW w:w="0" w:type="auto"/>
            <w:shd w:val="clear" w:color="auto" w:fill="auto"/>
          </w:tcPr>
          <w:p w14:paraId="00BAD34B" w14:textId="77777777" w:rsidR="00871BDF" w:rsidRDefault="00871BDF">
            <w:pPr>
              <w:rPr>
                <w:rFonts w:ascii="宋体"/>
              </w:rPr>
            </w:pPr>
          </w:p>
        </w:tc>
        <w:tc>
          <w:tcPr>
            <w:tcW w:w="0" w:type="auto"/>
            <w:shd w:val="clear" w:color="auto" w:fill="auto"/>
          </w:tcPr>
          <w:p w14:paraId="00BAD34C" w14:textId="77777777" w:rsidR="00871BDF" w:rsidRDefault="00871BDF">
            <w:pPr>
              <w:rPr>
                <w:rFonts w:ascii="宋体"/>
              </w:rPr>
            </w:pPr>
          </w:p>
        </w:tc>
        <w:tc>
          <w:tcPr>
            <w:tcW w:w="0" w:type="auto"/>
            <w:shd w:val="clear" w:color="auto" w:fill="auto"/>
          </w:tcPr>
          <w:p w14:paraId="00BAD34D" w14:textId="77777777" w:rsidR="00871BDF" w:rsidRDefault="00871BDF">
            <w:pPr>
              <w:rPr>
                <w:rFonts w:ascii="宋体"/>
              </w:rPr>
            </w:pPr>
          </w:p>
        </w:tc>
        <w:tc>
          <w:tcPr>
            <w:tcW w:w="0" w:type="auto"/>
            <w:shd w:val="clear" w:color="auto" w:fill="auto"/>
          </w:tcPr>
          <w:p w14:paraId="00BAD34E" w14:textId="77777777" w:rsidR="00871BDF" w:rsidRDefault="00871BDF">
            <w:pPr>
              <w:rPr>
                <w:rFonts w:ascii="宋体"/>
              </w:rPr>
            </w:pPr>
          </w:p>
        </w:tc>
        <w:tc>
          <w:tcPr>
            <w:tcW w:w="0" w:type="auto"/>
            <w:shd w:val="clear" w:color="auto" w:fill="auto"/>
          </w:tcPr>
          <w:p w14:paraId="00BAD34F" w14:textId="77777777" w:rsidR="00871BDF" w:rsidRDefault="00871BDF">
            <w:pPr>
              <w:rPr>
                <w:rFonts w:ascii="宋体"/>
              </w:rPr>
            </w:pPr>
          </w:p>
        </w:tc>
        <w:tc>
          <w:tcPr>
            <w:tcW w:w="0" w:type="auto"/>
            <w:shd w:val="clear" w:color="auto" w:fill="auto"/>
          </w:tcPr>
          <w:p w14:paraId="00BAD350" w14:textId="77777777" w:rsidR="00871BDF" w:rsidRDefault="00871BDF">
            <w:pPr>
              <w:rPr>
                <w:rFonts w:ascii="宋体"/>
              </w:rPr>
            </w:pPr>
          </w:p>
        </w:tc>
        <w:tc>
          <w:tcPr>
            <w:tcW w:w="0" w:type="auto"/>
            <w:shd w:val="clear" w:color="auto" w:fill="auto"/>
          </w:tcPr>
          <w:p w14:paraId="00BAD351" w14:textId="77777777" w:rsidR="00871BDF" w:rsidRDefault="00871BDF">
            <w:pPr>
              <w:rPr>
                <w:rFonts w:ascii="宋体"/>
              </w:rPr>
            </w:pPr>
          </w:p>
        </w:tc>
        <w:tc>
          <w:tcPr>
            <w:tcW w:w="0" w:type="auto"/>
            <w:shd w:val="clear" w:color="auto" w:fill="auto"/>
          </w:tcPr>
          <w:p w14:paraId="00BAD352" w14:textId="77777777" w:rsidR="00871BDF" w:rsidRDefault="00871BDF">
            <w:pPr>
              <w:rPr>
                <w:rFonts w:ascii="宋体"/>
              </w:rPr>
            </w:pPr>
          </w:p>
        </w:tc>
        <w:tc>
          <w:tcPr>
            <w:tcW w:w="0" w:type="auto"/>
            <w:shd w:val="clear" w:color="auto" w:fill="auto"/>
          </w:tcPr>
          <w:p w14:paraId="00BAD353" w14:textId="77777777" w:rsidR="00871BDF" w:rsidRDefault="00871BDF">
            <w:pPr>
              <w:rPr>
                <w:rFonts w:ascii="宋体"/>
              </w:rPr>
            </w:pPr>
          </w:p>
        </w:tc>
        <w:tc>
          <w:tcPr>
            <w:tcW w:w="0" w:type="auto"/>
            <w:shd w:val="clear" w:color="auto" w:fill="auto"/>
          </w:tcPr>
          <w:p w14:paraId="00BAD354" w14:textId="77777777" w:rsidR="00871BDF" w:rsidRDefault="00871BDF">
            <w:pPr>
              <w:rPr>
                <w:rFonts w:ascii="宋体"/>
              </w:rPr>
            </w:pPr>
          </w:p>
        </w:tc>
        <w:tc>
          <w:tcPr>
            <w:tcW w:w="0" w:type="auto"/>
            <w:shd w:val="clear" w:color="auto" w:fill="auto"/>
          </w:tcPr>
          <w:p w14:paraId="00BAD355" w14:textId="77777777" w:rsidR="00871BDF" w:rsidRDefault="00871BDF">
            <w:pPr>
              <w:rPr>
                <w:rFonts w:ascii="宋体"/>
              </w:rPr>
            </w:pPr>
          </w:p>
        </w:tc>
        <w:tc>
          <w:tcPr>
            <w:tcW w:w="0" w:type="auto"/>
            <w:shd w:val="clear" w:color="auto" w:fill="auto"/>
          </w:tcPr>
          <w:p w14:paraId="00BAD356" w14:textId="77777777" w:rsidR="00871BDF" w:rsidRDefault="00871BDF">
            <w:pPr>
              <w:rPr>
                <w:rFonts w:ascii="宋体"/>
              </w:rPr>
            </w:pPr>
          </w:p>
        </w:tc>
        <w:tc>
          <w:tcPr>
            <w:tcW w:w="0" w:type="auto"/>
            <w:shd w:val="clear" w:color="auto" w:fill="auto"/>
          </w:tcPr>
          <w:p w14:paraId="00BAD357" w14:textId="77777777" w:rsidR="00871BDF" w:rsidRDefault="00871BDF">
            <w:pPr>
              <w:rPr>
                <w:rFonts w:ascii="宋体"/>
              </w:rPr>
            </w:pPr>
          </w:p>
        </w:tc>
        <w:tc>
          <w:tcPr>
            <w:tcW w:w="0" w:type="auto"/>
            <w:shd w:val="clear" w:color="auto" w:fill="auto"/>
          </w:tcPr>
          <w:p w14:paraId="00BAD358" w14:textId="77777777" w:rsidR="00871BDF" w:rsidRDefault="00871BDF">
            <w:pPr>
              <w:rPr>
                <w:rFonts w:ascii="宋体"/>
              </w:rPr>
            </w:pPr>
          </w:p>
        </w:tc>
        <w:tc>
          <w:tcPr>
            <w:tcW w:w="0" w:type="auto"/>
            <w:shd w:val="clear" w:color="auto" w:fill="auto"/>
          </w:tcPr>
          <w:p w14:paraId="00BAD359" w14:textId="77777777" w:rsidR="00871BDF" w:rsidRDefault="00871BDF">
            <w:pPr>
              <w:rPr>
                <w:rFonts w:ascii="宋体"/>
              </w:rPr>
            </w:pPr>
          </w:p>
        </w:tc>
        <w:tc>
          <w:tcPr>
            <w:tcW w:w="0" w:type="auto"/>
            <w:shd w:val="clear" w:color="auto" w:fill="auto"/>
          </w:tcPr>
          <w:p w14:paraId="00BAD35A" w14:textId="77777777" w:rsidR="00871BDF" w:rsidRDefault="00871BDF">
            <w:pPr>
              <w:rPr>
                <w:rFonts w:ascii="宋体"/>
              </w:rPr>
            </w:pPr>
          </w:p>
        </w:tc>
        <w:tc>
          <w:tcPr>
            <w:tcW w:w="0" w:type="auto"/>
            <w:shd w:val="clear" w:color="auto" w:fill="auto"/>
          </w:tcPr>
          <w:p w14:paraId="00BAD35B" w14:textId="77777777" w:rsidR="00871BDF" w:rsidRDefault="00871BDF">
            <w:pPr>
              <w:rPr>
                <w:rFonts w:ascii="宋体"/>
              </w:rPr>
            </w:pPr>
          </w:p>
        </w:tc>
        <w:tc>
          <w:tcPr>
            <w:tcW w:w="0" w:type="auto"/>
            <w:shd w:val="clear" w:color="auto" w:fill="auto"/>
          </w:tcPr>
          <w:p w14:paraId="00BAD35C" w14:textId="77777777" w:rsidR="00871BDF" w:rsidRDefault="00871BDF">
            <w:pPr>
              <w:rPr>
                <w:rFonts w:ascii="宋体"/>
              </w:rPr>
            </w:pPr>
          </w:p>
        </w:tc>
        <w:tc>
          <w:tcPr>
            <w:tcW w:w="0" w:type="auto"/>
            <w:shd w:val="clear" w:color="auto" w:fill="auto"/>
          </w:tcPr>
          <w:p w14:paraId="00BAD35D" w14:textId="77777777" w:rsidR="00871BDF" w:rsidRDefault="00871BDF">
            <w:pPr>
              <w:rPr>
                <w:rFonts w:ascii="宋体"/>
              </w:rPr>
            </w:pPr>
          </w:p>
        </w:tc>
        <w:tc>
          <w:tcPr>
            <w:tcW w:w="0" w:type="auto"/>
            <w:shd w:val="clear" w:color="auto" w:fill="auto"/>
          </w:tcPr>
          <w:p w14:paraId="00BAD35E" w14:textId="77777777" w:rsidR="00871BDF" w:rsidRDefault="00871BDF">
            <w:pPr>
              <w:rPr>
                <w:rFonts w:ascii="宋体"/>
              </w:rPr>
            </w:pPr>
          </w:p>
        </w:tc>
        <w:tc>
          <w:tcPr>
            <w:tcW w:w="0" w:type="auto"/>
            <w:shd w:val="clear" w:color="auto" w:fill="auto"/>
          </w:tcPr>
          <w:p w14:paraId="00BAD35F" w14:textId="77777777" w:rsidR="00871BDF" w:rsidRDefault="00871BDF">
            <w:pPr>
              <w:rPr>
                <w:rFonts w:ascii="宋体"/>
              </w:rPr>
            </w:pPr>
          </w:p>
        </w:tc>
        <w:tc>
          <w:tcPr>
            <w:tcW w:w="0" w:type="auto"/>
            <w:shd w:val="clear" w:color="auto" w:fill="auto"/>
          </w:tcPr>
          <w:p w14:paraId="00BAD360" w14:textId="77777777" w:rsidR="00871BDF" w:rsidRDefault="00871BDF">
            <w:pPr>
              <w:rPr>
                <w:rFonts w:ascii="宋体"/>
              </w:rPr>
            </w:pPr>
          </w:p>
        </w:tc>
        <w:tc>
          <w:tcPr>
            <w:tcW w:w="0" w:type="auto"/>
            <w:shd w:val="clear" w:color="auto" w:fill="auto"/>
          </w:tcPr>
          <w:p w14:paraId="00BAD361" w14:textId="77777777" w:rsidR="00871BDF" w:rsidRDefault="00871BDF">
            <w:pPr>
              <w:rPr>
                <w:rFonts w:ascii="宋体"/>
              </w:rPr>
            </w:pPr>
          </w:p>
        </w:tc>
        <w:tc>
          <w:tcPr>
            <w:tcW w:w="0" w:type="auto"/>
            <w:shd w:val="clear" w:color="auto" w:fill="auto"/>
          </w:tcPr>
          <w:p w14:paraId="00BAD362" w14:textId="77777777" w:rsidR="00871BDF" w:rsidRDefault="00871BDF">
            <w:pPr>
              <w:rPr>
                <w:rFonts w:ascii="宋体"/>
              </w:rPr>
            </w:pPr>
          </w:p>
        </w:tc>
        <w:tc>
          <w:tcPr>
            <w:tcW w:w="0" w:type="auto"/>
            <w:shd w:val="clear" w:color="auto" w:fill="auto"/>
          </w:tcPr>
          <w:p w14:paraId="00BAD363" w14:textId="77777777" w:rsidR="00871BDF" w:rsidRDefault="00871BDF">
            <w:pPr>
              <w:rPr>
                <w:rFonts w:ascii="宋体"/>
              </w:rPr>
            </w:pPr>
          </w:p>
        </w:tc>
      </w:tr>
      <w:tr w:rsidR="00871BDF" w14:paraId="00BAD392" w14:textId="77777777">
        <w:trPr>
          <w:jc w:val="center"/>
        </w:trPr>
        <w:tc>
          <w:tcPr>
            <w:tcW w:w="0" w:type="auto"/>
            <w:gridSpan w:val="3"/>
            <w:shd w:val="clear" w:color="auto" w:fill="D7E4BC"/>
            <w:tcMar>
              <w:top w:w="40" w:type="dxa"/>
              <w:left w:w="245" w:type="dxa"/>
              <w:bottom w:w="40" w:type="dxa"/>
              <w:right w:w="20" w:type="dxa"/>
            </w:tcMar>
            <w:vAlign w:val="bottom"/>
          </w:tcPr>
          <w:p w14:paraId="00BAD365" w14:textId="77777777" w:rsidR="00871BDF" w:rsidRDefault="005C5088">
            <w:pPr>
              <w:textAlignment w:val="bottom"/>
            </w:pPr>
            <w:r>
              <w:rPr>
                <w:rFonts w:ascii="Times New Roman" w:eastAsia="宋体" w:hAnsi="Times New Roman"/>
                <w:color w:val="000000"/>
                <w:sz w:val="20"/>
                <w:szCs w:val="20"/>
              </w:rPr>
              <w:t>Change in ticket</w:t>
            </w:r>
          </w:p>
        </w:tc>
        <w:tc>
          <w:tcPr>
            <w:tcW w:w="0" w:type="auto"/>
            <w:gridSpan w:val="2"/>
            <w:shd w:val="clear" w:color="auto" w:fill="D7E4BC"/>
            <w:tcMar>
              <w:top w:w="40" w:type="dxa"/>
              <w:left w:w="20" w:type="dxa"/>
              <w:bottom w:w="40" w:type="dxa"/>
              <w:right w:w="0" w:type="dxa"/>
            </w:tcMar>
            <w:vAlign w:val="bottom"/>
          </w:tcPr>
          <w:p w14:paraId="00BAD366" w14:textId="77777777" w:rsidR="00871BDF" w:rsidRDefault="005C5088">
            <w:pPr>
              <w:jc w:val="right"/>
              <w:textAlignment w:val="bottom"/>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bottom"/>
          </w:tcPr>
          <w:p w14:paraId="00BAD367"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36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369" w14:textId="77777777" w:rsidR="00871BDF" w:rsidRDefault="005C5088">
            <w:pPr>
              <w:jc w:val="right"/>
              <w:textAlignment w:val="bottom"/>
            </w:pPr>
            <w:r>
              <w:rPr>
                <w:rFonts w:ascii="Times New Roman" w:eastAsia="宋体" w:hAnsi="Times New Roman"/>
                <w:color w:val="000000"/>
                <w:sz w:val="20"/>
                <w:szCs w:val="20"/>
              </w:rPr>
              <w:t>2 </w:t>
            </w:r>
          </w:p>
        </w:tc>
        <w:tc>
          <w:tcPr>
            <w:tcW w:w="0" w:type="auto"/>
            <w:shd w:val="clear" w:color="auto" w:fill="D7E4BC"/>
            <w:tcMar>
              <w:top w:w="40" w:type="dxa"/>
              <w:left w:w="0" w:type="dxa"/>
              <w:bottom w:w="40" w:type="dxa"/>
              <w:right w:w="20" w:type="dxa"/>
            </w:tcMar>
            <w:vAlign w:val="bottom"/>
          </w:tcPr>
          <w:p w14:paraId="00BAD36A"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36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36C" w14:textId="77777777" w:rsidR="00871BDF" w:rsidRDefault="005C5088">
            <w:pPr>
              <w:jc w:val="right"/>
              <w:textAlignment w:val="bottom"/>
            </w:pPr>
            <w:r>
              <w:rPr>
                <w:rFonts w:ascii="Times New Roman" w:eastAsia="宋体" w:hAnsi="Times New Roman"/>
                <w:color w:val="000000"/>
                <w:sz w:val="20"/>
                <w:szCs w:val="20"/>
              </w:rPr>
              <w:t>2 </w:t>
            </w:r>
          </w:p>
        </w:tc>
        <w:tc>
          <w:tcPr>
            <w:tcW w:w="0" w:type="auto"/>
            <w:shd w:val="clear" w:color="auto" w:fill="D7E4BC"/>
            <w:tcMar>
              <w:top w:w="40" w:type="dxa"/>
              <w:left w:w="0" w:type="dxa"/>
              <w:bottom w:w="40" w:type="dxa"/>
              <w:right w:w="20" w:type="dxa"/>
            </w:tcMar>
            <w:vAlign w:val="bottom"/>
          </w:tcPr>
          <w:p w14:paraId="00BAD36D"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36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36F" w14:textId="77777777" w:rsidR="00871BDF" w:rsidRDefault="005C5088">
            <w:pPr>
              <w:jc w:val="right"/>
              <w:textAlignment w:val="bottom"/>
            </w:pPr>
            <w:r>
              <w:rPr>
                <w:rFonts w:ascii="Times New Roman" w:eastAsia="宋体" w:hAnsi="Times New Roman"/>
                <w:color w:val="000000"/>
                <w:sz w:val="20"/>
                <w:szCs w:val="20"/>
              </w:rPr>
              <w:t>1 </w:t>
            </w:r>
          </w:p>
        </w:tc>
        <w:tc>
          <w:tcPr>
            <w:tcW w:w="0" w:type="auto"/>
            <w:shd w:val="clear" w:color="auto" w:fill="D7E4BC"/>
            <w:tcMar>
              <w:top w:w="40" w:type="dxa"/>
              <w:left w:w="0" w:type="dxa"/>
              <w:bottom w:w="40" w:type="dxa"/>
              <w:right w:w="20" w:type="dxa"/>
            </w:tcMar>
            <w:vAlign w:val="bottom"/>
          </w:tcPr>
          <w:p w14:paraId="00BAD370"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37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372" w14:textId="77777777" w:rsidR="00871BDF" w:rsidRDefault="005C5088">
            <w:pPr>
              <w:jc w:val="right"/>
              <w:textAlignment w:val="bottom"/>
            </w:pPr>
            <w:r>
              <w:rPr>
                <w:rFonts w:ascii="Times New Roman" w:eastAsia="宋体" w:hAnsi="Times New Roman"/>
                <w:color w:val="000000"/>
                <w:sz w:val="20"/>
                <w:szCs w:val="20"/>
              </w:rPr>
              <w:t>1 </w:t>
            </w:r>
          </w:p>
        </w:tc>
        <w:tc>
          <w:tcPr>
            <w:tcW w:w="0" w:type="auto"/>
            <w:shd w:val="clear" w:color="auto" w:fill="D7E4BC"/>
            <w:tcMar>
              <w:top w:w="40" w:type="dxa"/>
              <w:left w:w="0" w:type="dxa"/>
              <w:bottom w:w="40" w:type="dxa"/>
              <w:right w:w="20" w:type="dxa"/>
            </w:tcMar>
            <w:vAlign w:val="bottom"/>
          </w:tcPr>
          <w:p w14:paraId="00BAD373" w14:textId="77777777" w:rsidR="00871BDF" w:rsidRDefault="005C5088">
            <w:pPr>
              <w:jc w:val="right"/>
              <w:textAlignment w:val="bottom"/>
            </w:pPr>
            <w:r>
              <w:rPr>
                <w:rFonts w:ascii="Times New Roman" w:eastAsia="宋体" w:hAnsi="Times New Roman"/>
                <w:color w:val="000000"/>
                <w:sz w:val="20"/>
                <w:szCs w:val="20"/>
              </w:rPr>
              <w:t>%</w:t>
            </w:r>
          </w:p>
        </w:tc>
        <w:tc>
          <w:tcPr>
            <w:tcW w:w="0" w:type="auto"/>
            <w:shd w:val="clear" w:color="auto" w:fill="auto"/>
          </w:tcPr>
          <w:p w14:paraId="00BAD374" w14:textId="77777777" w:rsidR="00871BDF" w:rsidRDefault="00871BDF">
            <w:pPr>
              <w:rPr>
                <w:rFonts w:ascii="宋体"/>
              </w:rPr>
            </w:pPr>
          </w:p>
        </w:tc>
        <w:tc>
          <w:tcPr>
            <w:tcW w:w="0" w:type="auto"/>
            <w:shd w:val="clear" w:color="auto" w:fill="auto"/>
          </w:tcPr>
          <w:p w14:paraId="00BAD375" w14:textId="77777777" w:rsidR="00871BDF" w:rsidRDefault="00871BDF">
            <w:pPr>
              <w:rPr>
                <w:rFonts w:ascii="宋体"/>
              </w:rPr>
            </w:pPr>
          </w:p>
        </w:tc>
        <w:tc>
          <w:tcPr>
            <w:tcW w:w="0" w:type="auto"/>
            <w:shd w:val="clear" w:color="auto" w:fill="auto"/>
          </w:tcPr>
          <w:p w14:paraId="00BAD376" w14:textId="77777777" w:rsidR="00871BDF" w:rsidRDefault="00871BDF">
            <w:pPr>
              <w:rPr>
                <w:rFonts w:ascii="宋体"/>
              </w:rPr>
            </w:pPr>
          </w:p>
        </w:tc>
        <w:tc>
          <w:tcPr>
            <w:tcW w:w="0" w:type="auto"/>
            <w:shd w:val="clear" w:color="auto" w:fill="auto"/>
          </w:tcPr>
          <w:p w14:paraId="00BAD377" w14:textId="77777777" w:rsidR="00871BDF" w:rsidRDefault="00871BDF">
            <w:pPr>
              <w:rPr>
                <w:rFonts w:ascii="宋体"/>
              </w:rPr>
            </w:pPr>
          </w:p>
        </w:tc>
        <w:tc>
          <w:tcPr>
            <w:tcW w:w="0" w:type="auto"/>
            <w:shd w:val="clear" w:color="auto" w:fill="auto"/>
          </w:tcPr>
          <w:p w14:paraId="00BAD378" w14:textId="77777777" w:rsidR="00871BDF" w:rsidRDefault="00871BDF">
            <w:pPr>
              <w:rPr>
                <w:rFonts w:ascii="宋体"/>
              </w:rPr>
            </w:pPr>
          </w:p>
        </w:tc>
        <w:tc>
          <w:tcPr>
            <w:tcW w:w="0" w:type="auto"/>
            <w:shd w:val="clear" w:color="auto" w:fill="auto"/>
          </w:tcPr>
          <w:p w14:paraId="00BAD379" w14:textId="77777777" w:rsidR="00871BDF" w:rsidRDefault="00871BDF">
            <w:pPr>
              <w:rPr>
                <w:rFonts w:ascii="宋体"/>
              </w:rPr>
            </w:pPr>
          </w:p>
        </w:tc>
        <w:tc>
          <w:tcPr>
            <w:tcW w:w="0" w:type="auto"/>
            <w:shd w:val="clear" w:color="auto" w:fill="auto"/>
          </w:tcPr>
          <w:p w14:paraId="00BAD37A" w14:textId="77777777" w:rsidR="00871BDF" w:rsidRDefault="00871BDF">
            <w:pPr>
              <w:rPr>
                <w:rFonts w:ascii="宋体"/>
              </w:rPr>
            </w:pPr>
          </w:p>
        </w:tc>
        <w:tc>
          <w:tcPr>
            <w:tcW w:w="0" w:type="auto"/>
            <w:shd w:val="clear" w:color="auto" w:fill="auto"/>
          </w:tcPr>
          <w:p w14:paraId="00BAD37B" w14:textId="77777777" w:rsidR="00871BDF" w:rsidRDefault="00871BDF">
            <w:pPr>
              <w:rPr>
                <w:rFonts w:ascii="宋体"/>
              </w:rPr>
            </w:pPr>
          </w:p>
        </w:tc>
        <w:tc>
          <w:tcPr>
            <w:tcW w:w="0" w:type="auto"/>
            <w:shd w:val="clear" w:color="auto" w:fill="auto"/>
          </w:tcPr>
          <w:p w14:paraId="00BAD37C" w14:textId="77777777" w:rsidR="00871BDF" w:rsidRDefault="00871BDF">
            <w:pPr>
              <w:rPr>
                <w:rFonts w:ascii="宋体"/>
              </w:rPr>
            </w:pPr>
          </w:p>
        </w:tc>
        <w:tc>
          <w:tcPr>
            <w:tcW w:w="0" w:type="auto"/>
            <w:shd w:val="clear" w:color="auto" w:fill="auto"/>
          </w:tcPr>
          <w:p w14:paraId="00BAD37D" w14:textId="77777777" w:rsidR="00871BDF" w:rsidRDefault="00871BDF">
            <w:pPr>
              <w:rPr>
                <w:rFonts w:ascii="宋体"/>
              </w:rPr>
            </w:pPr>
          </w:p>
        </w:tc>
        <w:tc>
          <w:tcPr>
            <w:tcW w:w="0" w:type="auto"/>
            <w:shd w:val="clear" w:color="auto" w:fill="auto"/>
          </w:tcPr>
          <w:p w14:paraId="00BAD37E" w14:textId="77777777" w:rsidR="00871BDF" w:rsidRDefault="00871BDF">
            <w:pPr>
              <w:rPr>
                <w:rFonts w:ascii="宋体"/>
              </w:rPr>
            </w:pPr>
          </w:p>
        </w:tc>
        <w:tc>
          <w:tcPr>
            <w:tcW w:w="0" w:type="auto"/>
            <w:shd w:val="clear" w:color="auto" w:fill="auto"/>
          </w:tcPr>
          <w:p w14:paraId="00BAD37F" w14:textId="77777777" w:rsidR="00871BDF" w:rsidRDefault="00871BDF">
            <w:pPr>
              <w:rPr>
                <w:rFonts w:ascii="宋体"/>
              </w:rPr>
            </w:pPr>
          </w:p>
        </w:tc>
        <w:tc>
          <w:tcPr>
            <w:tcW w:w="0" w:type="auto"/>
            <w:shd w:val="clear" w:color="auto" w:fill="auto"/>
          </w:tcPr>
          <w:p w14:paraId="00BAD380" w14:textId="77777777" w:rsidR="00871BDF" w:rsidRDefault="00871BDF">
            <w:pPr>
              <w:rPr>
                <w:rFonts w:ascii="宋体"/>
              </w:rPr>
            </w:pPr>
          </w:p>
        </w:tc>
        <w:tc>
          <w:tcPr>
            <w:tcW w:w="0" w:type="auto"/>
            <w:shd w:val="clear" w:color="auto" w:fill="auto"/>
          </w:tcPr>
          <w:p w14:paraId="00BAD381" w14:textId="77777777" w:rsidR="00871BDF" w:rsidRDefault="00871BDF">
            <w:pPr>
              <w:rPr>
                <w:rFonts w:ascii="宋体"/>
              </w:rPr>
            </w:pPr>
          </w:p>
        </w:tc>
        <w:tc>
          <w:tcPr>
            <w:tcW w:w="0" w:type="auto"/>
            <w:shd w:val="clear" w:color="auto" w:fill="auto"/>
          </w:tcPr>
          <w:p w14:paraId="00BAD382" w14:textId="77777777" w:rsidR="00871BDF" w:rsidRDefault="00871BDF">
            <w:pPr>
              <w:rPr>
                <w:rFonts w:ascii="宋体"/>
              </w:rPr>
            </w:pPr>
          </w:p>
        </w:tc>
        <w:tc>
          <w:tcPr>
            <w:tcW w:w="0" w:type="auto"/>
            <w:shd w:val="clear" w:color="auto" w:fill="auto"/>
          </w:tcPr>
          <w:p w14:paraId="00BAD383" w14:textId="77777777" w:rsidR="00871BDF" w:rsidRDefault="00871BDF">
            <w:pPr>
              <w:rPr>
                <w:rFonts w:ascii="宋体"/>
              </w:rPr>
            </w:pPr>
          </w:p>
        </w:tc>
        <w:tc>
          <w:tcPr>
            <w:tcW w:w="0" w:type="auto"/>
            <w:shd w:val="clear" w:color="auto" w:fill="auto"/>
          </w:tcPr>
          <w:p w14:paraId="00BAD384" w14:textId="77777777" w:rsidR="00871BDF" w:rsidRDefault="00871BDF">
            <w:pPr>
              <w:rPr>
                <w:rFonts w:ascii="宋体"/>
              </w:rPr>
            </w:pPr>
          </w:p>
        </w:tc>
        <w:tc>
          <w:tcPr>
            <w:tcW w:w="0" w:type="auto"/>
            <w:shd w:val="clear" w:color="auto" w:fill="auto"/>
          </w:tcPr>
          <w:p w14:paraId="00BAD385" w14:textId="77777777" w:rsidR="00871BDF" w:rsidRDefault="00871BDF">
            <w:pPr>
              <w:rPr>
                <w:rFonts w:ascii="宋体"/>
              </w:rPr>
            </w:pPr>
          </w:p>
        </w:tc>
        <w:tc>
          <w:tcPr>
            <w:tcW w:w="0" w:type="auto"/>
            <w:shd w:val="clear" w:color="auto" w:fill="auto"/>
          </w:tcPr>
          <w:p w14:paraId="00BAD386" w14:textId="77777777" w:rsidR="00871BDF" w:rsidRDefault="00871BDF">
            <w:pPr>
              <w:rPr>
                <w:rFonts w:ascii="宋体"/>
              </w:rPr>
            </w:pPr>
          </w:p>
        </w:tc>
        <w:tc>
          <w:tcPr>
            <w:tcW w:w="0" w:type="auto"/>
            <w:shd w:val="clear" w:color="auto" w:fill="auto"/>
          </w:tcPr>
          <w:p w14:paraId="00BAD387" w14:textId="77777777" w:rsidR="00871BDF" w:rsidRDefault="00871BDF">
            <w:pPr>
              <w:rPr>
                <w:rFonts w:ascii="宋体"/>
              </w:rPr>
            </w:pPr>
          </w:p>
        </w:tc>
        <w:tc>
          <w:tcPr>
            <w:tcW w:w="0" w:type="auto"/>
            <w:shd w:val="clear" w:color="auto" w:fill="auto"/>
          </w:tcPr>
          <w:p w14:paraId="00BAD388" w14:textId="77777777" w:rsidR="00871BDF" w:rsidRDefault="00871BDF">
            <w:pPr>
              <w:rPr>
                <w:rFonts w:ascii="宋体"/>
              </w:rPr>
            </w:pPr>
          </w:p>
        </w:tc>
        <w:tc>
          <w:tcPr>
            <w:tcW w:w="0" w:type="auto"/>
            <w:shd w:val="clear" w:color="auto" w:fill="auto"/>
          </w:tcPr>
          <w:p w14:paraId="00BAD389" w14:textId="77777777" w:rsidR="00871BDF" w:rsidRDefault="00871BDF">
            <w:pPr>
              <w:rPr>
                <w:rFonts w:ascii="宋体"/>
              </w:rPr>
            </w:pPr>
          </w:p>
        </w:tc>
        <w:tc>
          <w:tcPr>
            <w:tcW w:w="0" w:type="auto"/>
            <w:shd w:val="clear" w:color="auto" w:fill="auto"/>
          </w:tcPr>
          <w:p w14:paraId="00BAD38A" w14:textId="77777777" w:rsidR="00871BDF" w:rsidRDefault="00871BDF">
            <w:pPr>
              <w:rPr>
                <w:rFonts w:ascii="宋体"/>
              </w:rPr>
            </w:pPr>
          </w:p>
        </w:tc>
        <w:tc>
          <w:tcPr>
            <w:tcW w:w="0" w:type="auto"/>
            <w:shd w:val="clear" w:color="auto" w:fill="auto"/>
          </w:tcPr>
          <w:p w14:paraId="00BAD38B" w14:textId="77777777" w:rsidR="00871BDF" w:rsidRDefault="00871BDF">
            <w:pPr>
              <w:rPr>
                <w:rFonts w:ascii="宋体"/>
              </w:rPr>
            </w:pPr>
          </w:p>
        </w:tc>
        <w:tc>
          <w:tcPr>
            <w:tcW w:w="0" w:type="auto"/>
            <w:shd w:val="clear" w:color="auto" w:fill="auto"/>
          </w:tcPr>
          <w:p w14:paraId="00BAD38C" w14:textId="77777777" w:rsidR="00871BDF" w:rsidRDefault="00871BDF">
            <w:pPr>
              <w:rPr>
                <w:rFonts w:ascii="宋体"/>
              </w:rPr>
            </w:pPr>
          </w:p>
        </w:tc>
        <w:tc>
          <w:tcPr>
            <w:tcW w:w="0" w:type="auto"/>
            <w:shd w:val="clear" w:color="auto" w:fill="auto"/>
          </w:tcPr>
          <w:p w14:paraId="00BAD38D" w14:textId="77777777" w:rsidR="00871BDF" w:rsidRDefault="00871BDF">
            <w:pPr>
              <w:rPr>
                <w:rFonts w:ascii="宋体"/>
              </w:rPr>
            </w:pPr>
          </w:p>
        </w:tc>
        <w:tc>
          <w:tcPr>
            <w:tcW w:w="0" w:type="auto"/>
            <w:shd w:val="clear" w:color="auto" w:fill="auto"/>
          </w:tcPr>
          <w:p w14:paraId="00BAD38E" w14:textId="77777777" w:rsidR="00871BDF" w:rsidRDefault="00871BDF">
            <w:pPr>
              <w:rPr>
                <w:rFonts w:ascii="宋体"/>
              </w:rPr>
            </w:pPr>
          </w:p>
        </w:tc>
        <w:tc>
          <w:tcPr>
            <w:tcW w:w="0" w:type="auto"/>
            <w:shd w:val="clear" w:color="auto" w:fill="auto"/>
          </w:tcPr>
          <w:p w14:paraId="00BAD38F" w14:textId="77777777" w:rsidR="00871BDF" w:rsidRDefault="00871BDF">
            <w:pPr>
              <w:rPr>
                <w:rFonts w:ascii="宋体"/>
              </w:rPr>
            </w:pPr>
          </w:p>
        </w:tc>
        <w:tc>
          <w:tcPr>
            <w:tcW w:w="0" w:type="auto"/>
            <w:shd w:val="clear" w:color="auto" w:fill="auto"/>
          </w:tcPr>
          <w:p w14:paraId="00BAD390" w14:textId="77777777" w:rsidR="00871BDF" w:rsidRDefault="00871BDF">
            <w:pPr>
              <w:rPr>
                <w:rFonts w:ascii="宋体"/>
              </w:rPr>
            </w:pPr>
          </w:p>
        </w:tc>
        <w:tc>
          <w:tcPr>
            <w:tcW w:w="0" w:type="auto"/>
            <w:shd w:val="clear" w:color="auto" w:fill="auto"/>
          </w:tcPr>
          <w:p w14:paraId="00BAD391" w14:textId="77777777" w:rsidR="00871BDF" w:rsidRDefault="00871BDF">
            <w:pPr>
              <w:rPr>
                <w:rFonts w:ascii="宋体"/>
              </w:rPr>
            </w:pPr>
          </w:p>
        </w:tc>
      </w:tr>
      <w:tr w:rsidR="00871BDF" w14:paraId="00BAD3BB" w14:textId="77777777">
        <w:trPr>
          <w:jc w:val="center"/>
        </w:trPr>
        <w:tc>
          <w:tcPr>
            <w:tcW w:w="0" w:type="auto"/>
            <w:gridSpan w:val="3"/>
            <w:shd w:val="clear" w:color="auto" w:fill="FFFFFF"/>
            <w:tcMar>
              <w:top w:w="40" w:type="dxa"/>
              <w:left w:w="20" w:type="dxa"/>
              <w:bottom w:w="40" w:type="dxa"/>
              <w:right w:w="20" w:type="dxa"/>
            </w:tcMar>
            <w:vAlign w:val="bottom"/>
          </w:tcPr>
          <w:p w14:paraId="00BAD393" w14:textId="77777777" w:rsidR="00871BDF" w:rsidRDefault="005C5088">
            <w:pPr>
              <w:textAlignment w:val="bottom"/>
            </w:pPr>
            <w:r>
              <w:rPr>
                <w:rFonts w:ascii="Times New Roman" w:eastAsia="宋体" w:hAnsi="Times New Roman"/>
                <w:color w:val="000000"/>
                <w:sz w:val="20"/>
                <w:szCs w:val="20"/>
              </w:rPr>
              <w:t>Consolidated</w:t>
            </w:r>
          </w:p>
        </w:tc>
        <w:tc>
          <w:tcPr>
            <w:tcW w:w="0" w:type="auto"/>
            <w:gridSpan w:val="3"/>
            <w:shd w:val="clear" w:color="auto" w:fill="FFFFFF"/>
            <w:tcMar>
              <w:top w:w="0" w:type="dxa"/>
              <w:left w:w="20" w:type="dxa"/>
              <w:bottom w:w="0" w:type="dxa"/>
              <w:right w:w="20" w:type="dxa"/>
            </w:tcMar>
          </w:tcPr>
          <w:p w14:paraId="00BAD39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39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39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39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398"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39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39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39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39C" w14:textId="77777777" w:rsidR="00871BDF" w:rsidRDefault="00871BDF">
            <w:pPr>
              <w:rPr>
                <w:rFonts w:ascii="宋体"/>
              </w:rPr>
            </w:pPr>
          </w:p>
        </w:tc>
        <w:tc>
          <w:tcPr>
            <w:tcW w:w="0" w:type="auto"/>
            <w:shd w:val="clear" w:color="auto" w:fill="auto"/>
          </w:tcPr>
          <w:p w14:paraId="00BAD39D" w14:textId="77777777" w:rsidR="00871BDF" w:rsidRDefault="00871BDF">
            <w:pPr>
              <w:rPr>
                <w:rFonts w:ascii="宋体"/>
              </w:rPr>
            </w:pPr>
          </w:p>
        </w:tc>
        <w:tc>
          <w:tcPr>
            <w:tcW w:w="0" w:type="auto"/>
            <w:shd w:val="clear" w:color="auto" w:fill="auto"/>
          </w:tcPr>
          <w:p w14:paraId="00BAD39E" w14:textId="77777777" w:rsidR="00871BDF" w:rsidRDefault="00871BDF">
            <w:pPr>
              <w:rPr>
                <w:rFonts w:ascii="宋体"/>
              </w:rPr>
            </w:pPr>
          </w:p>
        </w:tc>
        <w:tc>
          <w:tcPr>
            <w:tcW w:w="0" w:type="auto"/>
            <w:shd w:val="clear" w:color="auto" w:fill="auto"/>
          </w:tcPr>
          <w:p w14:paraId="00BAD39F" w14:textId="77777777" w:rsidR="00871BDF" w:rsidRDefault="00871BDF">
            <w:pPr>
              <w:rPr>
                <w:rFonts w:ascii="宋体"/>
              </w:rPr>
            </w:pPr>
          </w:p>
        </w:tc>
        <w:tc>
          <w:tcPr>
            <w:tcW w:w="0" w:type="auto"/>
            <w:shd w:val="clear" w:color="auto" w:fill="auto"/>
          </w:tcPr>
          <w:p w14:paraId="00BAD3A0" w14:textId="77777777" w:rsidR="00871BDF" w:rsidRDefault="00871BDF">
            <w:pPr>
              <w:rPr>
                <w:rFonts w:ascii="宋体"/>
              </w:rPr>
            </w:pPr>
          </w:p>
        </w:tc>
        <w:tc>
          <w:tcPr>
            <w:tcW w:w="0" w:type="auto"/>
            <w:shd w:val="clear" w:color="auto" w:fill="auto"/>
          </w:tcPr>
          <w:p w14:paraId="00BAD3A1" w14:textId="77777777" w:rsidR="00871BDF" w:rsidRDefault="00871BDF">
            <w:pPr>
              <w:rPr>
                <w:rFonts w:ascii="宋体"/>
              </w:rPr>
            </w:pPr>
          </w:p>
        </w:tc>
        <w:tc>
          <w:tcPr>
            <w:tcW w:w="0" w:type="auto"/>
            <w:shd w:val="clear" w:color="auto" w:fill="auto"/>
          </w:tcPr>
          <w:p w14:paraId="00BAD3A2" w14:textId="77777777" w:rsidR="00871BDF" w:rsidRDefault="00871BDF">
            <w:pPr>
              <w:rPr>
                <w:rFonts w:ascii="宋体"/>
              </w:rPr>
            </w:pPr>
          </w:p>
        </w:tc>
        <w:tc>
          <w:tcPr>
            <w:tcW w:w="0" w:type="auto"/>
            <w:shd w:val="clear" w:color="auto" w:fill="auto"/>
          </w:tcPr>
          <w:p w14:paraId="00BAD3A3" w14:textId="77777777" w:rsidR="00871BDF" w:rsidRDefault="00871BDF">
            <w:pPr>
              <w:rPr>
                <w:rFonts w:ascii="宋体"/>
              </w:rPr>
            </w:pPr>
          </w:p>
        </w:tc>
        <w:tc>
          <w:tcPr>
            <w:tcW w:w="0" w:type="auto"/>
            <w:shd w:val="clear" w:color="auto" w:fill="auto"/>
          </w:tcPr>
          <w:p w14:paraId="00BAD3A4" w14:textId="77777777" w:rsidR="00871BDF" w:rsidRDefault="00871BDF">
            <w:pPr>
              <w:rPr>
                <w:rFonts w:ascii="宋体"/>
              </w:rPr>
            </w:pPr>
          </w:p>
        </w:tc>
        <w:tc>
          <w:tcPr>
            <w:tcW w:w="0" w:type="auto"/>
            <w:shd w:val="clear" w:color="auto" w:fill="auto"/>
          </w:tcPr>
          <w:p w14:paraId="00BAD3A5" w14:textId="77777777" w:rsidR="00871BDF" w:rsidRDefault="00871BDF">
            <w:pPr>
              <w:rPr>
                <w:rFonts w:ascii="宋体"/>
              </w:rPr>
            </w:pPr>
          </w:p>
        </w:tc>
        <w:tc>
          <w:tcPr>
            <w:tcW w:w="0" w:type="auto"/>
            <w:shd w:val="clear" w:color="auto" w:fill="auto"/>
          </w:tcPr>
          <w:p w14:paraId="00BAD3A6" w14:textId="77777777" w:rsidR="00871BDF" w:rsidRDefault="00871BDF">
            <w:pPr>
              <w:rPr>
                <w:rFonts w:ascii="宋体"/>
              </w:rPr>
            </w:pPr>
          </w:p>
        </w:tc>
        <w:tc>
          <w:tcPr>
            <w:tcW w:w="0" w:type="auto"/>
            <w:shd w:val="clear" w:color="auto" w:fill="auto"/>
          </w:tcPr>
          <w:p w14:paraId="00BAD3A7" w14:textId="77777777" w:rsidR="00871BDF" w:rsidRDefault="00871BDF">
            <w:pPr>
              <w:rPr>
                <w:rFonts w:ascii="宋体"/>
              </w:rPr>
            </w:pPr>
          </w:p>
        </w:tc>
        <w:tc>
          <w:tcPr>
            <w:tcW w:w="0" w:type="auto"/>
            <w:shd w:val="clear" w:color="auto" w:fill="auto"/>
          </w:tcPr>
          <w:p w14:paraId="00BAD3A8" w14:textId="77777777" w:rsidR="00871BDF" w:rsidRDefault="00871BDF">
            <w:pPr>
              <w:rPr>
                <w:rFonts w:ascii="宋体"/>
              </w:rPr>
            </w:pPr>
          </w:p>
        </w:tc>
        <w:tc>
          <w:tcPr>
            <w:tcW w:w="0" w:type="auto"/>
            <w:shd w:val="clear" w:color="auto" w:fill="auto"/>
          </w:tcPr>
          <w:p w14:paraId="00BAD3A9" w14:textId="77777777" w:rsidR="00871BDF" w:rsidRDefault="00871BDF">
            <w:pPr>
              <w:rPr>
                <w:rFonts w:ascii="宋体"/>
              </w:rPr>
            </w:pPr>
          </w:p>
        </w:tc>
        <w:tc>
          <w:tcPr>
            <w:tcW w:w="0" w:type="auto"/>
            <w:shd w:val="clear" w:color="auto" w:fill="auto"/>
          </w:tcPr>
          <w:p w14:paraId="00BAD3AA" w14:textId="77777777" w:rsidR="00871BDF" w:rsidRDefault="00871BDF">
            <w:pPr>
              <w:rPr>
                <w:rFonts w:ascii="宋体"/>
              </w:rPr>
            </w:pPr>
          </w:p>
        </w:tc>
        <w:tc>
          <w:tcPr>
            <w:tcW w:w="0" w:type="auto"/>
            <w:shd w:val="clear" w:color="auto" w:fill="auto"/>
          </w:tcPr>
          <w:p w14:paraId="00BAD3AB" w14:textId="77777777" w:rsidR="00871BDF" w:rsidRDefault="00871BDF">
            <w:pPr>
              <w:rPr>
                <w:rFonts w:ascii="宋体"/>
              </w:rPr>
            </w:pPr>
          </w:p>
        </w:tc>
        <w:tc>
          <w:tcPr>
            <w:tcW w:w="0" w:type="auto"/>
            <w:shd w:val="clear" w:color="auto" w:fill="auto"/>
          </w:tcPr>
          <w:p w14:paraId="00BAD3AC" w14:textId="77777777" w:rsidR="00871BDF" w:rsidRDefault="00871BDF">
            <w:pPr>
              <w:rPr>
                <w:rFonts w:ascii="宋体"/>
              </w:rPr>
            </w:pPr>
          </w:p>
        </w:tc>
        <w:tc>
          <w:tcPr>
            <w:tcW w:w="0" w:type="auto"/>
            <w:shd w:val="clear" w:color="auto" w:fill="auto"/>
          </w:tcPr>
          <w:p w14:paraId="00BAD3AD" w14:textId="77777777" w:rsidR="00871BDF" w:rsidRDefault="00871BDF">
            <w:pPr>
              <w:rPr>
                <w:rFonts w:ascii="宋体"/>
              </w:rPr>
            </w:pPr>
          </w:p>
        </w:tc>
        <w:tc>
          <w:tcPr>
            <w:tcW w:w="0" w:type="auto"/>
            <w:shd w:val="clear" w:color="auto" w:fill="auto"/>
          </w:tcPr>
          <w:p w14:paraId="00BAD3AE" w14:textId="77777777" w:rsidR="00871BDF" w:rsidRDefault="00871BDF">
            <w:pPr>
              <w:rPr>
                <w:rFonts w:ascii="宋体"/>
              </w:rPr>
            </w:pPr>
          </w:p>
        </w:tc>
        <w:tc>
          <w:tcPr>
            <w:tcW w:w="0" w:type="auto"/>
            <w:shd w:val="clear" w:color="auto" w:fill="auto"/>
          </w:tcPr>
          <w:p w14:paraId="00BAD3AF" w14:textId="77777777" w:rsidR="00871BDF" w:rsidRDefault="00871BDF">
            <w:pPr>
              <w:rPr>
                <w:rFonts w:ascii="宋体"/>
              </w:rPr>
            </w:pPr>
          </w:p>
        </w:tc>
        <w:tc>
          <w:tcPr>
            <w:tcW w:w="0" w:type="auto"/>
            <w:shd w:val="clear" w:color="auto" w:fill="auto"/>
          </w:tcPr>
          <w:p w14:paraId="00BAD3B0" w14:textId="77777777" w:rsidR="00871BDF" w:rsidRDefault="00871BDF">
            <w:pPr>
              <w:rPr>
                <w:rFonts w:ascii="宋体"/>
              </w:rPr>
            </w:pPr>
          </w:p>
        </w:tc>
        <w:tc>
          <w:tcPr>
            <w:tcW w:w="0" w:type="auto"/>
            <w:shd w:val="clear" w:color="auto" w:fill="auto"/>
          </w:tcPr>
          <w:p w14:paraId="00BAD3B1" w14:textId="77777777" w:rsidR="00871BDF" w:rsidRDefault="00871BDF">
            <w:pPr>
              <w:rPr>
                <w:rFonts w:ascii="宋体"/>
              </w:rPr>
            </w:pPr>
          </w:p>
        </w:tc>
        <w:tc>
          <w:tcPr>
            <w:tcW w:w="0" w:type="auto"/>
            <w:shd w:val="clear" w:color="auto" w:fill="auto"/>
          </w:tcPr>
          <w:p w14:paraId="00BAD3B2" w14:textId="77777777" w:rsidR="00871BDF" w:rsidRDefault="00871BDF">
            <w:pPr>
              <w:rPr>
                <w:rFonts w:ascii="宋体"/>
              </w:rPr>
            </w:pPr>
          </w:p>
        </w:tc>
        <w:tc>
          <w:tcPr>
            <w:tcW w:w="0" w:type="auto"/>
            <w:shd w:val="clear" w:color="auto" w:fill="auto"/>
          </w:tcPr>
          <w:p w14:paraId="00BAD3B3" w14:textId="77777777" w:rsidR="00871BDF" w:rsidRDefault="00871BDF">
            <w:pPr>
              <w:rPr>
                <w:rFonts w:ascii="宋体"/>
              </w:rPr>
            </w:pPr>
          </w:p>
        </w:tc>
        <w:tc>
          <w:tcPr>
            <w:tcW w:w="0" w:type="auto"/>
            <w:shd w:val="clear" w:color="auto" w:fill="auto"/>
          </w:tcPr>
          <w:p w14:paraId="00BAD3B4" w14:textId="77777777" w:rsidR="00871BDF" w:rsidRDefault="00871BDF">
            <w:pPr>
              <w:rPr>
                <w:rFonts w:ascii="宋体"/>
              </w:rPr>
            </w:pPr>
          </w:p>
        </w:tc>
        <w:tc>
          <w:tcPr>
            <w:tcW w:w="0" w:type="auto"/>
            <w:shd w:val="clear" w:color="auto" w:fill="auto"/>
          </w:tcPr>
          <w:p w14:paraId="00BAD3B5" w14:textId="77777777" w:rsidR="00871BDF" w:rsidRDefault="00871BDF">
            <w:pPr>
              <w:rPr>
                <w:rFonts w:ascii="宋体"/>
              </w:rPr>
            </w:pPr>
          </w:p>
        </w:tc>
        <w:tc>
          <w:tcPr>
            <w:tcW w:w="0" w:type="auto"/>
            <w:shd w:val="clear" w:color="auto" w:fill="auto"/>
          </w:tcPr>
          <w:p w14:paraId="00BAD3B6" w14:textId="77777777" w:rsidR="00871BDF" w:rsidRDefault="00871BDF">
            <w:pPr>
              <w:rPr>
                <w:rFonts w:ascii="宋体"/>
              </w:rPr>
            </w:pPr>
          </w:p>
        </w:tc>
        <w:tc>
          <w:tcPr>
            <w:tcW w:w="0" w:type="auto"/>
            <w:shd w:val="clear" w:color="auto" w:fill="auto"/>
          </w:tcPr>
          <w:p w14:paraId="00BAD3B7" w14:textId="77777777" w:rsidR="00871BDF" w:rsidRDefault="00871BDF">
            <w:pPr>
              <w:rPr>
                <w:rFonts w:ascii="宋体"/>
              </w:rPr>
            </w:pPr>
          </w:p>
        </w:tc>
        <w:tc>
          <w:tcPr>
            <w:tcW w:w="0" w:type="auto"/>
            <w:shd w:val="clear" w:color="auto" w:fill="auto"/>
          </w:tcPr>
          <w:p w14:paraId="00BAD3B8" w14:textId="77777777" w:rsidR="00871BDF" w:rsidRDefault="00871BDF">
            <w:pPr>
              <w:rPr>
                <w:rFonts w:ascii="宋体"/>
              </w:rPr>
            </w:pPr>
          </w:p>
        </w:tc>
        <w:tc>
          <w:tcPr>
            <w:tcW w:w="0" w:type="auto"/>
            <w:shd w:val="clear" w:color="auto" w:fill="auto"/>
          </w:tcPr>
          <w:p w14:paraId="00BAD3B9" w14:textId="77777777" w:rsidR="00871BDF" w:rsidRDefault="00871BDF">
            <w:pPr>
              <w:rPr>
                <w:rFonts w:ascii="宋体"/>
              </w:rPr>
            </w:pPr>
          </w:p>
        </w:tc>
        <w:tc>
          <w:tcPr>
            <w:tcW w:w="0" w:type="auto"/>
            <w:shd w:val="clear" w:color="auto" w:fill="auto"/>
          </w:tcPr>
          <w:p w14:paraId="00BAD3BA" w14:textId="77777777" w:rsidR="00871BDF" w:rsidRDefault="00871BDF">
            <w:pPr>
              <w:rPr>
                <w:rFonts w:ascii="宋体"/>
              </w:rPr>
            </w:pPr>
          </w:p>
        </w:tc>
      </w:tr>
      <w:tr w:rsidR="00871BDF" w14:paraId="00BAD3E9" w14:textId="77777777">
        <w:trPr>
          <w:jc w:val="center"/>
        </w:trPr>
        <w:tc>
          <w:tcPr>
            <w:tcW w:w="0" w:type="auto"/>
            <w:gridSpan w:val="3"/>
            <w:shd w:val="clear" w:color="auto" w:fill="D7E4BC"/>
            <w:tcMar>
              <w:top w:w="40" w:type="dxa"/>
              <w:left w:w="245" w:type="dxa"/>
              <w:bottom w:w="40" w:type="dxa"/>
              <w:right w:w="20" w:type="dxa"/>
            </w:tcMar>
            <w:vAlign w:val="bottom"/>
          </w:tcPr>
          <w:p w14:paraId="00BAD3BC" w14:textId="77777777" w:rsidR="00871BDF" w:rsidRDefault="005C5088">
            <w:pPr>
              <w:textAlignment w:val="bottom"/>
            </w:pPr>
            <w:r>
              <w:rPr>
                <w:rFonts w:ascii="Times New Roman" w:eastAsia="宋体" w:hAnsi="Times New Roman"/>
                <w:color w:val="000000"/>
                <w:sz w:val="20"/>
                <w:szCs w:val="20"/>
              </w:rPr>
              <w:t>Sales growth</w:t>
            </w:r>
          </w:p>
        </w:tc>
        <w:tc>
          <w:tcPr>
            <w:tcW w:w="0" w:type="auto"/>
            <w:gridSpan w:val="2"/>
            <w:shd w:val="clear" w:color="auto" w:fill="D7E4BC"/>
            <w:tcMar>
              <w:top w:w="40" w:type="dxa"/>
              <w:left w:w="20" w:type="dxa"/>
              <w:bottom w:w="40" w:type="dxa"/>
              <w:right w:w="0" w:type="dxa"/>
            </w:tcMar>
            <w:vAlign w:val="bottom"/>
          </w:tcPr>
          <w:p w14:paraId="00BAD3BD" w14:textId="77777777" w:rsidR="00871BDF" w:rsidRDefault="005C5088">
            <w:pPr>
              <w:jc w:val="right"/>
              <w:textAlignment w:val="bottom"/>
            </w:pPr>
            <w:r>
              <w:rPr>
                <w:rFonts w:ascii="Times New Roman" w:eastAsia="宋体" w:hAnsi="Times New Roman"/>
                <w:color w:val="000000"/>
                <w:sz w:val="20"/>
                <w:szCs w:val="20"/>
              </w:rPr>
              <w:t>(14)</w:t>
            </w:r>
          </w:p>
        </w:tc>
        <w:tc>
          <w:tcPr>
            <w:tcW w:w="0" w:type="auto"/>
            <w:shd w:val="clear" w:color="auto" w:fill="D7E4BC"/>
            <w:tcMar>
              <w:top w:w="40" w:type="dxa"/>
              <w:left w:w="0" w:type="dxa"/>
              <w:bottom w:w="40" w:type="dxa"/>
              <w:right w:w="20" w:type="dxa"/>
            </w:tcMar>
            <w:vAlign w:val="bottom"/>
          </w:tcPr>
          <w:p w14:paraId="00BAD3BE"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3B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3C0" w14:textId="77777777" w:rsidR="00871BDF" w:rsidRDefault="005C5088">
            <w:pPr>
              <w:jc w:val="right"/>
              <w:textAlignment w:val="bottom"/>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bottom"/>
          </w:tcPr>
          <w:p w14:paraId="00BAD3C1"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3C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3C3" w14:textId="77777777" w:rsidR="00871BDF" w:rsidRDefault="005C5088">
            <w:pPr>
              <w:jc w:val="right"/>
              <w:textAlignment w:val="bottom"/>
            </w:pPr>
            <w:r>
              <w:rPr>
                <w:rFonts w:ascii="Times New Roman" w:eastAsia="宋体" w:hAnsi="Times New Roman"/>
                <w:color w:val="000000"/>
                <w:sz w:val="20"/>
                <w:szCs w:val="20"/>
              </w:rPr>
              <w:t>2 </w:t>
            </w:r>
          </w:p>
        </w:tc>
        <w:tc>
          <w:tcPr>
            <w:tcW w:w="0" w:type="auto"/>
            <w:shd w:val="clear" w:color="auto" w:fill="D7E4BC"/>
            <w:tcMar>
              <w:top w:w="40" w:type="dxa"/>
              <w:left w:w="0" w:type="dxa"/>
              <w:bottom w:w="40" w:type="dxa"/>
              <w:right w:w="20" w:type="dxa"/>
            </w:tcMar>
            <w:vAlign w:val="bottom"/>
          </w:tcPr>
          <w:p w14:paraId="00BAD3C4"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3C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3C6" w14:textId="77777777" w:rsidR="00871BDF" w:rsidRDefault="005C5088">
            <w:pPr>
              <w:jc w:val="right"/>
              <w:textAlignment w:val="bottom"/>
            </w:pPr>
            <w:r>
              <w:rPr>
                <w:rFonts w:ascii="Times New Roman" w:eastAsia="宋体" w:hAnsi="Times New Roman"/>
                <w:color w:val="000000"/>
                <w:sz w:val="20"/>
                <w:szCs w:val="20"/>
              </w:rPr>
              <w:t>3 </w:t>
            </w:r>
          </w:p>
        </w:tc>
        <w:tc>
          <w:tcPr>
            <w:tcW w:w="0" w:type="auto"/>
            <w:shd w:val="clear" w:color="auto" w:fill="D7E4BC"/>
            <w:tcMar>
              <w:top w:w="40" w:type="dxa"/>
              <w:left w:w="0" w:type="dxa"/>
              <w:bottom w:w="40" w:type="dxa"/>
              <w:right w:w="20" w:type="dxa"/>
            </w:tcMar>
            <w:vAlign w:val="bottom"/>
          </w:tcPr>
          <w:p w14:paraId="00BAD3C7"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3C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3C9" w14:textId="77777777" w:rsidR="00871BDF" w:rsidRDefault="005C5088">
            <w:pPr>
              <w:jc w:val="right"/>
              <w:textAlignment w:val="bottom"/>
            </w:pPr>
            <w:r>
              <w:rPr>
                <w:rFonts w:ascii="Times New Roman" w:eastAsia="宋体" w:hAnsi="Times New Roman"/>
                <w:color w:val="000000"/>
                <w:sz w:val="20"/>
                <w:szCs w:val="20"/>
              </w:rPr>
              <w:t>5 </w:t>
            </w:r>
          </w:p>
        </w:tc>
        <w:tc>
          <w:tcPr>
            <w:tcW w:w="0" w:type="auto"/>
            <w:shd w:val="clear" w:color="auto" w:fill="D7E4BC"/>
            <w:tcMar>
              <w:top w:w="40" w:type="dxa"/>
              <w:left w:w="0" w:type="dxa"/>
              <w:bottom w:w="40" w:type="dxa"/>
              <w:right w:w="20" w:type="dxa"/>
            </w:tcMar>
            <w:vAlign w:val="bottom"/>
          </w:tcPr>
          <w:p w14:paraId="00BAD3CA" w14:textId="77777777" w:rsidR="00871BDF" w:rsidRDefault="005C5088">
            <w:pPr>
              <w:jc w:val="right"/>
              <w:textAlignment w:val="bottom"/>
            </w:pPr>
            <w:r>
              <w:rPr>
                <w:rFonts w:ascii="Times New Roman" w:eastAsia="宋体" w:hAnsi="Times New Roman"/>
                <w:color w:val="000000"/>
                <w:sz w:val="20"/>
                <w:szCs w:val="20"/>
              </w:rPr>
              <w:t>%</w:t>
            </w:r>
          </w:p>
        </w:tc>
        <w:tc>
          <w:tcPr>
            <w:tcW w:w="0" w:type="auto"/>
            <w:shd w:val="clear" w:color="auto" w:fill="auto"/>
          </w:tcPr>
          <w:p w14:paraId="00BAD3CB" w14:textId="77777777" w:rsidR="00871BDF" w:rsidRDefault="00871BDF">
            <w:pPr>
              <w:rPr>
                <w:rFonts w:ascii="宋体"/>
              </w:rPr>
            </w:pPr>
          </w:p>
        </w:tc>
        <w:tc>
          <w:tcPr>
            <w:tcW w:w="0" w:type="auto"/>
            <w:shd w:val="clear" w:color="auto" w:fill="auto"/>
          </w:tcPr>
          <w:p w14:paraId="00BAD3CC" w14:textId="77777777" w:rsidR="00871BDF" w:rsidRDefault="00871BDF">
            <w:pPr>
              <w:rPr>
                <w:rFonts w:ascii="宋体"/>
              </w:rPr>
            </w:pPr>
          </w:p>
        </w:tc>
        <w:tc>
          <w:tcPr>
            <w:tcW w:w="0" w:type="auto"/>
            <w:shd w:val="clear" w:color="auto" w:fill="auto"/>
          </w:tcPr>
          <w:p w14:paraId="00BAD3CD" w14:textId="77777777" w:rsidR="00871BDF" w:rsidRDefault="00871BDF">
            <w:pPr>
              <w:rPr>
                <w:rFonts w:ascii="宋体"/>
              </w:rPr>
            </w:pPr>
          </w:p>
        </w:tc>
        <w:tc>
          <w:tcPr>
            <w:tcW w:w="0" w:type="auto"/>
            <w:shd w:val="clear" w:color="auto" w:fill="auto"/>
          </w:tcPr>
          <w:p w14:paraId="00BAD3CE" w14:textId="77777777" w:rsidR="00871BDF" w:rsidRDefault="00871BDF">
            <w:pPr>
              <w:rPr>
                <w:rFonts w:ascii="宋体"/>
              </w:rPr>
            </w:pPr>
          </w:p>
        </w:tc>
        <w:tc>
          <w:tcPr>
            <w:tcW w:w="0" w:type="auto"/>
            <w:shd w:val="clear" w:color="auto" w:fill="auto"/>
          </w:tcPr>
          <w:p w14:paraId="00BAD3CF" w14:textId="77777777" w:rsidR="00871BDF" w:rsidRDefault="00871BDF">
            <w:pPr>
              <w:rPr>
                <w:rFonts w:ascii="宋体"/>
              </w:rPr>
            </w:pPr>
          </w:p>
        </w:tc>
        <w:tc>
          <w:tcPr>
            <w:tcW w:w="0" w:type="auto"/>
            <w:shd w:val="clear" w:color="auto" w:fill="auto"/>
          </w:tcPr>
          <w:p w14:paraId="00BAD3D0" w14:textId="77777777" w:rsidR="00871BDF" w:rsidRDefault="00871BDF">
            <w:pPr>
              <w:rPr>
                <w:rFonts w:ascii="宋体"/>
              </w:rPr>
            </w:pPr>
          </w:p>
        </w:tc>
        <w:tc>
          <w:tcPr>
            <w:tcW w:w="0" w:type="auto"/>
            <w:shd w:val="clear" w:color="auto" w:fill="auto"/>
          </w:tcPr>
          <w:p w14:paraId="00BAD3D1" w14:textId="77777777" w:rsidR="00871BDF" w:rsidRDefault="00871BDF">
            <w:pPr>
              <w:rPr>
                <w:rFonts w:ascii="宋体"/>
              </w:rPr>
            </w:pPr>
          </w:p>
        </w:tc>
        <w:tc>
          <w:tcPr>
            <w:tcW w:w="0" w:type="auto"/>
            <w:shd w:val="clear" w:color="auto" w:fill="auto"/>
          </w:tcPr>
          <w:p w14:paraId="00BAD3D2" w14:textId="77777777" w:rsidR="00871BDF" w:rsidRDefault="00871BDF">
            <w:pPr>
              <w:rPr>
                <w:rFonts w:ascii="宋体"/>
              </w:rPr>
            </w:pPr>
          </w:p>
        </w:tc>
        <w:tc>
          <w:tcPr>
            <w:tcW w:w="0" w:type="auto"/>
            <w:shd w:val="clear" w:color="auto" w:fill="auto"/>
          </w:tcPr>
          <w:p w14:paraId="00BAD3D3" w14:textId="77777777" w:rsidR="00871BDF" w:rsidRDefault="00871BDF">
            <w:pPr>
              <w:rPr>
                <w:rFonts w:ascii="宋体"/>
              </w:rPr>
            </w:pPr>
          </w:p>
        </w:tc>
        <w:tc>
          <w:tcPr>
            <w:tcW w:w="0" w:type="auto"/>
            <w:shd w:val="clear" w:color="auto" w:fill="auto"/>
          </w:tcPr>
          <w:p w14:paraId="00BAD3D4" w14:textId="77777777" w:rsidR="00871BDF" w:rsidRDefault="00871BDF">
            <w:pPr>
              <w:rPr>
                <w:rFonts w:ascii="宋体"/>
              </w:rPr>
            </w:pPr>
          </w:p>
        </w:tc>
        <w:tc>
          <w:tcPr>
            <w:tcW w:w="0" w:type="auto"/>
            <w:shd w:val="clear" w:color="auto" w:fill="auto"/>
          </w:tcPr>
          <w:p w14:paraId="00BAD3D5" w14:textId="77777777" w:rsidR="00871BDF" w:rsidRDefault="00871BDF">
            <w:pPr>
              <w:rPr>
                <w:rFonts w:ascii="宋体"/>
              </w:rPr>
            </w:pPr>
          </w:p>
        </w:tc>
        <w:tc>
          <w:tcPr>
            <w:tcW w:w="0" w:type="auto"/>
            <w:shd w:val="clear" w:color="auto" w:fill="auto"/>
          </w:tcPr>
          <w:p w14:paraId="00BAD3D6" w14:textId="77777777" w:rsidR="00871BDF" w:rsidRDefault="00871BDF">
            <w:pPr>
              <w:rPr>
                <w:rFonts w:ascii="宋体"/>
              </w:rPr>
            </w:pPr>
          </w:p>
        </w:tc>
        <w:tc>
          <w:tcPr>
            <w:tcW w:w="0" w:type="auto"/>
            <w:shd w:val="clear" w:color="auto" w:fill="auto"/>
          </w:tcPr>
          <w:p w14:paraId="00BAD3D7" w14:textId="77777777" w:rsidR="00871BDF" w:rsidRDefault="00871BDF">
            <w:pPr>
              <w:rPr>
                <w:rFonts w:ascii="宋体"/>
              </w:rPr>
            </w:pPr>
          </w:p>
        </w:tc>
        <w:tc>
          <w:tcPr>
            <w:tcW w:w="0" w:type="auto"/>
            <w:shd w:val="clear" w:color="auto" w:fill="auto"/>
          </w:tcPr>
          <w:p w14:paraId="00BAD3D8" w14:textId="77777777" w:rsidR="00871BDF" w:rsidRDefault="00871BDF">
            <w:pPr>
              <w:rPr>
                <w:rFonts w:ascii="宋体"/>
              </w:rPr>
            </w:pPr>
          </w:p>
        </w:tc>
        <w:tc>
          <w:tcPr>
            <w:tcW w:w="0" w:type="auto"/>
            <w:shd w:val="clear" w:color="auto" w:fill="auto"/>
          </w:tcPr>
          <w:p w14:paraId="00BAD3D9" w14:textId="77777777" w:rsidR="00871BDF" w:rsidRDefault="00871BDF">
            <w:pPr>
              <w:rPr>
                <w:rFonts w:ascii="宋体"/>
              </w:rPr>
            </w:pPr>
          </w:p>
        </w:tc>
        <w:tc>
          <w:tcPr>
            <w:tcW w:w="0" w:type="auto"/>
            <w:shd w:val="clear" w:color="auto" w:fill="auto"/>
          </w:tcPr>
          <w:p w14:paraId="00BAD3DA" w14:textId="77777777" w:rsidR="00871BDF" w:rsidRDefault="00871BDF">
            <w:pPr>
              <w:rPr>
                <w:rFonts w:ascii="宋体"/>
              </w:rPr>
            </w:pPr>
          </w:p>
        </w:tc>
        <w:tc>
          <w:tcPr>
            <w:tcW w:w="0" w:type="auto"/>
            <w:shd w:val="clear" w:color="auto" w:fill="auto"/>
          </w:tcPr>
          <w:p w14:paraId="00BAD3DB" w14:textId="77777777" w:rsidR="00871BDF" w:rsidRDefault="00871BDF">
            <w:pPr>
              <w:rPr>
                <w:rFonts w:ascii="宋体"/>
              </w:rPr>
            </w:pPr>
          </w:p>
        </w:tc>
        <w:tc>
          <w:tcPr>
            <w:tcW w:w="0" w:type="auto"/>
            <w:shd w:val="clear" w:color="auto" w:fill="auto"/>
          </w:tcPr>
          <w:p w14:paraId="00BAD3DC" w14:textId="77777777" w:rsidR="00871BDF" w:rsidRDefault="00871BDF">
            <w:pPr>
              <w:rPr>
                <w:rFonts w:ascii="宋体"/>
              </w:rPr>
            </w:pPr>
          </w:p>
        </w:tc>
        <w:tc>
          <w:tcPr>
            <w:tcW w:w="0" w:type="auto"/>
            <w:shd w:val="clear" w:color="auto" w:fill="auto"/>
          </w:tcPr>
          <w:p w14:paraId="00BAD3DD" w14:textId="77777777" w:rsidR="00871BDF" w:rsidRDefault="00871BDF">
            <w:pPr>
              <w:rPr>
                <w:rFonts w:ascii="宋体"/>
              </w:rPr>
            </w:pPr>
          </w:p>
        </w:tc>
        <w:tc>
          <w:tcPr>
            <w:tcW w:w="0" w:type="auto"/>
            <w:shd w:val="clear" w:color="auto" w:fill="auto"/>
          </w:tcPr>
          <w:p w14:paraId="00BAD3DE" w14:textId="77777777" w:rsidR="00871BDF" w:rsidRDefault="00871BDF">
            <w:pPr>
              <w:rPr>
                <w:rFonts w:ascii="宋体"/>
              </w:rPr>
            </w:pPr>
          </w:p>
        </w:tc>
        <w:tc>
          <w:tcPr>
            <w:tcW w:w="0" w:type="auto"/>
            <w:shd w:val="clear" w:color="auto" w:fill="auto"/>
          </w:tcPr>
          <w:p w14:paraId="00BAD3DF" w14:textId="77777777" w:rsidR="00871BDF" w:rsidRDefault="00871BDF">
            <w:pPr>
              <w:rPr>
                <w:rFonts w:ascii="宋体"/>
              </w:rPr>
            </w:pPr>
          </w:p>
        </w:tc>
        <w:tc>
          <w:tcPr>
            <w:tcW w:w="0" w:type="auto"/>
            <w:shd w:val="clear" w:color="auto" w:fill="auto"/>
          </w:tcPr>
          <w:p w14:paraId="00BAD3E0" w14:textId="77777777" w:rsidR="00871BDF" w:rsidRDefault="00871BDF">
            <w:pPr>
              <w:rPr>
                <w:rFonts w:ascii="宋体"/>
              </w:rPr>
            </w:pPr>
          </w:p>
        </w:tc>
        <w:tc>
          <w:tcPr>
            <w:tcW w:w="0" w:type="auto"/>
            <w:shd w:val="clear" w:color="auto" w:fill="auto"/>
          </w:tcPr>
          <w:p w14:paraId="00BAD3E1" w14:textId="77777777" w:rsidR="00871BDF" w:rsidRDefault="00871BDF">
            <w:pPr>
              <w:rPr>
                <w:rFonts w:ascii="宋体"/>
              </w:rPr>
            </w:pPr>
          </w:p>
        </w:tc>
        <w:tc>
          <w:tcPr>
            <w:tcW w:w="0" w:type="auto"/>
            <w:shd w:val="clear" w:color="auto" w:fill="auto"/>
          </w:tcPr>
          <w:p w14:paraId="00BAD3E2" w14:textId="77777777" w:rsidR="00871BDF" w:rsidRDefault="00871BDF">
            <w:pPr>
              <w:rPr>
                <w:rFonts w:ascii="宋体"/>
              </w:rPr>
            </w:pPr>
          </w:p>
        </w:tc>
        <w:tc>
          <w:tcPr>
            <w:tcW w:w="0" w:type="auto"/>
            <w:shd w:val="clear" w:color="auto" w:fill="auto"/>
          </w:tcPr>
          <w:p w14:paraId="00BAD3E3" w14:textId="77777777" w:rsidR="00871BDF" w:rsidRDefault="00871BDF">
            <w:pPr>
              <w:rPr>
                <w:rFonts w:ascii="宋体"/>
              </w:rPr>
            </w:pPr>
          </w:p>
        </w:tc>
        <w:tc>
          <w:tcPr>
            <w:tcW w:w="0" w:type="auto"/>
            <w:shd w:val="clear" w:color="auto" w:fill="auto"/>
          </w:tcPr>
          <w:p w14:paraId="00BAD3E4" w14:textId="77777777" w:rsidR="00871BDF" w:rsidRDefault="00871BDF">
            <w:pPr>
              <w:rPr>
                <w:rFonts w:ascii="宋体"/>
              </w:rPr>
            </w:pPr>
          </w:p>
        </w:tc>
        <w:tc>
          <w:tcPr>
            <w:tcW w:w="0" w:type="auto"/>
            <w:shd w:val="clear" w:color="auto" w:fill="auto"/>
          </w:tcPr>
          <w:p w14:paraId="00BAD3E5" w14:textId="77777777" w:rsidR="00871BDF" w:rsidRDefault="00871BDF">
            <w:pPr>
              <w:rPr>
                <w:rFonts w:ascii="宋体"/>
              </w:rPr>
            </w:pPr>
          </w:p>
        </w:tc>
        <w:tc>
          <w:tcPr>
            <w:tcW w:w="0" w:type="auto"/>
            <w:shd w:val="clear" w:color="auto" w:fill="auto"/>
          </w:tcPr>
          <w:p w14:paraId="00BAD3E6" w14:textId="77777777" w:rsidR="00871BDF" w:rsidRDefault="00871BDF">
            <w:pPr>
              <w:rPr>
                <w:rFonts w:ascii="宋体"/>
              </w:rPr>
            </w:pPr>
          </w:p>
        </w:tc>
        <w:tc>
          <w:tcPr>
            <w:tcW w:w="0" w:type="auto"/>
            <w:shd w:val="clear" w:color="auto" w:fill="auto"/>
          </w:tcPr>
          <w:p w14:paraId="00BAD3E7" w14:textId="77777777" w:rsidR="00871BDF" w:rsidRDefault="00871BDF">
            <w:pPr>
              <w:rPr>
                <w:rFonts w:ascii="宋体"/>
              </w:rPr>
            </w:pPr>
          </w:p>
        </w:tc>
        <w:tc>
          <w:tcPr>
            <w:tcW w:w="0" w:type="auto"/>
            <w:shd w:val="clear" w:color="auto" w:fill="auto"/>
          </w:tcPr>
          <w:p w14:paraId="00BAD3E8" w14:textId="77777777" w:rsidR="00871BDF" w:rsidRDefault="00871BDF">
            <w:pPr>
              <w:rPr>
                <w:rFonts w:ascii="宋体"/>
              </w:rPr>
            </w:pPr>
          </w:p>
        </w:tc>
      </w:tr>
      <w:tr w:rsidR="00871BDF" w14:paraId="00BAD417" w14:textId="77777777">
        <w:trPr>
          <w:jc w:val="center"/>
        </w:trPr>
        <w:tc>
          <w:tcPr>
            <w:tcW w:w="0" w:type="auto"/>
            <w:gridSpan w:val="3"/>
            <w:shd w:val="clear" w:color="auto" w:fill="FFFFFF"/>
            <w:tcMar>
              <w:top w:w="40" w:type="dxa"/>
              <w:left w:w="245" w:type="dxa"/>
              <w:bottom w:w="40" w:type="dxa"/>
              <w:right w:w="20" w:type="dxa"/>
            </w:tcMar>
            <w:vAlign w:val="bottom"/>
          </w:tcPr>
          <w:p w14:paraId="00BAD3EA" w14:textId="77777777" w:rsidR="00871BDF" w:rsidRDefault="005C5088">
            <w:pPr>
              <w:textAlignment w:val="bottom"/>
            </w:pPr>
            <w:r>
              <w:rPr>
                <w:rFonts w:ascii="Times New Roman" w:eastAsia="宋体" w:hAnsi="Times New Roman"/>
                <w:color w:val="000000"/>
                <w:sz w:val="20"/>
                <w:szCs w:val="20"/>
              </w:rPr>
              <w:t>Change in transactions</w:t>
            </w:r>
          </w:p>
        </w:tc>
        <w:tc>
          <w:tcPr>
            <w:tcW w:w="0" w:type="auto"/>
            <w:gridSpan w:val="2"/>
            <w:shd w:val="clear" w:color="auto" w:fill="FFFFFF"/>
            <w:tcMar>
              <w:top w:w="40" w:type="dxa"/>
              <w:left w:w="20" w:type="dxa"/>
              <w:bottom w:w="40" w:type="dxa"/>
              <w:right w:w="0" w:type="dxa"/>
            </w:tcMar>
            <w:vAlign w:val="bottom"/>
          </w:tcPr>
          <w:p w14:paraId="00BAD3EB" w14:textId="77777777" w:rsidR="00871BDF" w:rsidRDefault="005C5088">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00BAD3EC"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3E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3EE" w14:textId="77777777" w:rsidR="00871BDF" w:rsidRDefault="005C5088">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0BAD3EF"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3F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3F1" w14:textId="77777777" w:rsidR="00871BDF" w:rsidRDefault="005C5088">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00BAD3F2"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3F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3F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D3F5"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3F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3F7" w14:textId="77777777" w:rsidR="00871BDF" w:rsidRDefault="005C5088">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0BAD3F8" w14:textId="77777777" w:rsidR="00871BDF" w:rsidRDefault="005C5088">
            <w:pPr>
              <w:jc w:val="right"/>
              <w:textAlignment w:val="bottom"/>
            </w:pPr>
            <w:r>
              <w:rPr>
                <w:rFonts w:ascii="Times New Roman" w:eastAsia="宋体" w:hAnsi="Times New Roman"/>
                <w:color w:val="000000"/>
                <w:sz w:val="20"/>
                <w:szCs w:val="20"/>
              </w:rPr>
              <w:t>%</w:t>
            </w:r>
          </w:p>
        </w:tc>
        <w:tc>
          <w:tcPr>
            <w:tcW w:w="0" w:type="auto"/>
            <w:shd w:val="clear" w:color="auto" w:fill="auto"/>
          </w:tcPr>
          <w:p w14:paraId="00BAD3F9" w14:textId="77777777" w:rsidR="00871BDF" w:rsidRDefault="00871BDF">
            <w:pPr>
              <w:rPr>
                <w:rFonts w:ascii="宋体"/>
              </w:rPr>
            </w:pPr>
          </w:p>
        </w:tc>
        <w:tc>
          <w:tcPr>
            <w:tcW w:w="0" w:type="auto"/>
            <w:shd w:val="clear" w:color="auto" w:fill="auto"/>
          </w:tcPr>
          <w:p w14:paraId="00BAD3FA" w14:textId="77777777" w:rsidR="00871BDF" w:rsidRDefault="00871BDF">
            <w:pPr>
              <w:rPr>
                <w:rFonts w:ascii="宋体"/>
              </w:rPr>
            </w:pPr>
          </w:p>
        </w:tc>
        <w:tc>
          <w:tcPr>
            <w:tcW w:w="0" w:type="auto"/>
            <w:shd w:val="clear" w:color="auto" w:fill="auto"/>
          </w:tcPr>
          <w:p w14:paraId="00BAD3FB" w14:textId="77777777" w:rsidR="00871BDF" w:rsidRDefault="00871BDF">
            <w:pPr>
              <w:rPr>
                <w:rFonts w:ascii="宋体"/>
              </w:rPr>
            </w:pPr>
          </w:p>
        </w:tc>
        <w:tc>
          <w:tcPr>
            <w:tcW w:w="0" w:type="auto"/>
            <w:shd w:val="clear" w:color="auto" w:fill="auto"/>
          </w:tcPr>
          <w:p w14:paraId="00BAD3FC" w14:textId="77777777" w:rsidR="00871BDF" w:rsidRDefault="00871BDF">
            <w:pPr>
              <w:rPr>
                <w:rFonts w:ascii="宋体"/>
              </w:rPr>
            </w:pPr>
          </w:p>
        </w:tc>
        <w:tc>
          <w:tcPr>
            <w:tcW w:w="0" w:type="auto"/>
            <w:shd w:val="clear" w:color="auto" w:fill="auto"/>
          </w:tcPr>
          <w:p w14:paraId="00BAD3FD" w14:textId="77777777" w:rsidR="00871BDF" w:rsidRDefault="00871BDF">
            <w:pPr>
              <w:rPr>
                <w:rFonts w:ascii="宋体"/>
              </w:rPr>
            </w:pPr>
          </w:p>
        </w:tc>
        <w:tc>
          <w:tcPr>
            <w:tcW w:w="0" w:type="auto"/>
            <w:shd w:val="clear" w:color="auto" w:fill="auto"/>
          </w:tcPr>
          <w:p w14:paraId="00BAD3FE" w14:textId="77777777" w:rsidR="00871BDF" w:rsidRDefault="00871BDF">
            <w:pPr>
              <w:rPr>
                <w:rFonts w:ascii="宋体"/>
              </w:rPr>
            </w:pPr>
          </w:p>
        </w:tc>
        <w:tc>
          <w:tcPr>
            <w:tcW w:w="0" w:type="auto"/>
            <w:shd w:val="clear" w:color="auto" w:fill="auto"/>
          </w:tcPr>
          <w:p w14:paraId="00BAD3FF" w14:textId="77777777" w:rsidR="00871BDF" w:rsidRDefault="00871BDF">
            <w:pPr>
              <w:rPr>
                <w:rFonts w:ascii="宋体"/>
              </w:rPr>
            </w:pPr>
          </w:p>
        </w:tc>
        <w:tc>
          <w:tcPr>
            <w:tcW w:w="0" w:type="auto"/>
            <w:shd w:val="clear" w:color="auto" w:fill="auto"/>
          </w:tcPr>
          <w:p w14:paraId="00BAD400" w14:textId="77777777" w:rsidR="00871BDF" w:rsidRDefault="00871BDF">
            <w:pPr>
              <w:rPr>
                <w:rFonts w:ascii="宋体"/>
              </w:rPr>
            </w:pPr>
          </w:p>
        </w:tc>
        <w:tc>
          <w:tcPr>
            <w:tcW w:w="0" w:type="auto"/>
            <w:shd w:val="clear" w:color="auto" w:fill="auto"/>
          </w:tcPr>
          <w:p w14:paraId="00BAD401" w14:textId="77777777" w:rsidR="00871BDF" w:rsidRDefault="00871BDF">
            <w:pPr>
              <w:rPr>
                <w:rFonts w:ascii="宋体"/>
              </w:rPr>
            </w:pPr>
          </w:p>
        </w:tc>
        <w:tc>
          <w:tcPr>
            <w:tcW w:w="0" w:type="auto"/>
            <w:shd w:val="clear" w:color="auto" w:fill="auto"/>
          </w:tcPr>
          <w:p w14:paraId="00BAD402" w14:textId="77777777" w:rsidR="00871BDF" w:rsidRDefault="00871BDF">
            <w:pPr>
              <w:rPr>
                <w:rFonts w:ascii="宋体"/>
              </w:rPr>
            </w:pPr>
          </w:p>
        </w:tc>
        <w:tc>
          <w:tcPr>
            <w:tcW w:w="0" w:type="auto"/>
            <w:shd w:val="clear" w:color="auto" w:fill="auto"/>
          </w:tcPr>
          <w:p w14:paraId="00BAD403" w14:textId="77777777" w:rsidR="00871BDF" w:rsidRDefault="00871BDF">
            <w:pPr>
              <w:rPr>
                <w:rFonts w:ascii="宋体"/>
              </w:rPr>
            </w:pPr>
          </w:p>
        </w:tc>
        <w:tc>
          <w:tcPr>
            <w:tcW w:w="0" w:type="auto"/>
            <w:shd w:val="clear" w:color="auto" w:fill="auto"/>
          </w:tcPr>
          <w:p w14:paraId="00BAD404" w14:textId="77777777" w:rsidR="00871BDF" w:rsidRDefault="00871BDF">
            <w:pPr>
              <w:rPr>
                <w:rFonts w:ascii="宋体"/>
              </w:rPr>
            </w:pPr>
          </w:p>
        </w:tc>
        <w:tc>
          <w:tcPr>
            <w:tcW w:w="0" w:type="auto"/>
            <w:shd w:val="clear" w:color="auto" w:fill="auto"/>
          </w:tcPr>
          <w:p w14:paraId="00BAD405" w14:textId="77777777" w:rsidR="00871BDF" w:rsidRDefault="00871BDF">
            <w:pPr>
              <w:rPr>
                <w:rFonts w:ascii="宋体"/>
              </w:rPr>
            </w:pPr>
          </w:p>
        </w:tc>
        <w:tc>
          <w:tcPr>
            <w:tcW w:w="0" w:type="auto"/>
            <w:shd w:val="clear" w:color="auto" w:fill="auto"/>
          </w:tcPr>
          <w:p w14:paraId="00BAD406" w14:textId="77777777" w:rsidR="00871BDF" w:rsidRDefault="00871BDF">
            <w:pPr>
              <w:rPr>
                <w:rFonts w:ascii="宋体"/>
              </w:rPr>
            </w:pPr>
          </w:p>
        </w:tc>
        <w:tc>
          <w:tcPr>
            <w:tcW w:w="0" w:type="auto"/>
            <w:shd w:val="clear" w:color="auto" w:fill="auto"/>
          </w:tcPr>
          <w:p w14:paraId="00BAD407" w14:textId="77777777" w:rsidR="00871BDF" w:rsidRDefault="00871BDF">
            <w:pPr>
              <w:rPr>
                <w:rFonts w:ascii="宋体"/>
              </w:rPr>
            </w:pPr>
          </w:p>
        </w:tc>
        <w:tc>
          <w:tcPr>
            <w:tcW w:w="0" w:type="auto"/>
            <w:shd w:val="clear" w:color="auto" w:fill="auto"/>
          </w:tcPr>
          <w:p w14:paraId="00BAD408" w14:textId="77777777" w:rsidR="00871BDF" w:rsidRDefault="00871BDF">
            <w:pPr>
              <w:rPr>
                <w:rFonts w:ascii="宋体"/>
              </w:rPr>
            </w:pPr>
          </w:p>
        </w:tc>
        <w:tc>
          <w:tcPr>
            <w:tcW w:w="0" w:type="auto"/>
            <w:shd w:val="clear" w:color="auto" w:fill="auto"/>
          </w:tcPr>
          <w:p w14:paraId="00BAD409" w14:textId="77777777" w:rsidR="00871BDF" w:rsidRDefault="00871BDF">
            <w:pPr>
              <w:rPr>
                <w:rFonts w:ascii="宋体"/>
              </w:rPr>
            </w:pPr>
          </w:p>
        </w:tc>
        <w:tc>
          <w:tcPr>
            <w:tcW w:w="0" w:type="auto"/>
            <w:shd w:val="clear" w:color="auto" w:fill="auto"/>
          </w:tcPr>
          <w:p w14:paraId="00BAD40A" w14:textId="77777777" w:rsidR="00871BDF" w:rsidRDefault="00871BDF">
            <w:pPr>
              <w:rPr>
                <w:rFonts w:ascii="宋体"/>
              </w:rPr>
            </w:pPr>
          </w:p>
        </w:tc>
        <w:tc>
          <w:tcPr>
            <w:tcW w:w="0" w:type="auto"/>
            <w:shd w:val="clear" w:color="auto" w:fill="auto"/>
          </w:tcPr>
          <w:p w14:paraId="00BAD40B" w14:textId="77777777" w:rsidR="00871BDF" w:rsidRDefault="00871BDF">
            <w:pPr>
              <w:rPr>
                <w:rFonts w:ascii="宋体"/>
              </w:rPr>
            </w:pPr>
          </w:p>
        </w:tc>
        <w:tc>
          <w:tcPr>
            <w:tcW w:w="0" w:type="auto"/>
            <w:shd w:val="clear" w:color="auto" w:fill="auto"/>
          </w:tcPr>
          <w:p w14:paraId="00BAD40C" w14:textId="77777777" w:rsidR="00871BDF" w:rsidRDefault="00871BDF">
            <w:pPr>
              <w:rPr>
                <w:rFonts w:ascii="宋体"/>
              </w:rPr>
            </w:pPr>
          </w:p>
        </w:tc>
        <w:tc>
          <w:tcPr>
            <w:tcW w:w="0" w:type="auto"/>
            <w:shd w:val="clear" w:color="auto" w:fill="auto"/>
          </w:tcPr>
          <w:p w14:paraId="00BAD40D" w14:textId="77777777" w:rsidR="00871BDF" w:rsidRDefault="00871BDF">
            <w:pPr>
              <w:rPr>
                <w:rFonts w:ascii="宋体"/>
              </w:rPr>
            </w:pPr>
          </w:p>
        </w:tc>
        <w:tc>
          <w:tcPr>
            <w:tcW w:w="0" w:type="auto"/>
            <w:shd w:val="clear" w:color="auto" w:fill="auto"/>
          </w:tcPr>
          <w:p w14:paraId="00BAD40E" w14:textId="77777777" w:rsidR="00871BDF" w:rsidRDefault="00871BDF">
            <w:pPr>
              <w:rPr>
                <w:rFonts w:ascii="宋体"/>
              </w:rPr>
            </w:pPr>
          </w:p>
        </w:tc>
        <w:tc>
          <w:tcPr>
            <w:tcW w:w="0" w:type="auto"/>
            <w:shd w:val="clear" w:color="auto" w:fill="auto"/>
          </w:tcPr>
          <w:p w14:paraId="00BAD40F" w14:textId="77777777" w:rsidR="00871BDF" w:rsidRDefault="00871BDF">
            <w:pPr>
              <w:rPr>
                <w:rFonts w:ascii="宋体"/>
              </w:rPr>
            </w:pPr>
          </w:p>
        </w:tc>
        <w:tc>
          <w:tcPr>
            <w:tcW w:w="0" w:type="auto"/>
            <w:shd w:val="clear" w:color="auto" w:fill="auto"/>
          </w:tcPr>
          <w:p w14:paraId="00BAD410" w14:textId="77777777" w:rsidR="00871BDF" w:rsidRDefault="00871BDF">
            <w:pPr>
              <w:rPr>
                <w:rFonts w:ascii="宋体"/>
              </w:rPr>
            </w:pPr>
          </w:p>
        </w:tc>
        <w:tc>
          <w:tcPr>
            <w:tcW w:w="0" w:type="auto"/>
            <w:shd w:val="clear" w:color="auto" w:fill="auto"/>
          </w:tcPr>
          <w:p w14:paraId="00BAD411" w14:textId="77777777" w:rsidR="00871BDF" w:rsidRDefault="00871BDF">
            <w:pPr>
              <w:rPr>
                <w:rFonts w:ascii="宋体"/>
              </w:rPr>
            </w:pPr>
          </w:p>
        </w:tc>
        <w:tc>
          <w:tcPr>
            <w:tcW w:w="0" w:type="auto"/>
            <w:shd w:val="clear" w:color="auto" w:fill="auto"/>
          </w:tcPr>
          <w:p w14:paraId="00BAD412" w14:textId="77777777" w:rsidR="00871BDF" w:rsidRDefault="00871BDF">
            <w:pPr>
              <w:rPr>
                <w:rFonts w:ascii="宋体"/>
              </w:rPr>
            </w:pPr>
          </w:p>
        </w:tc>
        <w:tc>
          <w:tcPr>
            <w:tcW w:w="0" w:type="auto"/>
            <w:shd w:val="clear" w:color="auto" w:fill="auto"/>
          </w:tcPr>
          <w:p w14:paraId="00BAD413" w14:textId="77777777" w:rsidR="00871BDF" w:rsidRDefault="00871BDF">
            <w:pPr>
              <w:rPr>
                <w:rFonts w:ascii="宋体"/>
              </w:rPr>
            </w:pPr>
          </w:p>
        </w:tc>
        <w:tc>
          <w:tcPr>
            <w:tcW w:w="0" w:type="auto"/>
            <w:shd w:val="clear" w:color="auto" w:fill="auto"/>
          </w:tcPr>
          <w:p w14:paraId="00BAD414" w14:textId="77777777" w:rsidR="00871BDF" w:rsidRDefault="00871BDF">
            <w:pPr>
              <w:rPr>
                <w:rFonts w:ascii="宋体"/>
              </w:rPr>
            </w:pPr>
          </w:p>
        </w:tc>
        <w:tc>
          <w:tcPr>
            <w:tcW w:w="0" w:type="auto"/>
            <w:shd w:val="clear" w:color="auto" w:fill="auto"/>
          </w:tcPr>
          <w:p w14:paraId="00BAD415" w14:textId="77777777" w:rsidR="00871BDF" w:rsidRDefault="00871BDF">
            <w:pPr>
              <w:rPr>
                <w:rFonts w:ascii="宋体"/>
              </w:rPr>
            </w:pPr>
          </w:p>
        </w:tc>
        <w:tc>
          <w:tcPr>
            <w:tcW w:w="0" w:type="auto"/>
            <w:shd w:val="clear" w:color="auto" w:fill="auto"/>
          </w:tcPr>
          <w:p w14:paraId="00BAD416" w14:textId="77777777" w:rsidR="00871BDF" w:rsidRDefault="00871BDF">
            <w:pPr>
              <w:rPr>
                <w:rFonts w:ascii="宋体"/>
              </w:rPr>
            </w:pPr>
          </w:p>
        </w:tc>
      </w:tr>
      <w:tr w:rsidR="00871BDF" w14:paraId="00BAD445" w14:textId="77777777">
        <w:trPr>
          <w:jc w:val="center"/>
        </w:trPr>
        <w:tc>
          <w:tcPr>
            <w:tcW w:w="0" w:type="auto"/>
            <w:gridSpan w:val="3"/>
            <w:shd w:val="clear" w:color="auto" w:fill="D7E4BC"/>
            <w:tcMar>
              <w:top w:w="40" w:type="dxa"/>
              <w:left w:w="245" w:type="dxa"/>
              <w:bottom w:w="40" w:type="dxa"/>
              <w:right w:w="20" w:type="dxa"/>
            </w:tcMar>
            <w:vAlign w:val="bottom"/>
          </w:tcPr>
          <w:p w14:paraId="00BAD418" w14:textId="77777777" w:rsidR="00871BDF" w:rsidRDefault="005C5088">
            <w:pPr>
              <w:textAlignment w:val="bottom"/>
            </w:pPr>
            <w:r>
              <w:rPr>
                <w:rFonts w:ascii="Times New Roman" w:eastAsia="宋体" w:hAnsi="Times New Roman"/>
                <w:color w:val="000000"/>
                <w:sz w:val="20"/>
                <w:szCs w:val="20"/>
              </w:rPr>
              <w:t>Change in ticket</w:t>
            </w:r>
          </w:p>
        </w:tc>
        <w:tc>
          <w:tcPr>
            <w:tcW w:w="0" w:type="auto"/>
            <w:gridSpan w:val="2"/>
            <w:shd w:val="clear" w:color="auto" w:fill="D7E4BC"/>
            <w:tcMar>
              <w:top w:w="40" w:type="dxa"/>
              <w:left w:w="20" w:type="dxa"/>
              <w:bottom w:w="40" w:type="dxa"/>
              <w:right w:w="0" w:type="dxa"/>
            </w:tcMar>
            <w:vAlign w:val="bottom"/>
          </w:tcPr>
          <w:p w14:paraId="00BAD419" w14:textId="77777777" w:rsidR="00871BDF" w:rsidRDefault="005C5088">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00BAD41A"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41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41C" w14:textId="77777777" w:rsidR="00871BDF" w:rsidRDefault="005C5088">
            <w:pPr>
              <w:jc w:val="right"/>
              <w:textAlignment w:val="bottom"/>
            </w:pPr>
            <w:r>
              <w:rPr>
                <w:rFonts w:ascii="Times New Roman" w:eastAsia="宋体" w:hAnsi="Times New Roman"/>
                <w:color w:val="000000"/>
                <w:sz w:val="20"/>
                <w:szCs w:val="20"/>
              </w:rPr>
              <w:t>3 </w:t>
            </w:r>
          </w:p>
        </w:tc>
        <w:tc>
          <w:tcPr>
            <w:tcW w:w="0" w:type="auto"/>
            <w:shd w:val="clear" w:color="auto" w:fill="D7E4BC"/>
            <w:tcMar>
              <w:top w:w="40" w:type="dxa"/>
              <w:left w:w="0" w:type="dxa"/>
              <w:bottom w:w="40" w:type="dxa"/>
              <w:right w:w="20" w:type="dxa"/>
            </w:tcMar>
            <w:vAlign w:val="bottom"/>
          </w:tcPr>
          <w:p w14:paraId="00BAD41D"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41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41F" w14:textId="77777777" w:rsidR="00871BDF" w:rsidRDefault="005C5088">
            <w:pPr>
              <w:jc w:val="right"/>
              <w:textAlignment w:val="bottom"/>
            </w:pPr>
            <w:r>
              <w:rPr>
                <w:rFonts w:ascii="Times New Roman" w:eastAsia="宋体" w:hAnsi="Times New Roman"/>
                <w:color w:val="000000"/>
                <w:sz w:val="20"/>
                <w:szCs w:val="20"/>
              </w:rPr>
              <w:t>3 </w:t>
            </w:r>
          </w:p>
        </w:tc>
        <w:tc>
          <w:tcPr>
            <w:tcW w:w="0" w:type="auto"/>
            <w:shd w:val="clear" w:color="auto" w:fill="D7E4BC"/>
            <w:tcMar>
              <w:top w:w="40" w:type="dxa"/>
              <w:left w:w="0" w:type="dxa"/>
              <w:bottom w:w="40" w:type="dxa"/>
              <w:right w:w="20" w:type="dxa"/>
            </w:tcMar>
            <w:vAlign w:val="bottom"/>
          </w:tcPr>
          <w:p w14:paraId="00BAD420"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42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422" w14:textId="77777777" w:rsidR="00871BDF" w:rsidRDefault="005C5088">
            <w:pPr>
              <w:jc w:val="right"/>
              <w:textAlignment w:val="bottom"/>
            </w:pPr>
            <w:r>
              <w:rPr>
                <w:rFonts w:ascii="Times New Roman" w:eastAsia="宋体" w:hAnsi="Times New Roman"/>
                <w:color w:val="000000"/>
                <w:sz w:val="20"/>
                <w:szCs w:val="20"/>
              </w:rPr>
              <w:t>3 </w:t>
            </w:r>
          </w:p>
        </w:tc>
        <w:tc>
          <w:tcPr>
            <w:tcW w:w="0" w:type="auto"/>
            <w:shd w:val="clear" w:color="auto" w:fill="D7E4BC"/>
            <w:tcMar>
              <w:top w:w="40" w:type="dxa"/>
              <w:left w:w="0" w:type="dxa"/>
              <w:bottom w:w="40" w:type="dxa"/>
              <w:right w:w="20" w:type="dxa"/>
            </w:tcMar>
            <w:vAlign w:val="bottom"/>
          </w:tcPr>
          <w:p w14:paraId="00BAD423"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42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425" w14:textId="77777777" w:rsidR="00871BDF" w:rsidRDefault="005C5088">
            <w:pPr>
              <w:jc w:val="right"/>
              <w:textAlignment w:val="bottom"/>
            </w:pPr>
            <w:r>
              <w:rPr>
                <w:rFonts w:ascii="Times New Roman" w:eastAsia="宋体" w:hAnsi="Times New Roman"/>
                <w:color w:val="000000"/>
                <w:sz w:val="20"/>
                <w:szCs w:val="20"/>
              </w:rPr>
              <w:t>4 </w:t>
            </w:r>
          </w:p>
        </w:tc>
        <w:tc>
          <w:tcPr>
            <w:tcW w:w="0" w:type="auto"/>
            <w:shd w:val="clear" w:color="auto" w:fill="D7E4BC"/>
            <w:tcMar>
              <w:top w:w="40" w:type="dxa"/>
              <w:left w:w="0" w:type="dxa"/>
              <w:bottom w:w="40" w:type="dxa"/>
              <w:right w:w="20" w:type="dxa"/>
            </w:tcMar>
            <w:vAlign w:val="bottom"/>
          </w:tcPr>
          <w:p w14:paraId="00BAD426" w14:textId="77777777" w:rsidR="00871BDF" w:rsidRDefault="005C5088">
            <w:pPr>
              <w:jc w:val="right"/>
              <w:textAlignment w:val="bottom"/>
            </w:pPr>
            <w:r>
              <w:rPr>
                <w:rFonts w:ascii="Times New Roman" w:eastAsia="宋体" w:hAnsi="Times New Roman"/>
                <w:color w:val="000000"/>
                <w:sz w:val="20"/>
                <w:szCs w:val="20"/>
              </w:rPr>
              <w:t>%</w:t>
            </w:r>
          </w:p>
        </w:tc>
        <w:tc>
          <w:tcPr>
            <w:tcW w:w="0" w:type="auto"/>
            <w:shd w:val="clear" w:color="auto" w:fill="auto"/>
          </w:tcPr>
          <w:p w14:paraId="00BAD427" w14:textId="77777777" w:rsidR="00871BDF" w:rsidRDefault="00871BDF">
            <w:pPr>
              <w:rPr>
                <w:rFonts w:ascii="宋体"/>
              </w:rPr>
            </w:pPr>
          </w:p>
        </w:tc>
        <w:tc>
          <w:tcPr>
            <w:tcW w:w="0" w:type="auto"/>
            <w:shd w:val="clear" w:color="auto" w:fill="auto"/>
          </w:tcPr>
          <w:p w14:paraId="00BAD428" w14:textId="77777777" w:rsidR="00871BDF" w:rsidRDefault="00871BDF">
            <w:pPr>
              <w:rPr>
                <w:rFonts w:ascii="宋体"/>
              </w:rPr>
            </w:pPr>
          </w:p>
        </w:tc>
        <w:tc>
          <w:tcPr>
            <w:tcW w:w="0" w:type="auto"/>
            <w:shd w:val="clear" w:color="auto" w:fill="auto"/>
          </w:tcPr>
          <w:p w14:paraId="00BAD429" w14:textId="77777777" w:rsidR="00871BDF" w:rsidRDefault="00871BDF">
            <w:pPr>
              <w:rPr>
                <w:rFonts w:ascii="宋体"/>
              </w:rPr>
            </w:pPr>
          </w:p>
        </w:tc>
        <w:tc>
          <w:tcPr>
            <w:tcW w:w="0" w:type="auto"/>
            <w:shd w:val="clear" w:color="auto" w:fill="auto"/>
          </w:tcPr>
          <w:p w14:paraId="00BAD42A" w14:textId="77777777" w:rsidR="00871BDF" w:rsidRDefault="00871BDF">
            <w:pPr>
              <w:rPr>
                <w:rFonts w:ascii="宋体"/>
              </w:rPr>
            </w:pPr>
          </w:p>
        </w:tc>
        <w:tc>
          <w:tcPr>
            <w:tcW w:w="0" w:type="auto"/>
            <w:shd w:val="clear" w:color="auto" w:fill="auto"/>
          </w:tcPr>
          <w:p w14:paraId="00BAD42B" w14:textId="77777777" w:rsidR="00871BDF" w:rsidRDefault="00871BDF">
            <w:pPr>
              <w:rPr>
                <w:rFonts w:ascii="宋体"/>
              </w:rPr>
            </w:pPr>
          </w:p>
        </w:tc>
        <w:tc>
          <w:tcPr>
            <w:tcW w:w="0" w:type="auto"/>
            <w:shd w:val="clear" w:color="auto" w:fill="auto"/>
          </w:tcPr>
          <w:p w14:paraId="00BAD42C" w14:textId="77777777" w:rsidR="00871BDF" w:rsidRDefault="00871BDF">
            <w:pPr>
              <w:rPr>
                <w:rFonts w:ascii="宋体"/>
              </w:rPr>
            </w:pPr>
          </w:p>
        </w:tc>
        <w:tc>
          <w:tcPr>
            <w:tcW w:w="0" w:type="auto"/>
            <w:shd w:val="clear" w:color="auto" w:fill="auto"/>
          </w:tcPr>
          <w:p w14:paraId="00BAD42D" w14:textId="77777777" w:rsidR="00871BDF" w:rsidRDefault="00871BDF">
            <w:pPr>
              <w:rPr>
                <w:rFonts w:ascii="宋体"/>
              </w:rPr>
            </w:pPr>
          </w:p>
        </w:tc>
        <w:tc>
          <w:tcPr>
            <w:tcW w:w="0" w:type="auto"/>
            <w:shd w:val="clear" w:color="auto" w:fill="auto"/>
          </w:tcPr>
          <w:p w14:paraId="00BAD42E" w14:textId="77777777" w:rsidR="00871BDF" w:rsidRDefault="00871BDF">
            <w:pPr>
              <w:rPr>
                <w:rFonts w:ascii="宋体"/>
              </w:rPr>
            </w:pPr>
          </w:p>
        </w:tc>
        <w:tc>
          <w:tcPr>
            <w:tcW w:w="0" w:type="auto"/>
            <w:shd w:val="clear" w:color="auto" w:fill="auto"/>
          </w:tcPr>
          <w:p w14:paraId="00BAD42F" w14:textId="77777777" w:rsidR="00871BDF" w:rsidRDefault="00871BDF">
            <w:pPr>
              <w:rPr>
                <w:rFonts w:ascii="宋体"/>
              </w:rPr>
            </w:pPr>
          </w:p>
        </w:tc>
        <w:tc>
          <w:tcPr>
            <w:tcW w:w="0" w:type="auto"/>
            <w:shd w:val="clear" w:color="auto" w:fill="auto"/>
          </w:tcPr>
          <w:p w14:paraId="00BAD430" w14:textId="77777777" w:rsidR="00871BDF" w:rsidRDefault="00871BDF">
            <w:pPr>
              <w:rPr>
                <w:rFonts w:ascii="宋体"/>
              </w:rPr>
            </w:pPr>
          </w:p>
        </w:tc>
        <w:tc>
          <w:tcPr>
            <w:tcW w:w="0" w:type="auto"/>
            <w:shd w:val="clear" w:color="auto" w:fill="auto"/>
          </w:tcPr>
          <w:p w14:paraId="00BAD431" w14:textId="77777777" w:rsidR="00871BDF" w:rsidRDefault="00871BDF">
            <w:pPr>
              <w:rPr>
                <w:rFonts w:ascii="宋体"/>
              </w:rPr>
            </w:pPr>
          </w:p>
        </w:tc>
        <w:tc>
          <w:tcPr>
            <w:tcW w:w="0" w:type="auto"/>
            <w:shd w:val="clear" w:color="auto" w:fill="auto"/>
          </w:tcPr>
          <w:p w14:paraId="00BAD432" w14:textId="77777777" w:rsidR="00871BDF" w:rsidRDefault="00871BDF">
            <w:pPr>
              <w:rPr>
                <w:rFonts w:ascii="宋体"/>
              </w:rPr>
            </w:pPr>
          </w:p>
        </w:tc>
        <w:tc>
          <w:tcPr>
            <w:tcW w:w="0" w:type="auto"/>
            <w:shd w:val="clear" w:color="auto" w:fill="auto"/>
          </w:tcPr>
          <w:p w14:paraId="00BAD433" w14:textId="77777777" w:rsidR="00871BDF" w:rsidRDefault="00871BDF">
            <w:pPr>
              <w:rPr>
                <w:rFonts w:ascii="宋体"/>
              </w:rPr>
            </w:pPr>
          </w:p>
        </w:tc>
        <w:tc>
          <w:tcPr>
            <w:tcW w:w="0" w:type="auto"/>
            <w:shd w:val="clear" w:color="auto" w:fill="auto"/>
          </w:tcPr>
          <w:p w14:paraId="00BAD434" w14:textId="77777777" w:rsidR="00871BDF" w:rsidRDefault="00871BDF">
            <w:pPr>
              <w:rPr>
                <w:rFonts w:ascii="宋体"/>
              </w:rPr>
            </w:pPr>
          </w:p>
        </w:tc>
        <w:tc>
          <w:tcPr>
            <w:tcW w:w="0" w:type="auto"/>
            <w:shd w:val="clear" w:color="auto" w:fill="auto"/>
          </w:tcPr>
          <w:p w14:paraId="00BAD435" w14:textId="77777777" w:rsidR="00871BDF" w:rsidRDefault="00871BDF">
            <w:pPr>
              <w:rPr>
                <w:rFonts w:ascii="宋体"/>
              </w:rPr>
            </w:pPr>
          </w:p>
        </w:tc>
        <w:tc>
          <w:tcPr>
            <w:tcW w:w="0" w:type="auto"/>
            <w:shd w:val="clear" w:color="auto" w:fill="auto"/>
          </w:tcPr>
          <w:p w14:paraId="00BAD436" w14:textId="77777777" w:rsidR="00871BDF" w:rsidRDefault="00871BDF">
            <w:pPr>
              <w:rPr>
                <w:rFonts w:ascii="宋体"/>
              </w:rPr>
            </w:pPr>
          </w:p>
        </w:tc>
        <w:tc>
          <w:tcPr>
            <w:tcW w:w="0" w:type="auto"/>
            <w:shd w:val="clear" w:color="auto" w:fill="auto"/>
          </w:tcPr>
          <w:p w14:paraId="00BAD437" w14:textId="77777777" w:rsidR="00871BDF" w:rsidRDefault="00871BDF">
            <w:pPr>
              <w:rPr>
                <w:rFonts w:ascii="宋体"/>
              </w:rPr>
            </w:pPr>
          </w:p>
        </w:tc>
        <w:tc>
          <w:tcPr>
            <w:tcW w:w="0" w:type="auto"/>
            <w:shd w:val="clear" w:color="auto" w:fill="auto"/>
          </w:tcPr>
          <w:p w14:paraId="00BAD438" w14:textId="77777777" w:rsidR="00871BDF" w:rsidRDefault="00871BDF">
            <w:pPr>
              <w:rPr>
                <w:rFonts w:ascii="宋体"/>
              </w:rPr>
            </w:pPr>
          </w:p>
        </w:tc>
        <w:tc>
          <w:tcPr>
            <w:tcW w:w="0" w:type="auto"/>
            <w:shd w:val="clear" w:color="auto" w:fill="auto"/>
          </w:tcPr>
          <w:p w14:paraId="00BAD439" w14:textId="77777777" w:rsidR="00871BDF" w:rsidRDefault="00871BDF">
            <w:pPr>
              <w:rPr>
                <w:rFonts w:ascii="宋体"/>
              </w:rPr>
            </w:pPr>
          </w:p>
        </w:tc>
        <w:tc>
          <w:tcPr>
            <w:tcW w:w="0" w:type="auto"/>
            <w:shd w:val="clear" w:color="auto" w:fill="auto"/>
          </w:tcPr>
          <w:p w14:paraId="00BAD43A" w14:textId="77777777" w:rsidR="00871BDF" w:rsidRDefault="00871BDF">
            <w:pPr>
              <w:rPr>
                <w:rFonts w:ascii="宋体"/>
              </w:rPr>
            </w:pPr>
          </w:p>
        </w:tc>
        <w:tc>
          <w:tcPr>
            <w:tcW w:w="0" w:type="auto"/>
            <w:shd w:val="clear" w:color="auto" w:fill="auto"/>
          </w:tcPr>
          <w:p w14:paraId="00BAD43B" w14:textId="77777777" w:rsidR="00871BDF" w:rsidRDefault="00871BDF">
            <w:pPr>
              <w:rPr>
                <w:rFonts w:ascii="宋体"/>
              </w:rPr>
            </w:pPr>
          </w:p>
        </w:tc>
        <w:tc>
          <w:tcPr>
            <w:tcW w:w="0" w:type="auto"/>
            <w:shd w:val="clear" w:color="auto" w:fill="auto"/>
          </w:tcPr>
          <w:p w14:paraId="00BAD43C" w14:textId="77777777" w:rsidR="00871BDF" w:rsidRDefault="00871BDF">
            <w:pPr>
              <w:rPr>
                <w:rFonts w:ascii="宋体"/>
              </w:rPr>
            </w:pPr>
          </w:p>
        </w:tc>
        <w:tc>
          <w:tcPr>
            <w:tcW w:w="0" w:type="auto"/>
            <w:shd w:val="clear" w:color="auto" w:fill="auto"/>
          </w:tcPr>
          <w:p w14:paraId="00BAD43D" w14:textId="77777777" w:rsidR="00871BDF" w:rsidRDefault="00871BDF">
            <w:pPr>
              <w:rPr>
                <w:rFonts w:ascii="宋体"/>
              </w:rPr>
            </w:pPr>
          </w:p>
        </w:tc>
        <w:tc>
          <w:tcPr>
            <w:tcW w:w="0" w:type="auto"/>
            <w:shd w:val="clear" w:color="auto" w:fill="auto"/>
          </w:tcPr>
          <w:p w14:paraId="00BAD43E" w14:textId="77777777" w:rsidR="00871BDF" w:rsidRDefault="00871BDF">
            <w:pPr>
              <w:rPr>
                <w:rFonts w:ascii="宋体"/>
              </w:rPr>
            </w:pPr>
          </w:p>
        </w:tc>
        <w:tc>
          <w:tcPr>
            <w:tcW w:w="0" w:type="auto"/>
            <w:shd w:val="clear" w:color="auto" w:fill="auto"/>
          </w:tcPr>
          <w:p w14:paraId="00BAD43F" w14:textId="77777777" w:rsidR="00871BDF" w:rsidRDefault="00871BDF">
            <w:pPr>
              <w:rPr>
                <w:rFonts w:ascii="宋体"/>
              </w:rPr>
            </w:pPr>
          </w:p>
        </w:tc>
        <w:tc>
          <w:tcPr>
            <w:tcW w:w="0" w:type="auto"/>
            <w:shd w:val="clear" w:color="auto" w:fill="auto"/>
          </w:tcPr>
          <w:p w14:paraId="00BAD440" w14:textId="77777777" w:rsidR="00871BDF" w:rsidRDefault="00871BDF">
            <w:pPr>
              <w:rPr>
                <w:rFonts w:ascii="宋体"/>
              </w:rPr>
            </w:pPr>
          </w:p>
        </w:tc>
        <w:tc>
          <w:tcPr>
            <w:tcW w:w="0" w:type="auto"/>
            <w:shd w:val="clear" w:color="auto" w:fill="auto"/>
          </w:tcPr>
          <w:p w14:paraId="00BAD441" w14:textId="77777777" w:rsidR="00871BDF" w:rsidRDefault="00871BDF">
            <w:pPr>
              <w:rPr>
                <w:rFonts w:ascii="宋体"/>
              </w:rPr>
            </w:pPr>
          </w:p>
        </w:tc>
        <w:tc>
          <w:tcPr>
            <w:tcW w:w="0" w:type="auto"/>
            <w:shd w:val="clear" w:color="auto" w:fill="auto"/>
          </w:tcPr>
          <w:p w14:paraId="00BAD442" w14:textId="77777777" w:rsidR="00871BDF" w:rsidRDefault="00871BDF">
            <w:pPr>
              <w:rPr>
                <w:rFonts w:ascii="宋体"/>
              </w:rPr>
            </w:pPr>
          </w:p>
        </w:tc>
        <w:tc>
          <w:tcPr>
            <w:tcW w:w="0" w:type="auto"/>
            <w:shd w:val="clear" w:color="auto" w:fill="auto"/>
          </w:tcPr>
          <w:p w14:paraId="00BAD443" w14:textId="77777777" w:rsidR="00871BDF" w:rsidRDefault="00871BDF">
            <w:pPr>
              <w:rPr>
                <w:rFonts w:ascii="宋体"/>
              </w:rPr>
            </w:pPr>
          </w:p>
        </w:tc>
        <w:tc>
          <w:tcPr>
            <w:tcW w:w="0" w:type="auto"/>
            <w:shd w:val="clear" w:color="auto" w:fill="auto"/>
          </w:tcPr>
          <w:p w14:paraId="00BAD444" w14:textId="77777777" w:rsidR="00871BDF" w:rsidRDefault="00871BDF">
            <w:pPr>
              <w:rPr>
                <w:rFonts w:ascii="宋体"/>
              </w:rPr>
            </w:pPr>
          </w:p>
        </w:tc>
      </w:tr>
    </w:tbl>
    <w:p w14:paraId="00BAD446" w14:textId="77777777" w:rsidR="00871BDF" w:rsidRDefault="005C5088">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only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company-operated stores open 13 months or longer. Comparable store sales exclude the effect of fluctuations in foreign currency exchange rates and the results of our global Siren Retail operations. For fiscal year 2016, compa</w:t>
      </w:r>
      <w:r>
        <w:rPr>
          <w:rFonts w:ascii="Times New Roman" w:eastAsia="宋体" w:hAnsi="Times New Roman"/>
          <w:color w:val="000000"/>
          <w:sz w:val="20"/>
          <w:szCs w:val="20"/>
        </w:rPr>
        <w:t>rable store sales percentages were calculated excluding the 53</w:t>
      </w:r>
      <w:r>
        <w:rPr>
          <w:rFonts w:ascii="Times New Roman" w:eastAsia="宋体" w:hAnsi="Times New Roman"/>
          <w:color w:val="000000"/>
          <w:sz w:val="13"/>
          <w:szCs w:val="13"/>
        </w:rPr>
        <w:t>rd</w:t>
      </w:r>
      <w:r>
        <w:rPr>
          <w:rFonts w:ascii="Times New Roman" w:eastAsia="宋体" w:hAnsi="Times New Roman"/>
          <w:color w:val="000000"/>
          <w:sz w:val="20"/>
          <w:szCs w:val="20"/>
        </w:rPr>
        <w:t xml:space="preserve"> week. For fiscal year 2020, stores that were temporarily closed or operating at reduced hours due to the COVID-19 outbreak remained in comparable store sales while stores identified for perma</w:t>
      </w:r>
      <w:r>
        <w:rPr>
          <w:rFonts w:ascii="Times New Roman" w:eastAsia="宋体" w:hAnsi="Times New Roman"/>
          <w:color w:val="000000"/>
          <w:sz w:val="20"/>
          <w:szCs w:val="20"/>
        </w:rPr>
        <w:t xml:space="preserve">nent closure were removed. </w:t>
      </w:r>
    </w:p>
    <w:p w14:paraId="00BAD447" w14:textId="77777777" w:rsidR="00871BDF" w:rsidRDefault="005C5088">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Beginning in February of fiscal 2019, comparable store sales include the results of the transfer of 1,477 licensed stores in East China to company-operated retail stores as a result of the purchase of our East China joint ven</w:t>
      </w:r>
      <w:r>
        <w:rPr>
          <w:rFonts w:ascii="Times New Roman" w:eastAsia="宋体" w:hAnsi="Times New Roman"/>
          <w:color w:val="000000"/>
          <w:sz w:val="20"/>
          <w:szCs w:val="20"/>
        </w:rPr>
        <w:t>ture in the first quarter of fiscal 2018. Beginning in December of fiscal 2016, comparable store sales include the results of the 1,009 company-operated stores acquired as part of the acquisition of Starbucks Japan in the first quarter of fiscal 2015.</w:t>
      </w:r>
    </w:p>
    <w:p w14:paraId="00BAD448" w14:textId="77777777" w:rsidR="00871BDF" w:rsidRDefault="00871BDF">
      <w:pPr>
        <w:spacing w:before="120"/>
      </w:pPr>
    </w:p>
    <w:p w14:paraId="00BAD449" w14:textId="77777777" w:rsidR="00871BDF" w:rsidRDefault="005C5088">
      <w:pPr>
        <w:jc w:val="center"/>
      </w:pPr>
      <w:r>
        <w:rPr>
          <w:rFonts w:ascii="Times New Roman" w:eastAsia="宋体" w:hAnsi="Times New Roman"/>
          <w:color w:val="000000"/>
          <w:sz w:val="20"/>
          <w:szCs w:val="20"/>
        </w:rPr>
        <w:t>23</w:t>
      </w:r>
    </w:p>
    <w:p w14:paraId="00BAD44A" w14:textId="77777777" w:rsidR="00871BDF" w:rsidRDefault="005C5088">
      <w:r>
        <w:pict w14:anchorId="00BB147C">
          <v:rect id="_x0000_i1050" style="width:415.3pt;height:1.5pt" o:hralign="center" o:hrstd="t" o:hr="t" fillcolor="#a0a0a0" stroked="f"/>
        </w:pict>
      </w:r>
    </w:p>
    <w:p w14:paraId="00BAD44B" w14:textId="77777777" w:rsidR="00871BDF" w:rsidRDefault="005C5088">
      <w:hyperlink r:id="rId85" w:anchor="i54ccc64cb5384be5a4849ef1cdef4dde_7" w:history="1">
        <w:r>
          <w:rPr>
            <w:rStyle w:val="a5"/>
            <w:rFonts w:ascii="Times New Roman" w:eastAsia="宋体" w:hAnsi="Times New Roman"/>
            <w:sz w:val="20"/>
            <w:szCs w:val="20"/>
          </w:rPr>
          <w:t>Table of Contents</w:t>
        </w:r>
      </w:hyperlink>
    </w:p>
    <w:p w14:paraId="00BAD44C" w14:textId="77777777" w:rsidR="00871BDF" w:rsidRDefault="005C5088">
      <w:pPr>
        <w:spacing w:before="120"/>
      </w:pPr>
      <w:r>
        <w:rPr>
          <w:rFonts w:ascii="Times New Roman" w:eastAsia="宋体" w:hAnsi="Times New Roman"/>
          <w:b/>
          <w:bCs/>
          <w:color w:val="000000"/>
          <w:sz w:val="20"/>
          <w:szCs w:val="20"/>
        </w:rPr>
        <w:t>Store Count Data:</w:t>
      </w:r>
    </w:p>
    <w:tbl>
      <w:tblPr>
        <w:tblW w:w="4978" w:type="pct"/>
        <w:jc w:val="center"/>
        <w:tblCellMar>
          <w:top w:w="15" w:type="dxa"/>
          <w:left w:w="15" w:type="dxa"/>
          <w:bottom w:w="15" w:type="dxa"/>
          <w:right w:w="15" w:type="dxa"/>
        </w:tblCellMar>
        <w:tblLook w:val="04A0" w:firstRow="1" w:lastRow="0" w:firstColumn="1" w:lastColumn="0" w:noHBand="0" w:noVBand="1"/>
      </w:tblPr>
      <w:tblGrid>
        <w:gridCol w:w="47"/>
        <w:gridCol w:w="3036"/>
        <w:gridCol w:w="38"/>
        <w:gridCol w:w="59"/>
        <w:gridCol w:w="656"/>
        <w:gridCol w:w="36"/>
        <w:gridCol w:w="36"/>
        <w:gridCol w:w="36"/>
        <w:gridCol w:w="36"/>
        <w:gridCol w:w="59"/>
        <w:gridCol w:w="632"/>
        <w:gridCol w:w="36"/>
        <w:gridCol w:w="36"/>
        <w:gridCol w:w="36"/>
        <w:gridCol w:w="36"/>
        <w:gridCol w:w="59"/>
        <w:gridCol w:w="632"/>
        <w:gridCol w:w="36"/>
        <w:gridCol w:w="36"/>
        <w:gridCol w:w="36"/>
        <w:gridCol w:w="36"/>
        <w:gridCol w:w="59"/>
        <w:gridCol w:w="635"/>
        <w:gridCol w:w="36"/>
        <w:gridCol w:w="36"/>
        <w:gridCol w:w="36"/>
        <w:gridCol w:w="36"/>
        <w:gridCol w:w="59"/>
        <w:gridCol w:w="6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71BDF" w14:paraId="00BAD46B" w14:textId="77777777">
        <w:trPr>
          <w:gridAfter w:val="30"/>
          <w:jc w:val="center"/>
        </w:trPr>
        <w:tc>
          <w:tcPr>
            <w:tcW w:w="50" w:type="pct"/>
            <w:shd w:val="clear" w:color="auto" w:fill="auto"/>
          </w:tcPr>
          <w:p w14:paraId="00BAD44D" w14:textId="77777777" w:rsidR="00871BDF" w:rsidRDefault="00871BDF">
            <w:pPr>
              <w:rPr>
                <w:rFonts w:ascii="宋体"/>
              </w:rPr>
            </w:pPr>
          </w:p>
        </w:tc>
        <w:tc>
          <w:tcPr>
            <w:tcW w:w="2118" w:type="pct"/>
            <w:shd w:val="clear" w:color="auto" w:fill="auto"/>
          </w:tcPr>
          <w:p w14:paraId="00BAD44E" w14:textId="77777777" w:rsidR="00871BDF" w:rsidRDefault="00871BDF">
            <w:pPr>
              <w:rPr>
                <w:rFonts w:ascii="宋体"/>
              </w:rPr>
            </w:pPr>
          </w:p>
        </w:tc>
        <w:tc>
          <w:tcPr>
            <w:tcW w:w="5" w:type="pct"/>
            <w:shd w:val="clear" w:color="auto" w:fill="auto"/>
          </w:tcPr>
          <w:p w14:paraId="00BAD44F" w14:textId="77777777" w:rsidR="00871BDF" w:rsidRDefault="00871BDF">
            <w:pPr>
              <w:rPr>
                <w:rFonts w:ascii="宋体"/>
              </w:rPr>
            </w:pPr>
          </w:p>
        </w:tc>
        <w:tc>
          <w:tcPr>
            <w:tcW w:w="50" w:type="pct"/>
            <w:shd w:val="clear" w:color="auto" w:fill="auto"/>
          </w:tcPr>
          <w:p w14:paraId="00BAD450" w14:textId="77777777" w:rsidR="00871BDF" w:rsidRDefault="00871BDF">
            <w:pPr>
              <w:rPr>
                <w:rFonts w:ascii="宋体"/>
              </w:rPr>
            </w:pPr>
          </w:p>
        </w:tc>
        <w:tc>
          <w:tcPr>
            <w:tcW w:w="480" w:type="pct"/>
            <w:shd w:val="clear" w:color="auto" w:fill="auto"/>
          </w:tcPr>
          <w:p w14:paraId="00BAD451" w14:textId="77777777" w:rsidR="00871BDF" w:rsidRDefault="00871BDF">
            <w:pPr>
              <w:rPr>
                <w:rFonts w:ascii="宋体"/>
              </w:rPr>
            </w:pPr>
          </w:p>
        </w:tc>
        <w:tc>
          <w:tcPr>
            <w:tcW w:w="5" w:type="pct"/>
            <w:shd w:val="clear" w:color="auto" w:fill="auto"/>
          </w:tcPr>
          <w:p w14:paraId="00BAD452" w14:textId="77777777" w:rsidR="00871BDF" w:rsidRDefault="00871BDF">
            <w:pPr>
              <w:rPr>
                <w:rFonts w:ascii="宋体"/>
              </w:rPr>
            </w:pPr>
          </w:p>
        </w:tc>
        <w:tc>
          <w:tcPr>
            <w:tcW w:w="5" w:type="pct"/>
            <w:shd w:val="clear" w:color="auto" w:fill="auto"/>
          </w:tcPr>
          <w:p w14:paraId="00BAD453" w14:textId="77777777" w:rsidR="00871BDF" w:rsidRDefault="00871BDF">
            <w:pPr>
              <w:rPr>
                <w:rFonts w:ascii="宋体"/>
              </w:rPr>
            </w:pPr>
          </w:p>
        </w:tc>
        <w:tc>
          <w:tcPr>
            <w:tcW w:w="26" w:type="pct"/>
            <w:shd w:val="clear" w:color="auto" w:fill="auto"/>
          </w:tcPr>
          <w:p w14:paraId="00BAD454" w14:textId="77777777" w:rsidR="00871BDF" w:rsidRDefault="00871BDF">
            <w:pPr>
              <w:rPr>
                <w:rFonts w:ascii="宋体"/>
              </w:rPr>
            </w:pPr>
          </w:p>
        </w:tc>
        <w:tc>
          <w:tcPr>
            <w:tcW w:w="5" w:type="pct"/>
            <w:shd w:val="clear" w:color="auto" w:fill="auto"/>
          </w:tcPr>
          <w:p w14:paraId="00BAD455" w14:textId="77777777" w:rsidR="00871BDF" w:rsidRDefault="00871BDF">
            <w:pPr>
              <w:rPr>
                <w:rFonts w:ascii="宋体"/>
              </w:rPr>
            </w:pPr>
          </w:p>
        </w:tc>
        <w:tc>
          <w:tcPr>
            <w:tcW w:w="50" w:type="pct"/>
            <w:shd w:val="clear" w:color="auto" w:fill="auto"/>
          </w:tcPr>
          <w:p w14:paraId="00BAD456" w14:textId="77777777" w:rsidR="00871BDF" w:rsidRDefault="00871BDF">
            <w:pPr>
              <w:rPr>
                <w:rFonts w:ascii="宋体"/>
              </w:rPr>
            </w:pPr>
          </w:p>
        </w:tc>
        <w:tc>
          <w:tcPr>
            <w:tcW w:w="480" w:type="pct"/>
            <w:shd w:val="clear" w:color="auto" w:fill="auto"/>
          </w:tcPr>
          <w:p w14:paraId="00BAD457" w14:textId="77777777" w:rsidR="00871BDF" w:rsidRDefault="00871BDF">
            <w:pPr>
              <w:rPr>
                <w:rFonts w:ascii="宋体"/>
              </w:rPr>
            </w:pPr>
          </w:p>
        </w:tc>
        <w:tc>
          <w:tcPr>
            <w:tcW w:w="5" w:type="pct"/>
            <w:shd w:val="clear" w:color="auto" w:fill="auto"/>
          </w:tcPr>
          <w:p w14:paraId="00BAD458" w14:textId="77777777" w:rsidR="00871BDF" w:rsidRDefault="00871BDF">
            <w:pPr>
              <w:rPr>
                <w:rFonts w:ascii="宋体"/>
              </w:rPr>
            </w:pPr>
          </w:p>
        </w:tc>
        <w:tc>
          <w:tcPr>
            <w:tcW w:w="5" w:type="pct"/>
            <w:shd w:val="clear" w:color="auto" w:fill="auto"/>
          </w:tcPr>
          <w:p w14:paraId="00BAD459" w14:textId="77777777" w:rsidR="00871BDF" w:rsidRDefault="00871BDF">
            <w:pPr>
              <w:rPr>
                <w:rFonts w:ascii="宋体"/>
              </w:rPr>
            </w:pPr>
          </w:p>
        </w:tc>
        <w:tc>
          <w:tcPr>
            <w:tcW w:w="26" w:type="pct"/>
            <w:shd w:val="clear" w:color="auto" w:fill="auto"/>
          </w:tcPr>
          <w:p w14:paraId="00BAD45A" w14:textId="77777777" w:rsidR="00871BDF" w:rsidRDefault="00871BDF">
            <w:pPr>
              <w:rPr>
                <w:rFonts w:ascii="宋体"/>
              </w:rPr>
            </w:pPr>
          </w:p>
        </w:tc>
        <w:tc>
          <w:tcPr>
            <w:tcW w:w="5" w:type="pct"/>
            <w:shd w:val="clear" w:color="auto" w:fill="auto"/>
          </w:tcPr>
          <w:p w14:paraId="00BAD45B" w14:textId="77777777" w:rsidR="00871BDF" w:rsidRDefault="00871BDF">
            <w:pPr>
              <w:rPr>
                <w:rFonts w:ascii="宋体"/>
              </w:rPr>
            </w:pPr>
          </w:p>
        </w:tc>
        <w:tc>
          <w:tcPr>
            <w:tcW w:w="50" w:type="pct"/>
            <w:shd w:val="clear" w:color="auto" w:fill="auto"/>
          </w:tcPr>
          <w:p w14:paraId="00BAD45C" w14:textId="77777777" w:rsidR="00871BDF" w:rsidRDefault="00871BDF">
            <w:pPr>
              <w:rPr>
                <w:rFonts w:ascii="宋体"/>
              </w:rPr>
            </w:pPr>
          </w:p>
        </w:tc>
        <w:tc>
          <w:tcPr>
            <w:tcW w:w="480" w:type="pct"/>
            <w:shd w:val="clear" w:color="auto" w:fill="auto"/>
          </w:tcPr>
          <w:p w14:paraId="00BAD45D" w14:textId="77777777" w:rsidR="00871BDF" w:rsidRDefault="00871BDF">
            <w:pPr>
              <w:rPr>
                <w:rFonts w:ascii="宋体"/>
              </w:rPr>
            </w:pPr>
          </w:p>
        </w:tc>
        <w:tc>
          <w:tcPr>
            <w:tcW w:w="5" w:type="pct"/>
            <w:shd w:val="clear" w:color="auto" w:fill="auto"/>
          </w:tcPr>
          <w:p w14:paraId="00BAD45E" w14:textId="77777777" w:rsidR="00871BDF" w:rsidRDefault="00871BDF">
            <w:pPr>
              <w:rPr>
                <w:rFonts w:ascii="宋体"/>
              </w:rPr>
            </w:pPr>
          </w:p>
        </w:tc>
        <w:tc>
          <w:tcPr>
            <w:tcW w:w="5" w:type="pct"/>
            <w:shd w:val="clear" w:color="auto" w:fill="auto"/>
          </w:tcPr>
          <w:p w14:paraId="00BAD45F" w14:textId="77777777" w:rsidR="00871BDF" w:rsidRDefault="00871BDF">
            <w:pPr>
              <w:rPr>
                <w:rFonts w:ascii="宋体"/>
              </w:rPr>
            </w:pPr>
          </w:p>
        </w:tc>
        <w:tc>
          <w:tcPr>
            <w:tcW w:w="26" w:type="pct"/>
            <w:shd w:val="clear" w:color="auto" w:fill="auto"/>
          </w:tcPr>
          <w:p w14:paraId="00BAD460" w14:textId="77777777" w:rsidR="00871BDF" w:rsidRDefault="00871BDF">
            <w:pPr>
              <w:rPr>
                <w:rFonts w:ascii="宋体"/>
              </w:rPr>
            </w:pPr>
          </w:p>
        </w:tc>
        <w:tc>
          <w:tcPr>
            <w:tcW w:w="5" w:type="pct"/>
            <w:shd w:val="clear" w:color="auto" w:fill="auto"/>
          </w:tcPr>
          <w:p w14:paraId="00BAD461" w14:textId="77777777" w:rsidR="00871BDF" w:rsidRDefault="00871BDF">
            <w:pPr>
              <w:rPr>
                <w:rFonts w:ascii="宋体"/>
              </w:rPr>
            </w:pPr>
          </w:p>
        </w:tc>
        <w:tc>
          <w:tcPr>
            <w:tcW w:w="50" w:type="pct"/>
            <w:shd w:val="clear" w:color="auto" w:fill="auto"/>
          </w:tcPr>
          <w:p w14:paraId="00BAD462" w14:textId="77777777" w:rsidR="00871BDF" w:rsidRDefault="00871BDF">
            <w:pPr>
              <w:rPr>
                <w:rFonts w:ascii="宋体"/>
              </w:rPr>
            </w:pPr>
          </w:p>
        </w:tc>
        <w:tc>
          <w:tcPr>
            <w:tcW w:w="480" w:type="pct"/>
            <w:shd w:val="clear" w:color="auto" w:fill="auto"/>
          </w:tcPr>
          <w:p w14:paraId="00BAD463" w14:textId="77777777" w:rsidR="00871BDF" w:rsidRDefault="00871BDF">
            <w:pPr>
              <w:rPr>
                <w:rFonts w:ascii="宋体"/>
              </w:rPr>
            </w:pPr>
          </w:p>
        </w:tc>
        <w:tc>
          <w:tcPr>
            <w:tcW w:w="5" w:type="pct"/>
            <w:shd w:val="clear" w:color="auto" w:fill="auto"/>
          </w:tcPr>
          <w:p w14:paraId="00BAD464" w14:textId="77777777" w:rsidR="00871BDF" w:rsidRDefault="00871BDF">
            <w:pPr>
              <w:rPr>
                <w:rFonts w:ascii="宋体"/>
              </w:rPr>
            </w:pPr>
          </w:p>
        </w:tc>
        <w:tc>
          <w:tcPr>
            <w:tcW w:w="5" w:type="pct"/>
            <w:shd w:val="clear" w:color="auto" w:fill="auto"/>
          </w:tcPr>
          <w:p w14:paraId="00BAD465" w14:textId="77777777" w:rsidR="00871BDF" w:rsidRDefault="00871BDF">
            <w:pPr>
              <w:rPr>
                <w:rFonts w:ascii="宋体"/>
              </w:rPr>
            </w:pPr>
          </w:p>
        </w:tc>
        <w:tc>
          <w:tcPr>
            <w:tcW w:w="26" w:type="pct"/>
            <w:shd w:val="clear" w:color="auto" w:fill="auto"/>
          </w:tcPr>
          <w:p w14:paraId="00BAD466" w14:textId="77777777" w:rsidR="00871BDF" w:rsidRDefault="00871BDF">
            <w:pPr>
              <w:rPr>
                <w:rFonts w:ascii="宋体"/>
              </w:rPr>
            </w:pPr>
          </w:p>
        </w:tc>
        <w:tc>
          <w:tcPr>
            <w:tcW w:w="5" w:type="pct"/>
            <w:shd w:val="clear" w:color="auto" w:fill="auto"/>
          </w:tcPr>
          <w:p w14:paraId="00BAD467" w14:textId="77777777" w:rsidR="00871BDF" w:rsidRDefault="00871BDF">
            <w:pPr>
              <w:rPr>
                <w:rFonts w:ascii="宋体"/>
              </w:rPr>
            </w:pPr>
          </w:p>
        </w:tc>
        <w:tc>
          <w:tcPr>
            <w:tcW w:w="50" w:type="pct"/>
            <w:shd w:val="clear" w:color="auto" w:fill="auto"/>
          </w:tcPr>
          <w:p w14:paraId="00BAD468" w14:textId="77777777" w:rsidR="00871BDF" w:rsidRDefault="00871BDF">
            <w:pPr>
              <w:rPr>
                <w:rFonts w:ascii="宋体"/>
              </w:rPr>
            </w:pPr>
          </w:p>
        </w:tc>
        <w:tc>
          <w:tcPr>
            <w:tcW w:w="481" w:type="pct"/>
            <w:shd w:val="clear" w:color="auto" w:fill="auto"/>
          </w:tcPr>
          <w:p w14:paraId="00BAD469" w14:textId="77777777" w:rsidR="00871BDF" w:rsidRDefault="00871BDF">
            <w:pPr>
              <w:rPr>
                <w:rFonts w:ascii="宋体"/>
              </w:rPr>
            </w:pPr>
          </w:p>
        </w:tc>
        <w:tc>
          <w:tcPr>
            <w:tcW w:w="5" w:type="pct"/>
            <w:shd w:val="clear" w:color="auto" w:fill="auto"/>
          </w:tcPr>
          <w:p w14:paraId="00BAD46A" w14:textId="77777777" w:rsidR="00871BDF" w:rsidRDefault="00871BDF">
            <w:pPr>
              <w:rPr>
                <w:rFonts w:ascii="宋体"/>
              </w:rPr>
            </w:pPr>
          </w:p>
        </w:tc>
      </w:tr>
      <w:tr w:rsidR="00871BDF" w14:paraId="00BAD476" w14:textId="77777777">
        <w:trPr>
          <w:gridAfter w:val="30"/>
          <w:trHeight w:val="311"/>
          <w:jc w:val="center"/>
        </w:trPr>
        <w:tc>
          <w:tcPr>
            <w:tcW w:w="0" w:type="auto"/>
            <w:gridSpan w:val="3"/>
            <w:vMerge w:val="restart"/>
            <w:shd w:val="clear" w:color="auto" w:fill="auto"/>
            <w:tcMar>
              <w:top w:w="40" w:type="dxa"/>
              <w:left w:w="20" w:type="dxa"/>
              <w:bottom w:w="40" w:type="dxa"/>
              <w:right w:w="20" w:type="dxa"/>
            </w:tcMar>
            <w:vAlign w:val="bottom"/>
          </w:tcPr>
          <w:p w14:paraId="00BAD46C" w14:textId="77777777" w:rsidR="00871BDF" w:rsidRDefault="005C5088">
            <w:pPr>
              <w:textAlignment w:val="bottom"/>
            </w:pPr>
            <w:r>
              <w:rPr>
                <w:rFonts w:ascii="Times New Roman" w:eastAsia="宋体" w:hAnsi="Times New Roman"/>
                <w:b/>
                <w:bCs/>
                <w:color w:val="000000"/>
                <w:sz w:val="16"/>
                <w:szCs w:val="16"/>
                <w:u w:val="single"/>
              </w:rPr>
              <w:t>As of and for the Fiscal Year Ended</w:t>
            </w:r>
          </w:p>
        </w:tc>
        <w:tc>
          <w:tcPr>
            <w:tcW w:w="0" w:type="auto"/>
            <w:gridSpan w:val="3"/>
            <w:vMerge w:val="restart"/>
            <w:shd w:val="clear" w:color="auto" w:fill="00704A"/>
            <w:tcMar>
              <w:top w:w="40" w:type="dxa"/>
              <w:left w:w="20" w:type="dxa"/>
              <w:bottom w:w="40" w:type="dxa"/>
              <w:right w:w="20" w:type="dxa"/>
            </w:tcMar>
            <w:vAlign w:val="center"/>
          </w:tcPr>
          <w:p w14:paraId="00BAD46D" w14:textId="77777777" w:rsidR="00871BDF" w:rsidRDefault="005C5088">
            <w:pPr>
              <w:jc w:val="center"/>
              <w:textAlignment w:val="center"/>
            </w:pPr>
            <w:r>
              <w:rPr>
                <w:rFonts w:ascii="Times New Roman" w:eastAsia="宋体" w:hAnsi="Times New Roman"/>
                <w:b/>
                <w:bCs/>
                <w:color w:val="FFFFFF"/>
                <w:sz w:val="16"/>
                <w:szCs w:val="16"/>
              </w:rPr>
              <w:t xml:space="preserve">Sept 27, </w:t>
            </w:r>
            <w:r>
              <w:rPr>
                <w:rFonts w:ascii="Times New Roman" w:eastAsia="宋体" w:hAnsi="Times New Roman"/>
                <w:b/>
                <w:bCs/>
                <w:color w:val="FFFFFF"/>
                <w:sz w:val="16"/>
                <w:szCs w:val="16"/>
              </w:rPr>
              <w:br/>
              <w:t>2020</w:t>
            </w:r>
            <w:r>
              <w:rPr>
                <w:rFonts w:ascii="Times New Roman" w:eastAsia="宋体" w:hAnsi="Times New Roman"/>
                <w:b/>
                <w:bCs/>
                <w:color w:val="FFFFFF"/>
                <w:sz w:val="16"/>
                <w:szCs w:val="16"/>
              </w:rPr>
              <w:br/>
              <w:t>(52 Wks)</w:t>
            </w:r>
          </w:p>
        </w:tc>
        <w:tc>
          <w:tcPr>
            <w:tcW w:w="0" w:type="auto"/>
            <w:gridSpan w:val="3"/>
            <w:vMerge w:val="restart"/>
            <w:shd w:val="clear" w:color="auto" w:fill="auto"/>
            <w:tcMar>
              <w:top w:w="0" w:type="dxa"/>
              <w:left w:w="20" w:type="dxa"/>
              <w:bottom w:w="0" w:type="dxa"/>
              <w:right w:w="20" w:type="dxa"/>
            </w:tcMar>
          </w:tcPr>
          <w:p w14:paraId="00BAD46E"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center"/>
          </w:tcPr>
          <w:p w14:paraId="00BAD46F" w14:textId="77777777" w:rsidR="00871BDF" w:rsidRDefault="005C5088">
            <w:pPr>
              <w:jc w:val="center"/>
              <w:textAlignment w:val="center"/>
            </w:pPr>
            <w:r>
              <w:rPr>
                <w:rFonts w:ascii="Times New Roman" w:eastAsia="宋体" w:hAnsi="Times New Roman"/>
                <w:b/>
                <w:bCs/>
                <w:color w:val="FFFFFF"/>
                <w:sz w:val="16"/>
                <w:szCs w:val="16"/>
              </w:rPr>
              <w:t xml:space="preserve">Sept 29, </w:t>
            </w:r>
            <w:r>
              <w:rPr>
                <w:rFonts w:ascii="Times New Roman" w:eastAsia="宋体" w:hAnsi="Times New Roman"/>
                <w:b/>
                <w:bCs/>
                <w:color w:val="FFFFFF"/>
                <w:sz w:val="16"/>
                <w:szCs w:val="16"/>
              </w:rPr>
              <w:br/>
              <w:t>2019</w:t>
            </w:r>
            <w:r>
              <w:rPr>
                <w:rFonts w:ascii="Times New Roman" w:eastAsia="宋体" w:hAnsi="Times New Roman"/>
                <w:b/>
                <w:bCs/>
                <w:color w:val="FFFFFF"/>
                <w:sz w:val="16"/>
                <w:szCs w:val="16"/>
              </w:rPr>
              <w:br/>
              <w:t>(52 Wks)</w:t>
            </w:r>
          </w:p>
        </w:tc>
        <w:tc>
          <w:tcPr>
            <w:tcW w:w="0" w:type="auto"/>
            <w:gridSpan w:val="3"/>
            <w:vMerge w:val="restart"/>
            <w:shd w:val="clear" w:color="auto" w:fill="auto"/>
            <w:tcMar>
              <w:top w:w="0" w:type="dxa"/>
              <w:left w:w="20" w:type="dxa"/>
              <w:bottom w:w="0" w:type="dxa"/>
              <w:right w:w="20" w:type="dxa"/>
            </w:tcMar>
          </w:tcPr>
          <w:p w14:paraId="00BAD470"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center"/>
          </w:tcPr>
          <w:p w14:paraId="00BAD471" w14:textId="77777777" w:rsidR="00871BDF" w:rsidRDefault="005C5088">
            <w:pPr>
              <w:jc w:val="center"/>
              <w:textAlignment w:val="center"/>
            </w:pPr>
            <w:r>
              <w:rPr>
                <w:rFonts w:ascii="Times New Roman" w:eastAsia="宋体" w:hAnsi="Times New Roman"/>
                <w:b/>
                <w:bCs/>
                <w:color w:val="FFFFFF"/>
                <w:sz w:val="16"/>
                <w:szCs w:val="16"/>
              </w:rPr>
              <w:t xml:space="preserve">Sept 30, </w:t>
            </w:r>
            <w:r>
              <w:rPr>
                <w:rFonts w:ascii="Times New Roman" w:eastAsia="宋体" w:hAnsi="Times New Roman"/>
                <w:b/>
                <w:bCs/>
                <w:color w:val="FFFFFF"/>
                <w:sz w:val="16"/>
                <w:szCs w:val="16"/>
              </w:rPr>
              <w:br/>
              <w:t>2018</w:t>
            </w:r>
            <w:r>
              <w:rPr>
                <w:rFonts w:ascii="Times New Roman" w:eastAsia="宋体" w:hAnsi="Times New Roman"/>
                <w:b/>
                <w:bCs/>
                <w:color w:val="FFFFFF"/>
                <w:sz w:val="16"/>
                <w:szCs w:val="16"/>
              </w:rPr>
              <w:br/>
              <w:t>(52 Wks)</w:t>
            </w:r>
          </w:p>
        </w:tc>
        <w:tc>
          <w:tcPr>
            <w:tcW w:w="0" w:type="auto"/>
            <w:gridSpan w:val="3"/>
            <w:vMerge w:val="restart"/>
            <w:shd w:val="clear" w:color="auto" w:fill="auto"/>
            <w:tcMar>
              <w:top w:w="0" w:type="dxa"/>
              <w:left w:w="20" w:type="dxa"/>
              <w:bottom w:w="0" w:type="dxa"/>
              <w:right w:w="20" w:type="dxa"/>
            </w:tcMar>
          </w:tcPr>
          <w:p w14:paraId="00BAD472"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center"/>
          </w:tcPr>
          <w:p w14:paraId="00BAD473" w14:textId="77777777" w:rsidR="00871BDF" w:rsidRDefault="005C5088">
            <w:pPr>
              <w:jc w:val="center"/>
              <w:textAlignment w:val="center"/>
            </w:pPr>
            <w:r>
              <w:rPr>
                <w:rFonts w:ascii="Times New Roman" w:eastAsia="宋体" w:hAnsi="Times New Roman"/>
                <w:b/>
                <w:bCs/>
                <w:color w:val="FFFFFF"/>
                <w:sz w:val="16"/>
                <w:szCs w:val="16"/>
              </w:rPr>
              <w:t>Oct 1,</w:t>
            </w:r>
            <w:r>
              <w:rPr>
                <w:rFonts w:ascii="Times New Roman" w:eastAsia="宋体" w:hAnsi="Times New Roman"/>
                <w:b/>
                <w:bCs/>
                <w:color w:val="FFFFFF"/>
                <w:sz w:val="16"/>
                <w:szCs w:val="16"/>
              </w:rPr>
              <w:br/>
              <w:t>2017</w:t>
            </w:r>
            <w:r>
              <w:rPr>
                <w:rFonts w:ascii="Times New Roman" w:eastAsia="宋体" w:hAnsi="Times New Roman"/>
                <w:b/>
                <w:bCs/>
                <w:color w:val="FFFFFF"/>
                <w:sz w:val="16"/>
                <w:szCs w:val="16"/>
              </w:rPr>
              <w:br/>
              <w:t>(52 Wks)</w:t>
            </w:r>
          </w:p>
        </w:tc>
        <w:tc>
          <w:tcPr>
            <w:tcW w:w="0" w:type="auto"/>
            <w:gridSpan w:val="3"/>
            <w:vMerge w:val="restart"/>
            <w:shd w:val="clear" w:color="auto" w:fill="auto"/>
            <w:tcMar>
              <w:top w:w="0" w:type="dxa"/>
              <w:left w:w="20" w:type="dxa"/>
              <w:bottom w:w="0" w:type="dxa"/>
              <w:right w:w="20" w:type="dxa"/>
            </w:tcMar>
          </w:tcPr>
          <w:p w14:paraId="00BAD474"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center"/>
          </w:tcPr>
          <w:p w14:paraId="00BAD475" w14:textId="77777777" w:rsidR="00871BDF" w:rsidRDefault="005C5088">
            <w:pPr>
              <w:jc w:val="center"/>
              <w:textAlignment w:val="center"/>
            </w:pPr>
            <w:r>
              <w:rPr>
                <w:rFonts w:ascii="Times New Roman" w:eastAsia="宋体" w:hAnsi="Times New Roman"/>
                <w:b/>
                <w:bCs/>
                <w:color w:val="FFFFFF"/>
                <w:sz w:val="16"/>
                <w:szCs w:val="16"/>
              </w:rPr>
              <w:t>Oct 2,</w:t>
            </w:r>
            <w:r>
              <w:rPr>
                <w:rFonts w:ascii="Times New Roman" w:eastAsia="宋体" w:hAnsi="Times New Roman"/>
                <w:b/>
                <w:bCs/>
                <w:color w:val="FFFFFF"/>
                <w:sz w:val="16"/>
                <w:szCs w:val="16"/>
              </w:rPr>
              <w:br/>
              <w:t>2016</w:t>
            </w:r>
            <w:r>
              <w:rPr>
                <w:rFonts w:ascii="Times New Roman" w:eastAsia="宋体" w:hAnsi="Times New Roman"/>
                <w:b/>
                <w:bCs/>
                <w:color w:val="FFFFFF"/>
                <w:sz w:val="16"/>
                <w:szCs w:val="16"/>
              </w:rPr>
              <w:br/>
              <w:t>(53 Wks)</w:t>
            </w:r>
          </w:p>
        </w:tc>
      </w:tr>
      <w:tr w:rsidR="00871BDF" w14:paraId="00BAD482" w14:textId="77777777">
        <w:trPr>
          <w:trHeight w:val="240"/>
          <w:jc w:val="center"/>
        </w:trPr>
        <w:tc>
          <w:tcPr>
            <w:tcW w:w="0" w:type="auto"/>
            <w:gridSpan w:val="3"/>
            <w:vMerge/>
            <w:shd w:val="clear" w:color="auto" w:fill="auto"/>
            <w:tcMar>
              <w:top w:w="40" w:type="dxa"/>
              <w:left w:w="20" w:type="dxa"/>
              <w:bottom w:w="40" w:type="dxa"/>
              <w:right w:w="20" w:type="dxa"/>
            </w:tcMar>
            <w:vAlign w:val="bottom"/>
          </w:tcPr>
          <w:p w14:paraId="00BAD477"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D478"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D479"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D47A"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D47B"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D47C"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D47D"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D47E"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D47F"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center"/>
          </w:tcPr>
          <w:p w14:paraId="00BAD480" w14:textId="77777777" w:rsidR="00871BDF" w:rsidRDefault="00871BDF">
            <w:pPr>
              <w:jc w:val="center"/>
              <w:rPr>
                <w:rFonts w:ascii="宋体"/>
              </w:rPr>
            </w:pPr>
          </w:p>
        </w:tc>
        <w:tc>
          <w:tcPr>
            <w:tcW w:w="0" w:type="auto"/>
            <w:gridSpan w:val="30"/>
            <w:shd w:val="clear" w:color="auto" w:fill="auto"/>
          </w:tcPr>
          <w:p w14:paraId="00BAD481" w14:textId="77777777" w:rsidR="00871BDF" w:rsidRDefault="00871BDF">
            <w:pPr>
              <w:rPr>
                <w:rFonts w:ascii="宋体"/>
                <w:vanish/>
              </w:rPr>
            </w:pPr>
          </w:p>
        </w:tc>
      </w:tr>
      <w:tr w:rsidR="00871BDF" w14:paraId="00BAD4AB" w14:textId="77777777">
        <w:trPr>
          <w:jc w:val="center"/>
        </w:trPr>
        <w:tc>
          <w:tcPr>
            <w:tcW w:w="0" w:type="auto"/>
            <w:gridSpan w:val="3"/>
            <w:shd w:val="clear" w:color="auto" w:fill="D7E4BC"/>
            <w:tcMar>
              <w:top w:w="40" w:type="dxa"/>
              <w:left w:w="20" w:type="dxa"/>
              <w:bottom w:w="40" w:type="dxa"/>
              <w:right w:w="20" w:type="dxa"/>
            </w:tcMar>
            <w:vAlign w:val="bottom"/>
          </w:tcPr>
          <w:p w14:paraId="00BAD483" w14:textId="77777777" w:rsidR="00871BDF" w:rsidRDefault="005C5088">
            <w:pPr>
              <w:textAlignment w:val="bottom"/>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stores opened/(closed) and transferred during the year:</w:t>
            </w:r>
          </w:p>
        </w:tc>
        <w:tc>
          <w:tcPr>
            <w:tcW w:w="0" w:type="auto"/>
            <w:gridSpan w:val="3"/>
            <w:tcBorders>
              <w:top w:val="single" w:sz="8" w:space="0" w:color="000000"/>
            </w:tcBorders>
            <w:shd w:val="clear" w:color="auto" w:fill="D7E4BC"/>
            <w:tcMar>
              <w:top w:w="0" w:type="dxa"/>
              <w:left w:w="20" w:type="dxa"/>
              <w:bottom w:w="0" w:type="dxa"/>
              <w:right w:w="20" w:type="dxa"/>
            </w:tcMar>
          </w:tcPr>
          <w:p w14:paraId="00BAD48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48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48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48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48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489"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48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48B"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48C" w14:textId="77777777" w:rsidR="00871BDF" w:rsidRDefault="00871BDF">
            <w:pPr>
              <w:rPr>
                <w:rFonts w:ascii="宋体"/>
              </w:rPr>
            </w:pPr>
          </w:p>
        </w:tc>
        <w:tc>
          <w:tcPr>
            <w:tcW w:w="0" w:type="auto"/>
            <w:shd w:val="clear" w:color="auto" w:fill="auto"/>
          </w:tcPr>
          <w:p w14:paraId="00BAD48D" w14:textId="77777777" w:rsidR="00871BDF" w:rsidRDefault="00871BDF">
            <w:pPr>
              <w:rPr>
                <w:rFonts w:ascii="宋体"/>
              </w:rPr>
            </w:pPr>
          </w:p>
        </w:tc>
        <w:tc>
          <w:tcPr>
            <w:tcW w:w="0" w:type="auto"/>
            <w:shd w:val="clear" w:color="auto" w:fill="auto"/>
          </w:tcPr>
          <w:p w14:paraId="00BAD48E" w14:textId="77777777" w:rsidR="00871BDF" w:rsidRDefault="00871BDF">
            <w:pPr>
              <w:rPr>
                <w:rFonts w:ascii="宋体"/>
              </w:rPr>
            </w:pPr>
          </w:p>
        </w:tc>
        <w:tc>
          <w:tcPr>
            <w:tcW w:w="0" w:type="auto"/>
            <w:shd w:val="clear" w:color="auto" w:fill="auto"/>
          </w:tcPr>
          <w:p w14:paraId="00BAD48F" w14:textId="77777777" w:rsidR="00871BDF" w:rsidRDefault="00871BDF">
            <w:pPr>
              <w:rPr>
                <w:rFonts w:ascii="宋体"/>
              </w:rPr>
            </w:pPr>
          </w:p>
        </w:tc>
        <w:tc>
          <w:tcPr>
            <w:tcW w:w="0" w:type="auto"/>
            <w:shd w:val="clear" w:color="auto" w:fill="auto"/>
          </w:tcPr>
          <w:p w14:paraId="00BAD490" w14:textId="77777777" w:rsidR="00871BDF" w:rsidRDefault="00871BDF">
            <w:pPr>
              <w:rPr>
                <w:rFonts w:ascii="宋体"/>
              </w:rPr>
            </w:pPr>
          </w:p>
        </w:tc>
        <w:tc>
          <w:tcPr>
            <w:tcW w:w="0" w:type="auto"/>
            <w:shd w:val="clear" w:color="auto" w:fill="auto"/>
          </w:tcPr>
          <w:p w14:paraId="00BAD491" w14:textId="77777777" w:rsidR="00871BDF" w:rsidRDefault="00871BDF">
            <w:pPr>
              <w:rPr>
                <w:rFonts w:ascii="宋体"/>
              </w:rPr>
            </w:pPr>
          </w:p>
        </w:tc>
        <w:tc>
          <w:tcPr>
            <w:tcW w:w="0" w:type="auto"/>
            <w:shd w:val="clear" w:color="auto" w:fill="auto"/>
          </w:tcPr>
          <w:p w14:paraId="00BAD492" w14:textId="77777777" w:rsidR="00871BDF" w:rsidRDefault="00871BDF">
            <w:pPr>
              <w:rPr>
                <w:rFonts w:ascii="宋体"/>
              </w:rPr>
            </w:pPr>
          </w:p>
        </w:tc>
        <w:tc>
          <w:tcPr>
            <w:tcW w:w="0" w:type="auto"/>
            <w:shd w:val="clear" w:color="auto" w:fill="auto"/>
          </w:tcPr>
          <w:p w14:paraId="00BAD493" w14:textId="77777777" w:rsidR="00871BDF" w:rsidRDefault="00871BDF">
            <w:pPr>
              <w:rPr>
                <w:rFonts w:ascii="宋体"/>
              </w:rPr>
            </w:pPr>
          </w:p>
        </w:tc>
        <w:tc>
          <w:tcPr>
            <w:tcW w:w="0" w:type="auto"/>
            <w:shd w:val="clear" w:color="auto" w:fill="auto"/>
          </w:tcPr>
          <w:p w14:paraId="00BAD494" w14:textId="77777777" w:rsidR="00871BDF" w:rsidRDefault="00871BDF">
            <w:pPr>
              <w:rPr>
                <w:rFonts w:ascii="宋体"/>
              </w:rPr>
            </w:pPr>
          </w:p>
        </w:tc>
        <w:tc>
          <w:tcPr>
            <w:tcW w:w="0" w:type="auto"/>
            <w:shd w:val="clear" w:color="auto" w:fill="auto"/>
          </w:tcPr>
          <w:p w14:paraId="00BAD495" w14:textId="77777777" w:rsidR="00871BDF" w:rsidRDefault="00871BDF">
            <w:pPr>
              <w:rPr>
                <w:rFonts w:ascii="宋体"/>
              </w:rPr>
            </w:pPr>
          </w:p>
        </w:tc>
        <w:tc>
          <w:tcPr>
            <w:tcW w:w="0" w:type="auto"/>
            <w:shd w:val="clear" w:color="auto" w:fill="auto"/>
          </w:tcPr>
          <w:p w14:paraId="00BAD496" w14:textId="77777777" w:rsidR="00871BDF" w:rsidRDefault="00871BDF">
            <w:pPr>
              <w:rPr>
                <w:rFonts w:ascii="宋体"/>
              </w:rPr>
            </w:pPr>
          </w:p>
        </w:tc>
        <w:tc>
          <w:tcPr>
            <w:tcW w:w="0" w:type="auto"/>
            <w:shd w:val="clear" w:color="auto" w:fill="auto"/>
          </w:tcPr>
          <w:p w14:paraId="00BAD497" w14:textId="77777777" w:rsidR="00871BDF" w:rsidRDefault="00871BDF">
            <w:pPr>
              <w:rPr>
                <w:rFonts w:ascii="宋体"/>
              </w:rPr>
            </w:pPr>
          </w:p>
        </w:tc>
        <w:tc>
          <w:tcPr>
            <w:tcW w:w="0" w:type="auto"/>
            <w:shd w:val="clear" w:color="auto" w:fill="auto"/>
          </w:tcPr>
          <w:p w14:paraId="00BAD498" w14:textId="77777777" w:rsidR="00871BDF" w:rsidRDefault="00871BDF">
            <w:pPr>
              <w:rPr>
                <w:rFonts w:ascii="宋体"/>
              </w:rPr>
            </w:pPr>
          </w:p>
        </w:tc>
        <w:tc>
          <w:tcPr>
            <w:tcW w:w="0" w:type="auto"/>
            <w:shd w:val="clear" w:color="auto" w:fill="auto"/>
          </w:tcPr>
          <w:p w14:paraId="00BAD499" w14:textId="77777777" w:rsidR="00871BDF" w:rsidRDefault="00871BDF">
            <w:pPr>
              <w:rPr>
                <w:rFonts w:ascii="宋体"/>
              </w:rPr>
            </w:pPr>
          </w:p>
        </w:tc>
        <w:tc>
          <w:tcPr>
            <w:tcW w:w="0" w:type="auto"/>
            <w:shd w:val="clear" w:color="auto" w:fill="auto"/>
          </w:tcPr>
          <w:p w14:paraId="00BAD49A" w14:textId="77777777" w:rsidR="00871BDF" w:rsidRDefault="00871BDF">
            <w:pPr>
              <w:rPr>
                <w:rFonts w:ascii="宋体"/>
              </w:rPr>
            </w:pPr>
          </w:p>
        </w:tc>
        <w:tc>
          <w:tcPr>
            <w:tcW w:w="0" w:type="auto"/>
            <w:shd w:val="clear" w:color="auto" w:fill="auto"/>
          </w:tcPr>
          <w:p w14:paraId="00BAD49B" w14:textId="77777777" w:rsidR="00871BDF" w:rsidRDefault="00871BDF">
            <w:pPr>
              <w:rPr>
                <w:rFonts w:ascii="宋体"/>
              </w:rPr>
            </w:pPr>
          </w:p>
        </w:tc>
        <w:tc>
          <w:tcPr>
            <w:tcW w:w="0" w:type="auto"/>
            <w:shd w:val="clear" w:color="auto" w:fill="auto"/>
          </w:tcPr>
          <w:p w14:paraId="00BAD49C" w14:textId="77777777" w:rsidR="00871BDF" w:rsidRDefault="00871BDF">
            <w:pPr>
              <w:rPr>
                <w:rFonts w:ascii="宋体"/>
              </w:rPr>
            </w:pPr>
          </w:p>
        </w:tc>
        <w:tc>
          <w:tcPr>
            <w:tcW w:w="0" w:type="auto"/>
            <w:shd w:val="clear" w:color="auto" w:fill="auto"/>
          </w:tcPr>
          <w:p w14:paraId="00BAD49D" w14:textId="77777777" w:rsidR="00871BDF" w:rsidRDefault="00871BDF">
            <w:pPr>
              <w:rPr>
                <w:rFonts w:ascii="宋体"/>
              </w:rPr>
            </w:pPr>
          </w:p>
        </w:tc>
        <w:tc>
          <w:tcPr>
            <w:tcW w:w="0" w:type="auto"/>
            <w:shd w:val="clear" w:color="auto" w:fill="auto"/>
          </w:tcPr>
          <w:p w14:paraId="00BAD49E" w14:textId="77777777" w:rsidR="00871BDF" w:rsidRDefault="00871BDF">
            <w:pPr>
              <w:rPr>
                <w:rFonts w:ascii="宋体"/>
              </w:rPr>
            </w:pPr>
          </w:p>
        </w:tc>
        <w:tc>
          <w:tcPr>
            <w:tcW w:w="0" w:type="auto"/>
            <w:shd w:val="clear" w:color="auto" w:fill="auto"/>
          </w:tcPr>
          <w:p w14:paraId="00BAD49F" w14:textId="77777777" w:rsidR="00871BDF" w:rsidRDefault="00871BDF">
            <w:pPr>
              <w:rPr>
                <w:rFonts w:ascii="宋体"/>
              </w:rPr>
            </w:pPr>
          </w:p>
        </w:tc>
        <w:tc>
          <w:tcPr>
            <w:tcW w:w="0" w:type="auto"/>
            <w:shd w:val="clear" w:color="auto" w:fill="auto"/>
          </w:tcPr>
          <w:p w14:paraId="00BAD4A0" w14:textId="77777777" w:rsidR="00871BDF" w:rsidRDefault="00871BDF">
            <w:pPr>
              <w:rPr>
                <w:rFonts w:ascii="宋体"/>
              </w:rPr>
            </w:pPr>
          </w:p>
        </w:tc>
        <w:tc>
          <w:tcPr>
            <w:tcW w:w="0" w:type="auto"/>
            <w:shd w:val="clear" w:color="auto" w:fill="auto"/>
          </w:tcPr>
          <w:p w14:paraId="00BAD4A1" w14:textId="77777777" w:rsidR="00871BDF" w:rsidRDefault="00871BDF">
            <w:pPr>
              <w:rPr>
                <w:rFonts w:ascii="宋体"/>
              </w:rPr>
            </w:pPr>
          </w:p>
        </w:tc>
        <w:tc>
          <w:tcPr>
            <w:tcW w:w="0" w:type="auto"/>
            <w:shd w:val="clear" w:color="auto" w:fill="auto"/>
          </w:tcPr>
          <w:p w14:paraId="00BAD4A2" w14:textId="77777777" w:rsidR="00871BDF" w:rsidRDefault="00871BDF">
            <w:pPr>
              <w:rPr>
                <w:rFonts w:ascii="宋体"/>
              </w:rPr>
            </w:pPr>
          </w:p>
        </w:tc>
        <w:tc>
          <w:tcPr>
            <w:tcW w:w="0" w:type="auto"/>
            <w:shd w:val="clear" w:color="auto" w:fill="auto"/>
          </w:tcPr>
          <w:p w14:paraId="00BAD4A3" w14:textId="77777777" w:rsidR="00871BDF" w:rsidRDefault="00871BDF">
            <w:pPr>
              <w:rPr>
                <w:rFonts w:ascii="宋体"/>
              </w:rPr>
            </w:pPr>
          </w:p>
        </w:tc>
        <w:tc>
          <w:tcPr>
            <w:tcW w:w="0" w:type="auto"/>
            <w:shd w:val="clear" w:color="auto" w:fill="auto"/>
          </w:tcPr>
          <w:p w14:paraId="00BAD4A4" w14:textId="77777777" w:rsidR="00871BDF" w:rsidRDefault="00871BDF">
            <w:pPr>
              <w:rPr>
                <w:rFonts w:ascii="宋体"/>
              </w:rPr>
            </w:pPr>
          </w:p>
        </w:tc>
        <w:tc>
          <w:tcPr>
            <w:tcW w:w="0" w:type="auto"/>
            <w:shd w:val="clear" w:color="auto" w:fill="auto"/>
          </w:tcPr>
          <w:p w14:paraId="00BAD4A5" w14:textId="77777777" w:rsidR="00871BDF" w:rsidRDefault="00871BDF">
            <w:pPr>
              <w:rPr>
                <w:rFonts w:ascii="宋体"/>
              </w:rPr>
            </w:pPr>
          </w:p>
        </w:tc>
        <w:tc>
          <w:tcPr>
            <w:tcW w:w="0" w:type="auto"/>
            <w:shd w:val="clear" w:color="auto" w:fill="auto"/>
          </w:tcPr>
          <w:p w14:paraId="00BAD4A6" w14:textId="77777777" w:rsidR="00871BDF" w:rsidRDefault="00871BDF">
            <w:pPr>
              <w:rPr>
                <w:rFonts w:ascii="宋体"/>
              </w:rPr>
            </w:pPr>
          </w:p>
        </w:tc>
        <w:tc>
          <w:tcPr>
            <w:tcW w:w="0" w:type="auto"/>
            <w:shd w:val="clear" w:color="auto" w:fill="auto"/>
          </w:tcPr>
          <w:p w14:paraId="00BAD4A7" w14:textId="77777777" w:rsidR="00871BDF" w:rsidRDefault="00871BDF">
            <w:pPr>
              <w:rPr>
                <w:rFonts w:ascii="宋体"/>
              </w:rPr>
            </w:pPr>
          </w:p>
        </w:tc>
        <w:tc>
          <w:tcPr>
            <w:tcW w:w="0" w:type="auto"/>
            <w:shd w:val="clear" w:color="auto" w:fill="auto"/>
          </w:tcPr>
          <w:p w14:paraId="00BAD4A8" w14:textId="77777777" w:rsidR="00871BDF" w:rsidRDefault="00871BDF">
            <w:pPr>
              <w:rPr>
                <w:rFonts w:ascii="宋体"/>
              </w:rPr>
            </w:pPr>
          </w:p>
        </w:tc>
        <w:tc>
          <w:tcPr>
            <w:tcW w:w="0" w:type="auto"/>
            <w:shd w:val="clear" w:color="auto" w:fill="auto"/>
          </w:tcPr>
          <w:p w14:paraId="00BAD4A9" w14:textId="77777777" w:rsidR="00871BDF" w:rsidRDefault="00871BDF">
            <w:pPr>
              <w:rPr>
                <w:rFonts w:ascii="宋体"/>
              </w:rPr>
            </w:pPr>
          </w:p>
        </w:tc>
        <w:tc>
          <w:tcPr>
            <w:tcW w:w="0" w:type="auto"/>
            <w:shd w:val="clear" w:color="auto" w:fill="auto"/>
          </w:tcPr>
          <w:p w14:paraId="00BAD4AA" w14:textId="77777777" w:rsidR="00871BDF" w:rsidRDefault="00871BDF">
            <w:pPr>
              <w:rPr>
                <w:rFonts w:ascii="宋体"/>
              </w:rPr>
            </w:pPr>
          </w:p>
        </w:tc>
      </w:tr>
      <w:tr w:rsidR="00871BDF" w14:paraId="00BAD4D4" w14:textId="77777777">
        <w:trPr>
          <w:jc w:val="center"/>
        </w:trPr>
        <w:tc>
          <w:tcPr>
            <w:tcW w:w="0" w:type="auto"/>
            <w:gridSpan w:val="3"/>
            <w:shd w:val="clear" w:color="auto" w:fill="FFFFFF"/>
            <w:tcMar>
              <w:top w:w="40" w:type="dxa"/>
              <w:left w:w="20" w:type="dxa"/>
              <w:bottom w:w="40" w:type="dxa"/>
              <w:right w:w="20" w:type="dxa"/>
            </w:tcMar>
            <w:vAlign w:val="bottom"/>
          </w:tcPr>
          <w:p w14:paraId="00BAD4AC" w14:textId="77777777" w:rsidR="00871BDF" w:rsidRDefault="005C5088">
            <w:pPr>
              <w:textAlignment w:val="bottom"/>
            </w:pPr>
            <w:r>
              <w:rPr>
                <w:rFonts w:ascii="Times New Roman" w:eastAsia="宋体" w:hAnsi="Times New Roman"/>
                <w:color w:val="000000"/>
                <w:sz w:val="20"/>
                <w:szCs w:val="20"/>
              </w:rPr>
              <w:t>Americas</w:t>
            </w:r>
            <w:r>
              <w:rPr>
                <w:rFonts w:ascii="Times New Roman" w:eastAsia="宋体" w:hAnsi="Times New Roman"/>
                <w:color w:val="000000"/>
                <w:sz w:val="13"/>
                <w:szCs w:val="13"/>
              </w:rPr>
              <w:t>(1)</w:t>
            </w:r>
          </w:p>
        </w:tc>
        <w:tc>
          <w:tcPr>
            <w:tcW w:w="0" w:type="auto"/>
            <w:gridSpan w:val="3"/>
            <w:shd w:val="clear" w:color="auto" w:fill="FFFFFF"/>
            <w:tcMar>
              <w:top w:w="0" w:type="dxa"/>
              <w:left w:w="20" w:type="dxa"/>
              <w:bottom w:w="0" w:type="dxa"/>
              <w:right w:w="20" w:type="dxa"/>
            </w:tcMar>
          </w:tcPr>
          <w:p w14:paraId="00BAD4A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4A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4A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4B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4B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4B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4B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4B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4B5" w14:textId="77777777" w:rsidR="00871BDF" w:rsidRDefault="00871BDF">
            <w:pPr>
              <w:rPr>
                <w:rFonts w:ascii="宋体"/>
              </w:rPr>
            </w:pPr>
          </w:p>
        </w:tc>
        <w:tc>
          <w:tcPr>
            <w:tcW w:w="0" w:type="auto"/>
            <w:shd w:val="clear" w:color="auto" w:fill="auto"/>
          </w:tcPr>
          <w:p w14:paraId="00BAD4B6" w14:textId="77777777" w:rsidR="00871BDF" w:rsidRDefault="00871BDF">
            <w:pPr>
              <w:rPr>
                <w:rFonts w:ascii="宋体"/>
              </w:rPr>
            </w:pPr>
          </w:p>
        </w:tc>
        <w:tc>
          <w:tcPr>
            <w:tcW w:w="0" w:type="auto"/>
            <w:shd w:val="clear" w:color="auto" w:fill="auto"/>
          </w:tcPr>
          <w:p w14:paraId="00BAD4B7" w14:textId="77777777" w:rsidR="00871BDF" w:rsidRDefault="00871BDF">
            <w:pPr>
              <w:rPr>
                <w:rFonts w:ascii="宋体"/>
              </w:rPr>
            </w:pPr>
          </w:p>
        </w:tc>
        <w:tc>
          <w:tcPr>
            <w:tcW w:w="0" w:type="auto"/>
            <w:shd w:val="clear" w:color="auto" w:fill="auto"/>
          </w:tcPr>
          <w:p w14:paraId="00BAD4B8" w14:textId="77777777" w:rsidR="00871BDF" w:rsidRDefault="00871BDF">
            <w:pPr>
              <w:rPr>
                <w:rFonts w:ascii="宋体"/>
              </w:rPr>
            </w:pPr>
          </w:p>
        </w:tc>
        <w:tc>
          <w:tcPr>
            <w:tcW w:w="0" w:type="auto"/>
            <w:shd w:val="clear" w:color="auto" w:fill="auto"/>
          </w:tcPr>
          <w:p w14:paraId="00BAD4B9" w14:textId="77777777" w:rsidR="00871BDF" w:rsidRDefault="00871BDF">
            <w:pPr>
              <w:rPr>
                <w:rFonts w:ascii="宋体"/>
              </w:rPr>
            </w:pPr>
          </w:p>
        </w:tc>
        <w:tc>
          <w:tcPr>
            <w:tcW w:w="0" w:type="auto"/>
            <w:shd w:val="clear" w:color="auto" w:fill="auto"/>
          </w:tcPr>
          <w:p w14:paraId="00BAD4BA" w14:textId="77777777" w:rsidR="00871BDF" w:rsidRDefault="00871BDF">
            <w:pPr>
              <w:rPr>
                <w:rFonts w:ascii="宋体"/>
              </w:rPr>
            </w:pPr>
          </w:p>
        </w:tc>
        <w:tc>
          <w:tcPr>
            <w:tcW w:w="0" w:type="auto"/>
            <w:shd w:val="clear" w:color="auto" w:fill="auto"/>
          </w:tcPr>
          <w:p w14:paraId="00BAD4BB" w14:textId="77777777" w:rsidR="00871BDF" w:rsidRDefault="00871BDF">
            <w:pPr>
              <w:rPr>
                <w:rFonts w:ascii="宋体"/>
              </w:rPr>
            </w:pPr>
          </w:p>
        </w:tc>
        <w:tc>
          <w:tcPr>
            <w:tcW w:w="0" w:type="auto"/>
            <w:shd w:val="clear" w:color="auto" w:fill="auto"/>
          </w:tcPr>
          <w:p w14:paraId="00BAD4BC" w14:textId="77777777" w:rsidR="00871BDF" w:rsidRDefault="00871BDF">
            <w:pPr>
              <w:rPr>
                <w:rFonts w:ascii="宋体"/>
              </w:rPr>
            </w:pPr>
          </w:p>
        </w:tc>
        <w:tc>
          <w:tcPr>
            <w:tcW w:w="0" w:type="auto"/>
            <w:shd w:val="clear" w:color="auto" w:fill="auto"/>
          </w:tcPr>
          <w:p w14:paraId="00BAD4BD" w14:textId="77777777" w:rsidR="00871BDF" w:rsidRDefault="00871BDF">
            <w:pPr>
              <w:rPr>
                <w:rFonts w:ascii="宋体"/>
              </w:rPr>
            </w:pPr>
          </w:p>
        </w:tc>
        <w:tc>
          <w:tcPr>
            <w:tcW w:w="0" w:type="auto"/>
            <w:shd w:val="clear" w:color="auto" w:fill="auto"/>
          </w:tcPr>
          <w:p w14:paraId="00BAD4BE" w14:textId="77777777" w:rsidR="00871BDF" w:rsidRDefault="00871BDF">
            <w:pPr>
              <w:rPr>
                <w:rFonts w:ascii="宋体"/>
              </w:rPr>
            </w:pPr>
          </w:p>
        </w:tc>
        <w:tc>
          <w:tcPr>
            <w:tcW w:w="0" w:type="auto"/>
            <w:shd w:val="clear" w:color="auto" w:fill="auto"/>
          </w:tcPr>
          <w:p w14:paraId="00BAD4BF" w14:textId="77777777" w:rsidR="00871BDF" w:rsidRDefault="00871BDF">
            <w:pPr>
              <w:rPr>
                <w:rFonts w:ascii="宋体"/>
              </w:rPr>
            </w:pPr>
          </w:p>
        </w:tc>
        <w:tc>
          <w:tcPr>
            <w:tcW w:w="0" w:type="auto"/>
            <w:shd w:val="clear" w:color="auto" w:fill="auto"/>
          </w:tcPr>
          <w:p w14:paraId="00BAD4C0" w14:textId="77777777" w:rsidR="00871BDF" w:rsidRDefault="00871BDF">
            <w:pPr>
              <w:rPr>
                <w:rFonts w:ascii="宋体"/>
              </w:rPr>
            </w:pPr>
          </w:p>
        </w:tc>
        <w:tc>
          <w:tcPr>
            <w:tcW w:w="0" w:type="auto"/>
            <w:shd w:val="clear" w:color="auto" w:fill="auto"/>
          </w:tcPr>
          <w:p w14:paraId="00BAD4C1" w14:textId="77777777" w:rsidR="00871BDF" w:rsidRDefault="00871BDF">
            <w:pPr>
              <w:rPr>
                <w:rFonts w:ascii="宋体"/>
              </w:rPr>
            </w:pPr>
          </w:p>
        </w:tc>
        <w:tc>
          <w:tcPr>
            <w:tcW w:w="0" w:type="auto"/>
            <w:shd w:val="clear" w:color="auto" w:fill="auto"/>
          </w:tcPr>
          <w:p w14:paraId="00BAD4C2" w14:textId="77777777" w:rsidR="00871BDF" w:rsidRDefault="00871BDF">
            <w:pPr>
              <w:rPr>
                <w:rFonts w:ascii="宋体"/>
              </w:rPr>
            </w:pPr>
          </w:p>
        </w:tc>
        <w:tc>
          <w:tcPr>
            <w:tcW w:w="0" w:type="auto"/>
            <w:shd w:val="clear" w:color="auto" w:fill="auto"/>
          </w:tcPr>
          <w:p w14:paraId="00BAD4C3" w14:textId="77777777" w:rsidR="00871BDF" w:rsidRDefault="00871BDF">
            <w:pPr>
              <w:rPr>
                <w:rFonts w:ascii="宋体"/>
              </w:rPr>
            </w:pPr>
          </w:p>
        </w:tc>
        <w:tc>
          <w:tcPr>
            <w:tcW w:w="0" w:type="auto"/>
            <w:shd w:val="clear" w:color="auto" w:fill="auto"/>
          </w:tcPr>
          <w:p w14:paraId="00BAD4C4" w14:textId="77777777" w:rsidR="00871BDF" w:rsidRDefault="00871BDF">
            <w:pPr>
              <w:rPr>
                <w:rFonts w:ascii="宋体"/>
              </w:rPr>
            </w:pPr>
          </w:p>
        </w:tc>
        <w:tc>
          <w:tcPr>
            <w:tcW w:w="0" w:type="auto"/>
            <w:shd w:val="clear" w:color="auto" w:fill="auto"/>
          </w:tcPr>
          <w:p w14:paraId="00BAD4C5" w14:textId="77777777" w:rsidR="00871BDF" w:rsidRDefault="00871BDF">
            <w:pPr>
              <w:rPr>
                <w:rFonts w:ascii="宋体"/>
              </w:rPr>
            </w:pPr>
          </w:p>
        </w:tc>
        <w:tc>
          <w:tcPr>
            <w:tcW w:w="0" w:type="auto"/>
            <w:shd w:val="clear" w:color="auto" w:fill="auto"/>
          </w:tcPr>
          <w:p w14:paraId="00BAD4C6" w14:textId="77777777" w:rsidR="00871BDF" w:rsidRDefault="00871BDF">
            <w:pPr>
              <w:rPr>
                <w:rFonts w:ascii="宋体"/>
              </w:rPr>
            </w:pPr>
          </w:p>
        </w:tc>
        <w:tc>
          <w:tcPr>
            <w:tcW w:w="0" w:type="auto"/>
            <w:shd w:val="clear" w:color="auto" w:fill="auto"/>
          </w:tcPr>
          <w:p w14:paraId="00BAD4C7" w14:textId="77777777" w:rsidR="00871BDF" w:rsidRDefault="00871BDF">
            <w:pPr>
              <w:rPr>
                <w:rFonts w:ascii="宋体"/>
              </w:rPr>
            </w:pPr>
          </w:p>
        </w:tc>
        <w:tc>
          <w:tcPr>
            <w:tcW w:w="0" w:type="auto"/>
            <w:shd w:val="clear" w:color="auto" w:fill="auto"/>
          </w:tcPr>
          <w:p w14:paraId="00BAD4C8" w14:textId="77777777" w:rsidR="00871BDF" w:rsidRDefault="00871BDF">
            <w:pPr>
              <w:rPr>
                <w:rFonts w:ascii="宋体"/>
              </w:rPr>
            </w:pPr>
          </w:p>
        </w:tc>
        <w:tc>
          <w:tcPr>
            <w:tcW w:w="0" w:type="auto"/>
            <w:shd w:val="clear" w:color="auto" w:fill="auto"/>
          </w:tcPr>
          <w:p w14:paraId="00BAD4C9" w14:textId="77777777" w:rsidR="00871BDF" w:rsidRDefault="00871BDF">
            <w:pPr>
              <w:rPr>
                <w:rFonts w:ascii="宋体"/>
              </w:rPr>
            </w:pPr>
          </w:p>
        </w:tc>
        <w:tc>
          <w:tcPr>
            <w:tcW w:w="0" w:type="auto"/>
            <w:shd w:val="clear" w:color="auto" w:fill="auto"/>
          </w:tcPr>
          <w:p w14:paraId="00BAD4CA" w14:textId="77777777" w:rsidR="00871BDF" w:rsidRDefault="00871BDF">
            <w:pPr>
              <w:rPr>
                <w:rFonts w:ascii="宋体"/>
              </w:rPr>
            </w:pPr>
          </w:p>
        </w:tc>
        <w:tc>
          <w:tcPr>
            <w:tcW w:w="0" w:type="auto"/>
            <w:shd w:val="clear" w:color="auto" w:fill="auto"/>
          </w:tcPr>
          <w:p w14:paraId="00BAD4CB" w14:textId="77777777" w:rsidR="00871BDF" w:rsidRDefault="00871BDF">
            <w:pPr>
              <w:rPr>
                <w:rFonts w:ascii="宋体"/>
              </w:rPr>
            </w:pPr>
          </w:p>
        </w:tc>
        <w:tc>
          <w:tcPr>
            <w:tcW w:w="0" w:type="auto"/>
            <w:shd w:val="clear" w:color="auto" w:fill="auto"/>
          </w:tcPr>
          <w:p w14:paraId="00BAD4CC" w14:textId="77777777" w:rsidR="00871BDF" w:rsidRDefault="00871BDF">
            <w:pPr>
              <w:rPr>
                <w:rFonts w:ascii="宋体"/>
              </w:rPr>
            </w:pPr>
          </w:p>
        </w:tc>
        <w:tc>
          <w:tcPr>
            <w:tcW w:w="0" w:type="auto"/>
            <w:shd w:val="clear" w:color="auto" w:fill="auto"/>
          </w:tcPr>
          <w:p w14:paraId="00BAD4CD" w14:textId="77777777" w:rsidR="00871BDF" w:rsidRDefault="00871BDF">
            <w:pPr>
              <w:rPr>
                <w:rFonts w:ascii="宋体"/>
              </w:rPr>
            </w:pPr>
          </w:p>
        </w:tc>
        <w:tc>
          <w:tcPr>
            <w:tcW w:w="0" w:type="auto"/>
            <w:shd w:val="clear" w:color="auto" w:fill="auto"/>
          </w:tcPr>
          <w:p w14:paraId="00BAD4CE" w14:textId="77777777" w:rsidR="00871BDF" w:rsidRDefault="00871BDF">
            <w:pPr>
              <w:rPr>
                <w:rFonts w:ascii="宋体"/>
              </w:rPr>
            </w:pPr>
          </w:p>
        </w:tc>
        <w:tc>
          <w:tcPr>
            <w:tcW w:w="0" w:type="auto"/>
            <w:shd w:val="clear" w:color="auto" w:fill="auto"/>
          </w:tcPr>
          <w:p w14:paraId="00BAD4CF" w14:textId="77777777" w:rsidR="00871BDF" w:rsidRDefault="00871BDF">
            <w:pPr>
              <w:rPr>
                <w:rFonts w:ascii="宋体"/>
              </w:rPr>
            </w:pPr>
          </w:p>
        </w:tc>
        <w:tc>
          <w:tcPr>
            <w:tcW w:w="0" w:type="auto"/>
            <w:shd w:val="clear" w:color="auto" w:fill="auto"/>
          </w:tcPr>
          <w:p w14:paraId="00BAD4D0" w14:textId="77777777" w:rsidR="00871BDF" w:rsidRDefault="00871BDF">
            <w:pPr>
              <w:rPr>
                <w:rFonts w:ascii="宋体"/>
              </w:rPr>
            </w:pPr>
          </w:p>
        </w:tc>
        <w:tc>
          <w:tcPr>
            <w:tcW w:w="0" w:type="auto"/>
            <w:shd w:val="clear" w:color="auto" w:fill="auto"/>
          </w:tcPr>
          <w:p w14:paraId="00BAD4D1" w14:textId="77777777" w:rsidR="00871BDF" w:rsidRDefault="00871BDF">
            <w:pPr>
              <w:rPr>
                <w:rFonts w:ascii="宋体"/>
              </w:rPr>
            </w:pPr>
          </w:p>
        </w:tc>
        <w:tc>
          <w:tcPr>
            <w:tcW w:w="0" w:type="auto"/>
            <w:shd w:val="clear" w:color="auto" w:fill="auto"/>
          </w:tcPr>
          <w:p w14:paraId="00BAD4D2" w14:textId="77777777" w:rsidR="00871BDF" w:rsidRDefault="00871BDF">
            <w:pPr>
              <w:rPr>
                <w:rFonts w:ascii="宋体"/>
              </w:rPr>
            </w:pPr>
          </w:p>
        </w:tc>
        <w:tc>
          <w:tcPr>
            <w:tcW w:w="0" w:type="auto"/>
            <w:shd w:val="clear" w:color="auto" w:fill="auto"/>
          </w:tcPr>
          <w:p w14:paraId="00BAD4D3" w14:textId="77777777" w:rsidR="00871BDF" w:rsidRDefault="00871BDF">
            <w:pPr>
              <w:rPr>
                <w:rFonts w:ascii="宋体"/>
              </w:rPr>
            </w:pPr>
          </w:p>
        </w:tc>
      </w:tr>
      <w:tr w:rsidR="00871BDF" w14:paraId="00BAD502" w14:textId="77777777">
        <w:trPr>
          <w:jc w:val="center"/>
        </w:trPr>
        <w:tc>
          <w:tcPr>
            <w:tcW w:w="0" w:type="auto"/>
            <w:gridSpan w:val="3"/>
            <w:shd w:val="clear" w:color="auto" w:fill="D7E4BC"/>
            <w:tcMar>
              <w:top w:w="40" w:type="dxa"/>
              <w:left w:w="155" w:type="dxa"/>
              <w:bottom w:w="40" w:type="dxa"/>
              <w:right w:w="20" w:type="dxa"/>
            </w:tcMar>
            <w:vAlign w:val="bottom"/>
          </w:tcPr>
          <w:p w14:paraId="00BAD4D5" w14:textId="77777777" w:rsidR="00871BDF" w:rsidRDefault="005C5088">
            <w:pPr>
              <w:textAlignment w:val="bottom"/>
            </w:pPr>
            <w:r>
              <w:rPr>
                <w:rFonts w:ascii="Times New Roman" w:eastAsia="宋体" w:hAnsi="Times New Roman"/>
                <w:color w:val="000000"/>
                <w:sz w:val="20"/>
                <w:szCs w:val="20"/>
              </w:rPr>
              <w:t>Company-operated stores</w:t>
            </w:r>
          </w:p>
        </w:tc>
        <w:tc>
          <w:tcPr>
            <w:tcW w:w="0" w:type="auto"/>
            <w:gridSpan w:val="2"/>
            <w:shd w:val="clear" w:color="auto" w:fill="D7E4BC"/>
            <w:tcMar>
              <w:top w:w="40" w:type="dxa"/>
              <w:left w:w="20" w:type="dxa"/>
              <w:bottom w:w="40" w:type="dxa"/>
              <w:right w:w="0" w:type="dxa"/>
            </w:tcMar>
            <w:vAlign w:val="bottom"/>
          </w:tcPr>
          <w:p w14:paraId="00BAD4D6" w14:textId="77777777" w:rsidR="00871BDF" w:rsidRDefault="005C5088">
            <w:pPr>
              <w:jc w:val="right"/>
              <w:textAlignment w:val="bottom"/>
            </w:pPr>
            <w:r>
              <w:rPr>
                <w:rFonts w:ascii="Times New Roman" w:eastAsia="宋体" w:hAnsi="Times New Roman"/>
                <w:color w:val="000000"/>
                <w:sz w:val="20"/>
                <w:szCs w:val="20"/>
              </w:rPr>
              <w:t>135 </w:t>
            </w:r>
          </w:p>
        </w:tc>
        <w:tc>
          <w:tcPr>
            <w:tcW w:w="0" w:type="auto"/>
            <w:shd w:val="clear" w:color="auto" w:fill="D7E4BC"/>
            <w:tcMar>
              <w:top w:w="40" w:type="dxa"/>
              <w:left w:w="0" w:type="dxa"/>
              <w:bottom w:w="40" w:type="dxa"/>
              <w:right w:w="20" w:type="dxa"/>
            </w:tcMar>
            <w:vAlign w:val="bottom"/>
          </w:tcPr>
          <w:p w14:paraId="00BAD4D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4D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4D9" w14:textId="77777777" w:rsidR="00871BDF" w:rsidRDefault="005C5088">
            <w:pPr>
              <w:jc w:val="right"/>
              <w:textAlignment w:val="bottom"/>
            </w:pPr>
            <w:r>
              <w:rPr>
                <w:rFonts w:ascii="Times New Roman" w:eastAsia="宋体" w:hAnsi="Times New Roman"/>
                <w:color w:val="000000"/>
                <w:sz w:val="20"/>
                <w:szCs w:val="20"/>
              </w:rPr>
              <w:t>284 </w:t>
            </w:r>
          </w:p>
        </w:tc>
        <w:tc>
          <w:tcPr>
            <w:tcW w:w="0" w:type="auto"/>
            <w:shd w:val="clear" w:color="auto" w:fill="D7E4BC"/>
            <w:tcMar>
              <w:top w:w="40" w:type="dxa"/>
              <w:left w:w="0" w:type="dxa"/>
              <w:bottom w:w="40" w:type="dxa"/>
              <w:right w:w="20" w:type="dxa"/>
            </w:tcMar>
            <w:vAlign w:val="bottom"/>
          </w:tcPr>
          <w:p w14:paraId="00BAD4D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4D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4DC" w14:textId="77777777" w:rsidR="00871BDF" w:rsidRDefault="005C5088">
            <w:pPr>
              <w:jc w:val="right"/>
              <w:textAlignment w:val="bottom"/>
            </w:pPr>
            <w:r>
              <w:rPr>
                <w:rFonts w:ascii="Times New Roman" w:eastAsia="宋体" w:hAnsi="Times New Roman"/>
                <w:color w:val="000000"/>
                <w:sz w:val="20"/>
                <w:szCs w:val="20"/>
              </w:rPr>
              <w:t>275 </w:t>
            </w:r>
          </w:p>
        </w:tc>
        <w:tc>
          <w:tcPr>
            <w:tcW w:w="0" w:type="auto"/>
            <w:shd w:val="clear" w:color="auto" w:fill="D7E4BC"/>
            <w:tcMar>
              <w:top w:w="40" w:type="dxa"/>
              <w:left w:w="0" w:type="dxa"/>
              <w:bottom w:w="40" w:type="dxa"/>
              <w:right w:w="20" w:type="dxa"/>
            </w:tcMar>
            <w:vAlign w:val="bottom"/>
          </w:tcPr>
          <w:p w14:paraId="00BAD4D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4D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4DF" w14:textId="77777777" w:rsidR="00871BDF" w:rsidRDefault="005C5088">
            <w:pPr>
              <w:jc w:val="right"/>
              <w:textAlignment w:val="bottom"/>
            </w:pPr>
            <w:r>
              <w:rPr>
                <w:rFonts w:ascii="Times New Roman" w:eastAsia="宋体" w:hAnsi="Times New Roman"/>
                <w:color w:val="000000"/>
                <w:sz w:val="20"/>
                <w:szCs w:val="20"/>
              </w:rPr>
              <w:t>395 </w:t>
            </w:r>
          </w:p>
        </w:tc>
        <w:tc>
          <w:tcPr>
            <w:tcW w:w="0" w:type="auto"/>
            <w:shd w:val="clear" w:color="auto" w:fill="D7E4BC"/>
            <w:tcMar>
              <w:top w:w="40" w:type="dxa"/>
              <w:left w:w="0" w:type="dxa"/>
              <w:bottom w:w="40" w:type="dxa"/>
              <w:right w:w="20" w:type="dxa"/>
            </w:tcMar>
            <w:vAlign w:val="bottom"/>
          </w:tcPr>
          <w:p w14:paraId="00BAD4E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4E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4E2" w14:textId="77777777" w:rsidR="00871BDF" w:rsidRDefault="005C5088">
            <w:pPr>
              <w:jc w:val="right"/>
              <w:textAlignment w:val="bottom"/>
            </w:pPr>
            <w:r>
              <w:rPr>
                <w:rFonts w:ascii="Times New Roman" w:eastAsia="宋体" w:hAnsi="Times New Roman"/>
                <w:color w:val="000000"/>
                <w:sz w:val="20"/>
                <w:szCs w:val="20"/>
              </w:rPr>
              <w:t>348 </w:t>
            </w:r>
          </w:p>
        </w:tc>
        <w:tc>
          <w:tcPr>
            <w:tcW w:w="0" w:type="auto"/>
            <w:shd w:val="clear" w:color="auto" w:fill="D7E4BC"/>
            <w:tcMar>
              <w:top w:w="40" w:type="dxa"/>
              <w:left w:w="0" w:type="dxa"/>
              <w:bottom w:w="40" w:type="dxa"/>
              <w:right w:w="20" w:type="dxa"/>
            </w:tcMar>
            <w:vAlign w:val="bottom"/>
          </w:tcPr>
          <w:p w14:paraId="00BAD4E3" w14:textId="77777777" w:rsidR="00871BDF" w:rsidRDefault="00871BDF">
            <w:pPr>
              <w:jc w:val="right"/>
              <w:rPr>
                <w:rFonts w:ascii="宋体"/>
              </w:rPr>
            </w:pPr>
          </w:p>
        </w:tc>
        <w:tc>
          <w:tcPr>
            <w:tcW w:w="0" w:type="auto"/>
            <w:shd w:val="clear" w:color="auto" w:fill="auto"/>
          </w:tcPr>
          <w:p w14:paraId="00BAD4E4" w14:textId="77777777" w:rsidR="00871BDF" w:rsidRDefault="00871BDF">
            <w:pPr>
              <w:rPr>
                <w:rFonts w:ascii="宋体"/>
              </w:rPr>
            </w:pPr>
          </w:p>
        </w:tc>
        <w:tc>
          <w:tcPr>
            <w:tcW w:w="0" w:type="auto"/>
            <w:shd w:val="clear" w:color="auto" w:fill="auto"/>
          </w:tcPr>
          <w:p w14:paraId="00BAD4E5" w14:textId="77777777" w:rsidR="00871BDF" w:rsidRDefault="00871BDF">
            <w:pPr>
              <w:rPr>
                <w:rFonts w:ascii="宋体"/>
              </w:rPr>
            </w:pPr>
          </w:p>
        </w:tc>
        <w:tc>
          <w:tcPr>
            <w:tcW w:w="0" w:type="auto"/>
            <w:shd w:val="clear" w:color="auto" w:fill="auto"/>
          </w:tcPr>
          <w:p w14:paraId="00BAD4E6" w14:textId="77777777" w:rsidR="00871BDF" w:rsidRDefault="00871BDF">
            <w:pPr>
              <w:rPr>
                <w:rFonts w:ascii="宋体"/>
              </w:rPr>
            </w:pPr>
          </w:p>
        </w:tc>
        <w:tc>
          <w:tcPr>
            <w:tcW w:w="0" w:type="auto"/>
            <w:shd w:val="clear" w:color="auto" w:fill="auto"/>
          </w:tcPr>
          <w:p w14:paraId="00BAD4E7" w14:textId="77777777" w:rsidR="00871BDF" w:rsidRDefault="00871BDF">
            <w:pPr>
              <w:rPr>
                <w:rFonts w:ascii="宋体"/>
              </w:rPr>
            </w:pPr>
          </w:p>
        </w:tc>
        <w:tc>
          <w:tcPr>
            <w:tcW w:w="0" w:type="auto"/>
            <w:shd w:val="clear" w:color="auto" w:fill="auto"/>
          </w:tcPr>
          <w:p w14:paraId="00BAD4E8" w14:textId="77777777" w:rsidR="00871BDF" w:rsidRDefault="00871BDF">
            <w:pPr>
              <w:rPr>
                <w:rFonts w:ascii="宋体"/>
              </w:rPr>
            </w:pPr>
          </w:p>
        </w:tc>
        <w:tc>
          <w:tcPr>
            <w:tcW w:w="0" w:type="auto"/>
            <w:shd w:val="clear" w:color="auto" w:fill="auto"/>
          </w:tcPr>
          <w:p w14:paraId="00BAD4E9" w14:textId="77777777" w:rsidR="00871BDF" w:rsidRDefault="00871BDF">
            <w:pPr>
              <w:rPr>
                <w:rFonts w:ascii="宋体"/>
              </w:rPr>
            </w:pPr>
          </w:p>
        </w:tc>
        <w:tc>
          <w:tcPr>
            <w:tcW w:w="0" w:type="auto"/>
            <w:shd w:val="clear" w:color="auto" w:fill="auto"/>
          </w:tcPr>
          <w:p w14:paraId="00BAD4EA" w14:textId="77777777" w:rsidR="00871BDF" w:rsidRDefault="00871BDF">
            <w:pPr>
              <w:rPr>
                <w:rFonts w:ascii="宋体"/>
              </w:rPr>
            </w:pPr>
          </w:p>
        </w:tc>
        <w:tc>
          <w:tcPr>
            <w:tcW w:w="0" w:type="auto"/>
            <w:shd w:val="clear" w:color="auto" w:fill="auto"/>
          </w:tcPr>
          <w:p w14:paraId="00BAD4EB" w14:textId="77777777" w:rsidR="00871BDF" w:rsidRDefault="00871BDF">
            <w:pPr>
              <w:rPr>
                <w:rFonts w:ascii="宋体"/>
              </w:rPr>
            </w:pPr>
          </w:p>
        </w:tc>
        <w:tc>
          <w:tcPr>
            <w:tcW w:w="0" w:type="auto"/>
            <w:shd w:val="clear" w:color="auto" w:fill="auto"/>
          </w:tcPr>
          <w:p w14:paraId="00BAD4EC" w14:textId="77777777" w:rsidR="00871BDF" w:rsidRDefault="00871BDF">
            <w:pPr>
              <w:rPr>
                <w:rFonts w:ascii="宋体"/>
              </w:rPr>
            </w:pPr>
          </w:p>
        </w:tc>
        <w:tc>
          <w:tcPr>
            <w:tcW w:w="0" w:type="auto"/>
            <w:shd w:val="clear" w:color="auto" w:fill="auto"/>
          </w:tcPr>
          <w:p w14:paraId="00BAD4ED" w14:textId="77777777" w:rsidR="00871BDF" w:rsidRDefault="00871BDF">
            <w:pPr>
              <w:rPr>
                <w:rFonts w:ascii="宋体"/>
              </w:rPr>
            </w:pPr>
          </w:p>
        </w:tc>
        <w:tc>
          <w:tcPr>
            <w:tcW w:w="0" w:type="auto"/>
            <w:shd w:val="clear" w:color="auto" w:fill="auto"/>
          </w:tcPr>
          <w:p w14:paraId="00BAD4EE" w14:textId="77777777" w:rsidR="00871BDF" w:rsidRDefault="00871BDF">
            <w:pPr>
              <w:rPr>
                <w:rFonts w:ascii="宋体"/>
              </w:rPr>
            </w:pPr>
          </w:p>
        </w:tc>
        <w:tc>
          <w:tcPr>
            <w:tcW w:w="0" w:type="auto"/>
            <w:shd w:val="clear" w:color="auto" w:fill="auto"/>
          </w:tcPr>
          <w:p w14:paraId="00BAD4EF" w14:textId="77777777" w:rsidR="00871BDF" w:rsidRDefault="00871BDF">
            <w:pPr>
              <w:rPr>
                <w:rFonts w:ascii="宋体"/>
              </w:rPr>
            </w:pPr>
          </w:p>
        </w:tc>
        <w:tc>
          <w:tcPr>
            <w:tcW w:w="0" w:type="auto"/>
            <w:shd w:val="clear" w:color="auto" w:fill="auto"/>
          </w:tcPr>
          <w:p w14:paraId="00BAD4F0" w14:textId="77777777" w:rsidR="00871BDF" w:rsidRDefault="00871BDF">
            <w:pPr>
              <w:rPr>
                <w:rFonts w:ascii="宋体"/>
              </w:rPr>
            </w:pPr>
          </w:p>
        </w:tc>
        <w:tc>
          <w:tcPr>
            <w:tcW w:w="0" w:type="auto"/>
            <w:shd w:val="clear" w:color="auto" w:fill="auto"/>
          </w:tcPr>
          <w:p w14:paraId="00BAD4F1" w14:textId="77777777" w:rsidR="00871BDF" w:rsidRDefault="00871BDF">
            <w:pPr>
              <w:rPr>
                <w:rFonts w:ascii="宋体"/>
              </w:rPr>
            </w:pPr>
          </w:p>
        </w:tc>
        <w:tc>
          <w:tcPr>
            <w:tcW w:w="0" w:type="auto"/>
            <w:shd w:val="clear" w:color="auto" w:fill="auto"/>
          </w:tcPr>
          <w:p w14:paraId="00BAD4F2" w14:textId="77777777" w:rsidR="00871BDF" w:rsidRDefault="00871BDF">
            <w:pPr>
              <w:rPr>
                <w:rFonts w:ascii="宋体"/>
              </w:rPr>
            </w:pPr>
          </w:p>
        </w:tc>
        <w:tc>
          <w:tcPr>
            <w:tcW w:w="0" w:type="auto"/>
            <w:shd w:val="clear" w:color="auto" w:fill="auto"/>
          </w:tcPr>
          <w:p w14:paraId="00BAD4F3" w14:textId="77777777" w:rsidR="00871BDF" w:rsidRDefault="00871BDF">
            <w:pPr>
              <w:rPr>
                <w:rFonts w:ascii="宋体"/>
              </w:rPr>
            </w:pPr>
          </w:p>
        </w:tc>
        <w:tc>
          <w:tcPr>
            <w:tcW w:w="0" w:type="auto"/>
            <w:shd w:val="clear" w:color="auto" w:fill="auto"/>
          </w:tcPr>
          <w:p w14:paraId="00BAD4F4" w14:textId="77777777" w:rsidR="00871BDF" w:rsidRDefault="00871BDF">
            <w:pPr>
              <w:rPr>
                <w:rFonts w:ascii="宋体"/>
              </w:rPr>
            </w:pPr>
          </w:p>
        </w:tc>
        <w:tc>
          <w:tcPr>
            <w:tcW w:w="0" w:type="auto"/>
            <w:shd w:val="clear" w:color="auto" w:fill="auto"/>
          </w:tcPr>
          <w:p w14:paraId="00BAD4F5" w14:textId="77777777" w:rsidR="00871BDF" w:rsidRDefault="00871BDF">
            <w:pPr>
              <w:rPr>
                <w:rFonts w:ascii="宋体"/>
              </w:rPr>
            </w:pPr>
          </w:p>
        </w:tc>
        <w:tc>
          <w:tcPr>
            <w:tcW w:w="0" w:type="auto"/>
            <w:shd w:val="clear" w:color="auto" w:fill="auto"/>
          </w:tcPr>
          <w:p w14:paraId="00BAD4F6" w14:textId="77777777" w:rsidR="00871BDF" w:rsidRDefault="00871BDF">
            <w:pPr>
              <w:rPr>
                <w:rFonts w:ascii="宋体"/>
              </w:rPr>
            </w:pPr>
          </w:p>
        </w:tc>
        <w:tc>
          <w:tcPr>
            <w:tcW w:w="0" w:type="auto"/>
            <w:shd w:val="clear" w:color="auto" w:fill="auto"/>
          </w:tcPr>
          <w:p w14:paraId="00BAD4F7" w14:textId="77777777" w:rsidR="00871BDF" w:rsidRDefault="00871BDF">
            <w:pPr>
              <w:rPr>
                <w:rFonts w:ascii="宋体"/>
              </w:rPr>
            </w:pPr>
          </w:p>
        </w:tc>
        <w:tc>
          <w:tcPr>
            <w:tcW w:w="0" w:type="auto"/>
            <w:shd w:val="clear" w:color="auto" w:fill="auto"/>
          </w:tcPr>
          <w:p w14:paraId="00BAD4F8" w14:textId="77777777" w:rsidR="00871BDF" w:rsidRDefault="00871BDF">
            <w:pPr>
              <w:rPr>
                <w:rFonts w:ascii="宋体"/>
              </w:rPr>
            </w:pPr>
          </w:p>
        </w:tc>
        <w:tc>
          <w:tcPr>
            <w:tcW w:w="0" w:type="auto"/>
            <w:shd w:val="clear" w:color="auto" w:fill="auto"/>
          </w:tcPr>
          <w:p w14:paraId="00BAD4F9" w14:textId="77777777" w:rsidR="00871BDF" w:rsidRDefault="00871BDF">
            <w:pPr>
              <w:rPr>
                <w:rFonts w:ascii="宋体"/>
              </w:rPr>
            </w:pPr>
          </w:p>
        </w:tc>
        <w:tc>
          <w:tcPr>
            <w:tcW w:w="0" w:type="auto"/>
            <w:shd w:val="clear" w:color="auto" w:fill="auto"/>
          </w:tcPr>
          <w:p w14:paraId="00BAD4FA" w14:textId="77777777" w:rsidR="00871BDF" w:rsidRDefault="00871BDF">
            <w:pPr>
              <w:rPr>
                <w:rFonts w:ascii="宋体"/>
              </w:rPr>
            </w:pPr>
          </w:p>
        </w:tc>
        <w:tc>
          <w:tcPr>
            <w:tcW w:w="0" w:type="auto"/>
            <w:shd w:val="clear" w:color="auto" w:fill="auto"/>
          </w:tcPr>
          <w:p w14:paraId="00BAD4FB" w14:textId="77777777" w:rsidR="00871BDF" w:rsidRDefault="00871BDF">
            <w:pPr>
              <w:rPr>
                <w:rFonts w:ascii="宋体"/>
              </w:rPr>
            </w:pPr>
          </w:p>
        </w:tc>
        <w:tc>
          <w:tcPr>
            <w:tcW w:w="0" w:type="auto"/>
            <w:shd w:val="clear" w:color="auto" w:fill="auto"/>
          </w:tcPr>
          <w:p w14:paraId="00BAD4FC" w14:textId="77777777" w:rsidR="00871BDF" w:rsidRDefault="00871BDF">
            <w:pPr>
              <w:rPr>
                <w:rFonts w:ascii="宋体"/>
              </w:rPr>
            </w:pPr>
          </w:p>
        </w:tc>
        <w:tc>
          <w:tcPr>
            <w:tcW w:w="0" w:type="auto"/>
            <w:shd w:val="clear" w:color="auto" w:fill="auto"/>
          </w:tcPr>
          <w:p w14:paraId="00BAD4FD" w14:textId="77777777" w:rsidR="00871BDF" w:rsidRDefault="00871BDF">
            <w:pPr>
              <w:rPr>
                <w:rFonts w:ascii="宋体"/>
              </w:rPr>
            </w:pPr>
          </w:p>
        </w:tc>
        <w:tc>
          <w:tcPr>
            <w:tcW w:w="0" w:type="auto"/>
            <w:shd w:val="clear" w:color="auto" w:fill="auto"/>
          </w:tcPr>
          <w:p w14:paraId="00BAD4FE" w14:textId="77777777" w:rsidR="00871BDF" w:rsidRDefault="00871BDF">
            <w:pPr>
              <w:rPr>
                <w:rFonts w:ascii="宋体"/>
              </w:rPr>
            </w:pPr>
          </w:p>
        </w:tc>
        <w:tc>
          <w:tcPr>
            <w:tcW w:w="0" w:type="auto"/>
            <w:shd w:val="clear" w:color="auto" w:fill="auto"/>
          </w:tcPr>
          <w:p w14:paraId="00BAD4FF" w14:textId="77777777" w:rsidR="00871BDF" w:rsidRDefault="00871BDF">
            <w:pPr>
              <w:rPr>
                <w:rFonts w:ascii="宋体"/>
              </w:rPr>
            </w:pPr>
          </w:p>
        </w:tc>
        <w:tc>
          <w:tcPr>
            <w:tcW w:w="0" w:type="auto"/>
            <w:shd w:val="clear" w:color="auto" w:fill="auto"/>
          </w:tcPr>
          <w:p w14:paraId="00BAD500" w14:textId="77777777" w:rsidR="00871BDF" w:rsidRDefault="00871BDF">
            <w:pPr>
              <w:rPr>
                <w:rFonts w:ascii="宋体"/>
              </w:rPr>
            </w:pPr>
          </w:p>
        </w:tc>
        <w:tc>
          <w:tcPr>
            <w:tcW w:w="0" w:type="auto"/>
            <w:shd w:val="clear" w:color="auto" w:fill="auto"/>
          </w:tcPr>
          <w:p w14:paraId="00BAD501" w14:textId="77777777" w:rsidR="00871BDF" w:rsidRDefault="00871BDF">
            <w:pPr>
              <w:rPr>
                <w:rFonts w:ascii="宋体"/>
              </w:rPr>
            </w:pPr>
          </w:p>
        </w:tc>
      </w:tr>
      <w:tr w:rsidR="00871BDF" w14:paraId="00BAD530" w14:textId="77777777">
        <w:trPr>
          <w:jc w:val="center"/>
        </w:trPr>
        <w:tc>
          <w:tcPr>
            <w:tcW w:w="0" w:type="auto"/>
            <w:gridSpan w:val="3"/>
            <w:shd w:val="clear" w:color="auto" w:fill="FFFFFF"/>
            <w:tcMar>
              <w:top w:w="40" w:type="dxa"/>
              <w:left w:w="155" w:type="dxa"/>
              <w:bottom w:w="40" w:type="dxa"/>
              <w:right w:w="20" w:type="dxa"/>
            </w:tcMar>
            <w:vAlign w:val="bottom"/>
          </w:tcPr>
          <w:p w14:paraId="00BAD503" w14:textId="77777777" w:rsidR="00871BDF" w:rsidRDefault="005C5088">
            <w:pPr>
              <w:textAlignment w:val="bottom"/>
            </w:pPr>
            <w:r>
              <w:rPr>
                <w:rFonts w:ascii="Times New Roman" w:eastAsia="宋体" w:hAnsi="Times New Roman"/>
                <w:color w:val="000000"/>
                <w:sz w:val="20"/>
                <w:szCs w:val="20"/>
              </w:rPr>
              <w:t>Lic</w:t>
            </w:r>
            <w:r>
              <w:rPr>
                <w:rFonts w:ascii="Times New Roman" w:eastAsia="宋体" w:hAnsi="Times New Roman"/>
                <w:color w:val="000000"/>
                <w:sz w:val="20"/>
                <w:szCs w:val="20"/>
              </w:rPr>
              <w:t>ensed stores</w:t>
            </w:r>
          </w:p>
        </w:tc>
        <w:tc>
          <w:tcPr>
            <w:tcW w:w="0" w:type="auto"/>
            <w:gridSpan w:val="2"/>
            <w:shd w:val="clear" w:color="auto" w:fill="FFFFFF"/>
            <w:tcMar>
              <w:top w:w="40" w:type="dxa"/>
              <w:left w:w="20" w:type="dxa"/>
              <w:bottom w:w="40" w:type="dxa"/>
              <w:right w:w="0" w:type="dxa"/>
            </w:tcMar>
            <w:vAlign w:val="bottom"/>
          </w:tcPr>
          <w:p w14:paraId="00BAD504" w14:textId="77777777" w:rsidR="00871BDF" w:rsidRDefault="005C5088">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00BAD50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50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507" w14:textId="77777777" w:rsidR="00871BDF" w:rsidRDefault="005C5088">
            <w:pPr>
              <w:jc w:val="right"/>
              <w:textAlignment w:val="bottom"/>
            </w:pPr>
            <w:r>
              <w:rPr>
                <w:rFonts w:ascii="Times New Roman" w:eastAsia="宋体" w:hAnsi="Times New Roman"/>
                <w:color w:val="000000"/>
                <w:sz w:val="20"/>
                <w:szCs w:val="20"/>
              </w:rPr>
              <w:t>323 </w:t>
            </w:r>
          </w:p>
        </w:tc>
        <w:tc>
          <w:tcPr>
            <w:tcW w:w="0" w:type="auto"/>
            <w:shd w:val="clear" w:color="auto" w:fill="FFFFFF"/>
            <w:tcMar>
              <w:top w:w="40" w:type="dxa"/>
              <w:left w:w="0" w:type="dxa"/>
              <w:bottom w:w="40" w:type="dxa"/>
              <w:right w:w="20" w:type="dxa"/>
            </w:tcMar>
            <w:vAlign w:val="bottom"/>
          </w:tcPr>
          <w:p w14:paraId="00BAD50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50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50A" w14:textId="77777777" w:rsidR="00871BDF" w:rsidRDefault="005C5088">
            <w:pPr>
              <w:jc w:val="right"/>
              <w:textAlignment w:val="bottom"/>
            </w:pPr>
            <w:r>
              <w:rPr>
                <w:rFonts w:ascii="Times New Roman" w:eastAsia="宋体" w:hAnsi="Times New Roman"/>
                <w:color w:val="000000"/>
                <w:sz w:val="20"/>
                <w:szCs w:val="20"/>
              </w:rPr>
              <w:t>624 </w:t>
            </w:r>
          </w:p>
        </w:tc>
        <w:tc>
          <w:tcPr>
            <w:tcW w:w="0" w:type="auto"/>
            <w:shd w:val="clear" w:color="auto" w:fill="FFFFFF"/>
            <w:tcMar>
              <w:top w:w="40" w:type="dxa"/>
              <w:left w:w="0" w:type="dxa"/>
              <w:bottom w:w="40" w:type="dxa"/>
              <w:right w:w="20" w:type="dxa"/>
            </w:tcMar>
            <w:vAlign w:val="bottom"/>
          </w:tcPr>
          <w:p w14:paraId="00BAD50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50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50D" w14:textId="77777777" w:rsidR="00871BDF" w:rsidRDefault="005C5088">
            <w:pPr>
              <w:jc w:val="right"/>
              <w:textAlignment w:val="bottom"/>
            </w:pPr>
            <w:r>
              <w:rPr>
                <w:rFonts w:ascii="Times New Roman" w:eastAsia="宋体" w:hAnsi="Times New Roman"/>
                <w:color w:val="000000"/>
                <w:sz w:val="20"/>
                <w:szCs w:val="20"/>
              </w:rPr>
              <w:t>558 </w:t>
            </w:r>
          </w:p>
        </w:tc>
        <w:tc>
          <w:tcPr>
            <w:tcW w:w="0" w:type="auto"/>
            <w:shd w:val="clear" w:color="auto" w:fill="FFFFFF"/>
            <w:tcMar>
              <w:top w:w="40" w:type="dxa"/>
              <w:left w:w="0" w:type="dxa"/>
              <w:bottom w:w="40" w:type="dxa"/>
              <w:right w:w="20" w:type="dxa"/>
            </w:tcMar>
            <w:vAlign w:val="bottom"/>
          </w:tcPr>
          <w:p w14:paraId="00BAD50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50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510" w14:textId="77777777" w:rsidR="00871BDF" w:rsidRDefault="005C5088">
            <w:pPr>
              <w:jc w:val="right"/>
              <w:textAlignment w:val="bottom"/>
            </w:pPr>
            <w:r>
              <w:rPr>
                <w:rFonts w:ascii="Times New Roman" w:eastAsia="宋体" w:hAnsi="Times New Roman"/>
                <w:color w:val="000000"/>
                <w:sz w:val="20"/>
                <w:szCs w:val="20"/>
              </w:rPr>
              <w:t>456 </w:t>
            </w:r>
          </w:p>
        </w:tc>
        <w:tc>
          <w:tcPr>
            <w:tcW w:w="0" w:type="auto"/>
            <w:shd w:val="clear" w:color="auto" w:fill="FFFFFF"/>
            <w:tcMar>
              <w:top w:w="40" w:type="dxa"/>
              <w:left w:w="0" w:type="dxa"/>
              <w:bottom w:w="40" w:type="dxa"/>
              <w:right w:w="20" w:type="dxa"/>
            </w:tcMar>
            <w:vAlign w:val="bottom"/>
          </w:tcPr>
          <w:p w14:paraId="00BAD511" w14:textId="77777777" w:rsidR="00871BDF" w:rsidRDefault="00871BDF">
            <w:pPr>
              <w:jc w:val="right"/>
              <w:rPr>
                <w:rFonts w:ascii="宋体"/>
              </w:rPr>
            </w:pPr>
          </w:p>
        </w:tc>
        <w:tc>
          <w:tcPr>
            <w:tcW w:w="0" w:type="auto"/>
            <w:shd w:val="clear" w:color="auto" w:fill="auto"/>
          </w:tcPr>
          <w:p w14:paraId="00BAD512" w14:textId="77777777" w:rsidR="00871BDF" w:rsidRDefault="00871BDF">
            <w:pPr>
              <w:rPr>
                <w:rFonts w:ascii="宋体"/>
              </w:rPr>
            </w:pPr>
          </w:p>
        </w:tc>
        <w:tc>
          <w:tcPr>
            <w:tcW w:w="0" w:type="auto"/>
            <w:shd w:val="clear" w:color="auto" w:fill="auto"/>
          </w:tcPr>
          <w:p w14:paraId="00BAD513" w14:textId="77777777" w:rsidR="00871BDF" w:rsidRDefault="00871BDF">
            <w:pPr>
              <w:rPr>
                <w:rFonts w:ascii="宋体"/>
              </w:rPr>
            </w:pPr>
          </w:p>
        </w:tc>
        <w:tc>
          <w:tcPr>
            <w:tcW w:w="0" w:type="auto"/>
            <w:shd w:val="clear" w:color="auto" w:fill="auto"/>
          </w:tcPr>
          <w:p w14:paraId="00BAD514" w14:textId="77777777" w:rsidR="00871BDF" w:rsidRDefault="00871BDF">
            <w:pPr>
              <w:rPr>
                <w:rFonts w:ascii="宋体"/>
              </w:rPr>
            </w:pPr>
          </w:p>
        </w:tc>
        <w:tc>
          <w:tcPr>
            <w:tcW w:w="0" w:type="auto"/>
            <w:shd w:val="clear" w:color="auto" w:fill="auto"/>
          </w:tcPr>
          <w:p w14:paraId="00BAD515" w14:textId="77777777" w:rsidR="00871BDF" w:rsidRDefault="00871BDF">
            <w:pPr>
              <w:rPr>
                <w:rFonts w:ascii="宋体"/>
              </w:rPr>
            </w:pPr>
          </w:p>
        </w:tc>
        <w:tc>
          <w:tcPr>
            <w:tcW w:w="0" w:type="auto"/>
            <w:shd w:val="clear" w:color="auto" w:fill="auto"/>
          </w:tcPr>
          <w:p w14:paraId="00BAD516" w14:textId="77777777" w:rsidR="00871BDF" w:rsidRDefault="00871BDF">
            <w:pPr>
              <w:rPr>
                <w:rFonts w:ascii="宋体"/>
              </w:rPr>
            </w:pPr>
          </w:p>
        </w:tc>
        <w:tc>
          <w:tcPr>
            <w:tcW w:w="0" w:type="auto"/>
            <w:shd w:val="clear" w:color="auto" w:fill="auto"/>
          </w:tcPr>
          <w:p w14:paraId="00BAD517" w14:textId="77777777" w:rsidR="00871BDF" w:rsidRDefault="00871BDF">
            <w:pPr>
              <w:rPr>
                <w:rFonts w:ascii="宋体"/>
              </w:rPr>
            </w:pPr>
          </w:p>
        </w:tc>
        <w:tc>
          <w:tcPr>
            <w:tcW w:w="0" w:type="auto"/>
            <w:shd w:val="clear" w:color="auto" w:fill="auto"/>
          </w:tcPr>
          <w:p w14:paraId="00BAD518" w14:textId="77777777" w:rsidR="00871BDF" w:rsidRDefault="00871BDF">
            <w:pPr>
              <w:rPr>
                <w:rFonts w:ascii="宋体"/>
              </w:rPr>
            </w:pPr>
          </w:p>
        </w:tc>
        <w:tc>
          <w:tcPr>
            <w:tcW w:w="0" w:type="auto"/>
            <w:shd w:val="clear" w:color="auto" w:fill="auto"/>
          </w:tcPr>
          <w:p w14:paraId="00BAD519" w14:textId="77777777" w:rsidR="00871BDF" w:rsidRDefault="00871BDF">
            <w:pPr>
              <w:rPr>
                <w:rFonts w:ascii="宋体"/>
              </w:rPr>
            </w:pPr>
          </w:p>
        </w:tc>
        <w:tc>
          <w:tcPr>
            <w:tcW w:w="0" w:type="auto"/>
            <w:shd w:val="clear" w:color="auto" w:fill="auto"/>
          </w:tcPr>
          <w:p w14:paraId="00BAD51A" w14:textId="77777777" w:rsidR="00871BDF" w:rsidRDefault="00871BDF">
            <w:pPr>
              <w:rPr>
                <w:rFonts w:ascii="宋体"/>
              </w:rPr>
            </w:pPr>
          </w:p>
        </w:tc>
        <w:tc>
          <w:tcPr>
            <w:tcW w:w="0" w:type="auto"/>
            <w:shd w:val="clear" w:color="auto" w:fill="auto"/>
          </w:tcPr>
          <w:p w14:paraId="00BAD51B" w14:textId="77777777" w:rsidR="00871BDF" w:rsidRDefault="00871BDF">
            <w:pPr>
              <w:rPr>
                <w:rFonts w:ascii="宋体"/>
              </w:rPr>
            </w:pPr>
          </w:p>
        </w:tc>
        <w:tc>
          <w:tcPr>
            <w:tcW w:w="0" w:type="auto"/>
            <w:shd w:val="clear" w:color="auto" w:fill="auto"/>
          </w:tcPr>
          <w:p w14:paraId="00BAD51C" w14:textId="77777777" w:rsidR="00871BDF" w:rsidRDefault="00871BDF">
            <w:pPr>
              <w:rPr>
                <w:rFonts w:ascii="宋体"/>
              </w:rPr>
            </w:pPr>
          </w:p>
        </w:tc>
        <w:tc>
          <w:tcPr>
            <w:tcW w:w="0" w:type="auto"/>
            <w:shd w:val="clear" w:color="auto" w:fill="auto"/>
          </w:tcPr>
          <w:p w14:paraId="00BAD51D" w14:textId="77777777" w:rsidR="00871BDF" w:rsidRDefault="00871BDF">
            <w:pPr>
              <w:rPr>
                <w:rFonts w:ascii="宋体"/>
              </w:rPr>
            </w:pPr>
          </w:p>
        </w:tc>
        <w:tc>
          <w:tcPr>
            <w:tcW w:w="0" w:type="auto"/>
            <w:shd w:val="clear" w:color="auto" w:fill="auto"/>
          </w:tcPr>
          <w:p w14:paraId="00BAD51E" w14:textId="77777777" w:rsidR="00871BDF" w:rsidRDefault="00871BDF">
            <w:pPr>
              <w:rPr>
                <w:rFonts w:ascii="宋体"/>
              </w:rPr>
            </w:pPr>
          </w:p>
        </w:tc>
        <w:tc>
          <w:tcPr>
            <w:tcW w:w="0" w:type="auto"/>
            <w:shd w:val="clear" w:color="auto" w:fill="auto"/>
          </w:tcPr>
          <w:p w14:paraId="00BAD51F" w14:textId="77777777" w:rsidR="00871BDF" w:rsidRDefault="00871BDF">
            <w:pPr>
              <w:rPr>
                <w:rFonts w:ascii="宋体"/>
              </w:rPr>
            </w:pPr>
          </w:p>
        </w:tc>
        <w:tc>
          <w:tcPr>
            <w:tcW w:w="0" w:type="auto"/>
            <w:shd w:val="clear" w:color="auto" w:fill="auto"/>
          </w:tcPr>
          <w:p w14:paraId="00BAD520" w14:textId="77777777" w:rsidR="00871BDF" w:rsidRDefault="00871BDF">
            <w:pPr>
              <w:rPr>
                <w:rFonts w:ascii="宋体"/>
              </w:rPr>
            </w:pPr>
          </w:p>
        </w:tc>
        <w:tc>
          <w:tcPr>
            <w:tcW w:w="0" w:type="auto"/>
            <w:shd w:val="clear" w:color="auto" w:fill="auto"/>
          </w:tcPr>
          <w:p w14:paraId="00BAD521" w14:textId="77777777" w:rsidR="00871BDF" w:rsidRDefault="00871BDF">
            <w:pPr>
              <w:rPr>
                <w:rFonts w:ascii="宋体"/>
              </w:rPr>
            </w:pPr>
          </w:p>
        </w:tc>
        <w:tc>
          <w:tcPr>
            <w:tcW w:w="0" w:type="auto"/>
            <w:shd w:val="clear" w:color="auto" w:fill="auto"/>
          </w:tcPr>
          <w:p w14:paraId="00BAD522" w14:textId="77777777" w:rsidR="00871BDF" w:rsidRDefault="00871BDF">
            <w:pPr>
              <w:rPr>
                <w:rFonts w:ascii="宋体"/>
              </w:rPr>
            </w:pPr>
          </w:p>
        </w:tc>
        <w:tc>
          <w:tcPr>
            <w:tcW w:w="0" w:type="auto"/>
            <w:shd w:val="clear" w:color="auto" w:fill="auto"/>
          </w:tcPr>
          <w:p w14:paraId="00BAD523" w14:textId="77777777" w:rsidR="00871BDF" w:rsidRDefault="00871BDF">
            <w:pPr>
              <w:rPr>
                <w:rFonts w:ascii="宋体"/>
              </w:rPr>
            </w:pPr>
          </w:p>
        </w:tc>
        <w:tc>
          <w:tcPr>
            <w:tcW w:w="0" w:type="auto"/>
            <w:shd w:val="clear" w:color="auto" w:fill="auto"/>
          </w:tcPr>
          <w:p w14:paraId="00BAD524" w14:textId="77777777" w:rsidR="00871BDF" w:rsidRDefault="00871BDF">
            <w:pPr>
              <w:rPr>
                <w:rFonts w:ascii="宋体"/>
              </w:rPr>
            </w:pPr>
          </w:p>
        </w:tc>
        <w:tc>
          <w:tcPr>
            <w:tcW w:w="0" w:type="auto"/>
            <w:shd w:val="clear" w:color="auto" w:fill="auto"/>
          </w:tcPr>
          <w:p w14:paraId="00BAD525" w14:textId="77777777" w:rsidR="00871BDF" w:rsidRDefault="00871BDF">
            <w:pPr>
              <w:rPr>
                <w:rFonts w:ascii="宋体"/>
              </w:rPr>
            </w:pPr>
          </w:p>
        </w:tc>
        <w:tc>
          <w:tcPr>
            <w:tcW w:w="0" w:type="auto"/>
            <w:shd w:val="clear" w:color="auto" w:fill="auto"/>
          </w:tcPr>
          <w:p w14:paraId="00BAD526" w14:textId="77777777" w:rsidR="00871BDF" w:rsidRDefault="00871BDF">
            <w:pPr>
              <w:rPr>
                <w:rFonts w:ascii="宋体"/>
              </w:rPr>
            </w:pPr>
          </w:p>
        </w:tc>
        <w:tc>
          <w:tcPr>
            <w:tcW w:w="0" w:type="auto"/>
            <w:shd w:val="clear" w:color="auto" w:fill="auto"/>
          </w:tcPr>
          <w:p w14:paraId="00BAD527" w14:textId="77777777" w:rsidR="00871BDF" w:rsidRDefault="00871BDF">
            <w:pPr>
              <w:rPr>
                <w:rFonts w:ascii="宋体"/>
              </w:rPr>
            </w:pPr>
          </w:p>
        </w:tc>
        <w:tc>
          <w:tcPr>
            <w:tcW w:w="0" w:type="auto"/>
            <w:shd w:val="clear" w:color="auto" w:fill="auto"/>
          </w:tcPr>
          <w:p w14:paraId="00BAD528" w14:textId="77777777" w:rsidR="00871BDF" w:rsidRDefault="00871BDF">
            <w:pPr>
              <w:rPr>
                <w:rFonts w:ascii="宋体"/>
              </w:rPr>
            </w:pPr>
          </w:p>
        </w:tc>
        <w:tc>
          <w:tcPr>
            <w:tcW w:w="0" w:type="auto"/>
            <w:shd w:val="clear" w:color="auto" w:fill="auto"/>
          </w:tcPr>
          <w:p w14:paraId="00BAD529" w14:textId="77777777" w:rsidR="00871BDF" w:rsidRDefault="00871BDF">
            <w:pPr>
              <w:rPr>
                <w:rFonts w:ascii="宋体"/>
              </w:rPr>
            </w:pPr>
          </w:p>
        </w:tc>
        <w:tc>
          <w:tcPr>
            <w:tcW w:w="0" w:type="auto"/>
            <w:shd w:val="clear" w:color="auto" w:fill="auto"/>
          </w:tcPr>
          <w:p w14:paraId="00BAD52A" w14:textId="77777777" w:rsidR="00871BDF" w:rsidRDefault="00871BDF">
            <w:pPr>
              <w:rPr>
                <w:rFonts w:ascii="宋体"/>
              </w:rPr>
            </w:pPr>
          </w:p>
        </w:tc>
        <w:tc>
          <w:tcPr>
            <w:tcW w:w="0" w:type="auto"/>
            <w:shd w:val="clear" w:color="auto" w:fill="auto"/>
          </w:tcPr>
          <w:p w14:paraId="00BAD52B" w14:textId="77777777" w:rsidR="00871BDF" w:rsidRDefault="00871BDF">
            <w:pPr>
              <w:rPr>
                <w:rFonts w:ascii="宋体"/>
              </w:rPr>
            </w:pPr>
          </w:p>
        </w:tc>
        <w:tc>
          <w:tcPr>
            <w:tcW w:w="0" w:type="auto"/>
            <w:shd w:val="clear" w:color="auto" w:fill="auto"/>
          </w:tcPr>
          <w:p w14:paraId="00BAD52C" w14:textId="77777777" w:rsidR="00871BDF" w:rsidRDefault="00871BDF">
            <w:pPr>
              <w:rPr>
                <w:rFonts w:ascii="宋体"/>
              </w:rPr>
            </w:pPr>
          </w:p>
        </w:tc>
        <w:tc>
          <w:tcPr>
            <w:tcW w:w="0" w:type="auto"/>
            <w:shd w:val="clear" w:color="auto" w:fill="auto"/>
          </w:tcPr>
          <w:p w14:paraId="00BAD52D" w14:textId="77777777" w:rsidR="00871BDF" w:rsidRDefault="00871BDF">
            <w:pPr>
              <w:rPr>
                <w:rFonts w:ascii="宋体"/>
              </w:rPr>
            </w:pPr>
          </w:p>
        </w:tc>
        <w:tc>
          <w:tcPr>
            <w:tcW w:w="0" w:type="auto"/>
            <w:shd w:val="clear" w:color="auto" w:fill="auto"/>
          </w:tcPr>
          <w:p w14:paraId="00BAD52E" w14:textId="77777777" w:rsidR="00871BDF" w:rsidRDefault="00871BDF">
            <w:pPr>
              <w:rPr>
                <w:rFonts w:ascii="宋体"/>
              </w:rPr>
            </w:pPr>
          </w:p>
        </w:tc>
        <w:tc>
          <w:tcPr>
            <w:tcW w:w="0" w:type="auto"/>
            <w:shd w:val="clear" w:color="auto" w:fill="auto"/>
          </w:tcPr>
          <w:p w14:paraId="00BAD52F" w14:textId="77777777" w:rsidR="00871BDF" w:rsidRDefault="00871BDF">
            <w:pPr>
              <w:rPr>
                <w:rFonts w:ascii="宋体"/>
              </w:rPr>
            </w:pPr>
          </w:p>
        </w:tc>
      </w:tr>
      <w:tr w:rsidR="00871BDF" w14:paraId="00BAD559" w14:textId="77777777">
        <w:trPr>
          <w:jc w:val="center"/>
        </w:trPr>
        <w:tc>
          <w:tcPr>
            <w:tcW w:w="0" w:type="auto"/>
            <w:gridSpan w:val="3"/>
            <w:shd w:val="clear" w:color="auto" w:fill="D7E4BC"/>
            <w:tcMar>
              <w:top w:w="40" w:type="dxa"/>
              <w:left w:w="20" w:type="dxa"/>
              <w:bottom w:w="40" w:type="dxa"/>
              <w:right w:w="20" w:type="dxa"/>
            </w:tcMar>
            <w:vAlign w:val="center"/>
          </w:tcPr>
          <w:p w14:paraId="00BAD531" w14:textId="77777777" w:rsidR="00871BDF" w:rsidRDefault="005C5088">
            <w:pPr>
              <w:textAlignment w:val="center"/>
            </w:pPr>
            <w:r>
              <w:rPr>
                <w:rFonts w:ascii="Times New Roman" w:eastAsia="宋体" w:hAnsi="Times New Roman"/>
                <w:color w:val="000000"/>
                <w:sz w:val="20"/>
                <w:szCs w:val="20"/>
              </w:rPr>
              <w:t>International</w:t>
            </w:r>
            <w:r>
              <w:rPr>
                <w:rFonts w:ascii="Times New Roman" w:eastAsia="宋体" w:hAnsi="Times New Roman"/>
                <w:color w:val="000000"/>
                <w:sz w:val="13"/>
                <w:szCs w:val="13"/>
              </w:rPr>
              <w:t>(2)</w:t>
            </w:r>
          </w:p>
        </w:tc>
        <w:tc>
          <w:tcPr>
            <w:tcW w:w="0" w:type="auto"/>
            <w:gridSpan w:val="3"/>
            <w:shd w:val="clear" w:color="auto" w:fill="D7E4BC"/>
            <w:tcMar>
              <w:top w:w="0" w:type="dxa"/>
              <w:left w:w="20" w:type="dxa"/>
              <w:bottom w:w="0" w:type="dxa"/>
              <w:right w:w="20" w:type="dxa"/>
            </w:tcMar>
          </w:tcPr>
          <w:p w14:paraId="00BAD53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53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53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53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53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53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53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53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53A" w14:textId="77777777" w:rsidR="00871BDF" w:rsidRDefault="00871BDF">
            <w:pPr>
              <w:rPr>
                <w:rFonts w:ascii="宋体"/>
              </w:rPr>
            </w:pPr>
          </w:p>
        </w:tc>
        <w:tc>
          <w:tcPr>
            <w:tcW w:w="0" w:type="auto"/>
            <w:shd w:val="clear" w:color="auto" w:fill="auto"/>
          </w:tcPr>
          <w:p w14:paraId="00BAD53B" w14:textId="77777777" w:rsidR="00871BDF" w:rsidRDefault="00871BDF">
            <w:pPr>
              <w:rPr>
                <w:rFonts w:ascii="宋体"/>
              </w:rPr>
            </w:pPr>
          </w:p>
        </w:tc>
        <w:tc>
          <w:tcPr>
            <w:tcW w:w="0" w:type="auto"/>
            <w:shd w:val="clear" w:color="auto" w:fill="auto"/>
          </w:tcPr>
          <w:p w14:paraId="00BAD53C" w14:textId="77777777" w:rsidR="00871BDF" w:rsidRDefault="00871BDF">
            <w:pPr>
              <w:rPr>
                <w:rFonts w:ascii="宋体"/>
              </w:rPr>
            </w:pPr>
          </w:p>
        </w:tc>
        <w:tc>
          <w:tcPr>
            <w:tcW w:w="0" w:type="auto"/>
            <w:shd w:val="clear" w:color="auto" w:fill="auto"/>
          </w:tcPr>
          <w:p w14:paraId="00BAD53D" w14:textId="77777777" w:rsidR="00871BDF" w:rsidRDefault="00871BDF">
            <w:pPr>
              <w:rPr>
                <w:rFonts w:ascii="宋体"/>
              </w:rPr>
            </w:pPr>
          </w:p>
        </w:tc>
        <w:tc>
          <w:tcPr>
            <w:tcW w:w="0" w:type="auto"/>
            <w:shd w:val="clear" w:color="auto" w:fill="auto"/>
          </w:tcPr>
          <w:p w14:paraId="00BAD53E" w14:textId="77777777" w:rsidR="00871BDF" w:rsidRDefault="00871BDF">
            <w:pPr>
              <w:rPr>
                <w:rFonts w:ascii="宋体"/>
              </w:rPr>
            </w:pPr>
          </w:p>
        </w:tc>
        <w:tc>
          <w:tcPr>
            <w:tcW w:w="0" w:type="auto"/>
            <w:shd w:val="clear" w:color="auto" w:fill="auto"/>
          </w:tcPr>
          <w:p w14:paraId="00BAD53F" w14:textId="77777777" w:rsidR="00871BDF" w:rsidRDefault="00871BDF">
            <w:pPr>
              <w:rPr>
                <w:rFonts w:ascii="宋体"/>
              </w:rPr>
            </w:pPr>
          </w:p>
        </w:tc>
        <w:tc>
          <w:tcPr>
            <w:tcW w:w="0" w:type="auto"/>
            <w:shd w:val="clear" w:color="auto" w:fill="auto"/>
          </w:tcPr>
          <w:p w14:paraId="00BAD540" w14:textId="77777777" w:rsidR="00871BDF" w:rsidRDefault="00871BDF">
            <w:pPr>
              <w:rPr>
                <w:rFonts w:ascii="宋体"/>
              </w:rPr>
            </w:pPr>
          </w:p>
        </w:tc>
        <w:tc>
          <w:tcPr>
            <w:tcW w:w="0" w:type="auto"/>
            <w:shd w:val="clear" w:color="auto" w:fill="auto"/>
          </w:tcPr>
          <w:p w14:paraId="00BAD541" w14:textId="77777777" w:rsidR="00871BDF" w:rsidRDefault="00871BDF">
            <w:pPr>
              <w:rPr>
                <w:rFonts w:ascii="宋体"/>
              </w:rPr>
            </w:pPr>
          </w:p>
        </w:tc>
        <w:tc>
          <w:tcPr>
            <w:tcW w:w="0" w:type="auto"/>
            <w:shd w:val="clear" w:color="auto" w:fill="auto"/>
          </w:tcPr>
          <w:p w14:paraId="00BAD542" w14:textId="77777777" w:rsidR="00871BDF" w:rsidRDefault="00871BDF">
            <w:pPr>
              <w:rPr>
                <w:rFonts w:ascii="宋体"/>
              </w:rPr>
            </w:pPr>
          </w:p>
        </w:tc>
        <w:tc>
          <w:tcPr>
            <w:tcW w:w="0" w:type="auto"/>
            <w:shd w:val="clear" w:color="auto" w:fill="auto"/>
          </w:tcPr>
          <w:p w14:paraId="00BAD543" w14:textId="77777777" w:rsidR="00871BDF" w:rsidRDefault="00871BDF">
            <w:pPr>
              <w:rPr>
                <w:rFonts w:ascii="宋体"/>
              </w:rPr>
            </w:pPr>
          </w:p>
        </w:tc>
        <w:tc>
          <w:tcPr>
            <w:tcW w:w="0" w:type="auto"/>
            <w:shd w:val="clear" w:color="auto" w:fill="auto"/>
          </w:tcPr>
          <w:p w14:paraId="00BAD544" w14:textId="77777777" w:rsidR="00871BDF" w:rsidRDefault="00871BDF">
            <w:pPr>
              <w:rPr>
                <w:rFonts w:ascii="宋体"/>
              </w:rPr>
            </w:pPr>
          </w:p>
        </w:tc>
        <w:tc>
          <w:tcPr>
            <w:tcW w:w="0" w:type="auto"/>
            <w:shd w:val="clear" w:color="auto" w:fill="auto"/>
          </w:tcPr>
          <w:p w14:paraId="00BAD545" w14:textId="77777777" w:rsidR="00871BDF" w:rsidRDefault="00871BDF">
            <w:pPr>
              <w:rPr>
                <w:rFonts w:ascii="宋体"/>
              </w:rPr>
            </w:pPr>
          </w:p>
        </w:tc>
        <w:tc>
          <w:tcPr>
            <w:tcW w:w="0" w:type="auto"/>
            <w:shd w:val="clear" w:color="auto" w:fill="auto"/>
          </w:tcPr>
          <w:p w14:paraId="00BAD546" w14:textId="77777777" w:rsidR="00871BDF" w:rsidRDefault="00871BDF">
            <w:pPr>
              <w:rPr>
                <w:rFonts w:ascii="宋体"/>
              </w:rPr>
            </w:pPr>
          </w:p>
        </w:tc>
        <w:tc>
          <w:tcPr>
            <w:tcW w:w="0" w:type="auto"/>
            <w:shd w:val="clear" w:color="auto" w:fill="auto"/>
          </w:tcPr>
          <w:p w14:paraId="00BAD547" w14:textId="77777777" w:rsidR="00871BDF" w:rsidRDefault="00871BDF">
            <w:pPr>
              <w:rPr>
                <w:rFonts w:ascii="宋体"/>
              </w:rPr>
            </w:pPr>
          </w:p>
        </w:tc>
        <w:tc>
          <w:tcPr>
            <w:tcW w:w="0" w:type="auto"/>
            <w:shd w:val="clear" w:color="auto" w:fill="auto"/>
          </w:tcPr>
          <w:p w14:paraId="00BAD548" w14:textId="77777777" w:rsidR="00871BDF" w:rsidRDefault="00871BDF">
            <w:pPr>
              <w:rPr>
                <w:rFonts w:ascii="宋体"/>
              </w:rPr>
            </w:pPr>
          </w:p>
        </w:tc>
        <w:tc>
          <w:tcPr>
            <w:tcW w:w="0" w:type="auto"/>
            <w:shd w:val="clear" w:color="auto" w:fill="auto"/>
          </w:tcPr>
          <w:p w14:paraId="00BAD549" w14:textId="77777777" w:rsidR="00871BDF" w:rsidRDefault="00871BDF">
            <w:pPr>
              <w:rPr>
                <w:rFonts w:ascii="宋体"/>
              </w:rPr>
            </w:pPr>
          </w:p>
        </w:tc>
        <w:tc>
          <w:tcPr>
            <w:tcW w:w="0" w:type="auto"/>
            <w:shd w:val="clear" w:color="auto" w:fill="auto"/>
          </w:tcPr>
          <w:p w14:paraId="00BAD54A" w14:textId="77777777" w:rsidR="00871BDF" w:rsidRDefault="00871BDF">
            <w:pPr>
              <w:rPr>
                <w:rFonts w:ascii="宋体"/>
              </w:rPr>
            </w:pPr>
          </w:p>
        </w:tc>
        <w:tc>
          <w:tcPr>
            <w:tcW w:w="0" w:type="auto"/>
            <w:shd w:val="clear" w:color="auto" w:fill="auto"/>
          </w:tcPr>
          <w:p w14:paraId="00BAD54B" w14:textId="77777777" w:rsidR="00871BDF" w:rsidRDefault="00871BDF">
            <w:pPr>
              <w:rPr>
                <w:rFonts w:ascii="宋体"/>
              </w:rPr>
            </w:pPr>
          </w:p>
        </w:tc>
        <w:tc>
          <w:tcPr>
            <w:tcW w:w="0" w:type="auto"/>
            <w:shd w:val="clear" w:color="auto" w:fill="auto"/>
          </w:tcPr>
          <w:p w14:paraId="00BAD54C" w14:textId="77777777" w:rsidR="00871BDF" w:rsidRDefault="00871BDF">
            <w:pPr>
              <w:rPr>
                <w:rFonts w:ascii="宋体"/>
              </w:rPr>
            </w:pPr>
          </w:p>
        </w:tc>
        <w:tc>
          <w:tcPr>
            <w:tcW w:w="0" w:type="auto"/>
            <w:shd w:val="clear" w:color="auto" w:fill="auto"/>
          </w:tcPr>
          <w:p w14:paraId="00BAD54D" w14:textId="77777777" w:rsidR="00871BDF" w:rsidRDefault="00871BDF">
            <w:pPr>
              <w:rPr>
                <w:rFonts w:ascii="宋体"/>
              </w:rPr>
            </w:pPr>
          </w:p>
        </w:tc>
        <w:tc>
          <w:tcPr>
            <w:tcW w:w="0" w:type="auto"/>
            <w:shd w:val="clear" w:color="auto" w:fill="auto"/>
          </w:tcPr>
          <w:p w14:paraId="00BAD54E" w14:textId="77777777" w:rsidR="00871BDF" w:rsidRDefault="00871BDF">
            <w:pPr>
              <w:rPr>
                <w:rFonts w:ascii="宋体"/>
              </w:rPr>
            </w:pPr>
          </w:p>
        </w:tc>
        <w:tc>
          <w:tcPr>
            <w:tcW w:w="0" w:type="auto"/>
            <w:shd w:val="clear" w:color="auto" w:fill="auto"/>
          </w:tcPr>
          <w:p w14:paraId="00BAD54F" w14:textId="77777777" w:rsidR="00871BDF" w:rsidRDefault="00871BDF">
            <w:pPr>
              <w:rPr>
                <w:rFonts w:ascii="宋体"/>
              </w:rPr>
            </w:pPr>
          </w:p>
        </w:tc>
        <w:tc>
          <w:tcPr>
            <w:tcW w:w="0" w:type="auto"/>
            <w:shd w:val="clear" w:color="auto" w:fill="auto"/>
          </w:tcPr>
          <w:p w14:paraId="00BAD550" w14:textId="77777777" w:rsidR="00871BDF" w:rsidRDefault="00871BDF">
            <w:pPr>
              <w:rPr>
                <w:rFonts w:ascii="宋体"/>
              </w:rPr>
            </w:pPr>
          </w:p>
        </w:tc>
        <w:tc>
          <w:tcPr>
            <w:tcW w:w="0" w:type="auto"/>
            <w:shd w:val="clear" w:color="auto" w:fill="auto"/>
          </w:tcPr>
          <w:p w14:paraId="00BAD551" w14:textId="77777777" w:rsidR="00871BDF" w:rsidRDefault="00871BDF">
            <w:pPr>
              <w:rPr>
                <w:rFonts w:ascii="宋体"/>
              </w:rPr>
            </w:pPr>
          </w:p>
        </w:tc>
        <w:tc>
          <w:tcPr>
            <w:tcW w:w="0" w:type="auto"/>
            <w:shd w:val="clear" w:color="auto" w:fill="auto"/>
          </w:tcPr>
          <w:p w14:paraId="00BAD552" w14:textId="77777777" w:rsidR="00871BDF" w:rsidRDefault="00871BDF">
            <w:pPr>
              <w:rPr>
                <w:rFonts w:ascii="宋体"/>
              </w:rPr>
            </w:pPr>
          </w:p>
        </w:tc>
        <w:tc>
          <w:tcPr>
            <w:tcW w:w="0" w:type="auto"/>
            <w:shd w:val="clear" w:color="auto" w:fill="auto"/>
          </w:tcPr>
          <w:p w14:paraId="00BAD553" w14:textId="77777777" w:rsidR="00871BDF" w:rsidRDefault="00871BDF">
            <w:pPr>
              <w:rPr>
                <w:rFonts w:ascii="宋体"/>
              </w:rPr>
            </w:pPr>
          </w:p>
        </w:tc>
        <w:tc>
          <w:tcPr>
            <w:tcW w:w="0" w:type="auto"/>
            <w:shd w:val="clear" w:color="auto" w:fill="auto"/>
          </w:tcPr>
          <w:p w14:paraId="00BAD554" w14:textId="77777777" w:rsidR="00871BDF" w:rsidRDefault="00871BDF">
            <w:pPr>
              <w:rPr>
                <w:rFonts w:ascii="宋体"/>
              </w:rPr>
            </w:pPr>
          </w:p>
        </w:tc>
        <w:tc>
          <w:tcPr>
            <w:tcW w:w="0" w:type="auto"/>
            <w:shd w:val="clear" w:color="auto" w:fill="auto"/>
          </w:tcPr>
          <w:p w14:paraId="00BAD555" w14:textId="77777777" w:rsidR="00871BDF" w:rsidRDefault="00871BDF">
            <w:pPr>
              <w:rPr>
                <w:rFonts w:ascii="宋体"/>
              </w:rPr>
            </w:pPr>
          </w:p>
        </w:tc>
        <w:tc>
          <w:tcPr>
            <w:tcW w:w="0" w:type="auto"/>
            <w:shd w:val="clear" w:color="auto" w:fill="auto"/>
          </w:tcPr>
          <w:p w14:paraId="00BAD556" w14:textId="77777777" w:rsidR="00871BDF" w:rsidRDefault="00871BDF">
            <w:pPr>
              <w:rPr>
                <w:rFonts w:ascii="宋体"/>
              </w:rPr>
            </w:pPr>
          </w:p>
        </w:tc>
        <w:tc>
          <w:tcPr>
            <w:tcW w:w="0" w:type="auto"/>
            <w:shd w:val="clear" w:color="auto" w:fill="auto"/>
          </w:tcPr>
          <w:p w14:paraId="00BAD557" w14:textId="77777777" w:rsidR="00871BDF" w:rsidRDefault="00871BDF">
            <w:pPr>
              <w:rPr>
                <w:rFonts w:ascii="宋体"/>
              </w:rPr>
            </w:pPr>
          </w:p>
        </w:tc>
        <w:tc>
          <w:tcPr>
            <w:tcW w:w="0" w:type="auto"/>
            <w:shd w:val="clear" w:color="auto" w:fill="auto"/>
          </w:tcPr>
          <w:p w14:paraId="00BAD558" w14:textId="77777777" w:rsidR="00871BDF" w:rsidRDefault="00871BDF">
            <w:pPr>
              <w:rPr>
                <w:rFonts w:ascii="宋体"/>
              </w:rPr>
            </w:pPr>
          </w:p>
        </w:tc>
      </w:tr>
      <w:tr w:rsidR="00871BDF" w14:paraId="00BAD587" w14:textId="77777777">
        <w:trPr>
          <w:jc w:val="center"/>
        </w:trPr>
        <w:tc>
          <w:tcPr>
            <w:tcW w:w="0" w:type="auto"/>
            <w:gridSpan w:val="3"/>
            <w:shd w:val="clear" w:color="auto" w:fill="FFFFFF"/>
            <w:tcMar>
              <w:top w:w="40" w:type="dxa"/>
              <w:left w:w="155" w:type="dxa"/>
              <w:bottom w:w="40" w:type="dxa"/>
              <w:right w:w="20" w:type="dxa"/>
            </w:tcMar>
            <w:vAlign w:val="bottom"/>
          </w:tcPr>
          <w:p w14:paraId="00BAD55A" w14:textId="77777777" w:rsidR="00871BDF" w:rsidRDefault="005C5088">
            <w:pPr>
              <w:textAlignment w:val="bottom"/>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00BAD55B" w14:textId="77777777" w:rsidR="00871BDF" w:rsidRDefault="005C5088">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00BAD55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55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55E" w14:textId="77777777" w:rsidR="00871BDF" w:rsidRDefault="005C5088">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00BAD55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56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561" w14:textId="77777777" w:rsidR="00871BDF" w:rsidRDefault="005C5088">
            <w:pPr>
              <w:jc w:val="right"/>
              <w:textAlignment w:val="bottom"/>
            </w:pPr>
            <w:r>
              <w:rPr>
                <w:rFonts w:ascii="Times New Roman" w:eastAsia="宋体" w:hAnsi="Times New Roman"/>
                <w:color w:val="000000"/>
                <w:sz w:val="20"/>
                <w:szCs w:val="20"/>
              </w:rPr>
              <w:t>2,079 </w:t>
            </w:r>
          </w:p>
        </w:tc>
        <w:tc>
          <w:tcPr>
            <w:tcW w:w="0" w:type="auto"/>
            <w:shd w:val="clear" w:color="auto" w:fill="FFFFFF"/>
            <w:tcMar>
              <w:top w:w="40" w:type="dxa"/>
              <w:left w:w="0" w:type="dxa"/>
              <w:bottom w:w="40" w:type="dxa"/>
              <w:right w:w="20" w:type="dxa"/>
            </w:tcMar>
            <w:vAlign w:val="bottom"/>
          </w:tcPr>
          <w:p w14:paraId="00BAD56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56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564" w14:textId="77777777" w:rsidR="00871BDF" w:rsidRDefault="005C5088">
            <w:pPr>
              <w:jc w:val="right"/>
              <w:textAlignment w:val="bottom"/>
            </w:pPr>
            <w:r>
              <w:rPr>
                <w:rFonts w:ascii="Times New Roman" w:eastAsia="宋体" w:hAnsi="Times New Roman"/>
                <w:color w:val="000000"/>
                <w:sz w:val="20"/>
                <w:szCs w:val="20"/>
              </w:rPr>
              <w:t>238 </w:t>
            </w:r>
          </w:p>
        </w:tc>
        <w:tc>
          <w:tcPr>
            <w:tcW w:w="0" w:type="auto"/>
            <w:shd w:val="clear" w:color="auto" w:fill="FFFFFF"/>
            <w:tcMar>
              <w:top w:w="40" w:type="dxa"/>
              <w:left w:w="0" w:type="dxa"/>
              <w:bottom w:w="40" w:type="dxa"/>
              <w:right w:w="20" w:type="dxa"/>
            </w:tcMar>
            <w:vAlign w:val="bottom"/>
          </w:tcPr>
          <w:p w14:paraId="00BAD56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56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567" w14:textId="77777777" w:rsidR="00871BDF" w:rsidRDefault="005C5088">
            <w:pPr>
              <w:jc w:val="right"/>
              <w:textAlignment w:val="bottom"/>
            </w:pPr>
            <w:r>
              <w:rPr>
                <w:rFonts w:ascii="Times New Roman" w:eastAsia="宋体" w:hAnsi="Times New Roman"/>
                <w:color w:val="000000"/>
                <w:sz w:val="20"/>
                <w:szCs w:val="20"/>
              </w:rPr>
              <w:t>145 </w:t>
            </w:r>
          </w:p>
        </w:tc>
        <w:tc>
          <w:tcPr>
            <w:tcW w:w="0" w:type="auto"/>
            <w:shd w:val="clear" w:color="auto" w:fill="FFFFFF"/>
            <w:tcMar>
              <w:top w:w="40" w:type="dxa"/>
              <w:left w:w="0" w:type="dxa"/>
              <w:bottom w:w="40" w:type="dxa"/>
              <w:right w:w="20" w:type="dxa"/>
            </w:tcMar>
            <w:vAlign w:val="bottom"/>
          </w:tcPr>
          <w:p w14:paraId="00BAD568" w14:textId="77777777" w:rsidR="00871BDF" w:rsidRDefault="00871BDF">
            <w:pPr>
              <w:jc w:val="right"/>
              <w:rPr>
                <w:rFonts w:ascii="宋体"/>
              </w:rPr>
            </w:pPr>
          </w:p>
        </w:tc>
        <w:tc>
          <w:tcPr>
            <w:tcW w:w="0" w:type="auto"/>
            <w:shd w:val="clear" w:color="auto" w:fill="auto"/>
          </w:tcPr>
          <w:p w14:paraId="00BAD569" w14:textId="77777777" w:rsidR="00871BDF" w:rsidRDefault="00871BDF">
            <w:pPr>
              <w:rPr>
                <w:rFonts w:ascii="宋体"/>
              </w:rPr>
            </w:pPr>
          </w:p>
        </w:tc>
        <w:tc>
          <w:tcPr>
            <w:tcW w:w="0" w:type="auto"/>
            <w:shd w:val="clear" w:color="auto" w:fill="auto"/>
          </w:tcPr>
          <w:p w14:paraId="00BAD56A" w14:textId="77777777" w:rsidR="00871BDF" w:rsidRDefault="00871BDF">
            <w:pPr>
              <w:rPr>
                <w:rFonts w:ascii="宋体"/>
              </w:rPr>
            </w:pPr>
          </w:p>
        </w:tc>
        <w:tc>
          <w:tcPr>
            <w:tcW w:w="0" w:type="auto"/>
            <w:shd w:val="clear" w:color="auto" w:fill="auto"/>
          </w:tcPr>
          <w:p w14:paraId="00BAD56B" w14:textId="77777777" w:rsidR="00871BDF" w:rsidRDefault="00871BDF">
            <w:pPr>
              <w:rPr>
                <w:rFonts w:ascii="宋体"/>
              </w:rPr>
            </w:pPr>
          </w:p>
        </w:tc>
        <w:tc>
          <w:tcPr>
            <w:tcW w:w="0" w:type="auto"/>
            <w:shd w:val="clear" w:color="auto" w:fill="auto"/>
          </w:tcPr>
          <w:p w14:paraId="00BAD56C" w14:textId="77777777" w:rsidR="00871BDF" w:rsidRDefault="00871BDF">
            <w:pPr>
              <w:rPr>
                <w:rFonts w:ascii="宋体"/>
              </w:rPr>
            </w:pPr>
          </w:p>
        </w:tc>
        <w:tc>
          <w:tcPr>
            <w:tcW w:w="0" w:type="auto"/>
            <w:shd w:val="clear" w:color="auto" w:fill="auto"/>
          </w:tcPr>
          <w:p w14:paraId="00BAD56D" w14:textId="77777777" w:rsidR="00871BDF" w:rsidRDefault="00871BDF">
            <w:pPr>
              <w:rPr>
                <w:rFonts w:ascii="宋体"/>
              </w:rPr>
            </w:pPr>
          </w:p>
        </w:tc>
        <w:tc>
          <w:tcPr>
            <w:tcW w:w="0" w:type="auto"/>
            <w:shd w:val="clear" w:color="auto" w:fill="auto"/>
          </w:tcPr>
          <w:p w14:paraId="00BAD56E" w14:textId="77777777" w:rsidR="00871BDF" w:rsidRDefault="00871BDF">
            <w:pPr>
              <w:rPr>
                <w:rFonts w:ascii="宋体"/>
              </w:rPr>
            </w:pPr>
          </w:p>
        </w:tc>
        <w:tc>
          <w:tcPr>
            <w:tcW w:w="0" w:type="auto"/>
            <w:shd w:val="clear" w:color="auto" w:fill="auto"/>
          </w:tcPr>
          <w:p w14:paraId="00BAD56F" w14:textId="77777777" w:rsidR="00871BDF" w:rsidRDefault="00871BDF">
            <w:pPr>
              <w:rPr>
                <w:rFonts w:ascii="宋体"/>
              </w:rPr>
            </w:pPr>
          </w:p>
        </w:tc>
        <w:tc>
          <w:tcPr>
            <w:tcW w:w="0" w:type="auto"/>
            <w:shd w:val="clear" w:color="auto" w:fill="auto"/>
          </w:tcPr>
          <w:p w14:paraId="00BAD570" w14:textId="77777777" w:rsidR="00871BDF" w:rsidRDefault="00871BDF">
            <w:pPr>
              <w:rPr>
                <w:rFonts w:ascii="宋体"/>
              </w:rPr>
            </w:pPr>
          </w:p>
        </w:tc>
        <w:tc>
          <w:tcPr>
            <w:tcW w:w="0" w:type="auto"/>
            <w:shd w:val="clear" w:color="auto" w:fill="auto"/>
          </w:tcPr>
          <w:p w14:paraId="00BAD571" w14:textId="77777777" w:rsidR="00871BDF" w:rsidRDefault="00871BDF">
            <w:pPr>
              <w:rPr>
                <w:rFonts w:ascii="宋体"/>
              </w:rPr>
            </w:pPr>
          </w:p>
        </w:tc>
        <w:tc>
          <w:tcPr>
            <w:tcW w:w="0" w:type="auto"/>
            <w:shd w:val="clear" w:color="auto" w:fill="auto"/>
          </w:tcPr>
          <w:p w14:paraId="00BAD572" w14:textId="77777777" w:rsidR="00871BDF" w:rsidRDefault="00871BDF">
            <w:pPr>
              <w:rPr>
                <w:rFonts w:ascii="宋体"/>
              </w:rPr>
            </w:pPr>
          </w:p>
        </w:tc>
        <w:tc>
          <w:tcPr>
            <w:tcW w:w="0" w:type="auto"/>
            <w:shd w:val="clear" w:color="auto" w:fill="auto"/>
          </w:tcPr>
          <w:p w14:paraId="00BAD573" w14:textId="77777777" w:rsidR="00871BDF" w:rsidRDefault="00871BDF">
            <w:pPr>
              <w:rPr>
                <w:rFonts w:ascii="宋体"/>
              </w:rPr>
            </w:pPr>
          </w:p>
        </w:tc>
        <w:tc>
          <w:tcPr>
            <w:tcW w:w="0" w:type="auto"/>
            <w:shd w:val="clear" w:color="auto" w:fill="auto"/>
          </w:tcPr>
          <w:p w14:paraId="00BAD574" w14:textId="77777777" w:rsidR="00871BDF" w:rsidRDefault="00871BDF">
            <w:pPr>
              <w:rPr>
                <w:rFonts w:ascii="宋体"/>
              </w:rPr>
            </w:pPr>
          </w:p>
        </w:tc>
        <w:tc>
          <w:tcPr>
            <w:tcW w:w="0" w:type="auto"/>
            <w:shd w:val="clear" w:color="auto" w:fill="auto"/>
          </w:tcPr>
          <w:p w14:paraId="00BAD575" w14:textId="77777777" w:rsidR="00871BDF" w:rsidRDefault="00871BDF">
            <w:pPr>
              <w:rPr>
                <w:rFonts w:ascii="宋体"/>
              </w:rPr>
            </w:pPr>
          </w:p>
        </w:tc>
        <w:tc>
          <w:tcPr>
            <w:tcW w:w="0" w:type="auto"/>
            <w:shd w:val="clear" w:color="auto" w:fill="auto"/>
          </w:tcPr>
          <w:p w14:paraId="00BAD576" w14:textId="77777777" w:rsidR="00871BDF" w:rsidRDefault="00871BDF">
            <w:pPr>
              <w:rPr>
                <w:rFonts w:ascii="宋体"/>
              </w:rPr>
            </w:pPr>
          </w:p>
        </w:tc>
        <w:tc>
          <w:tcPr>
            <w:tcW w:w="0" w:type="auto"/>
            <w:shd w:val="clear" w:color="auto" w:fill="auto"/>
          </w:tcPr>
          <w:p w14:paraId="00BAD577" w14:textId="77777777" w:rsidR="00871BDF" w:rsidRDefault="00871BDF">
            <w:pPr>
              <w:rPr>
                <w:rFonts w:ascii="宋体"/>
              </w:rPr>
            </w:pPr>
          </w:p>
        </w:tc>
        <w:tc>
          <w:tcPr>
            <w:tcW w:w="0" w:type="auto"/>
            <w:shd w:val="clear" w:color="auto" w:fill="auto"/>
          </w:tcPr>
          <w:p w14:paraId="00BAD578" w14:textId="77777777" w:rsidR="00871BDF" w:rsidRDefault="00871BDF">
            <w:pPr>
              <w:rPr>
                <w:rFonts w:ascii="宋体"/>
              </w:rPr>
            </w:pPr>
          </w:p>
        </w:tc>
        <w:tc>
          <w:tcPr>
            <w:tcW w:w="0" w:type="auto"/>
            <w:shd w:val="clear" w:color="auto" w:fill="auto"/>
          </w:tcPr>
          <w:p w14:paraId="00BAD579" w14:textId="77777777" w:rsidR="00871BDF" w:rsidRDefault="00871BDF">
            <w:pPr>
              <w:rPr>
                <w:rFonts w:ascii="宋体"/>
              </w:rPr>
            </w:pPr>
          </w:p>
        </w:tc>
        <w:tc>
          <w:tcPr>
            <w:tcW w:w="0" w:type="auto"/>
            <w:shd w:val="clear" w:color="auto" w:fill="auto"/>
          </w:tcPr>
          <w:p w14:paraId="00BAD57A" w14:textId="77777777" w:rsidR="00871BDF" w:rsidRDefault="00871BDF">
            <w:pPr>
              <w:rPr>
                <w:rFonts w:ascii="宋体"/>
              </w:rPr>
            </w:pPr>
          </w:p>
        </w:tc>
        <w:tc>
          <w:tcPr>
            <w:tcW w:w="0" w:type="auto"/>
            <w:shd w:val="clear" w:color="auto" w:fill="auto"/>
          </w:tcPr>
          <w:p w14:paraId="00BAD57B" w14:textId="77777777" w:rsidR="00871BDF" w:rsidRDefault="00871BDF">
            <w:pPr>
              <w:rPr>
                <w:rFonts w:ascii="宋体"/>
              </w:rPr>
            </w:pPr>
          </w:p>
        </w:tc>
        <w:tc>
          <w:tcPr>
            <w:tcW w:w="0" w:type="auto"/>
            <w:shd w:val="clear" w:color="auto" w:fill="auto"/>
          </w:tcPr>
          <w:p w14:paraId="00BAD57C" w14:textId="77777777" w:rsidR="00871BDF" w:rsidRDefault="00871BDF">
            <w:pPr>
              <w:rPr>
                <w:rFonts w:ascii="宋体"/>
              </w:rPr>
            </w:pPr>
          </w:p>
        </w:tc>
        <w:tc>
          <w:tcPr>
            <w:tcW w:w="0" w:type="auto"/>
            <w:shd w:val="clear" w:color="auto" w:fill="auto"/>
          </w:tcPr>
          <w:p w14:paraId="00BAD57D" w14:textId="77777777" w:rsidR="00871BDF" w:rsidRDefault="00871BDF">
            <w:pPr>
              <w:rPr>
                <w:rFonts w:ascii="宋体"/>
              </w:rPr>
            </w:pPr>
          </w:p>
        </w:tc>
        <w:tc>
          <w:tcPr>
            <w:tcW w:w="0" w:type="auto"/>
            <w:shd w:val="clear" w:color="auto" w:fill="auto"/>
          </w:tcPr>
          <w:p w14:paraId="00BAD57E" w14:textId="77777777" w:rsidR="00871BDF" w:rsidRDefault="00871BDF">
            <w:pPr>
              <w:rPr>
                <w:rFonts w:ascii="宋体"/>
              </w:rPr>
            </w:pPr>
          </w:p>
        </w:tc>
        <w:tc>
          <w:tcPr>
            <w:tcW w:w="0" w:type="auto"/>
            <w:shd w:val="clear" w:color="auto" w:fill="auto"/>
          </w:tcPr>
          <w:p w14:paraId="00BAD57F" w14:textId="77777777" w:rsidR="00871BDF" w:rsidRDefault="00871BDF">
            <w:pPr>
              <w:rPr>
                <w:rFonts w:ascii="宋体"/>
              </w:rPr>
            </w:pPr>
          </w:p>
        </w:tc>
        <w:tc>
          <w:tcPr>
            <w:tcW w:w="0" w:type="auto"/>
            <w:shd w:val="clear" w:color="auto" w:fill="auto"/>
          </w:tcPr>
          <w:p w14:paraId="00BAD580" w14:textId="77777777" w:rsidR="00871BDF" w:rsidRDefault="00871BDF">
            <w:pPr>
              <w:rPr>
                <w:rFonts w:ascii="宋体"/>
              </w:rPr>
            </w:pPr>
          </w:p>
        </w:tc>
        <w:tc>
          <w:tcPr>
            <w:tcW w:w="0" w:type="auto"/>
            <w:shd w:val="clear" w:color="auto" w:fill="auto"/>
          </w:tcPr>
          <w:p w14:paraId="00BAD581" w14:textId="77777777" w:rsidR="00871BDF" w:rsidRDefault="00871BDF">
            <w:pPr>
              <w:rPr>
                <w:rFonts w:ascii="宋体"/>
              </w:rPr>
            </w:pPr>
          </w:p>
        </w:tc>
        <w:tc>
          <w:tcPr>
            <w:tcW w:w="0" w:type="auto"/>
            <w:shd w:val="clear" w:color="auto" w:fill="auto"/>
          </w:tcPr>
          <w:p w14:paraId="00BAD582" w14:textId="77777777" w:rsidR="00871BDF" w:rsidRDefault="00871BDF">
            <w:pPr>
              <w:rPr>
                <w:rFonts w:ascii="宋体"/>
              </w:rPr>
            </w:pPr>
          </w:p>
        </w:tc>
        <w:tc>
          <w:tcPr>
            <w:tcW w:w="0" w:type="auto"/>
            <w:shd w:val="clear" w:color="auto" w:fill="auto"/>
          </w:tcPr>
          <w:p w14:paraId="00BAD583" w14:textId="77777777" w:rsidR="00871BDF" w:rsidRDefault="00871BDF">
            <w:pPr>
              <w:rPr>
                <w:rFonts w:ascii="宋体"/>
              </w:rPr>
            </w:pPr>
          </w:p>
        </w:tc>
        <w:tc>
          <w:tcPr>
            <w:tcW w:w="0" w:type="auto"/>
            <w:shd w:val="clear" w:color="auto" w:fill="auto"/>
          </w:tcPr>
          <w:p w14:paraId="00BAD584" w14:textId="77777777" w:rsidR="00871BDF" w:rsidRDefault="00871BDF">
            <w:pPr>
              <w:rPr>
                <w:rFonts w:ascii="宋体"/>
              </w:rPr>
            </w:pPr>
          </w:p>
        </w:tc>
        <w:tc>
          <w:tcPr>
            <w:tcW w:w="0" w:type="auto"/>
            <w:shd w:val="clear" w:color="auto" w:fill="auto"/>
          </w:tcPr>
          <w:p w14:paraId="00BAD585" w14:textId="77777777" w:rsidR="00871BDF" w:rsidRDefault="00871BDF">
            <w:pPr>
              <w:rPr>
                <w:rFonts w:ascii="宋体"/>
              </w:rPr>
            </w:pPr>
          </w:p>
        </w:tc>
        <w:tc>
          <w:tcPr>
            <w:tcW w:w="0" w:type="auto"/>
            <w:shd w:val="clear" w:color="auto" w:fill="auto"/>
          </w:tcPr>
          <w:p w14:paraId="00BAD586" w14:textId="77777777" w:rsidR="00871BDF" w:rsidRDefault="00871BDF">
            <w:pPr>
              <w:rPr>
                <w:rFonts w:ascii="宋体"/>
              </w:rPr>
            </w:pPr>
          </w:p>
        </w:tc>
      </w:tr>
      <w:tr w:rsidR="00871BDF" w14:paraId="00BAD5B5" w14:textId="77777777">
        <w:trPr>
          <w:jc w:val="center"/>
        </w:trPr>
        <w:tc>
          <w:tcPr>
            <w:tcW w:w="0" w:type="auto"/>
            <w:gridSpan w:val="3"/>
            <w:shd w:val="clear" w:color="auto" w:fill="D7E4BC"/>
            <w:tcMar>
              <w:top w:w="40" w:type="dxa"/>
              <w:left w:w="155" w:type="dxa"/>
              <w:bottom w:w="40" w:type="dxa"/>
              <w:right w:w="20" w:type="dxa"/>
            </w:tcMar>
            <w:vAlign w:val="bottom"/>
          </w:tcPr>
          <w:p w14:paraId="00BAD588" w14:textId="77777777" w:rsidR="00871BDF" w:rsidRDefault="005C5088">
            <w:pPr>
              <w:textAlignment w:val="bottom"/>
            </w:pPr>
            <w:r>
              <w:rPr>
                <w:rFonts w:ascii="Times New Roman" w:eastAsia="宋体" w:hAnsi="Times New Roman"/>
                <w:color w:val="000000"/>
                <w:sz w:val="20"/>
                <w:szCs w:val="20"/>
              </w:rPr>
              <w:t>Lic</w:t>
            </w:r>
            <w:r>
              <w:rPr>
                <w:rFonts w:ascii="Times New Roman" w:eastAsia="宋体" w:hAnsi="Times New Roman"/>
                <w:color w:val="000000"/>
                <w:sz w:val="20"/>
                <w:szCs w:val="20"/>
              </w:rPr>
              <w:t>ensed stores</w:t>
            </w:r>
          </w:p>
        </w:tc>
        <w:tc>
          <w:tcPr>
            <w:tcW w:w="0" w:type="auto"/>
            <w:gridSpan w:val="2"/>
            <w:shd w:val="clear" w:color="auto" w:fill="D7E4BC"/>
            <w:tcMar>
              <w:top w:w="40" w:type="dxa"/>
              <w:left w:w="20" w:type="dxa"/>
              <w:bottom w:w="40" w:type="dxa"/>
              <w:right w:w="0" w:type="dxa"/>
            </w:tcMar>
            <w:vAlign w:val="bottom"/>
          </w:tcPr>
          <w:p w14:paraId="00BAD589" w14:textId="77777777" w:rsidR="00871BDF" w:rsidRDefault="005C5088">
            <w:pPr>
              <w:jc w:val="right"/>
              <w:textAlignment w:val="bottom"/>
            </w:pPr>
            <w:r>
              <w:rPr>
                <w:rFonts w:ascii="Times New Roman" w:eastAsia="宋体" w:hAnsi="Times New Roman"/>
                <w:color w:val="000000"/>
                <w:sz w:val="20"/>
                <w:szCs w:val="20"/>
              </w:rPr>
              <w:t>449 </w:t>
            </w:r>
          </w:p>
        </w:tc>
        <w:tc>
          <w:tcPr>
            <w:tcW w:w="0" w:type="auto"/>
            <w:shd w:val="clear" w:color="auto" w:fill="D7E4BC"/>
            <w:tcMar>
              <w:top w:w="40" w:type="dxa"/>
              <w:left w:w="0" w:type="dxa"/>
              <w:bottom w:w="40" w:type="dxa"/>
              <w:right w:w="20" w:type="dxa"/>
            </w:tcMar>
            <w:vAlign w:val="bottom"/>
          </w:tcPr>
          <w:p w14:paraId="00BAD58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58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58C" w14:textId="77777777" w:rsidR="00871BDF" w:rsidRDefault="005C5088">
            <w:pPr>
              <w:jc w:val="right"/>
              <w:textAlignment w:val="bottom"/>
            </w:pPr>
            <w:r>
              <w:rPr>
                <w:rFonts w:ascii="Times New Roman" w:eastAsia="宋体" w:hAnsi="Times New Roman"/>
                <w:color w:val="000000"/>
                <w:sz w:val="20"/>
                <w:szCs w:val="20"/>
              </w:rPr>
              <w:t>1,128 </w:t>
            </w:r>
          </w:p>
        </w:tc>
        <w:tc>
          <w:tcPr>
            <w:tcW w:w="0" w:type="auto"/>
            <w:shd w:val="clear" w:color="auto" w:fill="D7E4BC"/>
            <w:tcMar>
              <w:top w:w="40" w:type="dxa"/>
              <w:left w:w="0" w:type="dxa"/>
              <w:bottom w:w="40" w:type="dxa"/>
              <w:right w:w="20" w:type="dxa"/>
            </w:tcMar>
            <w:vAlign w:val="bottom"/>
          </w:tcPr>
          <w:p w14:paraId="00BAD58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58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58F" w14:textId="77777777" w:rsidR="00871BDF" w:rsidRDefault="005C5088">
            <w:pPr>
              <w:jc w:val="right"/>
              <w:textAlignment w:val="bottom"/>
            </w:pPr>
            <w:r>
              <w:rPr>
                <w:rFonts w:ascii="Times New Roman" w:eastAsia="宋体" w:hAnsi="Times New Roman"/>
                <w:color w:val="000000"/>
                <w:sz w:val="20"/>
                <w:szCs w:val="20"/>
              </w:rPr>
              <w:t>(680)</w:t>
            </w:r>
          </w:p>
        </w:tc>
        <w:tc>
          <w:tcPr>
            <w:tcW w:w="0" w:type="auto"/>
            <w:shd w:val="clear" w:color="auto" w:fill="D7E4BC"/>
            <w:tcMar>
              <w:top w:w="40" w:type="dxa"/>
              <w:left w:w="0" w:type="dxa"/>
              <w:bottom w:w="40" w:type="dxa"/>
              <w:right w:w="20" w:type="dxa"/>
            </w:tcMar>
            <w:vAlign w:val="bottom"/>
          </w:tcPr>
          <w:p w14:paraId="00BAD59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59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592" w14:textId="77777777" w:rsidR="00871BDF" w:rsidRDefault="005C5088">
            <w:pPr>
              <w:jc w:val="right"/>
              <w:textAlignment w:val="bottom"/>
            </w:pPr>
            <w:r>
              <w:rPr>
                <w:rFonts w:ascii="Times New Roman" w:eastAsia="宋体" w:hAnsi="Times New Roman"/>
                <w:color w:val="000000"/>
                <w:sz w:val="20"/>
                <w:szCs w:val="20"/>
              </w:rPr>
              <w:t>1,130 </w:t>
            </w:r>
          </w:p>
        </w:tc>
        <w:tc>
          <w:tcPr>
            <w:tcW w:w="0" w:type="auto"/>
            <w:shd w:val="clear" w:color="auto" w:fill="D7E4BC"/>
            <w:tcMar>
              <w:top w:w="40" w:type="dxa"/>
              <w:left w:w="0" w:type="dxa"/>
              <w:bottom w:w="40" w:type="dxa"/>
              <w:right w:w="20" w:type="dxa"/>
            </w:tcMar>
            <w:vAlign w:val="bottom"/>
          </w:tcPr>
          <w:p w14:paraId="00BAD59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59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595" w14:textId="77777777" w:rsidR="00871BDF" w:rsidRDefault="005C5088">
            <w:pPr>
              <w:jc w:val="right"/>
              <w:textAlignment w:val="bottom"/>
            </w:pPr>
            <w:r>
              <w:rPr>
                <w:rFonts w:ascii="Times New Roman" w:eastAsia="宋体" w:hAnsi="Times New Roman"/>
                <w:color w:val="000000"/>
                <w:sz w:val="20"/>
                <w:szCs w:val="20"/>
              </w:rPr>
              <w:t>1,116 </w:t>
            </w:r>
          </w:p>
        </w:tc>
        <w:tc>
          <w:tcPr>
            <w:tcW w:w="0" w:type="auto"/>
            <w:shd w:val="clear" w:color="auto" w:fill="D7E4BC"/>
            <w:tcMar>
              <w:top w:w="40" w:type="dxa"/>
              <w:left w:w="0" w:type="dxa"/>
              <w:bottom w:w="40" w:type="dxa"/>
              <w:right w:w="20" w:type="dxa"/>
            </w:tcMar>
            <w:vAlign w:val="bottom"/>
          </w:tcPr>
          <w:p w14:paraId="00BAD596" w14:textId="77777777" w:rsidR="00871BDF" w:rsidRDefault="00871BDF">
            <w:pPr>
              <w:jc w:val="right"/>
              <w:rPr>
                <w:rFonts w:ascii="宋体"/>
              </w:rPr>
            </w:pPr>
          </w:p>
        </w:tc>
        <w:tc>
          <w:tcPr>
            <w:tcW w:w="0" w:type="auto"/>
            <w:shd w:val="clear" w:color="auto" w:fill="auto"/>
          </w:tcPr>
          <w:p w14:paraId="00BAD597" w14:textId="77777777" w:rsidR="00871BDF" w:rsidRDefault="00871BDF">
            <w:pPr>
              <w:rPr>
                <w:rFonts w:ascii="宋体"/>
              </w:rPr>
            </w:pPr>
          </w:p>
        </w:tc>
        <w:tc>
          <w:tcPr>
            <w:tcW w:w="0" w:type="auto"/>
            <w:shd w:val="clear" w:color="auto" w:fill="auto"/>
          </w:tcPr>
          <w:p w14:paraId="00BAD598" w14:textId="77777777" w:rsidR="00871BDF" w:rsidRDefault="00871BDF">
            <w:pPr>
              <w:rPr>
                <w:rFonts w:ascii="宋体"/>
              </w:rPr>
            </w:pPr>
          </w:p>
        </w:tc>
        <w:tc>
          <w:tcPr>
            <w:tcW w:w="0" w:type="auto"/>
            <w:shd w:val="clear" w:color="auto" w:fill="auto"/>
          </w:tcPr>
          <w:p w14:paraId="00BAD599" w14:textId="77777777" w:rsidR="00871BDF" w:rsidRDefault="00871BDF">
            <w:pPr>
              <w:rPr>
                <w:rFonts w:ascii="宋体"/>
              </w:rPr>
            </w:pPr>
          </w:p>
        </w:tc>
        <w:tc>
          <w:tcPr>
            <w:tcW w:w="0" w:type="auto"/>
            <w:shd w:val="clear" w:color="auto" w:fill="auto"/>
          </w:tcPr>
          <w:p w14:paraId="00BAD59A" w14:textId="77777777" w:rsidR="00871BDF" w:rsidRDefault="00871BDF">
            <w:pPr>
              <w:rPr>
                <w:rFonts w:ascii="宋体"/>
              </w:rPr>
            </w:pPr>
          </w:p>
        </w:tc>
        <w:tc>
          <w:tcPr>
            <w:tcW w:w="0" w:type="auto"/>
            <w:shd w:val="clear" w:color="auto" w:fill="auto"/>
          </w:tcPr>
          <w:p w14:paraId="00BAD59B" w14:textId="77777777" w:rsidR="00871BDF" w:rsidRDefault="00871BDF">
            <w:pPr>
              <w:rPr>
                <w:rFonts w:ascii="宋体"/>
              </w:rPr>
            </w:pPr>
          </w:p>
        </w:tc>
        <w:tc>
          <w:tcPr>
            <w:tcW w:w="0" w:type="auto"/>
            <w:shd w:val="clear" w:color="auto" w:fill="auto"/>
          </w:tcPr>
          <w:p w14:paraId="00BAD59C" w14:textId="77777777" w:rsidR="00871BDF" w:rsidRDefault="00871BDF">
            <w:pPr>
              <w:rPr>
                <w:rFonts w:ascii="宋体"/>
              </w:rPr>
            </w:pPr>
          </w:p>
        </w:tc>
        <w:tc>
          <w:tcPr>
            <w:tcW w:w="0" w:type="auto"/>
            <w:shd w:val="clear" w:color="auto" w:fill="auto"/>
          </w:tcPr>
          <w:p w14:paraId="00BAD59D" w14:textId="77777777" w:rsidR="00871BDF" w:rsidRDefault="00871BDF">
            <w:pPr>
              <w:rPr>
                <w:rFonts w:ascii="宋体"/>
              </w:rPr>
            </w:pPr>
          </w:p>
        </w:tc>
        <w:tc>
          <w:tcPr>
            <w:tcW w:w="0" w:type="auto"/>
            <w:shd w:val="clear" w:color="auto" w:fill="auto"/>
          </w:tcPr>
          <w:p w14:paraId="00BAD59E" w14:textId="77777777" w:rsidR="00871BDF" w:rsidRDefault="00871BDF">
            <w:pPr>
              <w:rPr>
                <w:rFonts w:ascii="宋体"/>
              </w:rPr>
            </w:pPr>
          </w:p>
        </w:tc>
        <w:tc>
          <w:tcPr>
            <w:tcW w:w="0" w:type="auto"/>
            <w:shd w:val="clear" w:color="auto" w:fill="auto"/>
          </w:tcPr>
          <w:p w14:paraId="00BAD59F" w14:textId="77777777" w:rsidR="00871BDF" w:rsidRDefault="00871BDF">
            <w:pPr>
              <w:rPr>
                <w:rFonts w:ascii="宋体"/>
              </w:rPr>
            </w:pPr>
          </w:p>
        </w:tc>
        <w:tc>
          <w:tcPr>
            <w:tcW w:w="0" w:type="auto"/>
            <w:shd w:val="clear" w:color="auto" w:fill="auto"/>
          </w:tcPr>
          <w:p w14:paraId="00BAD5A0" w14:textId="77777777" w:rsidR="00871BDF" w:rsidRDefault="00871BDF">
            <w:pPr>
              <w:rPr>
                <w:rFonts w:ascii="宋体"/>
              </w:rPr>
            </w:pPr>
          </w:p>
        </w:tc>
        <w:tc>
          <w:tcPr>
            <w:tcW w:w="0" w:type="auto"/>
            <w:shd w:val="clear" w:color="auto" w:fill="auto"/>
          </w:tcPr>
          <w:p w14:paraId="00BAD5A1" w14:textId="77777777" w:rsidR="00871BDF" w:rsidRDefault="00871BDF">
            <w:pPr>
              <w:rPr>
                <w:rFonts w:ascii="宋体"/>
              </w:rPr>
            </w:pPr>
          </w:p>
        </w:tc>
        <w:tc>
          <w:tcPr>
            <w:tcW w:w="0" w:type="auto"/>
            <w:shd w:val="clear" w:color="auto" w:fill="auto"/>
          </w:tcPr>
          <w:p w14:paraId="00BAD5A2" w14:textId="77777777" w:rsidR="00871BDF" w:rsidRDefault="00871BDF">
            <w:pPr>
              <w:rPr>
                <w:rFonts w:ascii="宋体"/>
              </w:rPr>
            </w:pPr>
          </w:p>
        </w:tc>
        <w:tc>
          <w:tcPr>
            <w:tcW w:w="0" w:type="auto"/>
            <w:shd w:val="clear" w:color="auto" w:fill="auto"/>
          </w:tcPr>
          <w:p w14:paraId="00BAD5A3" w14:textId="77777777" w:rsidR="00871BDF" w:rsidRDefault="00871BDF">
            <w:pPr>
              <w:rPr>
                <w:rFonts w:ascii="宋体"/>
              </w:rPr>
            </w:pPr>
          </w:p>
        </w:tc>
        <w:tc>
          <w:tcPr>
            <w:tcW w:w="0" w:type="auto"/>
            <w:shd w:val="clear" w:color="auto" w:fill="auto"/>
          </w:tcPr>
          <w:p w14:paraId="00BAD5A4" w14:textId="77777777" w:rsidR="00871BDF" w:rsidRDefault="00871BDF">
            <w:pPr>
              <w:rPr>
                <w:rFonts w:ascii="宋体"/>
              </w:rPr>
            </w:pPr>
          </w:p>
        </w:tc>
        <w:tc>
          <w:tcPr>
            <w:tcW w:w="0" w:type="auto"/>
            <w:shd w:val="clear" w:color="auto" w:fill="auto"/>
          </w:tcPr>
          <w:p w14:paraId="00BAD5A5" w14:textId="77777777" w:rsidR="00871BDF" w:rsidRDefault="00871BDF">
            <w:pPr>
              <w:rPr>
                <w:rFonts w:ascii="宋体"/>
              </w:rPr>
            </w:pPr>
          </w:p>
        </w:tc>
        <w:tc>
          <w:tcPr>
            <w:tcW w:w="0" w:type="auto"/>
            <w:shd w:val="clear" w:color="auto" w:fill="auto"/>
          </w:tcPr>
          <w:p w14:paraId="00BAD5A6" w14:textId="77777777" w:rsidR="00871BDF" w:rsidRDefault="00871BDF">
            <w:pPr>
              <w:rPr>
                <w:rFonts w:ascii="宋体"/>
              </w:rPr>
            </w:pPr>
          </w:p>
        </w:tc>
        <w:tc>
          <w:tcPr>
            <w:tcW w:w="0" w:type="auto"/>
            <w:shd w:val="clear" w:color="auto" w:fill="auto"/>
          </w:tcPr>
          <w:p w14:paraId="00BAD5A7" w14:textId="77777777" w:rsidR="00871BDF" w:rsidRDefault="00871BDF">
            <w:pPr>
              <w:rPr>
                <w:rFonts w:ascii="宋体"/>
              </w:rPr>
            </w:pPr>
          </w:p>
        </w:tc>
        <w:tc>
          <w:tcPr>
            <w:tcW w:w="0" w:type="auto"/>
            <w:shd w:val="clear" w:color="auto" w:fill="auto"/>
          </w:tcPr>
          <w:p w14:paraId="00BAD5A8" w14:textId="77777777" w:rsidR="00871BDF" w:rsidRDefault="00871BDF">
            <w:pPr>
              <w:rPr>
                <w:rFonts w:ascii="宋体"/>
              </w:rPr>
            </w:pPr>
          </w:p>
        </w:tc>
        <w:tc>
          <w:tcPr>
            <w:tcW w:w="0" w:type="auto"/>
            <w:shd w:val="clear" w:color="auto" w:fill="auto"/>
          </w:tcPr>
          <w:p w14:paraId="00BAD5A9" w14:textId="77777777" w:rsidR="00871BDF" w:rsidRDefault="00871BDF">
            <w:pPr>
              <w:rPr>
                <w:rFonts w:ascii="宋体"/>
              </w:rPr>
            </w:pPr>
          </w:p>
        </w:tc>
        <w:tc>
          <w:tcPr>
            <w:tcW w:w="0" w:type="auto"/>
            <w:shd w:val="clear" w:color="auto" w:fill="auto"/>
          </w:tcPr>
          <w:p w14:paraId="00BAD5AA" w14:textId="77777777" w:rsidR="00871BDF" w:rsidRDefault="00871BDF">
            <w:pPr>
              <w:rPr>
                <w:rFonts w:ascii="宋体"/>
              </w:rPr>
            </w:pPr>
          </w:p>
        </w:tc>
        <w:tc>
          <w:tcPr>
            <w:tcW w:w="0" w:type="auto"/>
            <w:shd w:val="clear" w:color="auto" w:fill="auto"/>
          </w:tcPr>
          <w:p w14:paraId="00BAD5AB" w14:textId="77777777" w:rsidR="00871BDF" w:rsidRDefault="00871BDF">
            <w:pPr>
              <w:rPr>
                <w:rFonts w:ascii="宋体"/>
              </w:rPr>
            </w:pPr>
          </w:p>
        </w:tc>
        <w:tc>
          <w:tcPr>
            <w:tcW w:w="0" w:type="auto"/>
            <w:shd w:val="clear" w:color="auto" w:fill="auto"/>
          </w:tcPr>
          <w:p w14:paraId="00BAD5AC" w14:textId="77777777" w:rsidR="00871BDF" w:rsidRDefault="00871BDF">
            <w:pPr>
              <w:rPr>
                <w:rFonts w:ascii="宋体"/>
              </w:rPr>
            </w:pPr>
          </w:p>
        </w:tc>
        <w:tc>
          <w:tcPr>
            <w:tcW w:w="0" w:type="auto"/>
            <w:shd w:val="clear" w:color="auto" w:fill="auto"/>
          </w:tcPr>
          <w:p w14:paraId="00BAD5AD" w14:textId="77777777" w:rsidR="00871BDF" w:rsidRDefault="00871BDF">
            <w:pPr>
              <w:rPr>
                <w:rFonts w:ascii="宋体"/>
              </w:rPr>
            </w:pPr>
          </w:p>
        </w:tc>
        <w:tc>
          <w:tcPr>
            <w:tcW w:w="0" w:type="auto"/>
            <w:shd w:val="clear" w:color="auto" w:fill="auto"/>
          </w:tcPr>
          <w:p w14:paraId="00BAD5AE" w14:textId="77777777" w:rsidR="00871BDF" w:rsidRDefault="00871BDF">
            <w:pPr>
              <w:rPr>
                <w:rFonts w:ascii="宋体"/>
              </w:rPr>
            </w:pPr>
          </w:p>
        </w:tc>
        <w:tc>
          <w:tcPr>
            <w:tcW w:w="0" w:type="auto"/>
            <w:shd w:val="clear" w:color="auto" w:fill="auto"/>
          </w:tcPr>
          <w:p w14:paraId="00BAD5AF" w14:textId="77777777" w:rsidR="00871BDF" w:rsidRDefault="00871BDF">
            <w:pPr>
              <w:rPr>
                <w:rFonts w:ascii="宋体"/>
              </w:rPr>
            </w:pPr>
          </w:p>
        </w:tc>
        <w:tc>
          <w:tcPr>
            <w:tcW w:w="0" w:type="auto"/>
            <w:shd w:val="clear" w:color="auto" w:fill="auto"/>
          </w:tcPr>
          <w:p w14:paraId="00BAD5B0" w14:textId="77777777" w:rsidR="00871BDF" w:rsidRDefault="00871BDF">
            <w:pPr>
              <w:rPr>
                <w:rFonts w:ascii="宋体"/>
              </w:rPr>
            </w:pPr>
          </w:p>
        </w:tc>
        <w:tc>
          <w:tcPr>
            <w:tcW w:w="0" w:type="auto"/>
            <w:shd w:val="clear" w:color="auto" w:fill="auto"/>
          </w:tcPr>
          <w:p w14:paraId="00BAD5B1" w14:textId="77777777" w:rsidR="00871BDF" w:rsidRDefault="00871BDF">
            <w:pPr>
              <w:rPr>
                <w:rFonts w:ascii="宋体"/>
              </w:rPr>
            </w:pPr>
          </w:p>
        </w:tc>
        <w:tc>
          <w:tcPr>
            <w:tcW w:w="0" w:type="auto"/>
            <w:shd w:val="clear" w:color="auto" w:fill="auto"/>
          </w:tcPr>
          <w:p w14:paraId="00BAD5B2" w14:textId="77777777" w:rsidR="00871BDF" w:rsidRDefault="00871BDF">
            <w:pPr>
              <w:rPr>
                <w:rFonts w:ascii="宋体"/>
              </w:rPr>
            </w:pPr>
          </w:p>
        </w:tc>
        <w:tc>
          <w:tcPr>
            <w:tcW w:w="0" w:type="auto"/>
            <w:shd w:val="clear" w:color="auto" w:fill="auto"/>
          </w:tcPr>
          <w:p w14:paraId="00BAD5B3" w14:textId="77777777" w:rsidR="00871BDF" w:rsidRDefault="00871BDF">
            <w:pPr>
              <w:rPr>
                <w:rFonts w:ascii="宋体"/>
              </w:rPr>
            </w:pPr>
          </w:p>
        </w:tc>
        <w:tc>
          <w:tcPr>
            <w:tcW w:w="0" w:type="auto"/>
            <w:shd w:val="clear" w:color="auto" w:fill="auto"/>
          </w:tcPr>
          <w:p w14:paraId="00BAD5B4" w14:textId="77777777" w:rsidR="00871BDF" w:rsidRDefault="00871BDF">
            <w:pPr>
              <w:rPr>
                <w:rFonts w:ascii="宋体"/>
              </w:rPr>
            </w:pPr>
          </w:p>
        </w:tc>
      </w:tr>
      <w:tr w:rsidR="00871BDF" w14:paraId="00BAD5DE" w14:textId="77777777">
        <w:trPr>
          <w:jc w:val="center"/>
        </w:trPr>
        <w:tc>
          <w:tcPr>
            <w:tcW w:w="0" w:type="auto"/>
            <w:gridSpan w:val="3"/>
            <w:shd w:val="clear" w:color="auto" w:fill="FFFFFF"/>
            <w:tcMar>
              <w:top w:w="40" w:type="dxa"/>
              <w:left w:w="20" w:type="dxa"/>
              <w:bottom w:w="40" w:type="dxa"/>
              <w:right w:w="20" w:type="dxa"/>
            </w:tcMar>
            <w:vAlign w:val="bottom"/>
          </w:tcPr>
          <w:p w14:paraId="00BAD5B6" w14:textId="77777777" w:rsidR="00871BDF" w:rsidRDefault="005C5088">
            <w:pPr>
              <w:textAlignment w:val="bottom"/>
            </w:pPr>
            <w:r>
              <w:rPr>
                <w:rFonts w:ascii="Times New Roman" w:eastAsia="宋体" w:hAnsi="Times New Roman"/>
                <w:color w:val="000000"/>
                <w:sz w:val="20"/>
                <w:szCs w:val="20"/>
              </w:rPr>
              <w:t>Cor</w:t>
            </w:r>
            <w:r>
              <w:rPr>
                <w:rFonts w:ascii="Times New Roman" w:eastAsia="宋体" w:hAnsi="Times New Roman"/>
                <w:color w:val="000000"/>
                <w:sz w:val="20"/>
                <w:szCs w:val="20"/>
              </w:rPr>
              <w:t>porate and Other</w:t>
            </w:r>
            <w:r>
              <w:rPr>
                <w:rFonts w:ascii="Times New Roman" w:eastAsia="宋体" w:hAnsi="Times New Roman"/>
                <w:color w:val="000000"/>
                <w:sz w:val="13"/>
                <w:szCs w:val="13"/>
              </w:rPr>
              <w:t>(3)</w:t>
            </w:r>
          </w:p>
        </w:tc>
        <w:tc>
          <w:tcPr>
            <w:tcW w:w="0" w:type="auto"/>
            <w:gridSpan w:val="3"/>
            <w:shd w:val="clear" w:color="auto" w:fill="FFFFFF"/>
            <w:tcMar>
              <w:top w:w="0" w:type="dxa"/>
              <w:left w:w="20" w:type="dxa"/>
              <w:bottom w:w="0" w:type="dxa"/>
              <w:right w:w="20" w:type="dxa"/>
            </w:tcMar>
          </w:tcPr>
          <w:p w14:paraId="00BAD5B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5B8"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5B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5B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5B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5B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5B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5B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5BF" w14:textId="77777777" w:rsidR="00871BDF" w:rsidRDefault="00871BDF">
            <w:pPr>
              <w:rPr>
                <w:rFonts w:ascii="宋体"/>
              </w:rPr>
            </w:pPr>
          </w:p>
        </w:tc>
        <w:tc>
          <w:tcPr>
            <w:tcW w:w="0" w:type="auto"/>
            <w:shd w:val="clear" w:color="auto" w:fill="auto"/>
          </w:tcPr>
          <w:p w14:paraId="00BAD5C0" w14:textId="77777777" w:rsidR="00871BDF" w:rsidRDefault="00871BDF">
            <w:pPr>
              <w:rPr>
                <w:rFonts w:ascii="宋体"/>
              </w:rPr>
            </w:pPr>
          </w:p>
        </w:tc>
        <w:tc>
          <w:tcPr>
            <w:tcW w:w="0" w:type="auto"/>
            <w:shd w:val="clear" w:color="auto" w:fill="auto"/>
          </w:tcPr>
          <w:p w14:paraId="00BAD5C1" w14:textId="77777777" w:rsidR="00871BDF" w:rsidRDefault="00871BDF">
            <w:pPr>
              <w:rPr>
                <w:rFonts w:ascii="宋体"/>
              </w:rPr>
            </w:pPr>
          </w:p>
        </w:tc>
        <w:tc>
          <w:tcPr>
            <w:tcW w:w="0" w:type="auto"/>
            <w:shd w:val="clear" w:color="auto" w:fill="auto"/>
          </w:tcPr>
          <w:p w14:paraId="00BAD5C2" w14:textId="77777777" w:rsidR="00871BDF" w:rsidRDefault="00871BDF">
            <w:pPr>
              <w:rPr>
                <w:rFonts w:ascii="宋体"/>
              </w:rPr>
            </w:pPr>
          </w:p>
        </w:tc>
        <w:tc>
          <w:tcPr>
            <w:tcW w:w="0" w:type="auto"/>
            <w:shd w:val="clear" w:color="auto" w:fill="auto"/>
          </w:tcPr>
          <w:p w14:paraId="00BAD5C3" w14:textId="77777777" w:rsidR="00871BDF" w:rsidRDefault="00871BDF">
            <w:pPr>
              <w:rPr>
                <w:rFonts w:ascii="宋体"/>
              </w:rPr>
            </w:pPr>
          </w:p>
        </w:tc>
        <w:tc>
          <w:tcPr>
            <w:tcW w:w="0" w:type="auto"/>
            <w:shd w:val="clear" w:color="auto" w:fill="auto"/>
          </w:tcPr>
          <w:p w14:paraId="00BAD5C4" w14:textId="77777777" w:rsidR="00871BDF" w:rsidRDefault="00871BDF">
            <w:pPr>
              <w:rPr>
                <w:rFonts w:ascii="宋体"/>
              </w:rPr>
            </w:pPr>
          </w:p>
        </w:tc>
        <w:tc>
          <w:tcPr>
            <w:tcW w:w="0" w:type="auto"/>
            <w:shd w:val="clear" w:color="auto" w:fill="auto"/>
          </w:tcPr>
          <w:p w14:paraId="00BAD5C5" w14:textId="77777777" w:rsidR="00871BDF" w:rsidRDefault="00871BDF">
            <w:pPr>
              <w:rPr>
                <w:rFonts w:ascii="宋体"/>
              </w:rPr>
            </w:pPr>
          </w:p>
        </w:tc>
        <w:tc>
          <w:tcPr>
            <w:tcW w:w="0" w:type="auto"/>
            <w:shd w:val="clear" w:color="auto" w:fill="auto"/>
          </w:tcPr>
          <w:p w14:paraId="00BAD5C6" w14:textId="77777777" w:rsidR="00871BDF" w:rsidRDefault="00871BDF">
            <w:pPr>
              <w:rPr>
                <w:rFonts w:ascii="宋体"/>
              </w:rPr>
            </w:pPr>
          </w:p>
        </w:tc>
        <w:tc>
          <w:tcPr>
            <w:tcW w:w="0" w:type="auto"/>
            <w:shd w:val="clear" w:color="auto" w:fill="auto"/>
          </w:tcPr>
          <w:p w14:paraId="00BAD5C7" w14:textId="77777777" w:rsidR="00871BDF" w:rsidRDefault="00871BDF">
            <w:pPr>
              <w:rPr>
                <w:rFonts w:ascii="宋体"/>
              </w:rPr>
            </w:pPr>
          </w:p>
        </w:tc>
        <w:tc>
          <w:tcPr>
            <w:tcW w:w="0" w:type="auto"/>
            <w:shd w:val="clear" w:color="auto" w:fill="auto"/>
          </w:tcPr>
          <w:p w14:paraId="00BAD5C8" w14:textId="77777777" w:rsidR="00871BDF" w:rsidRDefault="00871BDF">
            <w:pPr>
              <w:rPr>
                <w:rFonts w:ascii="宋体"/>
              </w:rPr>
            </w:pPr>
          </w:p>
        </w:tc>
        <w:tc>
          <w:tcPr>
            <w:tcW w:w="0" w:type="auto"/>
            <w:shd w:val="clear" w:color="auto" w:fill="auto"/>
          </w:tcPr>
          <w:p w14:paraId="00BAD5C9" w14:textId="77777777" w:rsidR="00871BDF" w:rsidRDefault="00871BDF">
            <w:pPr>
              <w:rPr>
                <w:rFonts w:ascii="宋体"/>
              </w:rPr>
            </w:pPr>
          </w:p>
        </w:tc>
        <w:tc>
          <w:tcPr>
            <w:tcW w:w="0" w:type="auto"/>
            <w:shd w:val="clear" w:color="auto" w:fill="auto"/>
          </w:tcPr>
          <w:p w14:paraId="00BAD5CA" w14:textId="77777777" w:rsidR="00871BDF" w:rsidRDefault="00871BDF">
            <w:pPr>
              <w:rPr>
                <w:rFonts w:ascii="宋体"/>
              </w:rPr>
            </w:pPr>
          </w:p>
        </w:tc>
        <w:tc>
          <w:tcPr>
            <w:tcW w:w="0" w:type="auto"/>
            <w:shd w:val="clear" w:color="auto" w:fill="auto"/>
          </w:tcPr>
          <w:p w14:paraId="00BAD5CB" w14:textId="77777777" w:rsidR="00871BDF" w:rsidRDefault="00871BDF">
            <w:pPr>
              <w:rPr>
                <w:rFonts w:ascii="宋体"/>
              </w:rPr>
            </w:pPr>
          </w:p>
        </w:tc>
        <w:tc>
          <w:tcPr>
            <w:tcW w:w="0" w:type="auto"/>
            <w:shd w:val="clear" w:color="auto" w:fill="auto"/>
          </w:tcPr>
          <w:p w14:paraId="00BAD5CC" w14:textId="77777777" w:rsidR="00871BDF" w:rsidRDefault="00871BDF">
            <w:pPr>
              <w:rPr>
                <w:rFonts w:ascii="宋体"/>
              </w:rPr>
            </w:pPr>
          </w:p>
        </w:tc>
        <w:tc>
          <w:tcPr>
            <w:tcW w:w="0" w:type="auto"/>
            <w:shd w:val="clear" w:color="auto" w:fill="auto"/>
          </w:tcPr>
          <w:p w14:paraId="00BAD5CD" w14:textId="77777777" w:rsidR="00871BDF" w:rsidRDefault="00871BDF">
            <w:pPr>
              <w:rPr>
                <w:rFonts w:ascii="宋体"/>
              </w:rPr>
            </w:pPr>
          </w:p>
        </w:tc>
        <w:tc>
          <w:tcPr>
            <w:tcW w:w="0" w:type="auto"/>
            <w:shd w:val="clear" w:color="auto" w:fill="auto"/>
          </w:tcPr>
          <w:p w14:paraId="00BAD5CE" w14:textId="77777777" w:rsidR="00871BDF" w:rsidRDefault="00871BDF">
            <w:pPr>
              <w:rPr>
                <w:rFonts w:ascii="宋体"/>
              </w:rPr>
            </w:pPr>
          </w:p>
        </w:tc>
        <w:tc>
          <w:tcPr>
            <w:tcW w:w="0" w:type="auto"/>
            <w:shd w:val="clear" w:color="auto" w:fill="auto"/>
          </w:tcPr>
          <w:p w14:paraId="00BAD5CF" w14:textId="77777777" w:rsidR="00871BDF" w:rsidRDefault="00871BDF">
            <w:pPr>
              <w:rPr>
                <w:rFonts w:ascii="宋体"/>
              </w:rPr>
            </w:pPr>
          </w:p>
        </w:tc>
        <w:tc>
          <w:tcPr>
            <w:tcW w:w="0" w:type="auto"/>
            <w:shd w:val="clear" w:color="auto" w:fill="auto"/>
          </w:tcPr>
          <w:p w14:paraId="00BAD5D0" w14:textId="77777777" w:rsidR="00871BDF" w:rsidRDefault="00871BDF">
            <w:pPr>
              <w:rPr>
                <w:rFonts w:ascii="宋体"/>
              </w:rPr>
            </w:pPr>
          </w:p>
        </w:tc>
        <w:tc>
          <w:tcPr>
            <w:tcW w:w="0" w:type="auto"/>
            <w:shd w:val="clear" w:color="auto" w:fill="auto"/>
          </w:tcPr>
          <w:p w14:paraId="00BAD5D1" w14:textId="77777777" w:rsidR="00871BDF" w:rsidRDefault="00871BDF">
            <w:pPr>
              <w:rPr>
                <w:rFonts w:ascii="宋体"/>
              </w:rPr>
            </w:pPr>
          </w:p>
        </w:tc>
        <w:tc>
          <w:tcPr>
            <w:tcW w:w="0" w:type="auto"/>
            <w:shd w:val="clear" w:color="auto" w:fill="auto"/>
          </w:tcPr>
          <w:p w14:paraId="00BAD5D2" w14:textId="77777777" w:rsidR="00871BDF" w:rsidRDefault="00871BDF">
            <w:pPr>
              <w:rPr>
                <w:rFonts w:ascii="宋体"/>
              </w:rPr>
            </w:pPr>
          </w:p>
        </w:tc>
        <w:tc>
          <w:tcPr>
            <w:tcW w:w="0" w:type="auto"/>
            <w:shd w:val="clear" w:color="auto" w:fill="auto"/>
          </w:tcPr>
          <w:p w14:paraId="00BAD5D3" w14:textId="77777777" w:rsidR="00871BDF" w:rsidRDefault="00871BDF">
            <w:pPr>
              <w:rPr>
                <w:rFonts w:ascii="宋体"/>
              </w:rPr>
            </w:pPr>
          </w:p>
        </w:tc>
        <w:tc>
          <w:tcPr>
            <w:tcW w:w="0" w:type="auto"/>
            <w:shd w:val="clear" w:color="auto" w:fill="auto"/>
          </w:tcPr>
          <w:p w14:paraId="00BAD5D4" w14:textId="77777777" w:rsidR="00871BDF" w:rsidRDefault="00871BDF">
            <w:pPr>
              <w:rPr>
                <w:rFonts w:ascii="宋体"/>
              </w:rPr>
            </w:pPr>
          </w:p>
        </w:tc>
        <w:tc>
          <w:tcPr>
            <w:tcW w:w="0" w:type="auto"/>
            <w:shd w:val="clear" w:color="auto" w:fill="auto"/>
          </w:tcPr>
          <w:p w14:paraId="00BAD5D5" w14:textId="77777777" w:rsidR="00871BDF" w:rsidRDefault="00871BDF">
            <w:pPr>
              <w:rPr>
                <w:rFonts w:ascii="宋体"/>
              </w:rPr>
            </w:pPr>
          </w:p>
        </w:tc>
        <w:tc>
          <w:tcPr>
            <w:tcW w:w="0" w:type="auto"/>
            <w:shd w:val="clear" w:color="auto" w:fill="auto"/>
          </w:tcPr>
          <w:p w14:paraId="00BAD5D6" w14:textId="77777777" w:rsidR="00871BDF" w:rsidRDefault="00871BDF">
            <w:pPr>
              <w:rPr>
                <w:rFonts w:ascii="宋体"/>
              </w:rPr>
            </w:pPr>
          </w:p>
        </w:tc>
        <w:tc>
          <w:tcPr>
            <w:tcW w:w="0" w:type="auto"/>
            <w:shd w:val="clear" w:color="auto" w:fill="auto"/>
          </w:tcPr>
          <w:p w14:paraId="00BAD5D7" w14:textId="77777777" w:rsidR="00871BDF" w:rsidRDefault="00871BDF">
            <w:pPr>
              <w:rPr>
                <w:rFonts w:ascii="宋体"/>
              </w:rPr>
            </w:pPr>
          </w:p>
        </w:tc>
        <w:tc>
          <w:tcPr>
            <w:tcW w:w="0" w:type="auto"/>
            <w:shd w:val="clear" w:color="auto" w:fill="auto"/>
          </w:tcPr>
          <w:p w14:paraId="00BAD5D8" w14:textId="77777777" w:rsidR="00871BDF" w:rsidRDefault="00871BDF">
            <w:pPr>
              <w:rPr>
                <w:rFonts w:ascii="宋体"/>
              </w:rPr>
            </w:pPr>
          </w:p>
        </w:tc>
        <w:tc>
          <w:tcPr>
            <w:tcW w:w="0" w:type="auto"/>
            <w:shd w:val="clear" w:color="auto" w:fill="auto"/>
          </w:tcPr>
          <w:p w14:paraId="00BAD5D9" w14:textId="77777777" w:rsidR="00871BDF" w:rsidRDefault="00871BDF">
            <w:pPr>
              <w:rPr>
                <w:rFonts w:ascii="宋体"/>
              </w:rPr>
            </w:pPr>
          </w:p>
        </w:tc>
        <w:tc>
          <w:tcPr>
            <w:tcW w:w="0" w:type="auto"/>
            <w:shd w:val="clear" w:color="auto" w:fill="auto"/>
          </w:tcPr>
          <w:p w14:paraId="00BAD5DA" w14:textId="77777777" w:rsidR="00871BDF" w:rsidRDefault="00871BDF">
            <w:pPr>
              <w:rPr>
                <w:rFonts w:ascii="宋体"/>
              </w:rPr>
            </w:pPr>
          </w:p>
        </w:tc>
        <w:tc>
          <w:tcPr>
            <w:tcW w:w="0" w:type="auto"/>
            <w:shd w:val="clear" w:color="auto" w:fill="auto"/>
          </w:tcPr>
          <w:p w14:paraId="00BAD5DB" w14:textId="77777777" w:rsidR="00871BDF" w:rsidRDefault="00871BDF">
            <w:pPr>
              <w:rPr>
                <w:rFonts w:ascii="宋体"/>
              </w:rPr>
            </w:pPr>
          </w:p>
        </w:tc>
        <w:tc>
          <w:tcPr>
            <w:tcW w:w="0" w:type="auto"/>
            <w:shd w:val="clear" w:color="auto" w:fill="auto"/>
          </w:tcPr>
          <w:p w14:paraId="00BAD5DC" w14:textId="77777777" w:rsidR="00871BDF" w:rsidRDefault="00871BDF">
            <w:pPr>
              <w:rPr>
                <w:rFonts w:ascii="宋体"/>
              </w:rPr>
            </w:pPr>
          </w:p>
        </w:tc>
        <w:tc>
          <w:tcPr>
            <w:tcW w:w="0" w:type="auto"/>
            <w:shd w:val="clear" w:color="auto" w:fill="auto"/>
          </w:tcPr>
          <w:p w14:paraId="00BAD5DD" w14:textId="77777777" w:rsidR="00871BDF" w:rsidRDefault="00871BDF">
            <w:pPr>
              <w:rPr>
                <w:rFonts w:ascii="宋体"/>
              </w:rPr>
            </w:pPr>
          </w:p>
        </w:tc>
      </w:tr>
      <w:tr w:rsidR="00871BDF" w14:paraId="00BAD60C" w14:textId="77777777">
        <w:trPr>
          <w:jc w:val="center"/>
        </w:trPr>
        <w:tc>
          <w:tcPr>
            <w:tcW w:w="0" w:type="auto"/>
            <w:gridSpan w:val="3"/>
            <w:shd w:val="clear" w:color="auto" w:fill="D7E4BC"/>
            <w:tcMar>
              <w:top w:w="40" w:type="dxa"/>
              <w:left w:w="155" w:type="dxa"/>
              <w:bottom w:w="40" w:type="dxa"/>
              <w:right w:w="20" w:type="dxa"/>
            </w:tcMar>
            <w:vAlign w:val="bottom"/>
          </w:tcPr>
          <w:p w14:paraId="00BAD5DF" w14:textId="77777777" w:rsidR="00871BDF" w:rsidRDefault="005C5088">
            <w:pPr>
              <w:textAlignment w:val="bottom"/>
            </w:pPr>
            <w:r>
              <w:rPr>
                <w:rFonts w:ascii="Times New Roman" w:eastAsia="宋体" w:hAnsi="Times New Roman"/>
                <w:color w:val="000000"/>
                <w:sz w:val="20"/>
                <w:szCs w:val="20"/>
              </w:rPr>
              <w:t>Company-operated stores</w:t>
            </w:r>
          </w:p>
        </w:tc>
        <w:tc>
          <w:tcPr>
            <w:tcW w:w="0" w:type="auto"/>
            <w:gridSpan w:val="2"/>
            <w:shd w:val="clear" w:color="auto" w:fill="D7E4BC"/>
            <w:tcMar>
              <w:top w:w="40" w:type="dxa"/>
              <w:left w:w="20" w:type="dxa"/>
              <w:bottom w:w="40" w:type="dxa"/>
              <w:right w:w="0" w:type="dxa"/>
            </w:tcMar>
            <w:vAlign w:val="bottom"/>
          </w:tcPr>
          <w:p w14:paraId="00BAD5E0"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D5E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5E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5E3"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D5E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5E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5E6" w14:textId="77777777" w:rsidR="00871BDF" w:rsidRDefault="005C5088">
            <w:pPr>
              <w:jc w:val="right"/>
              <w:textAlignment w:val="bottom"/>
            </w:pPr>
            <w:r>
              <w:rPr>
                <w:rFonts w:ascii="Times New Roman" w:eastAsia="宋体" w:hAnsi="Times New Roman"/>
                <w:color w:val="000000"/>
                <w:sz w:val="20"/>
                <w:szCs w:val="20"/>
              </w:rPr>
              <w:t>(288)</w:t>
            </w:r>
          </w:p>
        </w:tc>
        <w:tc>
          <w:tcPr>
            <w:tcW w:w="0" w:type="auto"/>
            <w:shd w:val="clear" w:color="auto" w:fill="D7E4BC"/>
            <w:tcMar>
              <w:top w:w="40" w:type="dxa"/>
              <w:left w:w="0" w:type="dxa"/>
              <w:bottom w:w="40" w:type="dxa"/>
              <w:right w:w="20" w:type="dxa"/>
            </w:tcMar>
            <w:vAlign w:val="bottom"/>
          </w:tcPr>
          <w:p w14:paraId="00BAD5E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5E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5E9" w14:textId="77777777" w:rsidR="00871BDF" w:rsidRDefault="005C5088">
            <w:pPr>
              <w:jc w:val="right"/>
              <w:textAlignment w:val="bottom"/>
            </w:pPr>
            <w:r>
              <w:rPr>
                <w:rFonts w:ascii="Times New Roman" w:eastAsia="宋体" w:hAnsi="Times New Roman"/>
                <w:color w:val="000000"/>
                <w:sz w:val="20"/>
                <w:szCs w:val="20"/>
              </w:rPr>
              <w:t>(69)</w:t>
            </w:r>
          </w:p>
        </w:tc>
        <w:tc>
          <w:tcPr>
            <w:tcW w:w="0" w:type="auto"/>
            <w:shd w:val="clear" w:color="auto" w:fill="D7E4BC"/>
            <w:tcMar>
              <w:top w:w="40" w:type="dxa"/>
              <w:left w:w="0" w:type="dxa"/>
              <w:bottom w:w="40" w:type="dxa"/>
              <w:right w:w="20" w:type="dxa"/>
            </w:tcMar>
            <w:vAlign w:val="bottom"/>
          </w:tcPr>
          <w:p w14:paraId="00BAD5E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5E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5EC" w14:textId="77777777" w:rsidR="00871BDF" w:rsidRDefault="005C5088">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vAlign w:val="bottom"/>
          </w:tcPr>
          <w:p w14:paraId="00BAD5ED" w14:textId="77777777" w:rsidR="00871BDF" w:rsidRDefault="00871BDF">
            <w:pPr>
              <w:jc w:val="right"/>
              <w:rPr>
                <w:rFonts w:ascii="宋体"/>
              </w:rPr>
            </w:pPr>
          </w:p>
        </w:tc>
        <w:tc>
          <w:tcPr>
            <w:tcW w:w="0" w:type="auto"/>
            <w:shd w:val="clear" w:color="auto" w:fill="auto"/>
          </w:tcPr>
          <w:p w14:paraId="00BAD5EE" w14:textId="77777777" w:rsidR="00871BDF" w:rsidRDefault="00871BDF">
            <w:pPr>
              <w:rPr>
                <w:rFonts w:ascii="宋体"/>
              </w:rPr>
            </w:pPr>
          </w:p>
        </w:tc>
        <w:tc>
          <w:tcPr>
            <w:tcW w:w="0" w:type="auto"/>
            <w:shd w:val="clear" w:color="auto" w:fill="auto"/>
          </w:tcPr>
          <w:p w14:paraId="00BAD5EF" w14:textId="77777777" w:rsidR="00871BDF" w:rsidRDefault="00871BDF">
            <w:pPr>
              <w:rPr>
                <w:rFonts w:ascii="宋体"/>
              </w:rPr>
            </w:pPr>
          </w:p>
        </w:tc>
        <w:tc>
          <w:tcPr>
            <w:tcW w:w="0" w:type="auto"/>
            <w:shd w:val="clear" w:color="auto" w:fill="auto"/>
          </w:tcPr>
          <w:p w14:paraId="00BAD5F0" w14:textId="77777777" w:rsidR="00871BDF" w:rsidRDefault="00871BDF">
            <w:pPr>
              <w:rPr>
                <w:rFonts w:ascii="宋体"/>
              </w:rPr>
            </w:pPr>
          </w:p>
        </w:tc>
        <w:tc>
          <w:tcPr>
            <w:tcW w:w="0" w:type="auto"/>
            <w:shd w:val="clear" w:color="auto" w:fill="auto"/>
          </w:tcPr>
          <w:p w14:paraId="00BAD5F1" w14:textId="77777777" w:rsidR="00871BDF" w:rsidRDefault="00871BDF">
            <w:pPr>
              <w:rPr>
                <w:rFonts w:ascii="宋体"/>
              </w:rPr>
            </w:pPr>
          </w:p>
        </w:tc>
        <w:tc>
          <w:tcPr>
            <w:tcW w:w="0" w:type="auto"/>
            <w:shd w:val="clear" w:color="auto" w:fill="auto"/>
          </w:tcPr>
          <w:p w14:paraId="00BAD5F2" w14:textId="77777777" w:rsidR="00871BDF" w:rsidRDefault="00871BDF">
            <w:pPr>
              <w:rPr>
                <w:rFonts w:ascii="宋体"/>
              </w:rPr>
            </w:pPr>
          </w:p>
        </w:tc>
        <w:tc>
          <w:tcPr>
            <w:tcW w:w="0" w:type="auto"/>
            <w:shd w:val="clear" w:color="auto" w:fill="auto"/>
          </w:tcPr>
          <w:p w14:paraId="00BAD5F3" w14:textId="77777777" w:rsidR="00871BDF" w:rsidRDefault="00871BDF">
            <w:pPr>
              <w:rPr>
                <w:rFonts w:ascii="宋体"/>
              </w:rPr>
            </w:pPr>
          </w:p>
        </w:tc>
        <w:tc>
          <w:tcPr>
            <w:tcW w:w="0" w:type="auto"/>
            <w:shd w:val="clear" w:color="auto" w:fill="auto"/>
          </w:tcPr>
          <w:p w14:paraId="00BAD5F4" w14:textId="77777777" w:rsidR="00871BDF" w:rsidRDefault="00871BDF">
            <w:pPr>
              <w:rPr>
                <w:rFonts w:ascii="宋体"/>
              </w:rPr>
            </w:pPr>
          </w:p>
        </w:tc>
        <w:tc>
          <w:tcPr>
            <w:tcW w:w="0" w:type="auto"/>
            <w:shd w:val="clear" w:color="auto" w:fill="auto"/>
          </w:tcPr>
          <w:p w14:paraId="00BAD5F5" w14:textId="77777777" w:rsidR="00871BDF" w:rsidRDefault="00871BDF">
            <w:pPr>
              <w:rPr>
                <w:rFonts w:ascii="宋体"/>
              </w:rPr>
            </w:pPr>
          </w:p>
        </w:tc>
        <w:tc>
          <w:tcPr>
            <w:tcW w:w="0" w:type="auto"/>
            <w:shd w:val="clear" w:color="auto" w:fill="auto"/>
          </w:tcPr>
          <w:p w14:paraId="00BAD5F6" w14:textId="77777777" w:rsidR="00871BDF" w:rsidRDefault="00871BDF">
            <w:pPr>
              <w:rPr>
                <w:rFonts w:ascii="宋体"/>
              </w:rPr>
            </w:pPr>
          </w:p>
        </w:tc>
        <w:tc>
          <w:tcPr>
            <w:tcW w:w="0" w:type="auto"/>
            <w:shd w:val="clear" w:color="auto" w:fill="auto"/>
          </w:tcPr>
          <w:p w14:paraId="00BAD5F7" w14:textId="77777777" w:rsidR="00871BDF" w:rsidRDefault="00871BDF">
            <w:pPr>
              <w:rPr>
                <w:rFonts w:ascii="宋体"/>
              </w:rPr>
            </w:pPr>
          </w:p>
        </w:tc>
        <w:tc>
          <w:tcPr>
            <w:tcW w:w="0" w:type="auto"/>
            <w:shd w:val="clear" w:color="auto" w:fill="auto"/>
          </w:tcPr>
          <w:p w14:paraId="00BAD5F8" w14:textId="77777777" w:rsidR="00871BDF" w:rsidRDefault="00871BDF">
            <w:pPr>
              <w:rPr>
                <w:rFonts w:ascii="宋体"/>
              </w:rPr>
            </w:pPr>
          </w:p>
        </w:tc>
        <w:tc>
          <w:tcPr>
            <w:tcW w:w="0" w:type="auto"/>
            <w:shd w:val="clear" w:color="auto" w:fill="auto"/>
          </w:tcPr>
          <w:p w14:paraId="00BAD5F9" w14:textId="77777777" w:rsidR="00871BDF" w:rsidRDefault="00871BDF">
            <w:pPr>
              <w:rPr>
                <w:rFonts w:ascii="宋体"/>
              </w:rPr>
            </w:pPr>
          </w:p>
        </w:tc>
        <w:tc>
          <w:tcPr>
            <w:tcW w:w="0" w:type="auto"/>
            <w:shd w:val="clear" w:color="auto" w:fill="auto"/>
          </w:tcPr>
          <w:p w14:paraId="00BAD5FA" w14:textId="77777777" w:rsidR="00871BDF" w:rsidRDefault="00871BDF">
            <w:pPr>
              <w:rPr>
                <w:rFonts w:ascii="宋体"/>
              </w:rPr>
            </w:pPr>
          </w:p>
        </w:tc>
        <w:tc>
          <w:tcPr>
            <w:tcW w:w="0" w:type="auto"/>
            <w:shd w:val="clear" w:color="auto" w:fill="auto"/>
          </w:tcPr>
          <w:p w14:paraId="00BAD5FB" w14:textId="77777777" w:rsidR="00871BDF" w:rsidRDefault="00871BDF">
            <w:pPr>
              <w:rPr>
                <w:rFonts w:ascii="宋体"/>
              </w:rPr>
            </w:pPr>
          </w:p>
        </w:tc>
        <w:tc>
          <w:tcPr>
            <w:tcW w:w="0" w:type="auto"/>
            <w:shd w:val="clear" w:color="auto" w:fill="auto"/>
          </w:tcPr>
          <w:p w14:paraId="00BAD5FC" w14:textId="77777777" w:rsidR="00871BDF" w:rsidRDefault="00871BDF">
            <w:pPr>
              <w:rPr>
                <w:rFonts w:ascii="宋体"/>
              </w:rPr>
            </w:pPr>
          </w:p>
        </w:tc>
        <w:tc>
          <w:tcPr>
            <w:tcW w:w="0" w:type="auto"/>
            <w:shd w:val="clear" w:color="auto" w:fill="auto"/>
          </w:tcPr>
          <w:p w14:paraId="00BAD5FD" w14:textId="77777777" w:rsidR="00871BDF" w:rsidRDefault="00871BDF">
            <w:pPr>
              <w:rPr>
                <w:rFonts w:ascii="宋体"/>
              </w:rPr>
            </w:pPr>
          </w:p>
        </w:tc>
        <w:tc>
          <w:tcPr>
            <w:tcW w:w="0" w:type="auto"/>
            <w:shd w:val="clear" w:color="auto" w:fill="auto"/>
          </w:tcPr>
          <w:p w14:paraId="00BAD5FE" w14:textId="77777777" w:rsidR="00871BDF" w:rsidRDefault="00871BDF">
            <w:pPr>
              <w:rPr>
                <w:rFonts w:ascii="宋体"/>
              </w:rPr>
            </w:pPr>
          </w:p>
        </w:tc>
        <w:tc>
          <w:tcPr>
            <w:tcW w:w="0" w:type="auto"/>
            <w:shd w:val="clear" w:color="auto" w:fill="auto"/>
          </w:tcPr>
          <w:p w14:paraId="00BAD5FF" w14:textId="77777777" w:rsidR="00871BDF" w:rsidRDefault="00871BDF">
            <w:pPr>
              <w:rPr>
                <w:rFonts w:ascii="宋体"/>
              </w:rPr>
            </w:pPr>
          </w:p>
        </w:tc>
        <w:tc>
          <w:tcPr>
            <w:tcW w:w="0" w:type="auto"/>
            <w:shd w:val="clear" w:color="auto" w:fill="auto"/>
          </w:tcPr>
          <w:p w14:paraId="00BAD600" w14:textId="77777777" w:rsidR="00871BDF" w:rsidRDefault="00871BDF">
            <w:pPr>
              <w:rPr>
                <w:rFonts w:ascii="宋体"/>
              </w:rPr>
            </w:pPr>
          </w:p>
        </w:tc>
        <w:tc>
          <w:tcPr>
            <w:tcW w:w="0" w:type="auto"/>
            <w:shd w:val="clear" w:color="auto" w:fill="auto"/>
          </w:tcPr>
          <w:p w14:paraId="00BAD601" w14:textId="77777777" w:rsidR="00871BDF" w:rsidRDefault="00871BDF">
            <w:pPr>
              <w:rPr>
                <w:rFonts w:ascii="宋体"/>
              </w:rPr>
            </w:pPr>
          </w:p>
        </w:tc>
        <w:tc>
          <w:tcPr>
            <w:tcW w:w="0" w:type="auto"/>
            <w:shd w:val="clear" w:color="auto" w:fill="auto"/>
          </w:tcPr>
          <w:p w14:paraId="00BAD602" w14:textId="77777777" w:rsidR="00871BDF" w:rsidRDefault="00871BDF">
            <w:pPr>
              <w:rPr>
                <w:rFonts w:ascii="宋体"/>
              </w:rPr>
            </w:pPr>
          </w:p>
        </w:tc>
        <w:tc>
          <w:tcPr>
            <w:tcW w:w="0" w:type="auto"/>
            <w:shd w:val="clear" w:color="auto" w:fill="auto"/>
          </w:tcPr>
          <w:p w14:paraId="00BAD603" w14:textId="77777777" w:rsidR="00871BDF" w:rsidRDefault="00871BDF">
            <w:pPr>
              <w:rPr>
                <w:rFonts w:ascii="宋体"/>
              </w:rPr>
            </w:pPr>
          </w:p>
        </w:tc>
        <w:tc>
          <w:tcPr>
            <w:tcW w:w="0" w:type="auto"/>
            <w:shd w:val="clear" w:color="auto" w:fill="auto"/>
          </w:tcPr>
          <w:p w14:paraId="00BAD604" w14:textId="77777777" w:rsidR="00871BDF" w:rsidRDefault="00871BDF">
            <w:pPr>
              <w:rPr>
                <w:rFonts w:ascii="宋体"/>
              </w:rPr>
            </w:pPr>
          </w:p>
        </w:tc>
        <w:tc>
          <w:tcPr>
            <w:tcW w:w="0" w:type="auto"/>
            <w:shd w:val="clear" w:color="auto" w:fill="auto"/>
          </w:tcPr>
          <w:p w14:paraId="00BAD605" w14:textId="77777777" w:rsidR="00871BDF" w:rsidRDefault="00871BDF">
            <w:pPr>
              <w:rPr>
                <w:rFonts w:ascii="宋体"/>
              </w:rPr>
            </w:pPr>
          </w:p>
        </w:tc>
        <w:tc>
          <w:tcPr>
            <w:tcW w:w="0" w:type="auto"/>
            <w:shd w:val="clear" w:color="auto" w:fill="auto"/>
          </w:tcPr>
          <w:p w14:paraId="00BAD606" w14:textId="77777777" w:rsidR="00871BDF" w:rsidRDefault="00871BDF">
            <w:pPr>
              <w:rPr>
                <w:rFonts w:ascii="宋体"/>
              </w:rPr>
            </w:pPr>
          </w:p>
        </w:tc>
        <w:tc>
          <w:tcPr>
            <w:tcW w:w="0" w:type="auto"/>
            <w:shd w:val="clear" w:color="auto" w:fill="auto"/>
          </w:tcPr>
          <w:p w14:paraId="00BAD607" w14:textId="77777777" w:rsidR="00871BDF" w:rsidRDefault="00871BDF">
            <w:pPr>
              <w:rPr>
                <w:rFonts w:ascii="宋体"/>
              </w:rPr>
            </w:pPr>
          </w:p>
        </w:tc>
        <w:tc>
          <w:tcPr>
            <w:tcW w:w="0" w:type="auto"/>
            <w:shd w:val="clear" w:color="auto" w:fill="auto"/>
          </w:tcPr>
          <w:p w14:paraId="00BAD608" w14:textId="77777777" w:rsidR="00871BDF" w:rsidRDefault="00871BDF">
            <w:pPr>
              <w:rPr>
                <w:rFonts w:ascii="宋体"/>
              </w:rPr>
            </w:pPr>
          </w:p>
        </w:tc>
        <w:tc>
          <w:tcPr>
            <w:tcW w:w="0" w:type="auto"/>
            <w:shd w:val="clear" w:color="auto" w:fill="auto"/>
          </w:tcPr>
          <w:p w14:paraId="00BAD609" w14:textId="77777777" w:rsidR="00871BDF" w:rsidRDefault="00871BDF">
            <w:pPr>
              <w:rPr>
                <w:rFonts w:ascii="宋体"/>
              </w:rPr>
            </w:pPr>
          </w:p>
        </w:tc>
        <w:tc>
          <w:tcPr>
            <w:tcW w:w="0" w:type="auto"/>
            <w:shd w:val="clear" w:color="auto" w:fill="auto"/>
          </w:tcPr>
          <w:p w14:paraId="00BAD60A" w14:textId="77777777" w:rsidR="00871BDF" w:rsidRDefault="00871BDF">
            <w:pPr>
              <w:rPr>
                <w:rFonts w:ascii="宋体"/>
              </w:rPr>
            </w:pPr>
          </w:p>
        </w:tc>
        <w:tc>
          <w:tcPr>
            <w:tcW w:w="0" w:type="auto"/>
            <w:shd w:val="clear" w:color="auto" w:fill="auto"/>
          </w:tcPr>
          <w:p w14:paraId="00BAD60B" w14:textId="77777777" w:rsidR="00871BDF" w:rsidRDefault="00871BDF">
            <w:pPr>
              <w:rPr>
                <w:rFonts w:ascii="宋体"/>
              </w:rPr>
            </w:pPr>
          </w:p>
        </w:tc>
      </w:tr>
      <w:tr w:rsidR="00871BDF" w14:paraId="00BAD63A" w14:textId="77777777">
        <w:trPr>
          <w:jc w:val="center"/>
        </w:trPr>
        <w:tc>
          <w:tcPr>
            <w:tcW w:w="0" w:type="auto"/>
            <w:gridSpan w:val="3"/>
            <w:shd w:val="clear" w:color="auto" w:fill="FFFFFF"/>
            <w:tcMar>
              <w:top w:w="40" w:type="dxa"/>
              <w:left w:w="155" w:type="dxa"/>
              <w:bottom w:w="40" w:type="dxa"/>
              <w:right w:w="20" w:type="dxa"/>
            </w:tcMar>
            <w:vAlign w:val="bottom"/>
          </w:tcPr>
          <w:p w14:paraId="00BAD60D" w14:textId="77777777" w:rsidR="00871BDF" w:rsidRDefault="005C5088">
            <w:pPr>
              <w:textAlignment w:val="bottom"/>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00BAD60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D60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61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611" w14:textId="77777777" w:rsidR="00871BDF" w:rsidRDefault="005C5088">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00BAD61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61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614" w14:textId="77777777" w:rsidR="00871BDF" w:rsidRDefault="005C5088">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00BAD61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61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617" w14:textId="77777777" w:rsidR="00871BDF" w:rsidRDefault="005C5088">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0BAD61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61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61A" w14:textId="77777777" w:rsidR="00871BDF" w:rsidRDefault="005C5088">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00BAD61B" w14:textId="77777777" w:rsidR="00871BDF" w:rsidRDefault="00871BDF">
            <w:pPr>
              <w:jc w:val="right"/>
              <w:rPr>
                <w:rFonts w:ascii="宋体"/>
              </w:rPr>
            </w:pPr>
          </w:p>
        </w:tc>
        <w:tc>
          <w:tcPr>
            <w:tcW w:w="0" w:type="auto"/>
            <w:shd w:val="clear" w:color="auto" w:fill="auto"/>
          </w:tcPr>
          <w:p w14:paraId="00BAD61C" w14:textId="77777777" w:rsidR="00871BDF" w:rsidRDefault="00871BDF">
            <w:pPr>
              <w:rPr>
                <w:rFonts w:ascii="宋体"/>
              </w:rPr>
            </w:pPr>
          </w:p>
        </w:tc>
        <w:tc>
          <w:tcPr>
            <w:tcW w:w="0" w:type="auto"/>
            <w:shd w:val="clear" w:color="auto" w:fill="auto"/>
          </w:tcPr>
          <w:p w14:paraId="00BAD61D" w14:textId="77777777" w:rsidR="00871BDF" w:rsidRDefault="00871BDF">
            <w:pPr>
              <w:rPr>
                <w:rFonts w:ascii="宋体"/>
              </w:rPr>
            </w:pPr>
          </w:p>
        </w:tc>
        <w:tc>
          <w:tcPr>
            <w:tcW w:w="0" w:type="auto"/>
            <w:shd w:val="clear" w:color="auto" w:fill="auto"/>
          </w:tcPr>
          <w:p w14:paraId="00BAD61E" w14:textId="77777777" w:rsidR="00871BDF" w:rsidRDefault="00871BDF">
            <w:pPr>
              <w:rPr>
                <w:rFonts w:ascii="宋体"/>
              </w:rPr>
            </w:pPr>
          </w:p>
        </w:tc>
        <w:tc>
          <w:tcPr>
            <w:tcW w:w="0" w:type="auto"/>
            <w:shd w:val="clear" w:color="auto" w:fill="auto"/>
          </w:tcPr>
          <w:p w14:paraId="00BAD61F" w14:textId="77777777" w:rsidR="00871BDF" w:rsidRDefault="00871BDF">
            <w:pPr>
              <w:rPr>
                <w:rFonts w:ascii="宋体"/>
              </w:rPr>
            </w:pPr>
          </w:p>
        </w:tc>
        <w:tc>
          <w:tcPr>
            <w:tcW w:w="0" w:type="auto"/>
            <w:shd w:val="clear" w:color="auto" w:fill="auto"/>
          </w:tcPr>
          <w:p w14:paraId="00BAD620" w14:textId="77777777" w:rsidR="00871BDF" w:rsidRDefault="00871BDF">
            <w:pPr>
              <w:rPr>
                <w:rFonts w:ascii="宋体"/>
              </w:rPr>
            </w:pPr>
          </w:p>
        </w:tc>
        <w:tc>
          <w:tcPr>
            <w:tcW w:w="0" w:type="auto"/>
            <w:shd w:val="clear" w:color="auto" w:fill="auto"/>
          </w:tcPr>
          <w:p w14:paraId="00BAD621" w14:textId="77777777" w:rsidR="00871BDF" w:rsidRDefault="00871BDF">
            <w:pPr>
              <w:rPr>
                <w:rFonts w:ascii="宋体"/>
              </w:rPr>
            </w:pPr>
          </w:p>
        </w:tc>
        <w:tc>
          <w:tcPr>
            <w:tcW w:w="0" w:type="auto"/>
            <w:shd w:val="clear" w:color="auto" w:fill="auto"/>
          </w:tcPr>
          <w:p w14:paraId="00BAD622" w14:textId="77777777" w:rsidR="00871BDF" w:rsidRDefault="00871BDF">
            <w:pPr>
              <w:rPr>
                <w:rFonts w:ascii="宋体"/>
              </w:rPr>
            </w:pPr>
          </w:p>
        </w:tc>
        <w:tc>
          <w:tcPr>
            <w:tcW w:w="0" w:type="auto"/>
            <w:shd w:val="clear" w:color="auto" w:fill="auto"/>
          </w:tcPr>
          <w:p w14:paraId="00BAD623" w14:textId="77777777" w:rsidR="00871BDF" w:rsidRDefault="00871BDF">
            <w:pPr>
              <w:rPr>
                <w:rFonts w:ascii="宋体"/>
              </w:rPr>
            </w:pPr>
          </w:p>
        </w:tc>
        <w:tc>
          <w:tcPr>
            <w:tcW w:w="0" w:type="auto"/>
            <w:shd w:val="clear" w:color="auto" w:fill="auto"/>
          </w:tcPr>
          <w:p w14:paraId="00BAD624" w14:textId="77777777" w:rsidR="00871BDF" w:rsidRDefault="00871BDF">
            <w:pPr>
              <w:rPr>
                <w:rFonts w:ascii="宋体"/>
              </w:rPr>
            </w:pPr>
          </w:p>
        </w:tc>
        <w:tc>
          <w:tcPr>
            <w:tcW w:w="0" w:type="auto"/>
            <w:shd w:val="clear" w:color="auto" w:fill="auto"/>
          </w:tcPr>
          <w:p w14:paraId="00BAD625" w14:textId="77777777" w:rsidR="00871BDF" w:rsidRDefault="00871BDF">
            <w:pPr>
              <w:rPr>
                <w:rFonts w:ascii="宋体"/>
              </w:rPr>
            </w:pPr>
          </w:p>
        </w:tc>
        <w:tc>
          <w:tcPr>
            <w:tcW w:w="0" w:type="auto"/>
            <w:shd w:val="clear" w:color="auto" w:fill="auto"/>
          </w:tcPr>
          <w:p w14:paraId="00BAD626" w14:textId="77777777" w:rsidR="00871BDF" w:rsidRDefault="00871BDF">
            <w:pPr>
              <w:rPr>
                <w:rFonts w:ascii="宋体"/>
              </w:rPr>
            </w:pPr>
          </w:p>
        </w:tc>
        <w:tc>
          <w:tcPr>
            <w:tcW w:w="0" w:type="auto"/>
            <w:shd w:val="clear" w:color="auto" w:fill="auto"/>
          </w:tcPr>
          <w:p w14:paraId="00BAD627" w14:textId="77777777" w:rsidR="00871BDF" w:rsidRDefault="00871BDF">
            <w:pPr>
              <w:rPr>
                <w:rFonts w:ascii="宋体"/>
              </w:rPr>
            </w:pPr>
          </w:p>
        </w:tc>
        <w:tc>
          <w:tcPr>
            <w:tcW w:w="0" w:type="auto"/>
            <w:shd w:val="clear" w:color="auto" w:fill="auto"/>
          </w:tcPr>
          <w:p w14:paraId="00BAD628" w14:textId="77777777" w:rsidR="00871BDF" w:rsidRDefault="00871BDF">
            <w:pPr>
              <w:rPr>
                <w:rFonts w:ascii="宋体"/>
              </w:rPr>
            </w:pPr>
          </w:p>
        </w:tc>
        <w:tc>
          <w:tcPr>
            <w:tcW w:w="0" w:type="auto"/>
            <w:shd w:val="clear" w:color="auto" w:fill="auto"/>
          </w:tcPr>
          <w:p w14:paraId="00BAD629" w14:textId="77777777" w:rsidR="00871BDF" w:rsidRDefault="00871BDF">
            <w:pPr>
              <w:rPr>
                <w:rFonts w:ascii="宋体"/>
              </w:rPr>
            </w:pPr>
          </w:p>
        </w:tc>
        <w:tc>
          <w:tcPr>
            <w:tcW w:w="0" w:type="auto"/>
            <w:shd w:val="clear" w:color="auto" w:fill="auto"/>
          </w:tcPr>
          <w:p w14:paraId="00BAD62A" w14:textId="77777777" w:rsidR="00871BDF" w:rsidRDefault="00871BDF">
            <w:pPr>
              <w:rPr>
                <w:rFonts w:ascii="宋体"/>
              </w:rPr>
            </w:pPr>
          </w:p>
        </w:tc>
        <w:tc>
          <w:tcPr>
            <w:tcW w:w="0" w:type="auto"/>
            <w:shd w:val="clear" w:color="auto" w:fill="auto"/>
          </w:tcPr>
          <w:p w14:paraId="00BAD62B" w14:textId="77777777" w:rsidR="00871BDF" w:rsidRDefault="00871BDF">
            <w:pPr>
              <w:rPr>
                <w:rFonts w:ascii="宋体"/>
              </w:rPr>
            </w:pPr>
          </w:p>
        </w:tc>
        <w:tc>
          <w:tcPr>
            <w:tcW w:w="0" w:type="auto"/>
            <w:shd w:val="clear" w:color="auto" w:fill="auto"/>
          </w:tcPr>
          <w:p w14:paraId="00BAD62C" w14:textId="77777777" w:rsidR="00871BDF" w:rsidRDefault="00871BDF">
            <w:pPr>
              <w:rPr>
                <w:rFonts w:ascii="宋体"/>
              </w:rPr>
            </w:pPr>
          </w:p>
        </w:tc>
        <w:tc>
          <w:tcPr>
            <w:tcW w:w="0" w:type="auto"/>
            <w:shd w:val="clear" w:color="auto" w:fill="auto"/>
          </w:tcPr>
          <w:p w14:paraId="00BAD62D" w14:textId="77777777" w:rsidR="00871BDF" w:rsidRDefault="00871BDF">
            <w:pPr>
              <w:rPr>
                <w:rFonts w:ascii="宋体"/>
              </w:rPr>
            </w:pPr>
          </w:p>
        </w:tc>
        <w:tc>
          <w:tcPr>
            <w:tcW w:w="0" w:type="auto"/>
            <w:shd w:val="clear" w:color="auto" w:fill="auto"/>
          </w:tcPr>
          <w:p w14:paraId="00BAD62E" w14:textId="77777777" w:rsidR="00871BDF" w:rsidRDefault="00871BDF">
            <w:pPr>
              <w:rPr>
                <w:rFonts w:ascii="宋体"/>
              </w:rPr>
            </w:pPr>
          </w:p>
        </w:tc>
        <w:tc>
          <w:tcPr>
            <w:tcW w:w="0" w:type="auto"/>
            <w:shd w:val="clear" w:color="auto" w:fill="auto"/>
          </w:tcPr>
          <w:p w14:paraId="00BAD62F" w14:textId="77777777" w:rsidR="00871BDF" w:rsidRDefault="00871BDF">
            <w:pPr>
              <w:rPr>
                <w:rFonts w:ascii="宋体"/>
              </w:rPr>
            </w:pPr>
          </w:p>
        </w:tc>
        <w:tc>
          <w:tcPr>
            <w:tcW w:w="0" w:type="auto"/>
            <w:shd w:val="clear" w:color="auto" w:fill="auto"/>
          </w:tcPr>
          <w:p w14:paraId="00BAD630" w14:textId="77777777" w:rsidR="00871BDF" w:rsidRDefault="00871BDF">
            <w:pPr>
              <w:rPr>
                <w:rFonts w:ascii="宋体"/>
              </w:rPr>
            </w:pPr>
          </w:p>
        </w:tc>
        <w:tc>
          <w:tcPr>
            <w:tcW w:w="0" w:type="auto"/>
            <w:shd w:val="clear" w:color="auto" w:fill="auto"/>
          </w:tcPr>
          <w:p w14:paraId="00BAD631" w14:textId="77777777" w:rsidR="00871BDF" w:rsidRDefault="00871BDF">
            <w:pPr>
              <w:rPr>
                <w:rFonts w:ascii="宋体"/>
              </w:rPr>
            </w:pPr>
          </w:p>
        </w:tc>
        <w:tc>
          <w:tcPr>
            <w:tcW w:w="0" w:type="auto"/>
            <w:shd w:val="clear" w:color="auto" w:fill="auto"/>
          </w:tcPr>
          <w:p w14:paraId="00BAD632" w14:textId="77777777" w:rsidR="00871BDF" w:rsidRDefault="00871BDF">
            <w:pPr>
              <w:rPr>
                <w:rFonts w:ascii="宋体"/>
              </w:rPr>
            </w:pPr>
          </w:p>
        </w:tc>
        <w:tc>
          <w:tcPr>
            <w:tcW w:w="0" w:type="auto"/>
            <w:shd w:val="clear" w:color="auto" w:fill="auto"/>
          </w:tcPr>
          <w:p w14:paraId="00BAD633" w14:textId="77777777" w:rsidR="00871BDF" w:rsidRDefault="00871BDF">
            <w:pPr>
              <w:rPr>
                <w:rFonts w:ascii="宋体"/>
              </w:rPr>
            </w:pPr>
          </w:p>
        </w:tc>
        <w:tc>
          <w:tcPr>
            <w:tcW w:w="0" w:type="auto"/>
            <w:shd w:val="clear" w:color="auto" w:fill="auto"/>
          </w:tcPr>
          <w:p w14:paraId="00BAD634" w14:textId="77777777" w:rsidR="00871BDF" w:rsidRDefault="00871BDF">
            <w:pPr>
              <w:rPr>
                <w:rFonts w:ascii="宋体"/>
              </w:rPr>
            </w:pPr>
          </w:p>
        </w:tc>
        <w:tc>
          <w:tcPr>
            <w:tcW w:w="0" w:type="auto"/>
            <w:shd w:val="clear" w:color="auto" w:fill="auto"/>
          </w:tcPr>
          <w:p w14:paraId="00BAD635" w14:textId="77777777" w:rsidR="00871BDF" w:rsidRDefault="00871BDF">
            <w:pPr>
              <w:rPr>
                <w:rFonts w:ascii="宋体"/>
              </w:rPr>
            </w:pPr>
          </w:p>
        </w:tc>
        <w:tc>
          <w:tcPr>
            <w:tcW w:w="0" w:type="auto"/>
            <w:shd w:val="clear" w:color="auto" w:fill="auto"/>
          </w:tcPr>
          <w:p w14:paraId="00BAD636" w14:textId="77777777" w:rsidR="00871BDF" w:rsidRDefault="00871BDF">
            <w:pPr>
              <w:rPr>
                <w:rFonts w:ascii="宋体"/>
              </w:rPr>
            </w:pPr>
          </w:p>
        </w:tc>
        <w:tc>
          <w:tcPr>
            <w:tcW w:w="0" w:type="auto"/>
            <w:shd w:val="clear" w:color="auto" w:fill="auto"/>
          </w:tcPr>
          <w:p w14:paraId="00BAD637" w14:textId="77777777" w:rsidR="00871BDF" w:rsidRDefault="00871BDF">
            <w:pPr>
              <w:rPr>
                <w:rFonts w:ascii="宋体"/>
              </w:rPr>
            </w:pPr>
          </w:p>
        </w:tc>
        <w:tc>
          <w:tcPr>
            <w:tcW w:w="0" w:type="auto"/>
            <w:shd w:val="clear" w:color="auto" w:fill="auto"/>
          </w:tcPr>
          <w:p w14:paraId="00BAD638" w14:textId="77777777" w:rsidR="00871BDF" w:rsidRDefault="00871BDF">
            <w:pPr>
              <w:rPr>
                <w:rFonts w:ascii="宋体"/>
              </w:rPr>
            </w:pPr>
          </w:p>
        </w:tc>
        <w:tc>
          <w:tcPr>
            <w:tcW w:w="0" w:type="auto"/>
            <w:shd w:val="clear" w:color="auto" w:fill="auto"/>
          </w:tcPr>
          <w:p w14:paraId="00BAD639" w14:textId="77777777" w:rsidR="00871BDF" w:rsidRDefault="00871BDF">
            <w:pPr>
              <w:rPr>
                <w:rFonts w:ascii="宋体"/>
              </w:rPr>
            </w:pPr>
          </w:p>
        </w:tc>
      </w:tr>
      <w:tr w:rsidR="00871BDF" w14:paraId="00BAD668" w14:textId="77777777">
        <w:trPr>
          <w:jc w:val="center"/>
        </w:trPr>
        <w:tc>
          <w:tcPr>
            <w:tcW w:w="0" w:type="auto"/>
            <w:gridSpan w:val="3"/>
            <w:shd w:val="clear" w:color="auto" w:fill="D7E4BC"/>
            <w:tcMar>
              <w:top w:w="40" w:type="dxa"/>
              <w:left w:w="20" w:type="dxa"/>
              <w:bottom w:w="40" w:type="dxa"/>
              <w:right w:w="20" w:type="dxa"/>
            </w:tcMar>
            <w:vAlign w:val="bottom"/>
          </w:tcPr>
          <w:p w14:paraId="00BAD63B" w14:textId="77777777" w:rsidR="00871BDF" w:rsidRDefault="005C5088">
            <w:pPr>
              <w:textAlignment w:val="bottom"/>
            </w:pPr>
            <w:r>
              <w:rPr>
                <w:rFonts w:ascii="Times New Roman" w:eastAsia="宋体" w:hAnsi="Times New Roman"/>
                <w:color w:val="000000"/>
                <w:sz w:val="20"/>
                <w:szCs w:val="20"/>
              </w:rPr>
              <w:t>Tot</w:t>
            </w:r>
            <w:r>
              <w:rPr>
                <w:rFonts w:ascii="Times New Roman" w:eastAsia="宋体" w:hAnsi="Times New Roman"/>
                <w:color w:val="000000"/>
                <w:sz w:val="20"/>
                <w:szCs w:val="20"/>
              </w:rPr>
              <w:t>al</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63C" w14:textId="77777777" w:rsidR="00871BDF" w:rsidRDefault="005C5088">
            <w:pPr>
              <w:jc w:val="right"/>
              <w:textAlignment w:val="bottom"/>
            </w:pPr>
            <w:r>
              <w:rPr>
                <w:rFonts w:ascii="Times New Roman" w:eastAsia="宋体" w:hAnsi="Times New Roman"/>
                <w:color w:val="000000"/>
                <w:sz w:val="20"/>
                <w:szCs w:val="20"/>
              </w:rPr>
              <w:t>1,404 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63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63E"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63F" w14:textId="77777777" w:rsidR="00871BDF" w:rsidRDefault="005C5088">
            <w:pPr>
              <w:jc w:val="right"/>
              <w:textAlignment w:val="bottom"/>
            </w:pPr>
            <w:r>
              <w:rPr>
                <w:rFonts w:ascii="Times New Roman" w:eastAsia="宋体" w:hAnsi="Times New Roman"/>
                <w:color w:val="000000"/>
                <w:sz w:val="20"/>
                <w:szCs w:val="20"/>
              </w:rPr>
              <w:t>1,932 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64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641"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642" w14:textId="77777777" w:rsidR="00871BDF" w:rsidRDefault="005C5088">
            <w:pPr>
              <w:jc w:val="right"/>
              <w:textAlignment w:val="bottom"/>
            </w:pPr>
            <w:r>
              <w:rPr>
                <w:rFonts w:ascii="Times New Roman" w:eastAsia="宋体" w:hAnsi="Times New Roman"/>
                <w:color w:val="000000"/>
                <w:sz w:val="20"/>
                <w:szCs w:val="20"/>
              </w:rPr>
              <w:t>1,985 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64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644"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645" w14:textId="77777777" w:rsidR="00871BDF" w:rsidRDefault="005C5088">
            <w:pPr>
              <w:jc w:val="right"/>
              <w:textAlignment w:val="bottom"/>
            </w:pPr>
            <w:r>
              <w:rPr>
                <w:rFonts w:ascii="Times New Roman" w:eastAsia="宋体" w:hAnsi="Times New Roman"/>
                <w:color w:val="000000"/>
                <w:sz w:val="20"/>
                <w:szCs w:val="20"/>
              </w:rPr>
              <w:t>2,254 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64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647"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648" w14:textId="77777777" w:rsidR="00871BDF" w:rsidRDefault="005C5088">
            <w:pPr>
              <w:jc w:val="right"/>
              <w:textAlignment w:val="bottom"/>
            </w:pPr>
            <w:r>
              <w:rPr>
                <w:rFonts w:ascii="Times New Roman" w:eastAsia="宋体" w:hAnsi="Times New Roman"/>
                <w:color w:val="000000"/>
                <w:sz w:val="20"/>
                <w:szCs w:val="20"/>
              </w:rPr>
              <w:t>2,042 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649" w14:textId="77777777" w:rsidR="00871BDF" w:rsidRDefault="00871BDF">
            <w:pPr>
              <w:jc w:val="right"/>
              <w:rPr>
                <w:rFonts w:ascii="宋体"/>
              </w:rPr>
            </w:pPr>
          </w:p>
        </w:tc>
        <w:tc>
          <w:tcPr>
            <w:tcW w:w="0" w:type="auto"/>
            <w:shd w:val="clear" w:color="auto" w:fill="auto"/>
          </w:tcPr>
          <w:p w14:paraId="00BAD64A" w14:textId="77777777" w:rsidR="00871BDF" w:rsidRDefault="00871BDF">
            <w:pPr>
              <w:rPr>
                <w:rFonts w:ascii="宋体"/>
              </w:rPr>
            </w:pPr>
          </w:p>
        </w:tc>
        <w:tc>
          <w:tcPr>
            <w:tcW w:w="0" w:type="auto"/>
            <w:shd w:val="clear" w:color="auto" w:fill="auto"/>
          </w:tcPr>
          <w:p w14:paraId="00BAD64B" w14:textId="77777777" w:rsidR="00871BDF" w:rsidRDefault="00871BDF">
            <w:pPr>
              <w:rPr>
                <w:rFonts w:ascii="宋体"/>
              </w:rPr>
            </w:pPr>
          </w:p>
        </w:tc>
        <w:tc>
          <w:tcPr>
            <w:tcW w:w="0" w:type="auto"/>
            <w:shd w:val="clear" w:color="auto" w:fill="auto"/>
          </w:tcPr>
          <w:p w14:paraId="00BAD64C" w14:textId="77777777" w:rsidR="00871BDF" w:rsidRDefault="00871BDF">
            <w:pPr>
              <w:rPr>
                <w:rFonts w:ascii="宋体"/>
              </w:rPr>
            </w:pPr>
          </w:p>
        </w:tc>
        <w:tc>
          <w:tcPr>
            <w:tcW w:w="0" w:type="auto"/>
            <w:shd w:val="clear" w:color="auto" w:fill="auto"/>
          </w:tcPr>
          <w:p w14:paraId="00BAD64D" w14:textId="77777777" w:rsidR="00871BDF" w:rsidRDefault="00871BDF">
            <w:pPr>
              <w:rPr>
                <w:rFonts w:ascii="宋体"/>
              </w:rPr>
            </w:pPr>
          </w:p>
        </w:tc>
        <w:tc>
          <w:tcPr>
            <w:tcW w:w="0" w:type="auto"/>
            <w:shd w:val="clear" w:color="auto" w:fill="auto"/>
          </w:tcPr>
          <w:p w14:paraId="00BAD64E" w14:textId="77777777" w:rsidR="00871BDF" w:rsidRDefault="00871BDF">
            <w:pPr>
              <w:rPr>
                <w:rFonts w:ascii="宋体"/>
              </w:rPr>
            </w:pPr>
          </w:p>
        </w:tc>
        <w:tc>
          <w:tcPr>
            <w:tcW w:w="0" w:type="auto"/>
            <w:shd w:val="clear" w:color="auto" w:fill="auto"/>
          </w:tcPr>
          <w:p w14:paraId="00BAD64F" w14:textId="77777777" w:rsidR="00871BDF" w:rsidRDefault="00871BDF">
            <w:pPr>
              <w:rPr>
                <w:rFonts w:ascii="宋体"/>
              </w:rPr>
            </w:pPr>
          </w:p>
        </w:tc>
        <w:tc>
          <w:tcPr>
            <w:tcW w:w="0" w:type="auto"/>
            <w:shd w:val="clear" w:color="auto" w:fill="auto"/>
          </w:tcPr>
          <w:p w14:paraId="00BAD650" w14:textId="77777777" w:rsidR="00871BDF" w:rsidRDefault="00871BDF">
            <w:pPr>
              <w:rPr>
                <w:rFonts w:ascii="宋体"/>
              </w:rPr>
            </w:pPr>
          </w:p>
        </w:tc>
        <w:tc>
          <w:tcPr>
            <w:tcW w:w="0" w:type="auto"/>
            <w:shd w:val="clear" w:color="auto" w:fill="auto"/>
          </w:tcPr>
          <w:p w14:paraId="00BAD651" w14:textId="77777777" w:rsidR="00871BDF" w:rsidRDefault="00871BDF">
            <w:pPr>
              <w:rPr>
                <w:rFonts w:ascii="宋体"/>
              </w:rPr>
            </w:pPr>
          </w:p>
        </w:tc>
        <w:tc>
          <w:tcPr>
            <w:tcW w:w="0" w:type="auto"/>
            <w:shd w:val="clear" w:color="auto" w:fill="auto"/>
          </w:tcPr>
          <w:p w14:paraId="00BAD652" w14:textId="77777777" w:rsidR="00871BDF" w:rsidRDefault="00871BDF">
            <w:pPr>
              <w:rPr>
                <w:rFonts w:ascii="宋体"/>
              </w:rPr>
            </w:pPr>
          </w:p>
        </w:tc>
        <w:tc>
          <w:tcPr>
            <w:tcW w:w="0" w:type="auto"/>
            <w:shd w:val="clear" w:color="auto" w:fill="auto"/>
          </w:tcPr>
          <w:p w14:paraId="00BAD653" w14:textId="77777777" w:rsidR="00871BDF" w:rsidRDefault="00871BDF">
            <w:pPr>
              <w:rPr>
                <w:rFonts w:ascii="宋体"/>
              </w:rPr>
            </w:pPr>
          </w:p>
        </w:tc>
        <w:tc>
          <w:tcPr>
            <w:tcW w:w="0" w:type="auto"/>
            <w:shd w:val="clear" w:color="auto" w:fill="auto"/>
          </w:tcPr>
          <w:p w14:paraId="00BAD654" w14:textId="77777777" w:rsidR="00871BDF" w:rsidRDefault="00871BDF">
            <w:pPr>
              <w:rPr>
                <w:rFonts w:ascii="宋体"/>
              </w:rPr>
            </w:pPr>
          </w:p>
        </w:tc>
        <w:tc>
          <w:tcPr>
            <w:tcW w:w="0" w:type="auto"/>
            <w:shd w:val="clear" w:color="auto" w:fill="auto"/>
          </w:tcPr>
          <w:p w14:paraId="00BAD655" w14:textId="77777777" w:rsidR="00871BDF" w:rsidRDefault="00871BDF">
            <w:pPr>
              <w:rPr>
                <w:rFonts w:ascii="宋体"/>
              </w:rPr>
            </w:pPr>
          </w:p>
        </w:tc>
        <w:tc>
          <w:tcPr>
            <w:tcW w:w="0" w:type="auto"/>
            <w:shd w:val="clear" w:color="auto" w:fill="auto"/>
          </w:tcPr>
          <w:p w14:paraId="00BAD656" w14:textId="77777777" w:rsidR="00871BDF" w:rsidRDefault="00871BDF">
            <w:pPr>
              <w:rPr>
                <w:rFonts w:ascii="宋体"/>
              </w:rPr>
            </w:pPr>
          </w:p>
        </w:tc>
        <w:tc>
          <w:tcPr>
            <w:tcW w:w="0" w:type="auto"/>
            <w:shd w:val="clear" w:color="auto" w:fill="auto"/>
          </w:tcPr>
          <w:p w14:paraId="00BAD657" w14:textId="77777777" w:rsidR="00871BDF" w:rsidRDefault="00871BDF">
            <w:pPr>
              <w:rPr>
                <w:rFonts w:ascii="宋体"/>
              </w:rPr>
            </w:pPr>
          </w:p>
        </w:tc>
        <w:tc>
          <w:tcPr>
            <w:tcW w:w="0" w:type="auto"/>
            <w:shd w:val="clear" w:color="auto" w:fill="auto"/>
          </w:tcPr>
          <w:p w14:paraId="00BAD658" w14:textId="77777777" w:rsidR="00871BDF" w:rsidRDefault="00871BDF">
            <w:pPr>
              <w:rPr>
                <w:rFonts w:ascii="宋体"/>
              </w:rPr>
            </w:pPr>
          </w:p>
        </w:tc>
        <w:tc>
          <w:tcPr>
            <w:tcW w:w="0" w:type="auto"/>
            <w:shd w:val="clear" w:color="auto" w:fill="auto"/>
          </w:tcPr>
          <w:p w14:paraId="00BAD659" w14:textId="77777777" w:rsidR="00871BDF" w:rsidRDefault="00871BDF">
            <w:pPr>
              <w:rPr>
                <w:rFonts w:ascii="宋体"/>
              </w:rPr>
            </w:pPr>
          </w:p>
        </w:tc>
        <w:tc>
          <w:tcPr>
            <w:tcW w:w="0" w:type="auto"/>
            <w:shd w:val="clear" w:color="auto" w:fill="auto"/>
          </w:tcPr>
          <w:p w14:paraId="00BAD65A" w14:textId="77777777" w:rsidR="00871BDF" w:rsidRDefault="00871BDF">
            <w:pPr>
              <w:rPr>
                <w:rFonts w:ascii="宋体"/>
              </w:rPr>
            </w:pPr>
          </w:p>
        </w:tc>
        <w:tc>
          <w:tcPr>
            <w:tcW w:w="0" w:type="auto"/>
            <w:shd w:val="clear" w:color="auto" w:fill="auto"/>
          </w:tcPr>
          <w:p w14:paraId="00BAD65B" w14:textId="77777777" w:rsidR="00871BDF" w:rsidRDefault="00871BDF">
            <w:pPr>
              <w:rPr>
                <w:rFonts w:ascii="宋体"/>
              </w:rPr>
            </w:pPr>
          </w:p>
        </w:tc>
        <w:tc>
          <w:tcPr>
            <w:tcW w:w="0" w:type="auto"/>
            <w:shd w:val="clear" w:color="auto" w:fill="auto"/>
          </w:tcPr>
          <w:p w14:paraId="00BAD65C" w14:textId="77777777" w:rsidR="00871BDF" w:rsidRDefault="00871BDF">
            <w:pPr>
              <w:rPr>
                <w:rFonts w:ascii="宋体"/>
              </w:rPr>
            </w:pPr>
          </w:p>
        </w:tc>
        <w:tc>
          <w:tcPr>
            <w:tcW w:w="0" w:type="auto"/>
            <w:shd w:val="clear" w:color="auto" w:fill="auto"/>
          </w:tcPr>
          <w:p w14:paraId="00BAD65D" w14:textId="77777777" w:rsidR="00871BDF" w:rsidRDefault="00871BDF">
            <w:pPr>
              <w:rPr>
                <w:rFonts w:ascii="宋体"/>
              </w:rPr>
            </w:pPr>
          </w:p>
        </w:tc>
        <w:tc>
          <w:tcPr>
            <w:tcW w:w="0" w:type="auto"/>
            <w:shd w:val="clear" w:color="auto" w:fill="auto"/>
          </w:tcPr>
          <w:p w14:paraId="00BAD65E" w14:textId="77777777" w:rsidR="00871BDF" w:rsidRDefault="00871BDF">
            <w:pPr>
              <w:rPr>
                <w:rFonts w:ascii="宋体"/>
              </w:rPr>
            </w:pPr>
          </w:p>
        </w:tc>
        <w:tc>
          <w:tcPr>
            <w:tcW w:w="0" w:type="auto"/>
            <w:shd w:val="clear" w:color="auto" w:fill="auto"/>
          </w:tcPr>
          <w:p w14:paraId="00BAD65F" w14:textId="77777777" w:rsidR="00871BDF" w:rsidRDefault="00871BDF">
            <w:pPr>
              <w:rPr>
                <w:rFonts w:ascii="宋体"/>
              </w:rPr>
            </w:pPr>
          </w:p>
        </w:tc>
        <w:tc>
          <w:tcPr>
            <w:tcW w:w="0" w:type="auto"/>
            <w:shd w:val="clear" w:color="auto" w:fill="auto"/>
          </w:tcPr>
          <w:p w14:paraId="00BAD660" w14:textId="77777777" w:rsidR="00871BDF" w:rsidRDefault="00871BDF">
            <w:pPr>
              <w:rPr>
                <w:rFonts w:ascii="宋体"/>
              </w:rPr>
            </w:pPr>
          </w:p>
        </w:tc>
        <w:tc>
          <w:tcPr>
            <w:tcW w:w="0" w:type="auto"/>
            <w:shd w:val="clear" w:color="auto" w:fill="auto"/>
          </w:tcPr>
          <w:p w14:paraId="00BAD661" w14:textId="77777777" w:rsidR="00871BDF" w:rsidRDefault="00871BDF">
            <w:pPr>
              <w:rPr>
                <w:rFonts w:ascii="宋体"/>
              </w:rPr>
            </w:pPr>
          </w:p>
        </w:tc>
        <w:tc>
          <w:tcPr>
            <w:tcW w:w="0" w:type="auto"/>
            <w:shd w:val="clear" w:color="auto" w:fill="auto"/>
          </w:tcPr>
          <w:p w14:paraId="00BAD662" w14:textId="77777777" w:rsidR="00871BDF" w:rsidRDefault="00871BDF">
            <w:pPr>
              <w:rPr>
                <w:rFonts w:ascii="宋体"/>
              </w:rPr>
            </w:pPr>
          </w:p>
        </w:tc>
        <w:tc>
          <w:tcPr>
            <w:tcW w:w="0" w:type="auto"/>
            <w:shd w:val="clear" w:color="auto" w:fill="auto"/>
          </w:tcPr>
          <w:p w14:paraId="00BAD663" w14:textId="77777777" w:rsidR="00871BDF" w:rsidRDefault="00871BDF">
            <w:pPr>
              <w:rPr>
                <w:rFonts w:ascii="宋体"/>
              </w:rPr>
            </w:pPr>
          </w:p>
        </w:tc>
        <w:tc>
          <w:tcPr>
            <w:tcW w:w="0" w:type="auto"/>
            <w:shd w:val="clear" w:color="auto" w:fill="auto"/>
          </w:tcPr>
          <w:p w14:paraId="00BAD664" w14:textId="77777777" w:rsidR="00871BDF" w:rsidRDefault="00871BDF">
            <w:pPr>
              <w:rPr>
                <w:rFonts w:ascii="宋体"/>
              </w:rPr>
            </w:pPr>
          </w:p>
        </w:tc>
        <w:tc>
          <w:tcPr>
            <w:tcW w:w="0" w:type="auto"/>
            <w:shd w:val="clear" w:color="auto" w:fill="auto"/>
          </w:tcPr>
          <w:p w14:paraId="00BAD665" w14:textId="77777777" w:rsidR="00871BDF" w:rsidRDefault="00871BDF">
            <w:pPr>
              <w:rPr>
                <w:rFonts w:ascii="宋体"/>
              </w:rPr>
            </w:pPr>
          </w:p>
        </w:tc>
        <w:tc>
          <w:tcPr>
            <w:tcW w:w="0" w:type="auto"/>
            <w:shd w:val="clear" w:color="auto" w:fill="auto"/>
          </w:tcPr>
          <w:p w14:paraId="00BAD666" w14:textId="77777777" w:rsidR="00871BDF" w:rsidRDefault="00871BDF">
            <w:pPr>
              <w:rPr>
                <w:rFonts w:ascii="宋体"/>
              </w:rPr>
            </w:pPr>
          </w:p>
        </w:tc>
        <w:tc>
          <w:tcPr>
            <w:tcW w:w="0" w:type="auto"/>
            <w:shd w:val="clear" w:color="auto" w:fill="auto"/>
          </w:tcPr>
          <w:p w14:paraId="00BAD667" w14:textId="77777777" w:rsidR="00871BDF" w:rsidRDefault="00871BDF">
            <w:pPr>
              <w:rPr>
                <w:rFonts w:ascii="宋体"/>
              </w:rPr>
            </w:pPr>
          </w:p>
        </w:tc>
      </w:tr>
      <w:tr w:rsidR="00871BDF" w14:paraId="00BAD691" w14:textId="77777777">
        <w:trPr>
          <w:jc w:val="center"/>
        </w:trPr>
        <w:tc>
          <w:tcPr>
            <w:tcW w:w="0" w:type="auto"/>
            <w:gridSpan w:val="3"/>
            <w:shd w:val="clear" w:color="auto" w:fill="FFFFFF"/>
            <w:tcMar>
              <w:top w:w="40" w:type="dxa"/>
              <w:left w:w="20" w:type="dxa"/>
              <w:bottom w:w="40" w:type="dxa"/>
              <w:right w:w="20" w:type="dxa"/>
            </w:tcMar>
            <w:vAlign w:val="bottom"/>
          </w:tcPr>
          <w:p w14:paraId="00BAD669" w14:textId="77777777" w:rsidR="00871BDF" w:rsidRDefault="005C5088">
            <w:pPr>
              <w:textAlignment w:val="bottom"/>
            </w:pPr>
            <w:r>
              <w:rPr>
                <w:rFonts w:ascii="Times New Roman" w:eastAsia="宋体" w:hAnsi="Times New Roman"/>
                <w:color w:val="000000"/>
                <w:sz w:val="20"/>
                <w:szCs w:val="20"/>
              </w:rPr>
              <w:t>Stores open at year end:</w:t>
            </w:r>
          </w:p>
        </w:tc>
        <w:tc>
          <w:tcPr>
            <w:tcW w:w="0" w:type="auto"/>
            <w:gridSpan w:val="3"/>
            <w:tcBorders>
              <w:top w:val="double" w:sz="6" w:space="0" w:color="000000"/>
            </w:tcBorders>
            <w:shd w:val="clear" w:color="auto" w:fill="FFFFFF"/>
            <w:tcMar>
              <w:top w:w="0" w:type="dxa"/>
              <w:left w:w="20" w:type="dxa"/>
              <w:bottom w:w="0" w:type="dxa"/>
              <w:right w:w="20" w:type="dxa"/>
            </w:tcMar>
          </w:tcPr>
          <w:p w14:paraId="00BAD66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66B"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AD66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66D"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AD66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66F"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AD67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671"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AD672" w14:textId="77777777" w:rsidR="00871BDF" w:rsidRDefault="00871BDF">
            <w:pPr>
              <w:rPr>
                <w:rFonts w:ascii="宋体"/>
              </w:rPr>
            </w:pPr>
          </w:p>
        </w:tc>
        <w:tc>
          <w:tcPr>
            <w:tcW w:w="0" w:type="auto"/>
            <w:shd w:val="clear" w:color="auto" w:fill="auto"/>
          </w:tcPr>
          <w:p w14:paraId="00BAD673" w14:textId="77777777" w:rsidR="00871BDF" w:rsidRDefault="00871BDF">
            <w:pPr>
              <w:rPr>
                <w:rFonts w:ascii="宋体"/>
              </w:rPr>
            </w:pPr>
          </w:p>
        </w:tc>
        <w:tc>
          <w:tcPr>
            <w:tcW w:w="0" w:type="auto"/>
            <w:shd w:val="clear" w:color="auto" w:fill="auto"/>
          </w:tcPr>
          <w:p w14:paraId="00BAD674" w14:textId="77777777" w:rsidR="00871BDF" w:rsidRDefault="00871BDF">
            <w:pPr>
              <w:rPr>
                <w:rFonts w:ascii="宋体"/>
              </w:rPr>
            </w:pPr>
          </w:p>
        </w:tc>
        <w:tc>
          <w:tcPr>
            <w:tcW w:w="0" w:type="auto"/>
            <w:shd w:val="clear" w:color="auto" w:fill="auto"/>
          </w:tcPr>
          <w:p w14:paraId="00BAD675" w14:textId="77777777" w:rsidR="00871BDF" w:rsidRDefault="00871BDF">
            <w:pPr>
              <w:rPr>
                <w:rFonts w:ascii="宋体"/>
              </w:rPr>
            </w:pPr>
          </w:p>
        </w:tc>
        <w:tc>
          <w:tcPr>
            <w:tcW w:w="0" w:type="auto"/>
            <w:shd w:val="clear" w:color="auto" w:fill="auto"/>
          </w:tcPr>
          <w:p w14:paraId="00BAD676" w14:textId="77777777" w:rsidR="00871BDF" w:rsidRDefault="00871BDF">
            <w:pPr>
              <w:rPr>
                <w:rFonts w:ascii="宋体"/>
              </w:rPr>
            </w:pPr>
          </w:p>
        </w:tc>
        <w:tc>
          <w:tcPr>
            <w:tcW w:w="0" w:type="auto"/>
            <w:shd w:val="clear" w:color="auto" w:fill="auto"/>
          </w:tcPr>
          <w:p w14:paraId="00BAD677" w14:textId="77777777" w:rsidR="00871BDF" w:rsidRDefault="00871BDF">
            <w:pPr>
              <w:rPr>
                <w:rFonts w:ascii="宋体"/>
              </w:rPr>
            </w:pPr>
          </w:p>
        </w:tc>
        <w:tc>
          <w:tcPr>
            <w:tcW w:w="0" w:type="auto"/>
            <w:shd w:val="clear" w:color="auto" w:fill="auto"/>
          </w:tcPr>
          <w:p w14:paraId="00BAD678" w14:textId="77777777" w:rsidR="00871BDF" w:rsidRDefault="00871BDF">
            <w:pPr>
              <w:rPr>
                <w:rFonts w:ascii="宋体"/>
              </w:rPr>
            </w:pPr>
          </w:p>
        </w:tc>
        <w:tc>
          <w:tcPr>
            <w:tcW w:w="0" w:type="auto"/>
            <w:shd w:val="clear" w:color="auto" w:fill="auto"/>
          </w:tcPr>
          <w:p w14:paraId="00BAD679" w14:textId="77777777" w:rsidR="00871BDF" w:rsidRDefault="00871BDF">
            <w:pPr>
              <w:rPr>
                <w:rFonts w:ascii="宋体"/>
              </w:rPr>
            </w:pPr>
          </w:p>
        </w:tc>
        <w:tc>
          <w:tcPr>
            <w:tcW w:w="0" w:type="auto"/>
            <w:shd w:val="clear" w:color="auto" w:fill="auto"/>
          </w:tcPr>
          <w:p w14:paraId="00BAD67A" w14:textId="77777777" w:rsidR="00871BDF" w:rsidRDefault="00871BDF">
            <w:pPr>
              <w:rPr>
                <w:rFonts w:ascii="宋体"/>
              </w:rPr>
            </w:pPr>
          </w:p>
        </w:tc>
        <w:tc>
          <w:tcPr>
            <w:tcW w:w="0" w:type="auto"/>
            <w:shd w:val="clear" w:color="auto" w:fill="auto"/>
          </w:tcPr>
          <w:p w14:paraId="00BAD67B" w14:textId="77777777" w:rsidR="00871BDF" w:rsidRDefault="00871BDF">
            <w:pPr>
              <w:rPr>
                <w:rFonts w:ascii="宋体"/>
              </w:rPr>
            </w:pPr>
          </w:p>
        </w:tc>
        <w:tc>
          <w:tcPr>
            <w:tcW w:w="0" w:type="auto"/>
            <w:shd w:val="clear" w:color="auto" w:fill="auto"/>
          </w:tcPr>
          <w:p w14:paraId="00BAD67C" w14:textId="77777777" w:rsidR="00871BDF" w:rsidRDefault="00871BDF">
            <w:pPr>
              <w:rPr>
                <w:rFonts w:ascii="宋体"/>
              </w:rPr>
            </w:pPr>
          </w:p>
        </w:tc>
        <w:tc>
          <w:tcPr>
            <w:tcW w:w="0" w:type="auto"/>
            <w:shd w:val="clear" w:color="auto" w:fill="auto"/>
          </w:tcPr>
          <w:p w14:paraId="00BAD67D" w14:textId="77777777" w:rsidR="00871BDF" w:rsidRDefault="00871BDF">
            <w:pPr>
              <w:rPr>
                <w:rFonts w:ascii="宋体"/>
              </w:rPr>
            </w:pPr>
          </w:p>
        </w:tc>
        <w:tc>
          <w:tcPr>
            <w:tcW w:w="0" w:type="auto"/>
            <w:shd w:val="clear" w:color="auto" w:fill="auto"/>
          </w:tcPr>
          <w:p w14:paraId="00BAD67E" w14:textId="77777777" w:rsidR="00871BDF" w:rsidRDefault="00871BDF">
            <w:pPr>
              <w:rPr>
                <w:rFonts w:ascii="宋体"/>
              </w:rPr>
            </w:pPr>
          </w:p>
        </w:tc>
        <w:tc>
          <w:tcPr>
            <w:tcW w:w="0" w:type="auto"/>
            <w:shd w:val="clear" w:color="auto" w:fill="auto"/>
          </w:tcPr>
          <w:p w14:paraId="00BAD67F" w14:textId="77777777" w:rsidR="00871BDF" w:rsidRDefault="00871BDF">
            <w:pPr>
              <w:rPr>
                <w:rFonts w:ascii="宋体"/>
              </w:rPr>
            </w:pPr>
          </w:p>
        </w:tc>
        <w:tc>
          <w:tcPr>
            <w:tcW w:w="0" w:type="auto"/>
            <w:shd w:val="clear" w:color="auto" w:fill="auto"/>
          </w:tcPr>
          <w:p w14:paraId="00BAD680" w14:textId="77777777" w:rsidR="00871BDF" w:rsidRDefault="00871BDF">
            <w:pPr>
              <w:rPr>
                <w:rFonts w:ascii="宋体"/>
              </w:rPr>
            </w:pPr>
          </w:p>
        </w:tc>
        <w:tc>
          <w:tcPr>
            <w:tcW w:w="0" w:type="auto"/>
            <w:shd w:val="clear" w:color="auto" w:fill="auto"/>
          </w:tcPr>
          <w:p w14:paraId="00BAD681" w14:textId="77777777" w:rsidR="00871BDF" w:rsidRDefault="00871BDF">
            <w:pPr>
              <w:rPr>
                <w:rFonts w:ascii="宋体"/>
              </w:rPr>
            </w:pPr>
          </w:p>
        </w:tc>
        <w:tc>
          <w:tcPr>
            <w:tcW w:w="0" w:type="auto"/>
            <w:shd w:val="clear" w:color="auto" w:fill="auto"/>
          </w:tcPr>
          <w:p w14:paraId="00BAD682" w14:textId="77777777" w:rsidR="00871BDF" w:rsidRDefault="00871BDF">
            <w:pPr>
              <w:rPr>
                <w:rFonts w:ascii="宋体"/>
              </w:rPr>
            </w:pPr>
          </w:p>
        </w:tc>
        <w:tc>
          <w:tcPr>
            <w:tcW w:w="0" w:type="auto"/>
            <w:shd w:val="clear" w:color="auto" w:fill="auto"/>
          </w:tcPr>
          <w:p w14:paraId="00BAD683" w14:textId="77777777" w:rsidR="00871BDF" w:rsidRDefault="00871BDF">
            <w:pPr>
              <w:rPr>
                <w:rFonts w:ascii="宋体"/>
              </w:rPr>
            </w:pPr>
          </w:p>
        </w:tc>
        <w:tc>
          <w:tcPr>
            <w:tcW w:w="0" w:type="auto"/>
            <w:shd w:val="clear" w:color="auto" w:fill="auto"/>
          </w:tcPr>
          <w:p w14:paraId="00BAD684" w14:textId="77777777" w:rsidR="00871BDF" w:rsidRDefault="00871BDF">
            <w:pPr>
              <w:rPr>
                <w:rFonts w:ascii="宋体"/>
              </w:rPr>
            </w:pPr>
          </w:p>
        </w:tc>
        <w:tc>
          <w:tcPr>
            <w:tcW w:w="0" w:type="auto"/>
            <w:shd w:val="clear" w:color="auto" w:fill="auto"/>
          </w:tcPr>
          <w:p w14:paraId="00BAD685" w14:textId="77777777" w:rsidR="00871BDF" w:rsidRDefault="00871BDF">
            <w:pPr>
              <w:rPr>
                <w:rFonts w:ascii="宋体"/>
              </w:rPr>
            </w:pPr>
          </w:p>
        </w:tc>
        <w:tc>
          <w:tcPr>
            <w:tcW w:w="0" w:type="auto"/>
            <w:shd w:val="clear" w:color="auto" w:fill="auto"/>
          </w:tcPr>
          <w:p w14:paraId="00BAD686" w14:textId="77777777" w:rsidR="00871BDF" w:rsidRDefault="00871BDF">
            <w:pPr>
              <w:rPr>
                <w:rFonts w:ascii="宋体"/>
              </w:rPr>
            </w:pPr>
          </w:p>
        </w:tc>
        <w:tc>
          <w:tcPr>
            <w:tcW w:w="0" w:type="auto"/>
            <w:shd w:val="clear" w:color="auto" w:fill="auto"/>
          </w:tcPr>
          <w:p w14:paraId="00BAD687" w14:textId="77777777" w:rsidR="00871BDF" w:rsidRDefault="00871BDF">
            <w:pPr>
              <w:rPr>
                <w:rFonts w:ascii="宋体"/>
              </w:rPr>
            </w:pPr>
          </w:p>
        </w:tc>
        <w:tc>
          <w:tcPr>
            <w:tcW w:w="0" w:type="auto"/>
            <w:shd w:val="clear" w:color="auto" w:fill="auto"/>
          </w:tcPr>
          <w:p w14:paraId="00BAD688" w14:textId="77777777" w:rsidR="00871BDF" w:rsidRDefault="00871BDF">
            <w:pPr>
              <w:rPr>
                <w:rFonts w:ascii="宋体"/>
              </w:rPr>
            </w:pPr>
          </w:p>
        </w:tc>
        <w:tc>
          <w:tcPr>
            <w:tcW w:w="0" w:type="auto"/>
            <w:shd w:val="clear" w:color="auto" w:fill="auto"/>
          </w:tcPr>
          <w:p w14:paraId="00BAD689" w14:textId="77777777" w:rsidR="00871BDF" w:rsidRDefault="00871BDF">
            <w:pPr>
              <w:rPr>
                <w:rFonts w:ascii="宋体"/>
              </w:rPr>
            </w:pPr>
          </w:p>
        </w:tc>
        <w:tc>
          <w:tcPr>
            <w:tcW w:w="0" w:type="auto"/>
            <w:shd w:val="clear" w:color="auto" w:fill="auto"/>
          </w:tcPr>
          <w:p w14:paraId="00BAD68A" w14:textId="77777777" w:rsidR="00871BDF" w:rsidRDefault="00871BDF">
            <w:pPr>
              <w:rPr>
                <w:rFonts w:ascii="宋体"/>
              </w:rPr>
            </w:pPr>
          </w:p>
        </w:tc>
        <w:tc>
          <w:tcPr>
            <w:tcW w:w="0" w:type="auto"/>
            <w:shd w:val="clear" w:color="auto" w:fill="auto"/>
          </w:tcPr>
          <w:p w14:paraId="00BAD68B" w14:textId="77777777" w:rsidR="00871BDF" w:rsidRDefault="00871BDF">
            <w:pPr>
              <w:rPr>
                <w:rFonts w:ascii="宋体"/>
              </w:rPr>
            </w:pPr>
          </w:p>
        </w:tc>
        <w:tc>
          <w:tcPr>
            <w:tcW w:w="0" w:type="auto"/>
            <w:shd w:val="clear" w:color="auto" w:fill="auto"/>
          </w:tcPr>
          <w:p w14:paraId="00BAD68C" w14:textId="77777777" w:rsidR="00871BDF" w:rsidRDefault="00871BDF">
            <w:pPr>
              <w:rPr>
                <w:rFonts w:ascii="宋体"/>
              </w:rPr>
            </w:pPr>
          </w:p>
        </w:tc>
        <w:tc>
          <w:tcPr>
            <w:tcW w:w="0" w:type="auto"/>
            <w:shd w:val="clear" w:color="auto" w:fill="auto"/>
          </w:tcPr>
          <w:p w14:paraId="00BAD68D" w14:textId="77777777" w:rsidR="00871BDF" w:rsidRDefault="00871BDF">
            <w:pPr>
              <w:rPr>
                <w:rFonts w:ascii="宋体"/>
              </w:rPr>
            </w:pPr>
          </w:p>
        </w:tc>
        <w:tc>
          <w:tcPr>
            <w:tcW w:w="0" w:type="auto"/>
            <w:shd w:val="clear" w:color="auto" w:fill="auto"/>
          </w:tcPr>
          <w:p w14:paraId="00BAD68E" w14:textId="77777777" w:rsidR="00871BDF" w:rsidRDefault="00871BDF">
            <w:pPr>
              <w:rPr>
                <w:rFonts w:ascii="宋体"/>
              </w:rPr>
            </w:pPr>
          </w:p>
        </w:tc>
        <w:tc>
          <w:tcPr>
            <w:tcW w:w="0" w:type="auto"/>
            <w:shd w:val="clear" w:color="auto" w:fill="auto"/>
          </w:tcPr>
          <w:p w14:paraId="00BAD68F" w14:textId="77777777" w:rsidR="00871BDF" w:rsidRDefault="00871BDF">
            <w:pPr>
              <w:rPr>
                <w:rFonts w:ascii="宋体"/>
              </w:rPr>
            </w:pPr>
          </w:p>
        </w:tc>
        <w:tc>
          <w:tcPr>
            <w:tcW w:w="0" w:type="auto"/>
            <w:shd w:val="clear" w:color="auto" w:fill="auto"/>
          </w:tcPr>
          <w:p w14:paraId="00BAD690" w14:textId="77777777" w:rsidR="00871BDF" w:rsidRDefault="00871BDF">
            <w:pPr>
              <w:rPr>
                <w:rFonts w:ascii="宋体"/>
              </w:rPr>
            </w:pPr>
          </w:p>
        </w:tc>
      </w:tr>
      <w:tr w:rsidR="00871BDF" w14:paraId="00BAD6BA" w14:textId="77777777">
        <w:trPr>
          <w:jc w:val="center"/>
        </w:trPr>
        <w:tc>
          <w:tcPr>
            <w:tcW w:w="0" w:type="auto"/>
            <w:gridSpan w:val="3"/>
            <w:shd w:val="clear" w:color="auto" w:fill="D7E4BC"/>
            <w:tcMar>
              <w:top w:w="40" w:type="dxa"/>
              <w:left w:w="20" w:type="dxa"/>
              <w:bottom w:w="40" w:type="dxa"/>
              <w:right w:w="20" w:type="dxa"/>
            </w:tcMar>
            <w:vAlign w:val="bottom"/>
          </w:tcPr>
          <w:p w14:paraId="00BAD692" w14:textId="77777777" w:rsidR="00871BDF" w:rsidRDefault="005C5088">
            <w:pPr>
              <w:textAlignment w:val="bottom"/>
            </w:pPr>
            <w:r>
              <w:rPr>
                <w:rFonts w:ascii="Times New Roman" w:eastAsia="宋体" w:hAnsi="Times New Roman"/>
                <w:color w:val="000000"/>
                <w:sz w:val="20"/>
                <w:szCs w:val="20"/>
              </w:rPr>
              <w:t>Americas</w:t>
            </w:r>
            <w:r>
              <w:rPr>
                <w:rFonts w:ascii="Times New Roman" w:eastAsia="宋体" w:hAnsi="Times New Roman"/>
                <w:color w:val="000000"/>
                <w:sz w:val="13"/>
                <w:szCs w:val="13"/>
              </w:rPr>
              <w:t>(1)</w:t>
            </w:r>
          </w:p>
        </w:tc>
        <w:tc>
          <w:tcPr>
            <w:tcW w:w="0" w:type="auto"/>
            <w:gridSpan w:val="3"/>
            <w:shd w:val="clear" w:color="auto" w:fill="D7E4BC"/>
            <w:tcMar>
              <w:top w:w="0" w:type="dxa"/>
              <w:left w:w="20" w:type="dxa"/>
              <w:bottom w:w="0" w:type="dxa"/>
              <w:right w:w="20" w:type="dxa"/>
            </w:tcMar>
          </w:tcPr>
          <w:p w14:paraId="00BAD69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69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69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69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69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69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69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69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69B" w14:textId="77777777" w:rsidR="00871BDF" w:rsidRDefault="00871BDF">
            <w:pPr>
              <w:rPr>
                <w:rFonts w:ascii="宋体"/>
              </w:rPr>
            </w:pPr>
          </w:p>
        </w:tc>
        <w:tc>
          <w:tcPr>
            <w:tcW w:w="0" w:type="auto"/>
            <w:shd w:val="clear" w:color="auto" w:fill="auto"/>
          </w:tcPr>
          <w:p w14:paraId="00BAD69C" w14:textId="77777777" w:rsidR="00871BDF" w:rsidRDefault="00871BDF">
            <w:pPr>
              <w:rPr>
                <w:rFonts w:ascii="宋体"/>
              </w:rPr>
            </w:pPr>
          </w:p>
        </w:tc>
        <w:tc>
          <w:tcPr>
            <w:tcW w:w="0" w:type="auto"/>
            <w:shd w:val="clear" w:color="auto" w:fill="auto"/>
          </w:tcPr>
          <w:p w14:paraId="00BAD69D" w14:textId="77777777" w:rsidR="00871BDF" w:rsidRDefault="00871BDF">
            <w:pPr>
              <w:rPr>
                <w:rFonts w:ascii="宋体"/>
              </w:rPr>
            </w:pPr>
          </w:p>
        </w:tc>
        <w:tc>
          <w:tcPr>
            <w:tcW w:w="0" w:type="auto"/>
            <w:shd w:val="clear" w:color="auto" w:fill="auto"/>
          </w:tcPr>
          <w:p w14:paraId="00BAD69E" w14:textId="77777777" w:rsidR="00871BDF" w:rsidRDefault="00871BDF">
            <w:pPr>
              <w:rPr>
                <w:rFonts w:ascii="宋体"/>
              </w:rPr>
            </w:pPr>
          </w:p>
        </w:tc>
        <w:tc>
          <w:tcPr>
            <w:tcW w:w="0" w:type="auto"/>
            <w:shd w:val="clear" w:color="auto" w:fill="auto"/>
          </w:tcPr>
          <w:p w14:paraId="00BAD69F" w14:textId="77777777" w:rsidR="00871BDF" w:rsidRDefault="00871BDF">
            <w:pPr>
              <w:rPr>
                <w:rFonts w:ascii="宋体"/>
              </w:rPr>
            </w:pPr>
          </w:p>
        </w:tc>
        <w:tc>
          <w:tcPr>
            <w:tcW w:w="0" w:type="auto"/>
            <w:shd w:val="clear" w:color="auto" w:fill="auto"/>
          </w:tcPr>
          <w:p w14:paraId="00BAD6A0" w14:textId="77777777" w:rsidR="00871BDF" w:rsidRDefault="00871BDF">
            <w:pPr>
              <w:rPr>
                <w:rFonts w:ascii="宋体"/>
              </w:rPr>
            </w:pPr>
          </w:p>
        </w:tc>
        <w:tc>
          <w:tcPr>
            <w:tcW w:w="0" w:type="auto"/>
            <w:shd w:val="clear" w:color="auto" w:fill="auto"/>
          </w:tcPr>
          <w:p w14:paraId="00BAD6A1" w14:textId="77777777" w:rsidR="00871BDF" w:rsidRDefault="00871BDF">
            <w:pPr>
              <w:rPr>
                <w:rFonts w:ascii="宋体"/>
              </w:rPr>
            </w:pPr>
          </w:p>
        </w:tc>
        <w:tc>
          <w:tcPr>
            <w:tcW w:w="0" w:type="auto"/>
            <w:shd w:val="clear" w:color="auto" w:fill="auto"/>
          </w:tcPr>
          <w:p w14:paraId="00BAD6A2" w14:textId="77777777" w:rsidR="00871BDF" w:rsidRDefault="00871BDF">
            <w:pPr>
              <w:rPr>
                <w:rFonts w:ascii="宋体"/>
              </w:rPr>
            </w:pPr>
          </w:p>
        </w:tc>
        <w:tc>
          <w:tcPr>
            <w:tcW w:w="0" w:type="auto"/>
            <w:shd w:val="clear" w:color="auto" w:fill="auto"/>
          </w:tcPr>
          <w:p w14:paraId="00BAD6A3" w14:textId="77777777" w:rsidR="00871BDF" w:rsidRDefault="00871BDF">
            <w:pPr>
              <w:rPr>
                <w:rFonts w:ascii="宋体"/>
              </w:rPr>
            </w:pPr>
          </w:p>
        </w:tc>
        <w:tc>
          <w:tcPr>
            <w:tcW w:w="0" w:type="auto"/>
            <w:shd w:val="clear" w:color="auto" w:fill="auto"/>
          </w:tcPr>
          <w:p w14:paraId="00BAD6A4" w14:textId="77777777" w:rsidR="00871BDF" w:rsidRDefault="00871BDF">
            <w:pPr>
              <w:rPr>
                <w:rFonts w:ascii="宋体"/>
              </w:rPr>
            </w:pPr>
          </w:p>
        </w:tc>
        <w:tc>
          <w:tcPr>
            <w:tcW w:w="0" w:type="auto"/>
            <w:shd w:val="clear" w:color="auto" w:fill="auto"/>
          </w:tcPr>
          <w:p w14:paraId="00BAD6A5" w14:textId="77777777" w:rsidR="00871BDF" w:rsidRDefault="00871BDF">
            <w:pPr>
              <w:rPr>
                <w:rFonts w:ascii="宋体"/>
              </w:rPr>
            </w:pPr>
          </w:p>
        </w:tc>
        <w:tc>
          <w:tcPr>
            <w:tcW w:w="0" w:type="auto"/>
            <w:shd w:val="clear" w:color="auto" w:fill="auto"/>
          </w:tcPr>
          <w:p w14:paraId="00BAD6A6" w14:textId="77777777" w:rsidR="00871BDF" w:rsidRDefault="00871BDF">
            <w:pPr>
              <w:rPr>
                <w:rFonts w:ascii="宋体"/>
              </w:rPr>
            </w:pPr>
          </w:p>
        </w:tc>
        <w:tc>
          <w:tcPr>
            <w:tcW w:w="0" w:type="auto"/>
            <w:shd w:val="clear" w:color="auto" w:fill="auto"/>
          </w:tcPr>
          <w:p w14:paraId="00BAD6A7" w14:textId="77777777" w:rsidR="00871BDF" w:rsidRDefault="00871BDF">
            <w:pPr>
              <w:rPr>
                <w:rFonts w:ascii="宋体"/>
              </w:rPr>
            </w:pPr>
          </w:p>
        </w:tc>
        <w:tc>
          <w:tcPr>
            <w:tcW w:w="0" w:type="auto"/>
            <w:shd w:val="clear" w:color="auto" w:fill="auto"/>
          </w:tcPr>
          <w:p w14:paraId="00BAD6A8" w14:textId="77777777" w:rsidR="00871BDF" w:rsidRDefault="00871BDF">
            <w:pPr>
              <w:rPr>
                <w:rFonts w:ascii="宋体"/>
              </w:rPr>
            </w:pPr>
          </w:p>
        </w:tc>
        <w:tc>
          <w:tcPr>
            <w:tcW w:w="0" w:type="auto"/>
            <w:shd w:val="clear" w:color="auto" w:fill="auto"/>
          </w:tcPr>
          <w:p w14:paraId="00BAD6A9" w14:textId="77777777" w:rsidR="00871BDF" w:rsidRDefault="00871BDF">
            <w:pPr>
              <w:rPr>
                <w:rFonts w:ascii="宋体"/>
              </w:rPr>
            </w:pPr>
          </w:p>
        </w:tc>
        <w:tc>
          <w:tcPr>
            <w:tcW w:w="0" w:type="auto"/>
            <w:shd w:val="clear" w:color="auto" w:fill="auto"/>
          </w:tcPr>
          <w:p w14:paraId="00BAD6AA" w14:textId="77777777" w:rsidR="00871BDF" w:rsidRDefault="00871BDF">
            <w:pPr>
              <w:rPr>
                <w:rFonts w:ascii="宋体"/>
              </w:rPr>
            </w:pPr>
          </w:p>
        </w:tc>
        <w:tc>
          <w:tcPr>
            <w:tcW w:w="0" w:type="auto"/>
            <w:shd w:val="clear" w:color="auto" w:fill="auto"/>
          </w:tcPr>
          <w:p w14:paraId="00BAD6AB" w14:textId="77777777" w:rsidR="00871BDF" w:rsidRDefault="00871BDF">
            <w:pPr>
              <w:rPr>
                <w:rFonts w:ascii="宋体"/>
              </w:rPr>
            </w:pPr>
          </w:p>
        </w:tc>
        <w:tc>
          <w:tcPr>
            <w:tcW w:w="0" w:type="auto"/>
            <w:shd w:val="clear" w:color="auto" w:fill="auto"/>
          </w:tcPr>
          <w:p w14:paraId="00BAD6AC" w14:textId="77777777" w:rsidR="00871BDF" w:rsidRDefault="00871BDF">
            <w:pPr>
              <w:rPr>
                <w:rFonts w:ascii="宋体"/>
              </w:rPr>
            </w:pPr>
          </w:p>
        </w:tc>
        <w:tc>
          <w:tcPr>
            <w:tcW w:w="0" w:type="auto"/>
            <w:shd w:val="clear" w:color="auto" w:fill="auto"/>
          </w:tcPr>
          <w:p w14:paraId="00BAD6AD" w14:textId="77777777" w:rsidR="00871BDF" w:rsidRDefault="00871BDF">
            <w:pPr>
              <w:rPr>
                <w:rFonts w:ascii="宋体"/>
              </w:rPr>
            </w:pPr>
          </w:p>
        </w:tc>
        <w:tc>
          <w:tcPr>
            <w:tcW w:w="0" w:type="auto"/>
            <w:shd w:val="clear" w:color="auto" w:fill="auto"/>
          </w:tcPr>
          <w:p w14:paraId="00BAD6AE" w14:textId="77777777" w:rsidR="00871BDF" w:rsidRDefault="00871BDF">
            <w:pPr>
              <w:rPr>
                <w:rFonts w:ascii="宋体"/>
              </w:rPr>
            </w:pPr>
          </w:p>
        </w:tc>
        <w:tc>
          <w:tcPr>
            <w:tcW w:w="0" w:type="auto"/>
            <w:shd w:val="clear" w:color="auto" w:fill="auto"/>
          </w:tcPr>
          <w:p w14:paraId="00BAD6AF" w14:textId="77777777" w:rsidR="00871BDF" w:rsidRDefault="00871BDF">
            <w:pPr>
              <w:rPr>
                <w:rFonts w:ascii="宋体"/>
              </w:rPr>
            </w:pPr>
          </w:p>
        </w:tc>
        <w:tc>
          <w:tcPr>
            <w:tcW w:w="0" w:type="auto"/>
            <w:shd w:val="clear" w:color="auto" w:fill="auto"/>
          </w:tcPr>
          <w:p w14:paraId="00BAD6B0" w14:textId="77777777" w:rsidR="00871BDF" w:rsidRDefault="00871BDF">
            <w:pPr>
              <w:rPr>
                <w:rFonts w:ascii="宋体"/>
              </w:rPr>
            </w:pPr>
          </w:p>
        </w:tc>
        <w:tc>
          <w:tcPr>
            <w:tcW w:w="0" w:type="auto"/>
            <w:shd w:val="clear" w:color="auto" w:fill="auto"/>
          </w:tcPr>
          <w:p w14:paraId="00BAD6B1" w14:textId="77777777" w:rsidR="00871BDF" w:rsidRDefault="00871BDF">
            <w:pPr>
              <w:rPr>
                <w:rFonts w:ascii="宋体"/>
              </w:rPr>
            </w:pPr>
          </w:p>
        </w:tc>
        <w:tc>
          <w:tcPr>
            <w:tcW w:w="0" w:type="auto"/>
            <w:shd w:val="clear" w:color="auto" w:fill="auto"/>
          </w:tcPr>
          <w:p w14:paraId="00BAD6B2" w14:textId="77777777" w:rsidR="00871BDF" w:rsidRDefault="00871BDF">
            <w:pPr>
              <w:rPr>
                <w:rFonts w:ascii="宋体"/>
              </w:rPr>
            </w:pPr>
          </w:p>
        </w:tc>
        <w:tc>
          <w:tcPr>
            <w:tcW w:w="0" w:type="auto"/>
            <w:shd w:val="clear" w:color="auto" w:fill="auto"/>
          </w:tcPr>
          <w:p w14:paraId="00BAD6B3" w14:textId="77777777" w:rsidR="00871BDF" w:rsidRDefault="00871BDF">
            <w:pPr>
              <w:rPr>
                <w:rFonts w:ascii="宋体"/>
              </w:rPr>
            </w:pPr>
          </w:p>
        </w:tc>
        <w:tc>
          <w:tcPr>
            <w:tcW w:w="0" w:type="auto"/>
            <w:shd w:val="clear" w:color="auto" w:fill="auto"/>
          </w:tcPr>
          <w:p w14:paraId="00BAD6B4" w14:textId="77777777" w:rsidR="00871BDF" w:rsidRDefault="00871BDF">
            <w:pPr>
              <w:rPr>
                <w:rFonts w:ascii="宋体"/>
              </w:rPr>
            </w:pPr>
          </w:p>
        </w:tc>
        <w:tc>
          <w:tcPr>
            <w:tcW w:w="0" w:type="auto"/>
            <w:shd w:val="clear" w:color="auto" w:fill="auto"/>
          </w:tcPr>
          <w:p w14:paraId="00BAD6B5" w14:textId="77777777" w:rsidR="00871BDF" w:rsidRDefault="00871BDF">
            <w:pPr>
              <w:rPr>
                <w:rFonts w:ascii="宋体"/>
              </w:rPr>
            </w:pPr>
          </w:p>
        </w:tc>
        <w:tc>
          <w:tcPr>
            <w:tcW w:w="0" w:type="auto"/>
            <w:shd w:val="clear" w:color="auto" w:fill="auto"/>
          </w:tcPr>
          <w:p w14:paraId="00BAD6B6" w14:textId="77777777" w:rsidR="00871BDF" w:rsidRDefault="00871BDF">
            <w:pPr>
              <w:rPr>
                <w:rFonts w:ascii="宋体"/>
              </w:rPr>
            </w:pPr>
          </w:p>
        </w:tc>
        <w:tc>
          <w:tcPr>
            <w:tcW w:w="0" w:type="auto"/>
            <w:shd w:val="clear" w:color="auto" w:fill="auto"/>
          </w:tcPr>
          <w:p w14:paraId="00BAD6B7" w14:textId="77777777" w:rsidR="00871BDF" w:rsidRDefault="00871BDF">
            <w:pPr>
              <w:rPr>
                <w:rFonts w:ascii="宋体"/>
              </w:rPr>
            </w:pPr>
          </w:p>
        </w:tc>
        <w:tc>
          <w:tcPr>
            <w:tcW w:w="0" w:type="auto"/>
            <w:shd w:val="clear" w:color="auto" w:fill="auto"/>
          </w:tcPr>
          <w:p w14:paraId="00BAD6B8" w14:textId="77777777" w:rsidR="00871BDF" w:rsidRDefault="00871BDF">
            <w:pPr>
              <w:rPr>
                <w:rFonts w:ascii="宋体"/>
              </w:rPr>
            </w:pPr>
          </w:p>
        </w:tc>
        <w:tc>
          <w:tcPr>
            <w:tcW w:w="0" w:type="auto"/>
            <w:shd w:val="clear" w:color="auto" w:fill="auto"/>
          </w:tcPr>
          <w:p w14:paraId="00BAD6B9" w14:textId="77777777" w:rsidR="00871BDF" w:rsidRDefault="00871BDF">
            <w:pPr>
              <w:rPr>
                <w:rFonts w:ascii="宋体"/>
              </w:rPr>
            </w:pPr>
          </w:p>
        </w:tc>
      </w:tr>
      <w:tr w:rsidR="00871BDF" w14:paraId="00BAD6E8" w14:textId="77777777">
        <w:trPr>
          <w:jc w:val="center"/>
        </w:trPr>
        <w:tc>
          <w:tcPr>
            <w:tcW w:w="0" w:type="auto"/>
            <w:gridSpan w:val="3"/>
            <w:shd w:val="clear" w:color="auto" w:fill="FFFFFF"/>
            <w:tcMar>
              <w:top w:w="40" w:type="dxa"/>
              <w:left w:w="155" w:type="dxa"/>
              <w:bottom w:w="40" w:type="dxa"/>
              <w:right w:w="20" w:type="dxa"/>
            </w:tcMar>
            <w:vAlign w:val="bottom"/>
          </w:tcPr>
          <w:p w14:paraId="00BAD6BB" w14:textId="77777777" w:rsidR="00871BDF" w:rsidRDefault="005C5088">
            <w:pPr>
              <w:textAlignment w:val="bottom"/>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00BAD6BC" w14:textId="77777777" w:rsidR="00871BDF" w:rsidRDefault="005C5088">
            <w:pPr>
              <w:jc w:val="right"/>
              <w:textAlignment w:val="bottom"/>
            </w:pPr>
            <w:r>
              <w:rPr>
                <w:rFonts w:ascii="Times New Roman" w:eastAsia="宋体" w:hAnsi="Times New Roman"/>
                <w:color w:val="000000"/>
                <w:sz w:val="20"/>
                <w:szCs w:val="20"/>
              </w:rPr>
              <w:t>10,109 </w:t>
            </w:r>
          </w:p>
        </w:tc>
        <w:tc>
          <w:tcPr>
            <w:tcW w:w="0" w:type="auto"/>
            <w:shd w:val="clear" w:color="auto" w:fill="FFFFFF"/>
            <w:tcMar>
              <w:top w:w="40" w:type="dxa"/>
              <w:left w:w="0" w:type="dxa"/>
              <w:bottom w:w="40" w:type="dxa"/>
              <w:right w:w="20" w:type="dxa"/>
            </w:tcMar>
            <w:vAlign w:val="bottom"/>
          </w:tcPr>
          <w:p w14:paraId="00BAD6B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6B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6BF" w14:textId="77777777" w:rsidR="00871BDF" w:rsidRDefault="005C5088">
            <w:pPr>
              <w:jc w:val="right"/>
              <w:textAlignment w:val="bottom"/>
            </w:pPr>
            <w:r>
              <w:rPr>
                <w:rFonts w:ascii="Times New Roman" w:eastAsia="宋体" w:hAnsi="Times New Roman"/>
                <w:color w:val="000000"/>
                <w:sz w:val="20"/>
                <w:szCs w:val="20"/>
              </w:rPr>
              <w:t>9,974 </w:t>
            </w:r>
          </w:p>
        </w:tc>
        <w:tc>
          <w:tcPr>
            <w:tcW w:w="0" w:type="auto"/>
            <w:shd w:val="clear" w:color="auto" w:fill="FFFFFF"/>
            <w:tcMar>
              <w:top w:w="40" w:type="dxa"/>
              <w:left w:w="0" w:type="dxa"/>
              <w:bottom w:w="40" w:type="dxa"/>
              <w:right w:w="20" w:type="dxa"/>
            </w:tcMar>
            <w:vAlign w:val="bottom"/>
          </w:tcPr>
          <w:p w14:paraId="00BAD6C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6C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6C2" w14:textId="77777777" w:rsidR="00871BDF" w:rsidRDefault="005C5088">
            <w:pPr>
              <w:jc w:val="right"/>
              <w:textAlignment w:val="bottom"/>
            </w:pPr>
            <w:r>
              <w:rPr>
                <w:rFonts w:ascii="Times New Roman" w:eastAsia="宋体" w:hAnsi="Times New Roman"/>
                <w:color w:val="000000"/>
                <w:sz w:val="20"/>
                <w:szCs w:val="20"/>
              </w:rPr>
              <w:t>9,690 </w:t>
            </w:r>
          </w:p>
        </w:tc>
        <w:tc>
          <w:tcPr>
            <w:tcW w:w="0" w:type="auto"/>
            <w:shd w:val="clear" w:color="auto" w:fill="FFFFFF"/>
            <w:tcMar>
              <w:top w:w="40" w:type="dxa"/>
              <w:left w:w="0" w:type="dxa"/>
              <w:bottom w:w="40" w:type="dxa"/>
              <w:right w:w="20" w:type="dxa"/>
            </w:tcMar>
            <w:vAlign w:val="bottom"/>
          </w:tcPr>
          <w:p w14:paraId="00BAD6C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6C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6C5" w14:textId="77777777" w:rsidR="00871BDF" w:rsidRDefault="005C5088">
            <w:pPr>
              <w:jc w:val="right"/>
              <w:textAlignment w:val="bottom"/>
            </w:pPr>
            <w:r>
              <w:rPr>
                <w:rFonts w:ascii="Times New Roman" w:eastAsia="宋体" w:hAnsi="Times New Roman"/>
                <w:color w:val="000000"/>
                <w:sz w:val="20"/>
                <w:szCs w:val="20"/>
              </w:rPr>
              <w:t>9,415 </w:t>
            </w:r>
          </w:p>
        </w:tc>
        <w:tc>
          <w:tcPr>
            <w:tcW w:w="0" w:type="auto"/>
            <w:shd w:val="clear" w:color="auto" w:fill="FFFFFF"/>
            <w:tcMar>
              <w:top w:w="40" w:type="dxa"/>
              <w:left w:w="0" w:type="dxa"/>
              <w:bottom w:w="40" w:type="dxa"/>
              <w:right w:w="20" w:type="dxa"/>
            </w:tcMar>
            <w:vAlign w:val="bottom"/>
          </w:tcPr>
          <w:p w14:paraId="00BAD6C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6C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6C8" w14:textId="77777777" w:rsidR="00871BDF" w:rsidRDefault="005C5088">
            <w:pPr>
              <w:jc w:val="right"/>
              <w:textAlignment w:val="bottom"/>
            </w:pPr>
            <w:r>
              <w:rPr>
                <w:rFonts w:ascii="Times New Roman" w:eastAsia="宋体" w:hAnsi="Times New Roman"/>
                <w:color w:val="000000"/>
                <w:sz w:val="20"/>
                <w:szCs w:val="20"/>
              </w:rPr>
              <w:t>9,020 </w:t>
            </w:r>
          </w:p>
        </w:tc>
        <w:tc>
          <w:tcPr>
            <w:tcW w:w="0" w:type="auto"/>
            <w:shd w:val="clear" w:color="auto" w:fill="FFFFFF"/>
            <w:tcMar>
              <w:top w:w="40" w:type="dxa"/>
              <w:left w:w="0" w:type="dxa"/>
              <w:bottom w:w="40" w:type="dxa"/>
              <w:right w:w="20" w:type="dxa"/>
            </w:tcMar>
            <w:vAlign w:val="bottom"/>
          </w:tcPr>
          <w:p w14:paraId="00BAD6C9" w14:textId="77777777" w:rsidR="00871BDF" w:rsidRDefault="00871BDF">
            <w:pPr>
              <w:jc w:val="right"/>
              <w:rPr>
                <w:rFonts w:ascii="宋体"/>
              </w:rPr>
            </w:pPr>
          </w:p>
        </w:tc>
        <w:tc>
          <w:tcPr>
            <w:tcW w:w="0" w:type="auto"/>
            <w:shd w:val="clear" w:color="auto" w:fill="auto"/>
          </w:tcPr>
          <w:p w14:paraId="00BAD6CA" w14:textId="77777777" w:rsidR="00871BDF" w:rsidRDefault="00871BDF">
            <w:pPr>
              <w:rPr>
                <w:rFonts w:ascii="宋体"/>
              </w:rPr>
            </w:pPr>
          </w:p>
        </w:tc>
        <w:tc>
          <w:tcPr>
            <w:tcW w:w="0" w:type="auto"/>
            <w:shd w:val="clear" w:color="auto" w:fill="auto"/>
          </w:tcPr>
          <w:p w14:paraId="00BAD6CB" w14:textId="77777777" w:rsidR="00871BDF" w:rsidRDefault="00871BDF">
            <w:pPr>
              <w:rPr>
                <w:rFonts w:ascii="宋体"/>
              </w:rPr>
            </w:pPr>
          </w:p>
        </w:tc>
        <w:tc>
          <w:tcPr>
            <w:tcW w:w="0" w:type="auto"/>
            <w:shd w:val="clear" w:color="auto" w:fill="auto"/>
          </w:tcPr>
          <w:p w14:paraId="00BAD6CC" w14:textId="77777777" w:rsidR="00871BDF" w:rsidRDefault="00871BDF">
            <w:pPr>
              <w:rPr>
                <w:rFonts w:ascii="宋体"/>
              </w:rPr>
            </w:pPr>
          </w:p>
        </w:tc>
        <w:tc>
          <w:tcPr>
            <w:tcW w:w="0" w:type="auto"/>
            <w:shd w:val="clear" w:color="auto" w:fill="auto"/>
          </w:tcPr>
          <w:p w14:paraId="00BAD6CD" w14:textId="77777777" w:rsidR="00871BDF" w:rsidRDefault="00871BDF">
            <w:pPr>
              <w:rPr>
                <w:rFonts w:ascii="宋体"/>
              </w:rPr>
            </w:pPr>
          </w:p>
        </w:tc>
        <w:tc>
          <w:tcPr>
            <w:tcW w:w="0" w:type="auto"/>
            <w:shd w:val="clear" w:color="auto" w:fill="auto"/>
          </w:tcPr>
          <w:p w14:paraId="00BAD6CE" w14:textId="77777777" w:rsidR="00871BDF" w:rsidRDefault="00871BDF">
            <w:pPr>
              <w:rPr>
                <w:rFonts w:ascii="宋体"/>
              </w:rPr>
            </w:pPr>
          </w:p>
        </w:tc>
        <w:tc>
          <w:tcPr>
            <w:tcW w:w="0" w:type="auto"/>
            <w:shd w:val="clear" w:color="auto" w:fill="auto"/>
          </w:tcPr>
          <w:p w14:paraId="00BAD6CF" w14:textId="77777777" w:rsidR="00871BDF" w:rsidRDefault="00871BDF">
            <w:pPr>
              <w:rPr>
                <w:rFonts w:ascii="宋体"/>
              </w:rPr>
            </w:pPr>
          </w:p>
        </w:tc>
        <w:tc>
          <w:tcPr>
            <w:tcW w:w="0" w:type="auto"/>
            <w:shd w:val="clear" w:color="auto" w:fill="auto"/>
          </w:tcPr>
          <w:p w14:paraId="00BAD6D0" w14:textId="77777777" w:rsidR="00871BDF" w:rsidRDefault="00871BDF">
            <w:pPr>
              <w:rPr>
                <w:rFonts w:ascii="宋体"/>
              </w:rPr>
            </w:pPr>
          </w:p>
        </w:tc>
        <w:tc>
          <w:tcPr>
            <w:tcW w:w="0" w:type="auto"/>
            <w:shd w:val="clear" w:color="auto" w:fill="auto"/>
          </w:tcPr>
          <w:p w14:paraId="00BAD6D1" w14:textId="77777777" w:rsidR="00871BDF" w:rsidRDefault="00871BDF">
            <w:pPr>
              <w:rPr>
                <w:rFonts w:ascii="宋体"/>
              </w:rPr>
            </w:pPr>
          </w:p>
        </w:tc>
        <w:tc>
          <w:tcPr>
            <w:tcW w:w="0" w:type="auto"/>
            <w:shd w:val="clear" w:color="auto" w:fill="auto"/>
          </w:tcPr>
          <w:p w14:paraId="00BAD6D2" w14:textId="77777777" w:rsidR="00871BDF" w:rsidRDefault="00871BDF">
            <w:pPr>
              <w:rPr>
                <w:rFonts w:ascii="宋体"/>
              </w:rPr>
            </w:pPr>
          </w:p>
        </w:tc>
        <w:tc>
          <w:tcPr>
            <w:tcW w:w="0" w:type="auto"/>
            <w:shd w:val="clear" w:color="auto" w:fill="auto"/>
          </w:tcPr>
          <w:p w14:paraId="00BAD6D3" w14:textId="77777777" w:rsidR="00871BDF" w:rsidRDefault="00871BDF">
            <w:pPr>
              <w:rPr>
                <w:rFonts w:ascii="宋体"/>
              </w:rPr>
            </w:pPr>
          </w:p>
        </w:tc>
        <w:tc>
          <w:tcPr>
            <w:tcW w:w="0" w:type="auto"/>
            <w:shd w:val="clear" w:color="auto" w:fill="auto"/>
          </w:tcPr>
          <w:p w14:paraId="00BAD6D4" w14:textId="77777777" w:rsidR="00871BDF" w:rsidRDefault="00871BDF">
            <w:pPr>
              <w:rPr>
                <w:rFonts w:ascii="宋体"/>
              </w:rPr>
            </w:pPr>
          </w:p>
        </w:tc>
        <w:tc>
          <w:tcPr>
            <w:tcW w:w="0" w:type="auto"/>
            <w:shd w:val="clear" w:color="auto" w:fill="auto"/>
          </w:tcPr>
          <w:p w14:paraId="00BAD6D5" w14:textId="77777777" w:rsidR="00871BDF" w:rsidRDefault="00871BDF">
            <w:pPr>
              <w:rPr>
                <w:rFonts w:ascii="宋体"/>
              </w:rPr>
            </w:pPr>
          </w:p>
        </w:tc>
        <w:tc>
          <w:tcPr>
            <w:tcW w:w="0" w:type="auto"/>
            <w:shd w:val="clear" w:color="auto" w:fill="auto"/>
          </w:tcPr>
          <w:p w14:paraId="00BAD6D6" w14:textId="77777777" w:rsidR="00871BDF" w:rsidRDefault="00871BDF">
            <w:pPr>
              <w:rPr>
                <w:rFonts w:ascii="宋体"/>
              </w:rPr>
            </w:pPr>
          </w:p>
        </w:tc>
        <w:tc>
          <w:tcPr>
            <w:tcW w:w="0" w:type="auto"/>
            <w:shd w:val="clear" w:color="auto" w:fill="auto"/>
          </w:tcPr>
          <w:p w14:paraId="00BAD6D7" w14:textId="77777777" w:rsidR="00871BDF" w:rsidRDefault="00871BDF">
            <w:pPr>
              <w:rPr>
                <w:rFonts w:ascii="宋体"/>
              </w:rPr>
            </w:pPr>
          </w:p>
        </w:tc>
        <w:tc>
          <w:tcPr>
            <w:tcW w:w="0" w:type="auto"/>
            <w:shd w:val="clear" w:color="auto" w:fill="auto"/>
          </w:tcPr>
          <w:p w14:paraId="00BAD6D8" w14:textId="77777777" w:rsidR="00871BDF" w:rsidRDefault="00871BDF">
            <w:pPr>
              <w:rPr>
                <w:rFonts w:ascii="宋体"/>
              </w:rPr>
            </w:pPr>
          </w:p>
        </w:tc>
        <w:tc>
          <w:tcPr>
            <w:tcW w:w="0" w:type="auto"/>
            <w:shd w:val="clear" w:color="auto" w:fill="auto"/>
          </w:tcPr>
          <w:p w14:paraId="00BAD6D9" w14:textId="77777777" w:rsidR="00871BDF" w:rsidRDefault="00871BDF">
            <w:pPr>
              <w:rPr>
                <w:rFonts w:ascii="宋体"/>
              </w:rPr>
            </w:pPr>
          </w:p>
        </w:tc>
        <w:tc>
          <w:tcPr>
            <w:tcW w:w="0" w:type="auto"/>
            <w:shd w:val="clear" w:color="auto" w:fill="auto"/>
          </w:tcPr>
          <w:p w14:paraId="00BAD6DA" w14:textId="77777777" w:rsidR="00871BDF" w:rsidRDefault="00871BDF">
            <w:pPr>
              <w:rPr>
                <w:rFonts w:ascii="宋体"/>
              </w:rPr>
            </w:pPr>
          </w:p>
        </w:tc>
        <w:tc>
          <w:tcPr>
            <w:tcW w:w="0" w:type="auto"/>
            <w:shd w:val="clear" w:color="auto" w:fill="auto"/>
          </w:tcPr>
          <w:p w14:paraId="00BAD6DB" w14:textId="77777777" w:rsidR="00871BDF" w:rsidRDefault="00871BDF">
            <w:pPr>
              <w:rPr>
                <w:rFonts w:ascii="宋体"/>
              </w:rPr>
            </w:pPr>
          </w:p>
        </w:tc>
        <w:tc>
          <w:tcPr>
            <w:tcW w:w="0" w:type="auto"/>
            <w:shd w:val="clear" w:color="auto" w:fill="auto"/>
          </w:tcPr>
          <w:p w14:paraId="00BAD6DC" w14:textId="77777777" w:rsidR="00871BDF" w:rsidRDefault="00871BDF">
            <w:pPr>
              <w:rPr>
                <w:rFonts w:ascii="宋体"/>
              </w:rPr>
            </w:pPr>
          </w:p>
        </w:tc>
        <w:tc>
          <w:tcPr>
            <w:tcW w:w="0" w:type="auto"/>
            <w:shd w:val="clear" w:color="auto" w:fill="auto"/>
          </w:tcPr>
          <w:p w14:paraId="00BAD6DD" w14:textId="77777777" w:rsidR="00871BDF" w:rsidRDefault="00871BDF">
            <w:pPr>
              <w:rPr>
                <w:rFonts w:ascii="宋体"/>
              </w:rPr>
            </w:pPr>
          </w:p>
        </w:tc>
        <w:tc>
          <w:tcPr>
            <w:tcW w:w="0" w:type="auto"/>
            <w:shd w:val="clear" w:color="auto" w:fill="auto"/>
          </w:tcPr>
          <w:p w14:paraId="00BAD6DE" w14:textId="77777777" w:rsidR="00871BDF" w:rsidRDefault="00871BDF">
            <w:pPr>
              <w:rPr>
                <w:rFonts w:ascii="宋体"/>
              </w:rPr>
            </w:pPr>
          </w:p>
        </w:tc>
        <w:tc>
          <w:tcPr>
            <w:tcW w:w="0" w:type="auto"/>
            <w:shd w:val="clear" w:color="auto" w:fill="auto"/>
          </w:tcPr>
          <w:p w14:paraId="00BAD6DF" w14:textId="77777777" w:rsidR="00871BDF" w:rsidRDefault="00871BDF">
            <w:pPr>
              <w:rPr>
                <w:rFonts w:ascii="宋体"/>
              </w:rPr>
            </w:pPr>
          </w:p>
        </w:tc>
        <w:tc>
          <w:tcPr>
            <w:tcW w:w="0" w:type="auto"/>
            <w:shd w:val="clear" w:color="auto" w:fill="auto"/>
          </w:tcPr>
          <w:p w14:paraId="00BAD6E0" w14:textId="77777777" w:rsidR="00871BDF" w:rsidRDefault="00871BDF">
            <w:pPr>
              <w:rPr>
                <w:rFonts w:ascii="宋体"/>
              </w:rPr>
            </w:pPr>
          </w:p>
        </w:tc>
        <w:tc>
          <w:tcPr>
            <w:tcW w:w="0" w:type="auto"/>
            <w:shd w:val="clear" w:color="auto" w:fill="auto"/>
          </w:tcPr>
          <w:p w14:paraId="00BAD6E1" w14:textId="77777777" w:rsidR="00871BDF" w:rsidRDefault="00871BDF">
            <w:pPr>
              <w:rPr>
                <w:rFonts w:ascii="宋体"/>
              </w:rPr>
            </w:pPr>
          </w:p>
        </w:tc>
        <w:tc>
          <w:tcPr>
            <w:tcW w:w="0" w:type="auto"/>
            <w:shd w:val="clear" w:color="auto" w:fill="auto"/>
          </w:tcPr>
          <w:p w14:paraId="00BAD6E2" w14:textId="77777777" w:rsidR="00871BDF" w:rsidRDefault="00871BDF">
            <w:pPr>
              <w:rPr>
                <w:rFonts w:ascii="宋体"/>
              </w:rPr>
            </w:pPr>
          </w:p>
        </w:tc>
        <w:tc>
          <w:tcPr>
            <w:tcW w:w="0" w:type="auto"/>
            <w:shd w:val="clear" w:color="auto" w:fill="auto"/>
          </w:tcPr>
          <w:p w14:paraId="00BAD6E3" w14:textId="77777777" w:rsidR="00871BDF" w:rsidRDefault="00871BDF">
            <w:pPr>
              <w:rPr>
                <w:rFonts w:ascii="宋体"/>
              </w:rPr>
            </w:pPr>
          </w:p>
        </w:tc>
        <w:tc>
          <w:tcPr>
            <w:tcW w:w="0" w:type="auto"/>
            <w:shd w:val="clear" w:color="auto" w:fill="auto"/>
          </w:tcPr>
          <w:p w14:paraId="00BAD6E4" w14:textId="77777777" w:rsidR="00871BDF" w:rsidRDefault="00871BDF">
            <w:pPr>
              <w:rPr>
                <w:rFonts w:ascii="宋体"/>
              </w:rPr>
            </w:pPr>
          </w:p>
        </w:tc>
        <w:tc>
          <w:tcPr>
            <w:tcW w:w="0" w:type="auto"/>
            <w:shd w:val="clear" w:color="auto" w:fill="auto"/>
          </w:tcPr>
          <w:p w14:paraId="00BAD6E5" w14:textId="77777777" w:rsidR="00871BDF" w:rsidRDefault="00871BDF">
            <w:pPr>
              <w:rPr>
                <w:rFonts w:ascii="宋体"/>
              </w:rPr>
            </w:pPr>
          </w:p>
        </w:tc>
        <w:tc>
          <w:tcPr>
            <w:tcW w:w="0" w:type="auto"/>
            <w:shd w:val="clear" w:color="auto" w:fill="auto"/>
          </w:tcPr>
          <w:p w14:paraId="00BAD6E6" w14:textId="77777777" w:rsidR="00871BDF" w:rsidRDefault="00871BDF">
            <w:pPr>
              <w:rPr>
                <w:rFonts w:ascii="宋体"/>
              </w:rPr>
            </w:pPr>
          </w:p>
        </w:tc>
        <w:tc>
          <w:tcPr>
            <w:tcW w:w="0" w:type="auto"/>
            <w:shd w:val="clear" w:color="auto" w:fill="auto"/>
          </w:tcPr>
          <w:p w14:paraId="00BAD6E7" w14:textId="77777777" w:rsidR="00871BDF" w:rsidRDefault="00871BDF">
            <w:pPr>
              <w:rPr>
                <w:rFonts w:ascii="宋体"/>
              </w:rPr>
            </w:pPr>
          </w:p>
        </w:tc>
      </w:tr>
      <w:tr w:rsidR="00871BDF" w14:paraId="00BAD716" w14:textId="77777777">
        <w:trPr>
          <w:jc w:val="center"/>
        </w:trPr>
        <w:tc>
          <w:tcPr>
            <w:tcW w:w="0" w:type="auto"/>
            <w:gridSpan w:val="3"/>
            <w:shd w:val="clear" w:color="auto" w:fill="D7E4BC"/>
            <w:tcMar>
              <w:top w:w="40" w:type="dxa"/>
              <w:left w:w="155" w:type="dxa"/>
              <w:bottom w:w="40" w:type="dxa"/>
              <w:right w:w="20" w:type="dxa"/>
            </w:tcMar>
            <w:vAlign w:val="bottom"/>
          </w:tcPr>
          <w:p w14:paraId="00BAD6E9" w14:textId="77777777" w:rsidR="00871BDF" w:rsidRDefault="005C5088">
            <w:pPr>
              <w:textAlignment w:val="bottom"/>
            </w:pPr>
            <w:r>
              <w:rPr>
                <w:rFonts w:ascii="Times New Roman" w:eastAsia="宋体" w:hAnsi="Times New Roman"/>
                <w:color w:val="000000"/>
                <w:sz w:val="20"/>
                <w:szCs w:val="20"/>
              </w:rPr>
              <w:t>Lic</w:t>
            </w:r>
            <w:r>
              <w:rPr>
                <w:rFonts w:ascii="Times New Roman" w:eastAsia="宋体" w:hAnsi="Times New Roman"/>
                <w:color w:val="000000"/>
                <w:sz w:val="20"/>
                <w:szCs w:val="20"/>
              </w:rPr>
              <w:t>ensed stores</w:t>
            </w:r>
          </w:p>
        </w:tc>
        <w:tc>
          <w:tcPr>
            <w:tcW w:w="0" w:type="auto"/>
            <w:gridSpan w:val="2"/>
            <w:shd w:val="clear" w:color="auto" w:fill="D7E4BC"/>
            <w:tcMar>
              <w:top w:w="40" w:type="dxa"/>
              <w:left w:w="20" w:type="dxa"/>
              <w:bottom w:w="40" w:type="dxa"/>
              <w:right w:w="0" w:type="dxa"/>
            </w:tcMar>
            <w:vAlign w:val="bottom"/>
          </w:tcPr>
          <w:p w14:paraId="00BAD6EA" w14:textId="77777777" w:rsidR="00871BDF" w:rsidRDefault="005C5088">
            <w:pPr>
              <w:jc w:val="right"/>
              <w:textAlignment w:val="bottom"/>
            </w:pPr>
            <w:r>
              <w:rPr>
                <w:rFonts w:ascii="Times New Roman" w:eastAsia="宋体" w:hAnsi="Times New Roman"/>
                <w:color w:val="000000"/>
                <w:sz w:val="20"/>
                <w:szCs w:val="20"/>
              </w:rPr>
              <w:t>8,245 </w:t>
            </w:r>
          </w:p>
        </w:tc>
        <w:tc>
          <w:tcPr>
            <w:tcW w:w="0" w:type="auto"/>
            <w:shd w:val="clear" w:color="auto" w:fill="D7E4BC"/>
            <w:tcMar>
              <w:top w:w="40" w:type="dxa"/>
              <w:left w:w="0" w:type="dxa"/>
              <w:bottom w:w="40" w:type="dxa"/>
              <w:right w:w="20" w:type="dxa"/>
            </w:tcMar>
            <w:vAlign w:val="bottom"/>
          </w:tcPr>
          <w:p w14:paraId="00BAD6E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6E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6ED" w14:textId="77777777" w:rsidR="00871BDF" w:rsidRDefault="005C5088">
            <w:pPr>
              <w:jc w:val="right"/>
              <w:textAlignment w:val="bottom"/>
            </w:pPr>
            <w:r>
              <w:rPr>
                <w:rFonts w:ascii="Times New Roman" w:eastAsia="宋体" w:hAnsi="Times New Roman"/>
                <w:color w:val="000000"/>
                <w:sz w:val="20"/>
                <w:szCs w:val="20"/>
              </w:rPr>
              <w:t>8,093 </w:t>
            </w:r>
          </w:p>
        </w:tc>
        <w:tc>
          <w:tcPr>
            <w:tcW w:w="0" w:type="auto"/>
            <w:shd w:val="clear" w:color="auto" w:fill="D7E4BC"/>
            <w:tcMar>
              <w:top w:w="40" w:type="dxa"/>
              <w:left w:w="0" w:type="dxa"/>
              <w:bottom w:w="40" w:type="dxa"/>
              <w:right w:w="20" w:type="dxa"/>
            </w:tcMar>
            <w:vAlign w:val="bottom"/>
          </w:tcPr>
          <w:p w14:paraId="00BAD6E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6E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6F0" w14:textId="77777777" w:rsidR="00871BDF" w:rsidRDefault="005C5088">
            <w:pPr>
              <w:jc w:val="right"/>
              <w:textAlignment w:val="bottom"/>
            </w:pPr>
            <w:r>
              <w:rPr>
                <w:rFonts w:ascii="Times New Roman" w:eastAsia="宋体" w:hAnsi="Times New Roman"/>
                <w:color w:val="000000"/>
                <w:sz w:val="20"/>
                <w:szCs w:val="20"/>
              </w:rPr>
              <w:t>7,770 </w:t>
            </w:r>
          </w:p>
        </w:tc>
        <w:tc>
          <w:tcPr>
            <w:tcW w:w="0" w:type="auto"/>
            <w:shd w:val="clear" w:color="auto" w:fill="D7E4BC"/>
            <w:tcMar>
              <w:top w:w="40" w:type="dxa"/>
              <w:left w:w="0" w:type="dxa"/>
              <w:bottom w:w="40" w:type="dxa"/>
              <w:right w:w="20" w:type="dxa"/>
            </w:tcMar>
            <w:vAlign w:val="bottom"/>
          </w:tcPr>
          <w:p w14:paraId="00BAD6F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6F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6F3" w14:textId="77777777" w:rsidR="00871BDF" w:rsidRDefault="005C5088">
            <w:pPr>
              <w:jc w:val="right"/>
              <w:textAlignment w:val="bottom"/>
            </w:pPr>
            <w:r>
              <w:rPr>
                <w:rFonts w:ascii="Times New Roman" w:eastAsia="宋体" w:hAnsi="Times New Roman"/>
                <w:color w:val="000000"/>
                <w:sz w:val="20"/>
                <w:szCs w:val="20"/>
              </w:rPr>
              <w:t>7,146 </w:t>
            </w:r>
          </w:p>
        </w:tc>
        <w:tc>
          <w:tcPr>
            <w:tcW w:w="0" w:type="auto"/>
            <w:shd w:val="clear" w:color="auto" w:fill="D7E4BC"/>
            <w:tcMar>
              <w:top w:w="40" w:type="dxa"/>
              <w:left w:w="0" w:type="dxa"/>
              <w:bottom w:w="40" w:type="dxa"/>
              <w:right w:w="20" w:type="dxa"/>
            </w:tcMar>
            <w:vAlign w:val="bottom"/>
          </w:tcPr>
          <w:p w14:paraId="00BAD6F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6F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6F6" w14:textId="77777777" w:rsidR="00871BDF" w:rsidRDefault="005C5088">
            <w:pPr>
              <w:jc w:val="right"/>
              <w:textAlignment w:val="bottom"/>
            </w:pPr>
            <w:r>
              <w:rPr>
                <w:rFonts w:ascii="Times New Roman" w:eastAsia="宋体" w:hAnsi="Times New Roman"/>
                <w:color w:val="000000"/>
                <w:sz w:val="20"/>
                <w:szCs w:val="20"/>
              </w:rPr>
              <w:t>6,588 </w:t>
            </w:r>
          </w:p>
        </w:tc>
        <w:tc>
          <w:tcPr>
            <w:tcW w:w="0" w:type="auto"/>
            <w:shd w:val="clear" w:color="auto" w:fill="D7E4BC"/>
            <w:tcMar>
              <w:top w:w="40" w:type="dxa"/>
              <w:left w:w="0" w:type="dxa"/>
              <w:bottom w:w="40" w:type="dxa"/>
              <w:right w:w="20" w:type="dxa"/>
            </w:tcMar>
            <w:vAlign w:val="bottom"/>
          </w:tcPr>
          <w:p w14:paraId="00BAD6F7" w14:textId="77777777" w:rsidR="00871BDF" w:rsidRDefault="00871BDF">
            <w:pPr>
              <w:jc w:val="right"/>
              <w:rPr>
                <w:rFonts w:ascii="宋体"/>
              </w:rPr>
            </w:pPr>
          </w:p>
        </w:tc>
        <w:tc>
          <w:tcPr>
            <w:tcW w:w="0" w:type="auto"/>
            <w:shd w:val="clear" w:color="auto" w:fill="auto"/>
          </w:tcPr>
          <w:p w14:paraId="00BAD6F8" w14:textId="77777777" w:rsidR="00871BDF" w:rsidRDefault="00871BDF">
            <w:pPr>
              <w:rPr>
                <w:rFonts w:ascii="宋体"/>
              </w:rPr>
            </w:pPr>
          </w:p>
        </w:tc>
        <w:tc>
          <w:tcPr>
            <w:tcW w:w="0" w:type="auto"/>
            <w:shd w:val="clear" w:color="auto" w:fill="auto"/>
          </w:tcPr>
          <w:p w14:paraId="00BAD6F9" w14:textId="77777777" w:rsidR="00871BDF" w:rsidRDefault="00871BDF">
            <w:pPr>
              <w:rPr>
                <w:rFonts w:ascii="宋体"/>
              </w:rPr>
            </w:pPr>
          </w:p>
        </w:tc>
        <w:tc>
          <w:tcPr>
            <w:tcW w:w="0" w:type="auto"/>
            <w:shd w:val="clear" w:color="auto" w:fill="auto"/>
          </w:tcPr>
          <w:p w14:paraId="00BAD6FA" w14:textId="77777777" w:rsidR="00871BDF" w:rsidRDefault="00871BDF">
            <w:pPr>
              <w:rPr>
                <w:rFonts w:ascii="宋体"/>
              </w:rPr>
            </w:pPr>
          </w:p>
        </w:tc>
        <w:tc>
          <w:tcPr>
            <w:tcW w:w="0" w:type="auto"/>
            <w:shd w:val="clear" w:color="auto" w:fill="auto"/>
          </w:tcPr>
          <w:p w14:paraId="00BAD6FB" w14:textId="77777777" w:rsidR="00871BDF" w:rsidRDefault="00871BDF">
            <w:pPr>
              <w:rPr>
                <w:rFonts w:ascii="宋体"/>
              </w:rPr>
            </w:pPr>
          </w:p>
        </w:tc>
        <w:tc>
          <w:tcPr>
            <w:tcW w:w="0" w:type="auto"/>
            <w:shd w:val="clear" w:color="auto" w:fill="auto"/>
          </w:tcPr>
          <w:p w14:paraId="00BAD6FC" w14:textId="77777777" w:rsidR="00871BDF" w:rsidRDefault="00871BDF">
            <w:pPr>
              <w:rPr>
                <w:rFonts w:ascii="宋体"/>
              </w:rPr>
            </w:pPr>
          </w:p>
        </w:tc>
        <w:tc>
          <w:tcPr>
            <w:tcW w:w="0" w:type="auto"/>
            <w:shd w:val="clear" w:color="auto" w:fill="auto"/>
          </w:tcPr>
          <w:p w14:paraId="00BAD6FD" w14:textId="77777777" w:rsidR="00871BDF" w:rsidRDefault="00871BDF">
            <w:pPr>
              <w:rPr>
                <w:rFonts w:ascii="宋体"/>
              </w:rPr>
            </w:pPr>
          </w:p>
        </w:tc>
        <w:tc>
          <w:tcPr>
            <w:tcW w:w="0" w:type="auto"/>
            <w:shd w:val="clear" w:color="auto" w:fill="auto"/>
          </w:tcPr>
          <w:p w14:paraId="00BAD6FE" w14:textId="77777777" w:rsidR="00871BDF" w:rsidRDefault="00871BDF">
            <w:pPr>
              <w:rPr>
                <w:rFonts w:ascii="宋体"/>
              </w:rPr>
            </w:pPr>
          </w:p>
        </w:tc>
        <w:tc>
          <w:tcPr>
            <w:tcW w:w="0" w:type="auto"/>
            <w:shd w:val="clear" w:color="auto" w:fill="auto"/>
          </w:tcPr>
          <w:p w14:paraId="00BAD6FF" w14:textId="77777777" w:rsidR="00871BDF" w:rsidRDefault="00871BDF">
            <w:pPr>
              <w:rPr>
                <w:rFonts w:ascii="宋体"/>
              </w:rPr>
            </w:pPr>
          </w:p>
        </w:tc>
        <w:tc>
          <w:tcPr>
            <w:tcW w:w="0" w:type="auto"/>
            <w:shd w:val="clear" w:color="auto" w:fill="auto"/>
          </w:tcPr>
          <w:p w14:paraId="00BAD700" w14:textId="77777777" w:rsidR="00871BDF" w:rsidRDefault="00871BDF">
            <w:pPr>
              <w:rPr>
                <w:rFonts w:ascii="宋体"/>
              </w:rPr>
            </w:pPr>
          </w:p>
        </w:tc>
        <w:tc>
          <w:tcPr>
            <w:tcW w:w="0" w:type="auto"/>
            <w:shd w:val="clear" w:color="auto" w:fill="auto"/>
          </w:tcPr>
          <w:p w14:paraId="00BAD701" w14:textId="77777777" w:rsidR="00871BDF" w:rsidRDefault="00871BDF">
            <w:pPr>
              <w:rPr>
                <w:rFonts w:ascii="宋体"/>
              </w:rPr>
            </w:pPr>
          </w:p>
        </w:tc>
        <w:tc>
          <w:tcPr>
            <w:tcW w:w="0" w:type="auto"/>
            <w:shd w:val="clear" w:color="auto" w:fill="auto"/>
          </w:tcPr>
          <w:p w14:paraId="00BAD702" w14:textId="77777777" w:rsidR="00871BDF" w:rsidRDefault="00871BDF">
            <w:pPr>
              <w:rPr>
                <w:rFonts w:ascii="宋体"/>
              </w:rPr>
            </w:pPr>
          </w:p>
        </w:tc>
        <w:tc>
          <w:tcPr>
            <w:tcW w:w="0" w:type="auto"/>
            <w:shd w:val="clear" w:color="auto" w:fill="auto"/>
          </w:tcPr>
          <w:p w14:paraId="00BAD703" w14:textId="77777777" w:rsidR="00871BDF" w:rsidRDefault="00871BDF">
            <w:pPr>
              <w:rPr>
                <w:rFonts w:ascii="宋体"/>
              </w:rPr>
            </w:pPr>
          </w:p>
        </w:tc>
        <w:tc>
          <w:tcPr>
            <w:tcW w:w="0" w:type="auto"/>
            <w:shd w:val="clear" w:color="auto" w:fill="auto"/>
          </w:tcPr>
          <w:p w14:paraId="00BAD704" w14:textId="77777777" w:rsidR="00871BDF" w:rsidRDefault="00871BDF">
            <w:pPr>
              <w:rPr>
                <w:rFonts w:ascii="宋体"/>
              </w:rPr>
            </w:pPr>
          </w:p>
        </w:tc>
        <w:tc>
          <w:tcPr>
            <w:tcW w:w="0" w:type="auto"/>
            <w:shd w:val="clear" w:color="auto" w:fill="auto"/>
          </w:tcPr>
          <w:p w14:paraId="00BAD705" w14:textId="77777777" w:rsidR="00871BDF" w:rsidRDefault="00871BDF">
            <w:pPr>
              <w:rPr>
                <w:rFonts w:ascii="宋体"/>
              </w:rPr>
            </w:pPr>
          </w:p>
        </w:tc>
        <w:tc>
          <w:tcPr>
            <w:tcW w:w="0" w:type="auto"/>
            <w:shd w:val="clear" w:color="auto" w:fill="auto"/>
          </w:tcPr>
          <w:p w14:paraId="00BAD706" w14:textId="77777777" w:rsidR="00871BDF" w:rsidRDefault="00871BDF">
            <w:pPr>
              <w:rPr>
                <w:rFonts w:ascii="宋体"/>
              </w:rPr>
            </w:pPr>
          </w:p>
        </w:tc>
        <w:tc>
          <w:tcPr>
            <w:tcW w:w="0" w:type="auto"/>
            <w:shd w:val="clear" w:color="auto" w:fill="auto"/>
          </w:tcPr>
          <w:p w14:paraId="00BAD707" w14:textId="77777777" w:rsidR="00871BDF" w:rsidRDefault="00871BDF">
            <w:pPr>
              <w:rPr>
                <w:rFonts w:ascii="宋体"/>
              </w:rPr>
            </w:pPr>
          </w:p>
        </w:tc>
        <w:tc>
          <w:tcPr>
            <w:tcW w:w="0" w:type="auto"/>
            <w:shd w:val="clear" w:color="auto" w:fill="auto"/>
          </w:tcPr>
          <w:p w14:paraId="00BAD708" w14:textId="77777777" w:rsidR="00871BDF" w:rsidRDefault="00871BDF">
            <w:pPr>
              <w:rPr>
                <w:rFonts w:ascii="宋体"/>
              </w:rPr>
            </w:pPr>
          </w:p>
        </w:tc>
        <w:tc>
          <w:tcPr>
            <w:tcW w:w="0" w:type="auto"/>
            <w:shd w:val="clear" w:color="auto" w:fill="auto"/>
          </w:tcPr>
          <w:p w14:paraId="00BAD709" w14:textId="77777777" w:rsidR="00871BDF" w:rsidRDefault="00871BDF">
            <w:pPr>
              <w:rPr>
                <w:rFonts w:ascii="宋体"/>
              </w:rPr>
            </w:pPr>
          </w:p>
        </w:tc>
        <w:tc>
          <w:tcPr>
            <w:tcW w:w="0" w:type="auto"/>
            <w:shd w:val="clear" w:color="auto" w:fill="auto"/>
          </w:tcPr>
          <w:p w14:paraId="00BAD70A" w14:textId="77777777" w:rsidR="00871BDF" w:rsidRDefault="00871BDF">
            <w:pPr>
              <w:rPr>
                <w:rFonts w:ascii="宋体"/>
              </w:rPr>
            </w:pPr>
          </w:p>
        </w:tc>
        <w:tc>
          <w:tcPr>
            <w:tcW w:w="0" w:type="auto"/>
            <w:shd w:val="clear" w:color="auto" w:fill="auto"/>
          </w:tcPr>
          <w:p w14:paraId="00BAD70B" w14:textId="77777777" w:rsidR="00871BDF" w:rsidRDefault="00871BDF">
            <w:pPr>
              <w:rPr>
                <w:rFonts w:ascii="宋体"/>
              </w:rPr>
            </w:pPr>
          </w:p>
        </w:tc>
        <w:tc>
          <w:tcPr>
            <w:tcW w:w="0" w:type="auto"/>
            <w:shd w:val="clear" w:color="auto" w:fill="auto"/>
          </w:tcPr>
          <w:p w14:paraId="00BAD70C" w14:textId="77777777" w:rsidR="00871BDF" w:rsidRDefault="00871BDF">
            <w:pPr>
              <w:rPr>
                <w:rFonts w:ascii="宋体"/>
              </w:rPr>
            </w:pPr>
          </w:p>
        </w:tc>
        <w:tc>
          <w:tcPr>
            <w:tcW w:w="0" w:type="auto"/>
            <w:shd w:val="clear" w:color="auto" w:fill="auto"/>
          </w:tcPr>
          <w:p w14:paraId="00BAD70D" w14:textId="77777777" w:rsidR="00871BDF" w:rsidRDefault="00871BDF">
            <w:pPr>
              <w:rPr>
                <w:rFonts w:ascii="宋体"/>
              </w:rPr>
            </w:pPr>
          </w:p>
        </w:tc>
        <w:tc>
          <w:tcPr>
            <w:tcW w:w="0" w:type="auto"/>
            <w:shd w:val="clear" w:color="auto" w:fill="auto"/>
          </w:tcPr>
          <w:p w14:paraId="00BAD70E" w14:textId="77777777" w:rsidR="00871BDF" w:rsidRDefault="00871BDF">
            <w:pPr>
              <w:rPr>
                <w:rFonts w:ascii="宋体"/>
              </w:rPr>
            </w:pPr>
          </w:p>
        </w:tc>
        <w:tc>
          <w:tcPr>
            <w:tcW w:w="0" w:type="auto"/>
            <w:shd w:val="clear" w:color="auto" w:fill="auto"/>
          </w:tcPr>
          <w:p w14:paraId="00BAD70F" w14:textId="77777777" w:rsidR="00871BDF" w:rsidRDefault="00871BDF">
            <w:pPr>
              <w:rPr>
                <w:rFonts w:ascii="宋体"/>
              </w:rPr>
            </w:pPr>
          </w:p>
        </w:tc>
        <w:tc>
          <w:tcPr>
            <w:tcW w:w="0" w:type="auto"/>
            <w:shd w:val="clear" w:color="auto" w:fill="auto"/>
          </w:tcPr>
          <w:p w14:paraId="00BAD710" w14:textId="77777777" w:rsidR="00871BDF" w:rsidRDefault="00871BDF">
            <w:pPr>
              <w:rPr>
                <w:rFonts w:ascii="宋体"/>
              </w:rPr>
            </w:pPr>
          </w:p>
        </w:tc>
        <w:tc>
          <w:tcPr>
            <w:tcW w:w="0" w:type="auto"/>
            <w:shd w:val="clear" w:color="auto" w:fill="auto"/>
          </w:tcPr>
          <w:p w14:paraId="00BAD711" w14:textId="77777777" w:rsidR="00871BDF" w:rsidRDefault="00871BDF">
            <w:pPr>
              <w:rPr>
                <w:rFonts w:ascii="宋体"/>
              </w:rPr>
            </w:pPr>
          </w:p>
        </w:tc>
        <w:tc>
          <w:tcPr>
            <w:tcW w:w="0" w:type="auto"/>
            <w:shd w:val="clear" w:color="auto" w:fill="auto"/>
          </w:tcPr>
          <w:p w14:paraId="00BAD712" w14:textId="77777777" w:rsidR="00871BDF" w:rsidRDefault="00871BDF">
            <w:pPr>
              <w:rPr>
                <w:rFonts w:ascii="宋体"/>
              </w:rPr>
            </w:pPr>
          </w:p>
        </w:tc>
        <w:tc>
          <w:tcPr>
            <w:tcW w:w="0" w:type="auto"/>
            <w:shd w:val="clear" w:color="auto" w:fill="auto"/>
          </w:tcPr>
          <w:p w14:paraId="00BAD713" w14:textId="77777777" w:rsidR="00871BDF" w:rsidRDefault="00871BDF">
            <w:pPr>
              <w:rPr>
                <w:rFonts w:ascii="宋体"/>
              </w:rPr>
            </w:pPr>
          </w:p>
        </w:tc>
        <w:tc>
          <w:tcPr>
            <w:tcW w:w="0" w:type="auto"/>
            <w:shd w:val="clear" w:color="auto" w:fill="auto"/>
          </w:tcPr>
          <w:p w14:paraId="00BAD714" w14:textId="77777777" w:rsidR="00871BDF" w:rsidRDefault="00871BDF">
            <w:pPr>
              <w:rPr>
                <w:rFonts w:ascii="宋体"/>
              </w:rPr>
            </w:pPr>
          </w:p>
        </w:tc>
        <w:tc>
          <w:tcPr>
            <w:tcW w:w="0" w:type="auto"/>
            <w:shd w:val="clear" w:color="auto" w:fill="auto"/>
          </w:tcPr>
          <w:p w14:paraId="00BAD715" w14:textId="77777777" w:rsidR="00871BDF" w:rsidRDefault="00871BDF">
            <w:pPr>
              <w:rPr>
                <w:rFonts w:ascii="宋体"/>
              </w:rPr>
            </w:pPr>
          </w:p>
        </w:tc>
      </w:tr>
      <w:tr w:rsidR="00871BDF" w14:paraId="00BAD73F" w14:textId="77777777">
        <w:trPr>
          <w:jc w:val="center"/>
        </w:trPr>
        <w:tc>
          <w:tcPr>
            <w:tcW w:w="0" w:type="auto"/>
            <w:gridSpan w:val="3"/>
            <w:shd w:val="clear" w:color="auto" w:fill="FFFFFF"/>
            <w:tcMar>
              <w:top w:w="40" w:type="dxa"/>
              <w:left w:w="20" w:type="dxa"/>
              <w:bottom w:w="40" w:type="dxa"/>
              <w:right w:w="20" w:type="dxa"/>
            </w:tcMar>
            <w:vAlign w:val="center"/>
          </w:tcPr>
          <w:p w14:paraId="00BAD717" w14:textId="77777777" w:rsidR="00871BDF" w:rsidRDefault="005C5088">
            <w:pPr>
              <w:textAlignment w:val="center"/>
            </w:pPr>
            <w:r>
              <w:rPr>
                <w:rFonts w:ascii="Times New Roman" w:eastAsia="宋体" w:hAnsi="Times New Roman"/>
                <w:color w:val="000000"/>
                <w:sz w:val="20"/>
                <w:szCs w:val="20"/>
              </w:rPr>
              <w:t>Int</w:t>
            </w:r>
            <w:r>
              <w:rPr>
                <w:rFonts w:ascii="Times New Roman" w:eastAsia="宋体" w:hAnsi="Times New Roman"/>
                <w:color w:val="000000"/>
                <w:sz w:val="20"/>
                <w:szCs w:val="20"/>
              </w:rPr>
              <w:t>ernational</w:t>
            </w:r>
            <w:r>
              <w:rPr>
                <w:rFonts w:ascii="Times New Roman" w:eastAsia="宋体" w:hAnsi="Times New Roman"/>
                <w:color w:val="000000"/>
                <w:sz w:val="13"/>
                <w:szCs w:val="13"/>
              </w:rPr>
              <w:t>(2)</w:t>
            </w:r>
          </w:p>
        </w:tc>
        <w:tc>
          <w:tcPr>
            <w:tcW w:w="0" w:type="auto"/>
            <w:gridSpan w:val="3"/>
            <w:shd w:val="clear" w:color="auto" w:fill="FFFFFF"/>
            <w:tcMar>
              <w:top w:w="0" w:type="dxa"/>
              <w:left w:w="20" w:type="dxa"/>
              <w:bottom w:w="0" w:type="dxa"/>
              <w:right w:w="20" w:type="dxa"/>
            </w:tcMar>
          </w:tcPr>
          <w:p w14:paraId="00BAD718"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71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71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71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71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71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71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71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720" w14:textId="77777777" w:rsidR="00871BDF" w:rsidRDefault="00871BDF">
            <w:pPr>
              <w:rPr>
                <w:rFonts w:ascii="宋体"/>
              </w:rPr>
            </w:pPr>
          </w:p>
        </w:tc>
        <w:tc>
          <w:tcPr>
            <w:tcW w:w="0" w:type="auto"/>
            <w:shd w:val="clear" w:color="auto" w:fill="auto"/>
          </w:tcPr>
          <w:p w14:paraId="00BAD721" w14:textId="77777777" w:rsidR="00871BDF" w:rsidRDefault="00871BDF">
            <w:pPr>
              <w:rPr>
                <w:rFonts w:ascii="宋体"/>
              </w:rPr>
            </w:pPr>
          </w:p>
        </w:tc>
        <w:tc>
          <w:tcPr>
            <w:tcW w:w="0" w:type="auto"/>
            <w:shd w:val="clear" w:color="auto" w:fill="auto"/>
          </w:tcPr>
          <w:p w14:paraId="00BAD722" w14:textId="77777777" w:rsidR="00871BDF" w:rsidRDefault="00871BDF">
            <w:pPr>
              <w:rPr>
                <w:rFonts w:ascii="宋体"/>
              </w:rPr>
            </w:pPr>
          </w:p>
        </w:tc>
        <w:tc>
          <w:tcPr>
            <w:tcW w:w="0" w:type="auto"/>
            <w:shd w:val="clear" w:color="auto" w:fill="auto"/>
          </w:tcPr>
          <w:p w14:paraId="00BAD723" w14:textId="77777777" w:rsidR="00871BDF" w:rsidRDefault="00871BDF">
            <w:pPr>
              <w:rPr>
                <w:rFonts w:ascii="宋体"/>
              </w:rPr>
            </w:pPr>
          </w:p>
        </w:tc>
        <w:tc>
          <w:tcPr>
            <w:tcW w:w="0" w:type="auto"/>
            <w:shd w:val="clear" w:color="auto" w:fill="auto"/>
          </w:tcPr>
          <w:p w14:paraId="00BAD724" w14:textId="77777777" w:rsidR="00871BDF" w:rsidRDefault="00871BDF">
            <w:pPr>
              <w:rPr>
                <w:rFonts w:ascii="宋体"/>
              </w:rPr>
            </w:pPr>
          </w:p>
        </w:tc>
        <w:tc>
          <w:tcPr>
            <w:tcW w:w="0" w:type="auto"/>
            <w:shd w:val="clear" w:color="auto" w:fill="auto"/>
          </w:tcPr>
          <w:p w14:paraId="00BAD725" w14:textId="77777777" w:rsidR="00871BDF" w:rsidRDefault="00871BDF">
            <w:pPr>
              <w:rPr>
                <w:rFonts w:ascii="宋体"/>
              </w:rPr>
            </w:pPr>
          </w:p>
        </w:tc>
        <w:tc>
          <w:tcPr>
            <w:tcW w:w="0" w:type="auto"/>
            <w:shd w:val="clear" w:color="auto" w:fill="auto"/>
          </w:tcPr>
          <w:p w14:paraId="00BAD726" w14:textId="77777777" w:rsidR="00871BDF" w:rsidRDefault="00871BDF">
            <w:pPr>
              <w:rPr>
                <w:rFonts w:ascii="宋体"/>
              </w:rPr>
            </w:pPr>
          </w:p>
        </w:tc>
        <w:tc>
          <w:tcPr>
            <w:tcW w:w="0" w:type="auto"/>
            <w:shd w:val="clear" w:color="auto" w:fill="auto"/>
          </w:tcPr>
          <w:p w14:paraId="00BAD727" w14:textId="77777777" w:rsidR="00871BDF" w:rsidRDefault="00871BDF">
            <w:pPr>
              <w:rPr>
                <w:rFonts w:ascii="宋体"/>
              </w:rPr>
            </w:pPr>
          </w:p>
        </w:tc>
        <w:tc>
          <w:tcPr>
            <w:tcW w:w="0" w:type="auto"/>
            <w:shd w:val="clear" w:color="auto" w:fill="auto"/>
          </w:tcPr>
          <w:p w14:paraId="00BAD728" w14:textId="77777777" w:rsidR="00871BDF" w:rsidRDefault="00871BDF">
            <w:pPr>
              <w:rPr>
                <w:rFonts w:ascii="宋体"/>
              </w:rPr>
            </w:pPr>
          </w:p>
        </w:tc>
        <w:tc>
          <w:tcPr>
            <w:tcW w:w="0" w:type="auto"/>
            <w:shd w:val="clear" w:color="auto" w:fill="auto"/>
          </w:tcPr>
          <w:p w14:paraId="00BAD729" w14:textId="77777777" w:rsidR="00871BDF" w:rsidRDefault="00871BDF">
            <w:pPr>
              <w:rPr>
                <w:rFonts w:ascii="宋体"/>
              </w:rPr>
            </w:pPr>
          </w:p>
        </w:tc>
        <w:tc>
          <w:tcPr>
            <w:tcW w:w="0" w:type="auto"/>
            <w:shd w:val="clear" w:color="auto" w:fill="auto"/>
          </w:tcPr>
          <w:p w14:paraId="00BAD72A" w14:textId="77777777" w:rsidR="00871BDF" w:rsidRDefault="00871BDF">
            <w:pPr>
              <w:rPr>
                <w:rFonts w:ascii="宋体"/>
              </w:rPr>
            </w:pPr>
          </w:p>
        </w:tc>
        <w:tc>
          <w:tcPr>
            <w:tcW w:w="0" w:type="auto"/>
            <w:shd w:val="clear" w:color="auto" w:fill="auto"/>
          </w:tcPr>
          <w:p w14:paraId="00BAD72B" w14:textId="77777777" w:rsidR="00871BDF" w:rsidRDefault="00871BDF">
            <w:pPr>
              <w:rPr>
                <w:rFonts w:ascii="宋体"/>
              </w:rPr>
            </w:pPr>
          </w:p>
        </w:tc>
        <w:tc>
          <w:tcPr>
            <w:tcW w:w="0" w:type="auto"/>
            <w:shd w:val="clear" w:color="auto" w:fill="auto"/>
          </w:tcPr>
          <w:p w14:paraId="00BAD72C" w14:textId="77777777" w:rsidR="00871BDF" w:rsidRDefault="00871BDF">
            <w:pPr>
              <w:rPr>
                <w:rFonts w:ascii="宋体"/>
              </w:rPr>
            </w:pPr>
          </w:p>
        </w:tc>
        <w:tc>
          <w:tcPr>
            <w:tcW w:w="0" w:type="auto"/>
            <w:shd w:val="clear" w:color="auto" w:fill="auto"/>
          </w:tcPr>
          <w:p w14:paraId="00BAD72D" w14:textId="77777777" w:rsidR="00871BDF" w:rsidRDefault="00871BDF">
            <w:pPr>
              <w:rPr>
                <w:rFonts w:ascii="宋体"/>
              </w:rPr>
            </w:pPr>
          </w:p>
        </w:tc>
        <w:tc>
          <w:tcPr>
            <w:tcW w:w="0" w:type="auto"/>
            <w:shd w:val="clear" w:color="auto" w:fill="auto"/>
          </w:tcPr>
          <w:p w14:paraId="00BAD72E" w14:textId="77777777" w:rsidR="00871BDF" w:rsidRDefault="00871BDF">
            <w:pPr>
              <w:rPr>
                <w:rFonts w:ascii="宋体"/>
              </w:rPr>
            </w:pPr>
          </w:p>
        </w:tc>
        <w:tc>
          <w:tcPr>
            <w:tcW w:w="0" w:type="auto"/>
            <w:shd w:val="clear" w:color="auto" w:fill="auto"/>
          </w:tcPr>
          <w:p w14:paraId="00BAD72F" w14:textId="77777777" w:rsidR="00871BDF" w:rsidRDefault="00871BDF">
            <w:pPr>
              <w:rPr>
                <w:rFonts w:ascii="宋体"/>
              </w:rPr>
            </w:pPr>
          </w:p>
        </w:tc>
        <w:tc>
          <w:tcPr>
            <w:tcW w:w="0" w:type="auto"/>
            <w:shd w:val="clear" w:color="auto" w:fill="auto"/>
          </w:tcPr>
          <w:p w14:paraId="00BAD730" w14:textId="77777777" w:rsidR="00871BDF" w:rsidRDefault="00871BDF">
            <w:pPr>
              <w:rPr>
                <w:rFonts w:ascii="宋体"/>
              </w:rPr>
            </w:pPr>
          </w:p>
        </w:tc>
        <w:tc>
          <w:tcPr>
            <w:tcW w:w="0" w:type="auto"/>
            <w:shd w:val="clear" w:color="auto" w:fill="auto"/>
          </w:tcPr>
          <w:p w14:paraId="00BAD731" w14:textId="77777777" w:rsidR="00871BDF" w:rsidRDefault="00871BDF">
            <w:pPr>
              <w:rPr>
                <w:rFonts w:ascii="宋体"/>
              </w:rPr>
            </w:pPr>
          </w:p>
        </w:tc>
        <w:tc>
          <w:tcPr>
            <w:tcW w:w="0" w:type="auto"/>
            <w:shd w:val="clear" w:color="auto" w:fill="auto"/>
          </w:tcPr>
          <w:p w14:paraId="00BAD732" w14:textId="77777777" w:rsidR="00871BDF" w:rsidRDefault="00871BDF">
            <w:pPr>
              <w:rPr>
                <w:rFonts w:ascii="宋体"/>
              </w:rPr>
            </w:pPr>
          </w:p>
        </w:tc>
        <w:tc>
          <w:tcPr>
            <w:tcW w:w="0" w:type="auto"/>
            <w:shd w:val="clear" w:color="auto" w:fill="auto"/>
          </w:tcPr>
          <w:p w14:paraId="00BAD733" w14:textId="77777777" w:rsidR="00871BDF" w:rsidRDefault="00871BDF">
            <w:pPr>
              <w:rPr>
                <w:rFonts w:ascii="宋体"/>
              </w:rPr>
            </w:pPr>
          </w:p>
        </w:tc>
        <w:tc>
          <w:tcPr>
            <w:tcW w:w="0" w:type="auto"/>
            <w:shd w:val="clear" w:color="auto" w:fill="auto"/>
          </w:tcPr>
          <w:p w14:paraId="00BAD734" w14:textId="77777777" w:rsidR="00871BDF" w:rsidRDefault="00871BDF">
            <w:pPr>
              <w:rPr>
                <w:rFonts w:ascii="宋体"/>
              </w:rPr>
            </w:pPr>
          </w:p>
        </w:tc>
        <w:tc>
          <w:tcPr>
            <w:tcW w:w="0" w:type="auto"/>
            <w:shd w:val="clear" w:color="auto" w:fill="auto"/>
          </w:tcPr>
          <w:p w14:paraId="00BAD735" w14:textId="77777777" w:rsidR="00871BDF" w:rsidRDefault="00871BDF">
            <w:pPr>
              <w:rPr>
                <w:rFonts w:ascii="宋体"/>
              </w:rPr>
            </w:pPr>
          </w:p>
        </w:tc>
        <w:tc>
          <w:tcPr>
            <w:tcW w:w="0" w:type="auto"/>
            <w:shd w:val="clear" w:color="auto" w:fill="auto"/>
          </w:tcPr>
          <w:p w14:paraId="00BAD736" w14:textId="77777777" w:rsidR="00871BDF" w:rsidRDefault="00871BDF">
            <w:pPr>
              <w:rPr>
                <w:rFonts w:ascii="宋体"/>
              </w:rPr>
            </w:pPr>
          </w:p>
        </w:tc>
        <w:tc>
          <w:tcPr>
            <w:tcW w:w="0" w:type="auto"/>
            <w:shd w:val="clear" w:color="auto" w:fill="auto"/>
          </w:tcPr>
          <w:p w14:paraId="00BAD737" w14:textId="77777777" w:rsidR="00871BDF" w:rsidRDefault="00871BDF">
            <w:pPr>
              <w:rPr>
                <w:rFonts w:ascii="宋体"/>
              </w:rPr>
            </w:pPr>
          </w:p>
        </w:tc>
        <w:tc>
          <w:tcPr>
            <w:tcW w:w="0" w:type="auto"/>
            <w:shd w:val="clear" w:color="auto" w:fill="auto"/>
          </w:tcPr>
          <w:p w14:paraId="00BAD738" w14:textId="77777777" w:rsidR="00871BDF" w:rsidRDefault="00871BDF">
            <w:pPr>
              <w:rPr>
                <w:rFonts w:ascii="宋体"/>
              </w:rPr>
            </w:pPr>
          </w:p>
        </w:tc>
        <w:tc>
          <w:tcPr>
            <w:tcW w:w="0" w:type="auto"/>
            <w:shd w:val="clear" w:color="auto" w:fill="auto"/>
          </w:tcPr>
          <w:p w14:paraId="00BAD739" w14:textId="77777777" w:rsidR="00871BDF" w:rsidRDefault="00871BDF">
            <w:pPr>
              <w:rPr>
                <w:rFonts w:ascii="宋体"/>
              </w:rPr>
            </w:pPr>
          </w:p>
        </w:tc>
        <w:tc>
          <w:tcPr>
            <w:tcW w:w="0" w:type="auto"/>
            <w:shd w:val="clear" w:color="auto" w:fill="auto"/>
          </w:tcPr>
          <w:p w14:paraId="00BAD73A" w14:textId="77777777" w:rsidR="00871BDF" w:rsidRDefault="00871BDF">
            <w:pPr>
              <w:rPr>
                <w:rFonts w:ascii="宋体"/>
              </w:rPr>
            </w:pPr>
          </w:p>
        </w:tc>
        <w:tc>
          <w:tcPr>
            <w:tcW w:w="0" w:type="auto"/>
            <w:shd w:val="clear" w:color="auto" w:fill="auto"/>
          </w:tcPr>
          <w:p w14:paraId="00BAD73B" w14:textId="77777777" w:rsidR="00871BDF" w:rsidRDefault="00871BDF">
            <w:pPr>
              <w:rPr>
                <w:rFonts w:ascii="宋体"/>
              </w:rPr>
            </w:pPr>
          </w:p>
        </w:tc>
        <w:tc>
          <w:tcPr>
            <w:tcW w:w="0" w:type="auto"/>
            <w:shd w:val="clear" w:color="auto" w:fill="auto"/>
          </w:tcPr>
          <w:p w14:paraId="00BAD73C" w14:textId="77777777" w:rsidR="00871BDF" w:rsidRDefault="00871BDF">
            <w:pPr>
              <w:rPr>
                <w:rFonts w:ascii="宋体"/>
              </w:rPr>
            </w:pPr>
          </w:p>
        </w:tc>
        <w:tc>
          <w:tcPr>
            <w:tcW w:w="0" w:type="auto"/>
            <w:shd w:val="clear" w:color="auto" w:fill="auto"/>
          </w:tcPr>
          <w:p w14:paraId="00BAD73D" w14:textId="77777777" w:rsidR="00871BDF" w:rsidRDefault="00871BDF">
            <w:pPr>
              <w:rPr>
                <w:rFonts w:ascii="宋体"/>
              </w:rPr>
            </w:pPr>
          </w:p>
        </w:tc>
        <w:tc>
          <w:tcPr>
            <w:tcW w:w="0" w:type="auto"/>
            <w:shd w:val="clear" w:color="auto" w:fill="auto"/>
          </w:tcPr>
          <w:p w14:paraId="00BAD73E" w14:textId="77777777" w:rsidR="00871BDF" w:rsidRDefault="00871BDF">
            <w:pPr>
              <w:rPr>
                <w:rFonts w:ascii="宋体"/>
              </w:rPr>
            </w:pPr>
          </w:p>
        </w:tc>
      </w:tr>
      <w:tr w:rsidR="00871BDF" w14:paraId="00BAD76D" w14:textId="77777777">
        <w:trPr>
          <w:jc w:val="center"/>
        </w:trPr>
        <w:tc>
          <w:tcPr>
            <w:tcW w:w="0" w:type="auto"/>
            <w:gridSpan w:val="3"/>
            <w:shd w:val="clear" w:color="auto" w:fill="D7E4BC"/>
            <w:tcMar>
              <w:top w:w="40" w:type="dxa"/>
              <w:left w:w="155" w:type="dxa"/>
              <w:bottom w:w="40" w:type="dxa"/>
              <w:right w:w="20" w:type="dxa"/>
            </w:tcMar>
            <w:vAlign w:val="bottom"/>
          </w:tcPr>
          <w:p w14:paraId="00BAD740" w14:textId="77777777" w:rsidR="00871BDF" w:rsidRDefault="005C5088">
            <w:pPr>
              <w:textAlignment w:val="bottom"/>
            </w:pPr>
            <w:r>
              <w:rPr>
                <w:rFonts w:ascii="Times New Roman" w:eastAsia="宋体" w:hAnsi="Times New Roman"/>
                <w:color w:val="000000"/>
                <w:sz w:val="20"/>
                <w:szCs w:val="20"/>
              </w:rPr>
              <w:t>Company-operated stores</w:t>
            </w:r>
          </w:p>
        </w:tc>
        <w:tc>
          <w:tcPr>
            <w:tcW w:w="0" w:type="auto"/>
            <w:gridSpan w:val="2"/>
            <w:shd w:val="clear" w:color="auto" w:fill="D7E4BC"/>
            <w:tcMar>
              <w:top w:w="40" w:type="dxa"/>
              <w:left w:w="20" w:type="dxa"/>
              <w:bottom w:w="40" w:type="dxa"/>
              <w:right w:w="0" w:type="dxa"/>
            </w:tcMar>
            <w:vAlign w:val="bottom"/>
          </w:tcPr>
          <w:p w14:paraId="00BAD741" w14:textId="77777777" w:rsidR="00871BDF" w:rsidRDefault="005C5088">
            <w:pPr>
              <w:jc w:val="right"/>
              <w:textAlignment w:val="bottom"/>
            </w:pPr>
            <w:r>
              <w:rPr>
                <w:rFonts w:ascii="Times New Roman" w:eastAsia="宋体" w:hAnsi="Times New Roman"/>
                <w:color w:val="000000"/>
                <w:sz w:val="20"/>
                <w:szCs w:val="20"/>
              </w:rPr>
              <w:t>6,528 </w:t>
            </w:r>
          </w:p>
        </w:tc>
        <w:tc>
          <w:tcPr>
            <w:tcW w:w="0" w:type="auto"/>
            <w:shd w:val="clear" w:color="auto" w:fill="D7E4BC"/>
            <w:tcMar>
              <w:top w:w="40" w:type="dxa"/>
              <w:left w:w="0" w:type="dxa"/>
              <w:bottom w:w="40" w:type="dxa"/>
              <w:right w:w="20" w:type="dxa"/>
            </w:tcMar>
            <w:vAlign w:val="bottom"/>
          </w:tcPr>
          <w:p w14:paraId="00BAD74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74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744" w14:textId="77777777" w:rsidR="00871BDF" w:rsidRDefault="005C5088">
            <w:pPr>
              <w:jc w:val="right"/>
              <w:textAlignment w:val="bottom"/>
            </w:pPr>
            <w:r>
              <w:rPr>
                <w:rFonts w:ascii="Times New Roman" w:eastAsia="宋体" w:hAnsi="Times New Roman"/>
                <w:color w:val="000000"/>
                <w:sz w:val="20"/>
                <w:szCs w:val="20"/>
              </w:rPr>
              <w:t>5,860 </w:t>
            </w:r>
          </w:p>
        </w:tc>
        <w:tc>
          <w:tcPr>
            <w:tcW w:w="0" w:type="auto"/>
            <w:shd w:val="clear" w:color="auto" w:fill="D7E4BC"/>
            <w:tcMar>
              <w:top w:w="40" w:type="dxa"/>
              <w:left w:w="0" w:type="dxa"/>
              <w:bottom w:w="40" w:type="dxa"/>
              <w:right w:w="20" w:type="dxa"/>
            </w:tcMar>
            <w:vAlign w:val="bottom"/>
          </w:tcPr>
          <w:p w14:paraId="00BAD74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74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747" w14:textId="77777777" w:rsidR="00871BDF" w:rsidRDefault="005C5088">
            <w:pPr>
              <w:jc w:val="right"/>
              <w:textAlignment w:val="bottom"/>
            </w:pPr>
            <w:r>
              <w:rPr>
                <w:rFonts w:ascii="Times New Roman" w:eastAsia="宋体" w:hAnsi="Times New Roman"/>
                <w:color w:val="000000"/>
                <w:sz w:val="20"/>
                <w:szCs w:val="20"/>
              </w:rPr>
              <w:t>5,651 </w:t>
            </w:r>
          </w:p>
        </w:tc>
        <w:tc>
          <w:tcPr>
            <w:tcW w:w="0" w:type="auto"/>
            <w:shd w:val="clear" w:color="auto" w:fill="D7E4BC"/>
            <w:tcMar>
              <w:top w:w="40" w:type="dxa"/>
              <w:left w:w="0" w:type="dxa"/>
              <w:bottom w:w="40" w:type="dxa"/>
              <w:right w:w="20" w:type="dxa"/>
            </w:tcMar>
            <w:vAlign w:val="bottom"/>
          </w:tcPr>
          <w:p w14:paraId="00BAD74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74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74A" w14:textId="77777777" w:rsidR="00871BDF" w:rsidRDefault="005C5088">
            <w:pPr>
              <w:jc w:val="right"/>
              <w:textAlignment w:val="bottom"/>
            </w:pPr>
            <w:r>
              <w:rPr>
                <w:rFonts w:ascii="Times New Roman" w:eastAsia="宋体" w:hAnsi="Times New Roman"/>
                <w:color w:val="000000"/>
                <w:sz w:val="20"/>
                <w:szCs w:val="20"/>
              </w:rPr>
              <w:t>3,572 </w:t>
            </w:r>
          </w:p>
        </w:tc>
        <w:tc>
          <w:tcPr>
            <w:tcW w:w="0" w:type="auto"/>
            <w:shd w:val="clear" w:color="auto" w:fill="D7E4BC"/>
            <w:tcMar>
              <w:top w:w="40" w:type="dxa"/>
              <w:left w:w="0" w:type="dxa"/>
              <w:bottom w:w="40" w:type="dxa"/>
              <w:right w:w="20" w:type="dxa"/>
            </w:tcMar>
            <w:vAlign w:val="bottom"/>
          </w:tcPr>
          <w:p w14:paraId="00BAD74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74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74D" w14:textId="77777777" w:rsidR="00871BDF" w:rsidRDefault="005C5088">
            <w:pPr>
              <w:jc w:val="right"/>
              <w:textAlignment w:val="bottom"/>
            </w:pPr>
            <w:r>
              <w:rPr>
                <w:rFonts w:ascii="Times New Roman" w:eastAsia="宋体" w:hAnsi="Times New Roman"/>
                <w:color w:val="000000"/>
                <w:sz w:val="20"/>
                <w:szCs w:val="20"/>
              </w:rPr>
              <w:t>3,334 </w:t>
            </w:r>
          </w:p>
        </w:tc>
        <w:tc>
          <w:tcPr>
            <w:tcW w:w="0" w:type="auto"/>
            <w:shd w:val="clear" w:color="auto" w:fill="D7E4BC"/>
            <w:tcMar>
              <w:top w:w="40" w:type="dxa"/>
              <w:left w:w="0" w:type="dxa"/>
              <w:bottom w:w="40" w:type="dxa"/>
              <w:right w:w="20" w:type="dxa"/>
            </w:tcMar>
            <w:vAlign w:val="bottom"/>
          </w:tcPr>
          <w:p w14:paraId="00BAD74E" w14:textId="77777777" w:rsidR="00871BDF" w:rsidRDefault="00871BDF">
            <w:pPr>
              <w:jc w:val="right"/>
              <w:rPr>
                <w:rFonts w:ascii="宋体"/>
              </w:rPr>
            </w:pPr>
          </w:p>
        </w:tc>
        <w:tc>
          <w:tcPr>
            <w:tcW w:w="0" w:type="auto"/>
            <w:shd w:val="clear" w:color="auto" w:fill="auto"/>
          </w:tcPr>
          <w:p w14:paraId="00BAD74F" w14:textId="77777777" w:rsidR="00871BDF" w:rsidRDefault="00871BDF">
            <w:pPr>
              <w:rPr>
                <w:rFonts w:ascii="宋体"/>
              </w:rPr>
            </w:pPr>
          </w:p>
        </w:tc>
        <w:tc>
          <w:tcPr>
            <w:tcW w:w="0" w:type="auto"/>
            <w:shd w:val="clear" w:color="auto" w:fill="auto"/>
          </w:tcPr>
          <w:p w14:paraId="00BAD750" w14:textId="77777777" w:rsidR="00871BDF" w:rsidRDefault="00871BDF">
            <w:pPr>
              <w:rPr>
                <w:rFonts w:ascii="宋体"/>
              </w:rPr>
            </w:pPr>
          </w:p>
        </w:tc>
        <w:tc>
          <w:tcPr>
            <w:tcW w:w="0" w:type="auto"/>
            <w:shd w:val="clear" w:color="auto" w:fill="auto"/>
          </w:tcPr>
          <w:p w14:paraId="00BAD751" w14:textId="77777777" w:rsidR="00871BDF" w:rsidRDefault="00871BDF">
            <w:pPr>
              <w:rPr>
                <w:rFonts w:ascii="宋体"/>
              </w:rPr>
            </w:pPr>
          </w:p>
        </w:tc>
        <w:tc>
          <w:tcPr>
            <w:tcW w:w="0" w:type="auto"/>
            <w:shd w:val="clear" w:color="auto" w:fill="auto"/>
          </w:tcPr>
          <w:p w14:paraId="00BAD752" w14:textId="77777777" w:rsidR="00871BDF" w:rsidRDefault="00871BDF">
            <w:pPr>
              <w:rPr>
                <w:rFonts w:ascii="宋体"/>
              </w:rPr>
            </w:pPr>
          </w:p>
        </w:tc>
        <w:tc>
          <w:tcPr>
            <w:tcW w:w="0" w:type="auto"/>
            <w:shd w:val="clear" w:color="auto" w:fill="auto"/>
          </w:tcPr>
          <w:p w14:paraId="00BAD753" w14:textId="77777777" w:rsidR="00871BDF" w:rsidRDefault="00871BDF">
            <w:pPr>
              <w:rPr>
                <w:rFonts w:ascii="宋体"/>
              </w:rPr>
            </w:pPr>
          </w:p>
        </w:tc>
        <w:tc>
          <w:tcPr>
            <w:tcW w:w="0" w:type="auto"/>
            <w:shd w:val="clear" w:color="auto" w:fill="auto"/>
          </w:tcPr>
          <w:p w14:paraId="00BAD754" w14:textId="77777777" w:rsidR="00871BDF" w:rsidRDefault="00871BDF">
            <w:pPr>
              <w:rPr>
                <w:rFonts w:ascii="宋体"/>
              </w:rPr>
            </w:pPr>
          </w:p>
        </w:tc>
        <w:tc>
          <w:tcPr>
            <w:tcW w:w="0" w:type="auto"/>
            <w:shd w:val="clear" w:color="auto" w:fill="auto"/>
          </w:tcPr>
          <w:p w14:paraId="00BAD755" w14:textId="77777777" w:rsidR="00871BDF" w:rsidRDefault="00871BDF">
            <w:pPr>
              <w:rPr>
                <w:rFonts w:ascii="宋体"/>
              </w:rPr>
            </w:pPr>
          </w:p>
        </w:tc>
        <w:tc>
          <w:tcPr>
            <w:tcW w:w="0" w:type="auto"/>
            <w:shd w:val="clear" w:color="auto" w:fill="auto"/>
          </w:tcPr>
          <w:p w14:paraId="00BAD756" w14:textId="77777777" w:rsidR="00871BDF" w:rsidRDefault="00871BDF">
            <w:pPr>
              <w:rPr>
                <w:rFonts w:ascii="宋体"/>
              </w:rPr>
            </w:pPr>
          </w:p>
        </w:tc>
        <w:tc>
          <w:tcPr>
            <w:tcW w:w="0" w:type="auto"/>
            <w:shd w:val="clear" w:color="auto" w:fill="auto"/>
          </w:tcPr>
          <w:p w14:paraId="00BAD757" w14:textId="77777777" w:rsidR="00871BDF" w:rsidRDefault="00871BDF">
            <w:pPr>
              <w:rPr>
                <w:rFonts w:ascii="宋体"/>
              </w:rPr>
            </w:pPr>
          </w:p>
        </w:tc>
        <w:tc>
          <w:tcPr>
            <w:tcW w:w="0" w:type="auto"/>
            <w:shd w:val="clear" w:color="auto" w:fill="auto"/>
          </w:tcPr>
          <w:p w14:paraId="00BAD758" w14:textId="77777777" w:rsidR="00871BDF" w:rsidRDefault="00871BDF">
            <w:pPr>
              <w:rPr>
                <w:rFonts w:ascii="宋体"/>
              </w:rPr>
            </w:pPr>
          </w:p>
        </w:tc>
        <w:tc>
          <w:tcPr>
            <w:tcW w:w="0" w:type="auto"/>
            <w:shd w:val="clear" w:color="auto" w:fill="auto"/>
          </w:tcPr>
          <w:p w14:paraId="00BAD759" w14:textId="77777777" w:rsidR="00871BDF" w:rsidRDefault="00871BDF">
            <w:pPr>
              <w:rPr>
                <w:rFonts w:ascii="宋体"/>
              </w:rPr>
            </w:pPr>
          </w:p>
        </w:tc>
        <w:tc>
          <w:tcPr>
            <w:tcW w:w="0" w:type="auto"/>
            <w:shd w:val="clear" w:color="auto" w:fill="auto"/>
          </w:tcPr>
          <w:p w14:paraId="00BAD75A" w14:textId="77777777" w:rsidR="00871BDF" w:rsidRDefault="00871BDF">
            <w:pPr>
              <w:rPr>
                <w:rFonts w:ascii="宋体"/>
              </w:rPr>
            </w:pPr>
          </w:p>
        </w:tc>
        <w:tc>
          <w:tcPr>
            <w:tcW w:w="0" w:type="auto"/>
            <w:shd w:val="clear" w:color="auto" w:fill="auto"/>
          </w:tcPr>
          <w:p w14:paraId="00BAD75B" w14:textId="77777777" w:rsidR="00871BDF" w:rsidRDefault="00871BDF">
            <w:pPr>
              <w:rPr>
                <w:rFonts w:ascii="宋体"/>
              </w:rPr>
            </w:pPr>
          </w:p>
        </w:tc>
        <w:tc>
          <w:tcPr>
            <w:tcW w:w="0" w:type="auto"/>
            <w:shd w:val="clear" w:color="auto" w:fill="auto"/>
          </w:tcPr>
          <w:p w14:paraId="00BAD75C" w14:textId="77777777" w:rsidR="00871BDF" w:rsidRDefault="00871BDF">
            <w:pPr>
              <w:rPr>
                <w:rFonts w:ascii="宋体"/>
              </w:rPr>
            </w:pPr>
          </w:p>
        </w:tc>
        <w:tc>
          <w:tcPr>
            <w:tcW w:w="0" w:type="auto"/>
            <w:shd w:val="clear" w:color="auto" w:fill="auto"/>
          </w:tcPr>
          <w:p w14:paraId="00BAD75D" w14:textId="77777777" w:rsidR="00871BDF" w:rsidRDefault="00871BDF">
            <w:pPr>
              <w:rPr>
                <w:rFonts w:ascii="宋体"/>
              </w:rPr>
            </w:pPr>
          </w:p>
        </w:tc>
        <w:tc>
          <w:tcPr>
            <w:tcW w:w="0" w:type="auto"/>
            <w:shd w:val="clear" w:color="auto" w:fill="auto"/>
          </w:tcPr>
          <w:p w14:paraId="00BAD75E" w14:textId="77777777" w:rsidR="00871BDF" w:rsidRDefault="00871BDF">
            <w:pPr>
              <w:rPr>
                <w:rFonts w:ascii="宋体"/>
              </w:rPr>
            </w:pPr>
          </w:p>
        </w:tc>
        <w:tc>
          <w:tcPr>
            <w:tcW w:w="0" w:type="auto"/>
            <w:shd w:val="clear" w:color="auto" w:fill="auto"/>
          </w:tcPr>
          <w:p w14:paraId="00BAD75F" w14:textId="77777777" w:rsidR="00871BDF" w:rsidRDefault="00871BDF">
            <w:pPr>
              <w:rPr>
                <w:rFonts w:ascii="宋体"/>
              </w:rPr>
            </w:pPr>
          </w:p>
        </w:tc>
        <w:tc>
          <w:tcPr>
            <w:tcW w:w="0" w:type="auto"/>
            <w:shd w:val="clear" w:color="auto" w:fill="auto"/>
          </w:tcPr>
          <w:p w14:paraId="00BAD760" w14:textId="77777777" w:rsidR="00871BDF" w:rsidRDefault="00871BDF">
            <w:pPr>
              <w:rPr>
                <w:rFonts w:ascii="宋体"/>
              </w:rPr>
            </w:pPr>
          </w:p>
        </w:tc>
        <w:tc>
          <w:tcPr>
            <w:tcW w:w="0" w:type="auto"/>
            <w:shd w:val="clear" w:color="auto" w:fill="auto"/>
          </w:tcPr>
          <w:p w14:paraId="00BAD761" w14:textId="77777777" w:rsidR="00871BDF" w:rsidRDefault="00871BDF">
            <w:pPr>
              <w:rPr>
                <w:rFonts w:ascii="宋体"/>
              </w:rPr>
            </w:pPr>
          </w:p>
        </w:tc>
        <w:tc>
          <w:tcPr>
            <w:tcW w:w="0" w:type="auto"/>
            <w:shd w:val="clear" w:color="auto" w:fill="auto"/>
          </w:tcPr>
          <w:p w14:paraId="00BAD762" w14:textId="77777777" w:rsidR="00871BDF" w:rsidRDefault="00871BDF">
            <w:pPr>
              <w:rPr>
                <w:rFonts w:ascii="宋体"/>
              </w:rPr>
            </w:pPr>
          </w:p>
        </w:tc>
        <w:tc>
          <w:tcPr>
            <w:tcW w:w="0" w:type="auto"/>
            <w:shd w:val="clear" w:color="auto" w:fill="auto"/>
          </w:tcPr>
          <w:p w14:paraId="00BAD763" w14:textId="77777777" w:rsidR="00871BDF" w:rsidRDefault="00871BDF">
            <w:pPr>
              <w:rPr>
                <w:rFonts w:ascii="宋体"/>
              </w:rPr>
            </w:pPr>
          </w:p>
        </w:tc>
        <w:tc>
          <w:tcPr>
            <w:tcW w:w="0" w:type="auto"/>
            <w:shd w:val="clear" w:color="auto" w:fill="auto"/>
          </w:tcPr>
          <w:p w14:paraId="00BAD764" w14:textId="77777777" w:rsidR="00871BDF" w:rsidRDefault="00871BDF">
            <w:pPr>
              <w:rPr>
                <w:rFonts w:ascii="宋体"/>
              </w:rPr>
            </w:pPr>
          </w:p>
        </w:tc>
        <w:tc>
          <w:tcPr>
            <w:tcW w:w="0" w:type="auto"/>
            <w:shd w:val="clear" w:color="auto" w:fill="auto"/>
          </w:tcPr>
          <w:p w14:paraId="00BAD765" w14:textId="77777777" w:rsidR="00871BDF" w:rsidRDefault="00871BDF">
            <w:pPr>
              <w:rPr>
                <w:rFonts w:ascii="宋体"/>
              </w:rPr>
            </w:pPr>
          </w:p>
        </w:tc>
        <w:tc>
          <w:tcPr>
            <w:tcW w:w="0" w:type="auto"/>
            <w:shd w:val="clear" w:color="auto" w:fill="auto"/>
          </w:tcPr>
          <w:p w14:paraId="00BAD766" w14:textId="77777777" w:rsidR="00871BDF" w:rsidRDefault="00871BDF">
            <w:pPr>
              <w:rPr>
                <w:rFonts w:ascii="宋体"/>
              </w:rPr>
            </w:pPr>
          </w:p>
        </w:tc>
        <w:tc>
          <w:tcPr>
            <w:tcW w:w="0" w:type="auto"/>
            <w:shd w:val="clear" w:color="auto" w:fill="auto"/>
          </w:tcPr>
          <w:p w14:paraId="00BAD767" w14:textId="77777777" w:rsidR="00871BDF" w:rsidRDefault="00871BDF">
            <w:pPr>
              <w:rPr>
                <w:rFonts w:ascii="宋体"/>
              </w:rPr>
            </w:pPr>
          </w:p>
        </w:tc>
        <w:tc>
          <w:tcPr>
            <w:tcW w:w="0" w:type="auto"/>
            <w:shd w:val="clear" w:color="auto" w:fill="auto"/>
          </w:tcPr>
          <w:p w14:paraId="00BAD768" w14:textId="77777777" w:rsidR="00871BDF" w:rsidRDefault="00871BDF">
            <w:pPr>
              <w:rPr>
                <w:rFonts w:ascii="宋体"/>
              </w:rPr>
            </w:pPr>
          </w:p>
        </w:tc>
        <w:tc>
          <w:tcPr>
            <w:tcW w:w="0" w:type="auto"/>
            <w:shd w:val="clear" w:color="auto" w:fill="auto"/>
          </w:tcPr>
          <w:p w14:paraId="00BAD769" w14:textId="77777777" w:rsidR="00871BDF" w:rsidRDefault="00871BDF">
            <w:pPr>
              <w:rPr>
                <w:rFonts w:ascii="宋体"/>
              </w:rPr>
            </w:pPr>
          </w:p>
        </w:tc>
        <w:tc>
          <w:tcPr>
            <w:tcW w:w="0" w:type="auto"/>
            <w:shd w:val="clear" w:color="auto" w:fill="auto"/>
          </w:tcPr>
          <w:p w14:paraId="00BAD76A" w14:textId="77777777" w:rsidR="00871BDF" w:rsidRDefault="00871BDF">
            <w:pPr>
              <w:rPr>
                <w:rFonts w:ascii="宋体"/>
              </w:rPr>
            </w:pPr>
          </w:p>
        </w:tc>
        <w:tc>
          <w:tcPr>
            <w:tcW w:w="0" w:type="auto"/>
            <w:shd w:val="clear" w:color="auto" w:fill="auto"/>
          </w:tcPr>
          <w:p w14:paraId="00BAD76B" w14:textId="77777777" w:rsidR="00871BDF" w:rsidRDefault="00871BDF">
            <w:pPr>
              <w:rPr>
                <w:rFonts w:ascii="宋体"/>
              </w:rPr>
            </w:pPr>
          </w:p>
        </w:tc>
        <w:tc>
          <w:tcPr>
            <w:tcW w:w="0" w:type="auto"/>
            <w:shd w:val="clear" w:color="auto" w:fill="auto"/>
          </w:tcPr>
          <w:p w14:paraId="00BAD76C" w14:textId="77777777" w:rsidR="00871BDF" w:rsidRDefault="00871BDF">
            <w:pPr>
              <w:rPr>
                <w:rFonts w:ascii="宋体"/>
              </w:rPr>
            </w:pPr>
          </w:p>
        </w:tc>
      </w:tr>
      <w:tr w:rsidR="00871BDF" w14:paraId="00BAD79B" w14:textId="77777777">
        <w:trPr>
          <w:jc w:val="center"/>
        </w:trPr>
        <w:tc>
          <w:tcPr>
            <w:tcW w:w="0" w:type="auto"/>
            <w:gridSpan w:val="3"/>
            <w:shd w:val="clear" w:color="auto" w:fill="FFFFFF"/>
            <w:tcMar>
              <w:top w:w="40" w:type="dxa"/>
              <w:left w:w="155" w:type="dxa"/>
              <w:bottom w:w="40" w:type="dxa"/>
              <w:right w:w="20" w:type="dxa"/>
            </w:tcMar>
            <w:vAlign w:val="bottom"/>
          </w:tcPr>
          <w:p w14:paraId="00BAD76E" w14:textId="77777777" w:rsidR="00871BDF" w:rsidRDefault="005C5088">
            <w:pPr>
              <w:textAlignment w:val="bottom"/>
            </w:pPr>
            <w:r>
              <w:rPr>
                <w:rFonts w:ascii="Times New Roman" w:eastAsia="宋体" w:hAnsi="Times New Roman"/>
                <w:color w:val="000000"/>
                <w:sz w:val="20"/>
                <w:szCs w:val="20"/>
              </w:rPr>
              <w:t>Lic</w:t>
            </w:r>
            <w:r>
              <w:rPr>
                <w:rFonts w:ascii="Times New Roman" w:eastAsia="宋体" w:hAnsi="Times New Roman"/>
                <w:color w:val="000000"/>
                <w:sz w:val="20"/>
                <w:szCs w:val="20"/>
              </w:rPr>
              <w:t>ensed stores</w:t>
            </w:r>
          </w:p>
        </w:tc>
        <w:tc>
          <w:tcPr>
            <w:tcW w:w="0" w:type="auto"/>
            <w:gridSpan w:val="2"/>
            <w:shd w:val="clear" w:color="auto" w:fill="FFFFFF"/>
            <w:tcMar>
              <w:top w:w="40" w:type="dxa"/>
              <w:left w:w="20" w:type="dxa"/>
              <w:bottom w:w="40" w:type="dxa"/>
              <w:right w:w="0" w:type="dxa"/>
            </w:tcMar>
            <w:vAlign w:val="bottom"/>
          </w:tcPr>
          <w:p w14:paraId="00BAD76F" w14:textId="77777777" w:rsidR="00871BDF" w:rsidRDefault="005C5088">
            <w:pPr>
              <w:jc w:val="right"/>
              <w:textAlignment w:val="bottom"/>
            </w:pPr>
            <w:r>
              <w:rPr>
                <w:rFonts w:ascii="Times New Roman" w:eastAsia="宋体" w:hAnsi="Times New Roman"/>
                <w:color w:val="000000"/>
                <w:sz w:val="20"/>
                <w:szCs w:val="20"/>
              </w:rPr>
              <w:t>7,778 </w:t>
            </w:r>
          </w:p>
        </w:tc>
        <w:tc>
          <w:tcPr>
            <w:tcW w:w="0" w:type="auto"/>
            <w:shd w:val="clear" w:color="auto" w:fill="FFFFFF"/>
            <w:tcMar>
              <w:top w:w="40" w:type="dxa"/>
              <w:left w:w="0" w:type="dxa"/>
              <w:bottom w:w="40" w:type="dxa"/>
              <w:right w:w="20" w:type="dxa"/>
            </w:tcMar>
            <w:vAlign w:val="bottom"/>
          </w:tcPr>
          <w:p w14:paraId="00BAD77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77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772" w14:textId="77777777" w:rsidR="00871BDF" w:rsidRDefault="005C5088">
            <w:pPr>
              <w:jc w:val="right"/>
              <w:textAlignment w:val="bottom"/>
            </w:pPr>
            <w:r>
              <w:rPr>
                <w:rFonts w:ascii="Times New Roman" w:eastAsia="宋体" w:hAnsi="Times New Roman"/>
                <w:color w:val="000000"/>
                <w:sz w:val="20"/>
                <w:szCs w:val="20"/>
              </w:rPr>
              <w:t>7,329 </w:t>
            </w:r>
          </w:p>
        </w:tc>
        <w:tc>
          <w:tcPr>
            <w:tcW w:w="0" w:type="auto"/>
            <w:shd w:val="clear" w:color="auto" w:fill="FFFFFF"/>
            <w:tcMar>
              <w:top w:w="40" w:type="dxa"/>
              <w:left w:w="0" w:type="dxa"/>
              <w:bottom w:w="40" w:type="dxa"/>
              <w:right w:w="20" w:type="dxa"/>
            </w:tcMar>
            <w:vAlign w:val="bottom"/>
          </w:tcPr>
          <w:p w14:paraId="00BAD77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77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775" w14:textId="77777777" w:rsidR="00871BDF" w:rsidRDefault="005C5088">
            <w:pPr>
              <w:jc w:val="right"/>
              <w:textAlignment w:val="bottom"/>
            </w:pPr>
            <w:r>
              <w:rPr>
                <w:rFonts w:ascii="Times New Roman" w:eastAsia="宋体" w:hAnsi="Times New Roman"/>
                <w:color w:val="000000"/>
                <w:sz w:val="20"/>
                <w:szCs w:val="20"/>
              </w:rPr>
              <w:t>6,201 </w:t>
            </w:r>
          </w:p>
        </w:tc>
        <w:tc>
          <w:tcPr>
            <w:tcW w:w="0" w:type="auto"/>
            <w:shd w:val="clear" w:color="auto" w:fill="FFFFFF"/>
            <w:tcMar>
              <w:top w:w="40" w:type="dxa"/>
              <w:left w:w="0" w:type="dxa"/>
              <w:bottom w:w="40" w:type="dxa"/>
              <w:right w:w="20" w:type="dxa"/>
            </w:tcMar>
            <w:vAlign w:val="bottom"/>
          </w:tcPr>
          <w:p w14:paraId="00BAD77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77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778" w14:textId="77777777" w:rsidR="00871BDF" w:rsidRDefault="005C5088">
            <w:pPr>
              <w:jc w:val="right"/>
              <w:textAlignment w:val="bottom"/>
            </w:pPr>
            <w:r>
              <w:rPr>
                <w:rFonts w:ascii="Times New Roman" w:eastAsia="宋体" w:hAnsi="Times New Roman"/>
                <w:color w:val="000000"/>
                <w:sz w:val="20"/>
                <w:szCs w:val="20"/>
              </w:rPr>
              <w:t>6,881 </w:t>
            </w:r>
          </w:p>
        </w:tc>
        <w:tc>
          <w:tcPr>
            <w:tcW w:w="0" w:type="auto"/>
            <w:shd w:val="clear" w:color="auto" w:fill="FFFFFF"/>
            <w:tcMar>
              <w:top w:w="40" w:type="dxa"/>
              <w:left w:w="0" w:type="dxa"/>
              <w:bottom w:w="40" w:type="dxa"/>
              <w:right w:w="20" w:type="dxa"/>
            </w:tcMar>
            <w:vAlign w:val="bottom"/>
          </w:tcPr>
          <w:p w14:paraId="00BAD77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77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77B" w14:textId="77777777" w:rsidR="00871BDF" w:rsidRDefault="005C5088">
            <w:pPr>
              <w:jc w:val="right"/>
              <w:textAlignment w:val="bottom"/>
            </w:pPr>
            <w:r>
              <w:rPr>
                <w:rFonts w:ascii="Times New Roman" w:eastAsia="宋体" w:hAnsi="Times New Roman"/>
                <w:color w:val="000000"/>
                <w:sz w:val="20"/>
                <w:szCs w:val="20"/>
              </w:rPr>
              <w:t>5,751 </w:t>
            </w:r>
          </w:p>
        </w:tc>
        <w:tc>
          <w:tcPr>
            <w:tcW w:w="0" w:type="auto"/>
            <w:shd w:val="clear" w:color="auto" w:fill="FFFFFF"/>
            <w:tcMar>
              <w:top w:w="40" w:type="dxa"/>
              <w:left w:w="0" w:type="dxa"/>
              <w:bottom w:w="40" w:type="dxa"/>
              <w:right w:w="20" w:type="dxa"/>
            </w:tcMar>
            <w:vAlign w:val="bottom"/>
          </w:tcPr>
          <w:p w14:paraId="00BAD77C" w14:textId="77777777" w:rsidR="00871BDF" w:rsidRDefault="00871BDF">
            <w:pPr>
              <w:jc w:val="right"/>
              <w:rPr>
                <w:rFonts w:ascii="宋体"/>
              </w:rPr>
            </w:pPr>
          </w:p>
        </w:tc>
        <w:tc>
          <w:tcPr>
            <w:tcW w:w="0" w:type="auto"/>
            <w:shd w:val="clear" w:color="auto" w:fill="auto"/>
          </w:tcPr>
          <w:p w14:paraId="00BAD77D" w14:textId="77777777" w:rsidR="00871BDF" w:rsidRDefault="00871BDF">
            <w:pPr>
              <w:rPr>
                <w:rFonts w:ascii="宋体"/>
              </w:rPr>
            </w:pPr>
          </w:p>
        </w:tc>
        <w:tc>
          <w:tcPr>
            <w:tcW w:w="0" w:type="auto"/>
            <w:shd w:val="clear" w:color="auto" w:fill="auto"/>
          </w:tcPr>
          <w:p w14:paraId="00BAD77E" w14:textId="77777777" w:rsidR="00871BDF" w:rsidRDefault="00871BDF">
            <w:pPr>
              <w:rPr>
                <w:rFonts w:ascii="宋体"/>
              </w:rPr>
            </w:pPr>
          </w:p>
        </w:tc>
        <w:tc>
          <w:tcPr>
            <w:tcW w:w="0" w:type="auto"/>
            <w:shd w:val="clear" w:color="auto" w:fill="auto"/>
          </w:tcPr>
          <w:p w14:paraId="00BAD77F" w14:textId="77777777" w:rsidR="00871BDF" w:rsidRDefault="00871BDF">
            <w:pPr>
              <w:rPr>
                <w:rFonts w:ascii="宋体"/>
              </w:rPr>
            </w:pPr>
          </w:p>
        </w:tc>
        <w:tc>
          <w:tcPr>
            <w:tcW w:w="0" w:type="auto"/>
            <w:shd w:val="clear" w:color="auto" w:fill="auto"/>
          </w:tcPr>
          <w:p w14:paraId="00BAD780" w14:textId="77777777" w:rsidR="00871BDF" w:rsidRDefault="00871BDF">
            <w:pPr>
              <w:rPr>
                <w:rFonts w:ascii="宋体"/>
              </w:rPr>
            </w:pPr>
          </w:p>
        </w:tc>
        <w:tc>
          <w:tcPr>
            <w:tcW w:w="0" w:type="auto"/>
            <w:shd w:val="clear" w:color="auto" w:fill="auto"/>
          </w:tcPr>
          <w:p w14:paraId="00BAD781" w14:textId="77777777" w:rsidR="00871BDF" w:rsidRDefault="00871BDF">
            <w:pPr>
              <w:rPr>
                <w:rFonts w:ascii="宋体"/>
              </w:rPr>
            </w:pPr>
          </w:p>
        </w:tc>
        <w:tc>
          <w:tcPr>
            <w:tcW w:w="0" w:type="auto"/>
            <w:shd w:val="clear" w:color="auto" w:fill="auto"/>
          </w:tcPr>
          <w:p w14:paraId="00BAD782" w14:textId="77777777" w:rsidR="00871BDF" w:rsidRDefault="00871BDF">
            <w:pPr>
              <w:rPr>
                <w:rFonts w:ascii="宋体"/>
              </w:rPr>
            </w:pPr>
          </w:p>
        </w:tc>
        <w:tc>
          <w:tcPr>
            <w:tcW w:w="0" w:type="auto"/>
            <w:shd w:val="clear" w:color="auto" w:fill="auto"/>
          </w:tcPr>
          <w:p w14:paraId="00BAD783" w14:textId="77777777" w:rsidR="00871BDF" w:rsidRDefault="00871BDF">
            <w:pPr>
              <w:rPr>
                <w:rFonts w:ascii="宋体"/>
              </w:rPr>
            </w:pPr>
          </w:p>
        </w:tc>
        <w:tc>
          <w:tcPr>
            <w:tcW w:w="0" w:type="auto"/>
            <w:shd w:val="clear" w:color="auto" w:fill="auto"/>
          </w:tcPr>
          <w:p w14:paraId="00BAD784" w14:textId="77777777" w:rsidR="00871BDF" w:rsidRDefault="00871BDF">
            <w:pPr>
              <w:rPr>
                <w:rFonts w:ascii="宋体"/>
              </w:rPr>
            </w:pPr>
          </w:p>
        </w:tc>
        <w:tc>
          <w:tcPr>
            <w:tcW w:w="0" w:type="auto"/>
            <w:shd w:val="clear" w:color="auto" w:fill="auto"/>
          </w:tcPr>
          <w:p w14:paraId="00BAD785" w14:textId="77777777" w:rsidR="00871BDF" w:rsidRDefault="00871BDF">
            <w:pPr>
              <w:rPr>
                <w:rFonts w:ascii="宋体"/>
              </w:rPr>
            </w:pPr>
          </w:p>
        </w:tc>
        <w:tc>
          <w:tcPr>
            <w:tcW w:w="0" w:type="auto"/>
            <w:shd w:val="clear" w:color="auto" w:fill="auto"/>
          </w:tcPr>
          <w:p w14:paraId="00BAD786" w14:textId="77777777" w:rsidR="00871BDF" w:rsidRDefault="00871BDF">
            <w:pPr>
              <w:rPr>
                <w:rFonts w:ascii="宋体"/>
              </w:rPr>
            </w:pPr>
          </w:p>
        </w:tc>
        <w:tc>
          <w:tcPr>
            <w:tcW w:w="0" w:type="auto"/>
            <w:shd w:val="clear" w:color="auto" w:fill="auto"/>
          </w:tcPr>
          <w:p w14:paraId="00BAD787" w14:textId="77777777" w:rsidR="00871BDF" w:rsidRDefault="00871BDF">
            <w:pPr>
              <w:rPr>
                <w:rFonts w:ascii="宋体"/>
              </w:rPr>
            </w:pPr>
          </w:p>
        </w:tc>
        <w:tc>
          <w:tcPr>
            <w:tcW w:w="0" w:type="auto"/>
            <w:shd w:val="clear" w:color="auto" w:fill="auto"/>
          </w:tcPr>
          <w:p w14:paraId="00BAD788" w14:textId="77777777" w:rsidR="00871BDF" w:rsidRDefault="00871BDF">
            <w:pPr>
              <w:rPr>
                <w:rFonts w:ascii="宋体"/>
              </w:rPr>
            </w:pPr>
          </w:p>
        </w:tc>
        <w:tc>
          <w:tcPr>
            <w:tcW w:w="0" w:type="auto"/>
            <w:shd w:val="clear" w:color="auto" w:fill="auto"/>
          </w:tcPr>
          <w:p w14:paraId="00BAD789" w14:textId="77777777" w:rsidR="00871BDF" w:rsidRDefault="00871BDF">
            <w:pPr>
              <w:rPr>
                <w:rFonts w:ascii="宋体"/>
              </w:rPr>
            </w:pPr>
          </w:p>
        </w:tc>
        <w:tc>
          <w:tcPr>
            <w:tcW w:w="0" w:type="auto"/>
            <w:shd w:val="clear" w:color="auto" w:fill="auto"/>
          </w:tcPr>
          <w:p w14:paraId="00BAD78A" w14:textId="77777777" w:rsidR="00871BDF" w:rsidRDefault="00871BDF">
            <w:pPr>
              <w:rPr>
                <w:rFonts w:ascii="宋体"/>
              </w:rPr>
            </w:pPr>
          </w:p>
        </w:tc>
        <w:tc>
          <w:tcPr>
            <w:tcW w:w="0" w:type="auto"/>
            <w:shd w:val="clear" w:color="auto" w:fill="auto"/>
          </w:tcPr>
          <w:p w14:paraId="00BAD78B" w14:textId="77777777" w:rsidR="00871BDF" w:rsidRDefault="00871BDF">
            <w:pPr>
              <w:rPr>
                <w:rFonts w:ascii="宋体"/>
              </w:rPr>
            </w:pPr>
          </w:p>
        </w:tc>
        <w:tc>
          <w:tcPr>
            <w:tcW w:w="0" w:type="auto"/>
            <w:shd w:val="clear" w:color="auto" w:fill="auto"/>
          </w:tcPr>
          <w:p w14:paraId="00BAD78C" w14:textId="77777777" w:rsidR="00871BDF" w:rsidRDefault="00871BDF">
            <w:pPr>
              <w:rPr>
                <w:rFonts w:ascii="宋体"/>
              </w:rPr>
            </w:pPr>
          </w:p>
        </w:tc>
        <w:tc>
          <w:tcPr>
            <w:tcW w:w="0" w:type="auto"/>
            <w:shd w:val="clear" w:color="auto" w:fill="auto"/>
          </w:tcPr>
          <w:p w14:paraId="00BAD78D" w14:textId="77777777" w:rsidR="00871BDF" w:rsidRDefault="00871BDF">
            <w:pPr>
              <w:rPr>
                <w:rFonts w:ascii="宋体"/>
              </w:rPr>
            </w:pPr>
          </w:p>
        </w:tc>
        <w:tc>
          <w:tcPr>
            <w:tcW w:w="0" w:type="auto"/>
            <w:shd w:val="clear" w:color="auto" w:fill="auto"/>
          </w:tcPr>
          <w:p w14:paraId="00BAD78E" w14:textId="77777777" w:rsidR="00871BDF" w:rsidRDefault="00871BDF">
            <w:pPr>
              <w:rPr>
                <w:rFonts w:ascii="宋体"/>
              </w:rPr>
            </w:pPr>
          </w:p>
        </w:tc>
        <w:tc>
          <w:tcPr>
            <w:tcW w:w="0" w:type="auto"/>
            <w:shd w:val="clear" w:color="auto" w:fill="auto"/>
          </w:tcPr>
          <w:p w14:paraId="00BAD78F" w14:textId="77777777" w:rsidR="00871BDF" w:rsidRDefault="00871BDF">
            <w:pPr>
              <w:rPr>
                <w:rFonts w:ascii="宋体"/>
              </w:rPr>
            </w:pPr>
          </w:p>
        </w:tc>
        <w:tc>
          <w:tcPr>
            <w:tcW w:w="0" w:type="auto"/>
            <w:shd w:val="clear" w:color="auto" w:fill="auto"/>
          </w:tcPr>
          <w:p w14:paraId="00BAD790" w14:textId="77777777" w:rsidR="00871BDF" w:rsidRDefault="00871BDF">
            <w:pPr>
              <w:rPr>
                <w:rFonts w:ascii="宋体"/>
              </w:rPr>
            </w:pPr>
          </w:p>
        </w:tc>
        <w:tc>
          <w:tcPr>
            <w:tcW w:w="0" w:type="auto"/>
            <w:shd w:val="clear" w:color="auto" w:fill="auto"/>
          </w:tcPr>
          <w:p w14:paraId="00BAD791" w14:textId="77777777" w:rsidR="00871BDF" w:rsidRDefault="00871BDF">
            <w:pPr>
              <w:rPr>
                <w:rFonts w:ascii="宋体"/>
              </w:rPr>
            </w:pPr>
          </w:p>
        </w:tc>
        <w:tc>
          <w:tcPr>
            <w:tcW w:w="0" w:type="auto"/>
            <w:shd w:val="clear" w:color="auto" w:fill="auto"/>
          </w:tcPr>
          <w:p w14:paraId="00BAD792" w14:textId="77777777" w:rsidR="00871BDF" w:rsidRDefault="00871BDF">
            <w:pPr>
              <w:rPr>
                <w:rFonts w:ascii="宋体"/>
              </w:rPr>
            </w:pPr>
          </w:p>
        </w:tc>
        <w:tc>
          <w:tcPr>
            <w:tcW w:w="0" w:type="auto"/>
            <w:shd w:val="clear" w:color="auto" w:fill="auto"/>
          </w:tcPr>
          <w:p w14:paraId="00BAD793" w14:textId="77777777" w:rsidR="00871BDF" w:rsidRDefault="00871BDF">
            <w:pPr>
              <w:rPr>
                <w:rFonts w:ascii="宋体"/>
              </w:rPr>
            </w:pPr>
          </w:p>
        </w:tc>
        <w:tc>
          <w:tcPr>
            <w:tcW w:w="0" w:type="auto"/>
            <w:shd w:val="clear" w:color="auto" w:fill="auto"/>
          </w:tcPr>
          <w:p w14:paraId="00BAD794" w14:textId="77777777" w:rsidR="00871BDF" w:rsidRDefault="00871BDF">
            <w:pPr>
              <w:rPr>
                <w:rFonts w:ascii="宋体"/>
              </w:rPr>
            </w:pPr>
          </w:p>
        </w:tc>
        <w:tc>
          <w:tcPr>
            <w:tcW w:w="0" w:type="auto"/>
            <w:shd w:val="clear" w:color="auto" w:fill="auto"/>
          </w:tcPr>
          <w:p w14:paraId="00BAD795" w14:textId="77777777" w:rsidR="00871BDF" w:rsidRDefault="00871BDF">
            <w:pPr>
              <w:rPr>
                <w:rFonts w:ascii="宋体"/>
              </w:rPr>
            </w:pPr>
          </w:p>
        </w:tc>
        <w:tc>
          <w:tcPr>
            <w:tcW w:w="0" w:type="auto"/>
            <w:shd w:val="clear" w:color="auto" w:fill="auto"/>
          </w:tcPr>
          <w:p w14:paraId="00BAD796" w14:textId="77777777" w:rsidR="00871BDF" w:rsidRDefault="00871BDF">
            <w:pPr>
              <w:rPr>
                <w:rFonts w:ascii="宋体"/>
              </w:rPr>
            </w:pPr>
          </w:p>
        </w:tc>
        <w:tc>
          <w:tcPr>
            <w:tcW w:w="0" w:type="auto"/>
            <w:shd w:val="clear" w:color="auto" w:fill="auto"/>
          </w:tcPr>
          <w:p w14:paraId="00BAD797" w14:textId="77777777" w:rsidR="00871BDF" w:rsidRDefault="00871BDF">
            <w:pPr>
              <w:rPr>
                <w:rFonts w:ascii="宋体"/>
              </w:rPr>
            </w:pPr>
          </w:p>
        </w:tc>
        <w:tc>
          <w:tcPr>
            <w:tcW w:w="0" w:type="auto"/>
            <w:shd w:val="clear" w:color="auto" w:fill="auto"/>
          </w:tcPr>
          <w:p w14:paraId="00BAD798" w14:textId="77777777" w:rsidR="00871BDF" w:rsidRDefault="00871BDF">
            <w:pPr>
              <w:rPr>
                <w:rFonts w:ascii="宋体"/>
              </w:rPr>
            </w:pPr>
          </w:p>
        </w:tc>
        <w:tc>
          <w:tcPr>
            <w:tcW w:w="0" w:type="auto"/>
            <w:shd w:val="clear" w:color="auto" w:fill="auto"/>
          </w:tcPr>
          <w:p w14:paraId="00BAD799" w14:textId="77777777" w:rsidR="00871BDF" w:rsidRDefault="00871BDF">
            <w:pPr>
              <w:rPr>
                <w:rFonts w:ascii="宋体"/>
              </w:rPr>
            </w:pPr>
          </w:p>
        </w:tc>
        <w:tc>
          <w:tcPr>
            <w:tcW w:w="0" w:type="auto"/>
            <w:shd w:val="clear" w:color="auto" w:fill="auto"/>
          </w:tcPr>
          <w:p w14:paraId="00BAD79A" w14:textId="77777777" w:rsidR="00871BDF" w:rsidRDefault="00871BDF">
            <w:pPr>
              <w:rPr>
                <w:rFonts w:ascii="宋体"/>
              </w:rPr>
            </w:pPr>
          </w:p>
        </w:tc>
      </w:tr>
      <w:tr w:rsidR="00871BDF" w14:paraId="00BAD7C4" w14:textId="77777777">
        <w:trPr>
          <w:jc w:val="center"/>
        </w:trPr>
        <w:tc>
          <w:tcPr>
            <w:tcW w:w="0" w:type="auto"/>
            <w:gridSpan w:val="3"/>
            <w:shd w:val="clear" w:color="auto" w:fill="D7E4BC"/>
            <w:tcMar>
              <w:top w:w="40" w:type="dxa"/>
              <w:left w:w="20" w:type="dxa"/>
              <w:bottom w:w="40" w:type="dxa"/>
              <w:right w:w="20" w:type="dxa"/>
            </w:tcMar>
            <w:vAlign w:val="bottom"/>
          </w:tcPr>
          <w:p w14:paraId="00BAD79C" w14:textId="77777777" w:rsidR="00871BDF" w:rsidRDefault="005C5088">
            <w:pPr>
              <w:textAlignment w:val="bottom"/>
            </w:pPr>
            <w:r>
              <w:rPr>
                <w:rFonts w:ascii="Times New Roman" w:eastAsia="宋体" w:hAnsi="Times New Roman"/>
                <w:color w:val="000000"/>
                <w:sz w:val="20"/>
                <w:szCs w:val="20"/>
              </w:rPr>
              <w:t xml:space="preserve">Corporate and Other </w:t>
            </w:r>
            <w:r>
              <w:rPr>
                <w:rFonts w:ascii="Times New Roman" w:eastAsia="宋体" w:hAnsi="Times New Roman"/>
                <w:color w:val="000000"/>
                <w:sz w:val="13"/>
                <w:szCs w:val="13"/>
              </w:rPr>
              <w:t>(3)</w:t>
            </w:r>
          </w:p>
        </w:tc>
        <w:tc>
          <w:tcPr>
            <w:tcW w:w="0" w:type="auto"/>
            <w:gridSpan w:val="3"/>
            <w:shd w:val="clear" w:color="auto" w:fill="D7E4BC"/>
            <w:tcMar>
              <w:top w:w="0" w:type="dxa"/>
              <w:left w:w="20" w:type="dxa"/>
              <w:bottom w:w="0" w:type="dxa"/>
              <w:right w:w="20" w:type="dxa"/>
            </w:tcMar>
          </w:tcPr>
          <w:p w14:paraId="00BAD79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79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79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7A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7A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7A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7A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7A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7A5" w14:textId="77777777" w:rsidR="00871BDF" w:rsidRDefault="00871BDF">
            <w:pPr>
              <w:rPr>
                <w:rFonts w:ascii="宋体"/>
              </w:rPr>
            </w:pPr>
          </w:p>
        </w:tc>
        <w:tc>
          <w:tcPr>
            <w:tcW w:w="0" w:type="auto"/>
            <w:shd w:val="clear" w:color="auto" w:fill="auto"/>
          </w:tcPr>
          <w:p w14:paraId="00BAD7A6" w14:textId="77777777" w:rsidR="00871BDF" w:rsidRDefault="00871BDF">
            <w:pPr>
              <w:rPr>
                <w:rFonts w:ascii="宋体"/>
              </w:rPr>
            </w:pPr>
          </w:p>
        </w:tc>
        <w:tc>
          <w:tcPr>
            <w:tcW w:w="0" w:type="auto"/>
            <w:shd w:val="clear" w:color="auto" w:fill="auto"/>
          </w:tcPr>
          <w:p w14:paraId="00BAD7A7" w14:textId="77777777" w:rsidR="00871BDF" w:rsidRDefault="00871BDF">
            <w:pPr>
              <w:rPr>
                <w:rFonts w:ascii="宋体"/>
              </w:rPr>
            </w:pPr>
          </w:p>
        </w:tc>
        <w:tc>
          <w:tcPr>
            <w:tcW w:w="0" w:type="auto"/>
            <w:shd w:val="clear" w:color="auto" w:fill="auto"/>
          </w:tcPr>
          <w:p w14:paraId="00BAD7A8" w14:textId="77777777" w:rsidR="00871BDF" w:rsidRDefault="00871BDF">
            <w:pPr>
              <w:rPr>
                <w:rFonts w:ascii="宋体"/>
              </w:rPr>
            </w:pPr>
          </w:p>
        </w:tc>
        <w:tc>
          <w:tcPr>
            <w:tcW w:w="0" w:type="auto"/>
            <w:shd w:val="clear" w:color="auto" w:fill="auto"/>
          </w:tcPr>
          <w:p w14:paraId="00BAD7A9" w14:textId="77777777" w:rsidR="00871BDF" w:rsidRDefault="00871BDF">
            <w:pPr>
              <w:rPr>
                <w:rFonts w:ascii="宋体"/>
              </w:rPr>
            </w:pPr>
          </w:p>
        </w:tc>
        <w:tc>
          <w:tcPr>
            <w:tcW w:w="0" w:type="auto"/>
            <w:shd w:val="clear" w:color="auto" w:fill="auto"/>
          </w:tcPr>
          <w:p w14:paraId="00BAD7AA" w14:textId="77777777" w:rsidR="00871BDF" w:rsidRDefault="00871BDF">
            <w:pPr>
              <w:rPr>
                <w:rFonts w:ascii="宋体"/>
              </w:rPr>
            </w:pPr>
          </w:p>
        </w:tc>
        <w:tc>
          <w:tcPr>
            <w:tcW w:w="0" w:type="auto"/>
            <w:shd w:val="clear" w:color="auto" w:fill="auto"/>
          </w:tcPr>
          <w:p w14:paraId="00BAD7AB" w14:textId="77777777" w:rsidR="00871BDF" w:rsidRDefault="00871BDF">
            <w:pPr>
              <w:rPr>
                <w:rFonts w:ascii="宋体"/>
              </w:rPr>
            </w:pPr>
          </w:p>
        </w:tc>
        <w:tc>
          <w:tcPr>
            <w:tcW w:w="0" w:type="auto"/>
            <w:shd w:val="clear" w:color="auto" w:fill="auto"/>
          </w:tcPr>
          <w:p w14:paraId="00BAD7AC" w14:textId="77777777" w:rsidR="00871BDF" w:rsidRDefault="00871BDF">
            <w:pPr>
              <w:rPr>
                <w:rFonts w:ascii="宋体"/>
              </w:rPr>
            </w:pPr>
          </w:p>
        </w:tc>
        <w:tc>
          <w:tcPr>
            <w:tcW w:w="0" w:type="auto"/>
            <w:shd w:val="clear" w:color="auto" w:fill="auto"/>
          </w:tcPr>
          <w:p w14:paraId="00BAD7AD" w14:textId="77777777" w:rsidR="00871BDF" w:rsidRDefault="00871BDF">
            <w:pPr>
              <w:rPr>
                <w:rFonts w:ascii="宋体"/>
              </w:rPr>
            </w:pPr>
          </w:p>
        </w:tc>
        <w:tc>
          <w:tcPr>
            <w:tcW w:w="0" w:type="auto"/>
            <w:shd w:val="clear" w:color="auto" w:fill="auto"/>
          </w:tcPr>
          <w:p w14:paraId="00BAD7AE" w14:textId="77777777" w:rsidR="00871BDF" w:rsidRDefault="00871BDF">
            <w:pPr>
              <w:rPr>
                <w:rFonts w:ascii="宋体"/>
              </w:rPr>
            </w:pPr>
          </w:p>
        </w:tc>
        <w:tc>
          <w:tcPr>
            <w:tcW w:w="0" w:type="auto"/>
            <w:shd w:val="clear" w:color="auto" w:fill="auto"/>
          </w:tcPr>
          <w:p w14:paraId="00BAD7AF" w14:textId="77777777" w:rsidR="00871BDF" w:rsidRDefault="00871BDF">
            <w:pPr>
              <w:rPr>
                <w:rFonts w:ascii="宋体"/>
              </w:rPr>
            </w:pPr>
          </w:p>
        </w:tc>
        <w:tc>
          <w:tcPr>
            <w:tcW w:w="0" w:type="auto"/>
            <w:shd w:val="clear" w:color="auto" w:fill="auto"/>
          </w:tcPr>
          <w:p w14:paraId="00BAD7B0" w14:textId="77777777" w:rsidR="00871BDF" w:rsidRDefault="00871BDF">
            <w:pPr>
              <w:rPr>
                <w:rFonts w:ascii="宋体"/>
              </w:rPr>
            </w:pPr>
          </w:p>
        </w:tc>
        <w:tc>
          <w:tcPr>
            <w:tcW w:w="0" w:type="auto"/>
            <w:shd w:val="clear" w:color="auto" w:fill="auto"/>
          </w:tcPr>
          <w:p w14:paraId="00BAD7B1" w14:textId="77777777" w:rsidR="00871BDF" w:rsidRDefault="00871BDF">
            <w:pPr>
              <w:rPr>
                <w:rFonts w:ascii="宋体"/>
              </w:rPr>
            </w:pPr>
          </w:p>
        </w:tc>
        <w:tc>
          <w:tcPr>
            <w:tcW w:w="0" w:type="auto"/>
            <w:shd w:val="clear" w:color="auto" w:fill="auto"/>
          </w:tcPr>
          <w:p w14:paraId="00BAD7B2" w14:textId="77777777" w:rsidR="00871BDF" w:rsidRDefault="00871BDF">
            <w:pPr>
              <w:rPr>
                <w:rFonts w:ascii="宋体"/>
              </w:rPr>
            </w:pPr>
          </w:p>
        </w:tc>
        <w:tc>
          <w:tcPr>
            <w:tcW w:w="0" w:type="auto"/>
            <w:shd w:val="clear" w:color="auto" w:fill="auto"/>
          </w:tcPr>
          <w:p w14:paraId="00BAD7B3" w14:textId="77777777" w:rsidR="00871BDF" w:rsidRDefault="00871BDF">
            <w:pPr>
              <w:rPr>
                <w:rFonts w:ascii="宋体"/>
              </w:rPr>
            </w:pPr>
          </w:p>
        </w:tc>
        <w:tc>
          <w:tcPr>
            <w:tcW w:w="0" w:type="auto"/>
            <w:shd w:val="clear" w:color="auto" w:fill="auto"/>
          </w:tcPr>
          <w:p w14:paraId="00BAD7B4" w14:textId="77777777" w:rsidR="00871BDF" w:rsidRDefault="00871BDF">
            <w:pPr>
              <w:rPr>
                <w:rFonts w:ascii="宋体"/>
              </w:rPr>
            </w:pPr>
          </w:p>
        </w:tc>
        <w:tc>
          <w:tcPr>
            <w:tcW w:w="0" w:type="auto"/>
            <w:shd w:val="clear" w:color="auto" w:fill="auto"/>
          </w:tcPr>
          <w:p w14:paraId="00BAD7B5" w14:textId="77777777" w:rsidR="00871BDF" w:rsidRDefault="00871BDF">
            <w:pPr>
              <w:rPr>
                <w:rFonts w:ascii="宋体"/>
              </w:rPr>
            </w:pPr>
          </w:p>
        </w:tc>
        <w:tc>
          <w:tcPr>
            <w:tcW w:w="0" w:type="auto"/>
            <w:shd w:val="clear" w:color="auto" w:fill="auto"/>
          </w:tcPr>
          <w:p w14:paraId="00BAD7B6" w14:textId="77777777" w:rsidR="00871BDF" w:rsidRDefault="00871BDF">
            <w:pPr>
              <w:rPr>
                <w:rFonts w:ascii="宋体"/>
              </w:rPr>
            </w:pPr>
          </w:p>
        </w:tc>
        <w:tc>
          <w:tcPr>
            <w:tcW w:w="0" w:type="auto"/>
            <w:shd w:val="clear" w:color="auto" w:fill="auto"/>
          </w:tcPr>
          <w:p w14:paraId="00BAD7B7" w14:textId="77777777" w:rsidR="00871BDF" w:rsidRDefault="00871BDF">
            <w:pPr>
              <w:rPr>
                <w:rFonts w:ascii="宋体"/>
              </w:rPr>
            </w:pPr>
          </w:p>
        </w:tc>
        <w:tc>
          <w:tcPr>
            <w:tcW w:w="0" w:type="auto"/>
            <w:shd w:val="clear" w:color="auto" w:fill="auto"/>
          </w:tcPr>
          <w:p w14:paraId="00BAD7B8" w14:textId="77777777" w:rsidR="00871BDF" w:rsidRDefault="00871BDF">
            <w:pPr>
              <w:rPr>
                <w:rFonts w:ascii="宋体"/>
              </w:rPr>
            </w:pPr>
          </w:p>
        </w:tc>
        <w:tc>
          <w:tcPr>
            <w:tcW w:w="0" w:type="auto"/>
            <w:shd w:val="clear" w:color="auto" w:fill="auto"/>
          </w:tcPr>
          <w:p w14:paraId="00BAD7B9" w14:textId="77777777" w:rsidR="00871BDF" w:rsidRDefault="00871BDF">
            <w:pPr>
              <w:rPr>
                <w:rFonts w:ascii="宋体"/>
              </w:rPr>
            </w:pPr>
          </w:p>
        </w:tc>
        <w:tc>
          <w:tcPr>
            <w:tcW w:w="0" w:type="auto"/>
            <w:shd w:val="clear" w:color="auto" w:fill="auto"/>
          </w:tcPr>
          <w:p w14:paraId="00BAD7BA" w14:textId="77777777" w:rsidR="00871BDF" w:rsidRDefault="00871BDF">
            <w:pPr>
              <w:rPr>
                <w:rFonts w:ascii="宋体"/>
              </w:rPr>
            </w:pPr>
          </w:p>
        </w:tc>
        <w:tc>
          <w:tcPr>
            <w:tcW w:w="0" w:type="auto"/>
            <w:shd w:val="clear" w:color="auto" w:fill="auto"/>
          </w:tcPr>
          <w:p w14:paraId="00BAD7BB" w14:textId="77777777" w:rsidR="00871BDF" w:rsidRDefault="00871BDF">
            <w:pPr>
              <w:rPr>
                <w:rFonts w:ascii="宋体"/>
              </w:rPr>
            </w:pPr>
          </w:p>
        </w:tc>
        <w:tc>
          <w:tcPr>
            <w:tcW w:w="0" w:type="auto"/>
            <w:shd w:val="clear" w:color="auto" w:fill="auto"/>
          </w:tcPr>
          <w:p w14:paraId="00BAD7BC" w14:textId="77777777" w:rsidR="00871BDF" w:rsidRDefault="00871BDF">
            <w:pPr>
              <w:rPr>
                <w:rFonts w:ascii="宋体"/>
              </w:rPr>
            </w:pPr>
          </w:p>
        </w:tc>
        <w:tc>
          <w:tcPr>
            <w:tcW w:w="0" w:type="auto"/>
            <w:shd w:val="clear" w:color="auto" w:fill="auto"/>
          </w:tcPr>
          <w:p w14:paraId="00BAD7BD" w14:textId="77777777" w:rsidR="00871BDF" w:rsidRDefault="00871BDF">
            <w:pPr>
              <w:rPr>
                <w:rFonts w:ascii="宋体"/>
              </w:rPr>
            </w:pPr>
          </w:p>
        </w:tc>
        <w:tc>
          <w:tcPr>
            <w:tcW w:w="0" w:type="auto"/>
            <w:shd w:val="clear" w:color="auto" w:fill="auto"/>
          </w:tcPr>
          <w:p w14:paraId="00BAD7BE" w14:textId="77777777" w:rsidR="00871BDF" w:rsidRDefault="00871BDF">
            <w:pPr>
              <w:rPr>
                <w:rFonts w:ascii="宋体"/>
              </w:rPr>
            </w:pPr>
          </w:p>
        </w:tc>
        <w:tc>
          <w:tcPr>
            <w:tcW w:w="0" w:type="auto"/>
            <w:shd w:val="clear" w:color="auto" w:fill="auto"/>
          </w:tcPr>
          <w:p w14:paraId="00BAD7BF" w14:textId="77777777" w:rsidR="00871BDF" w:rsidRDefault="00871BDF">
            <w:pPr>
              <w:rPr>
                <w:rFonts w:ascii="宋体"/>
              </w:rPr>
            </w:pPr>
          </w:p>
        </w:tc>
        <w:tc>
          <w:tcPr>
            <w:tcW w:w="0" w:type="auto"/>
            <w:shd w:val="clear" w:color="auto" w:fill="auto"/>
          </w:tcPr>
          <w:p w14:paraId="00BAD7C0" w14:textId="77777777" w:rsidR="00871BDF" w:rsidRDefault="00871BDF">
            <w:pPr>
              <w:rPr>
                <w:rFonts w:ascii="宋体"/>
              </w:rPr>
            </w:pPr>
          </w:p>
        </w:tc>
        <w:tc>
          <w:tcPr>
            <w:tcW w:w="0" w:type="auto"/>
            <w:shd w:val="clear" w:color="auto" w:fill="auto"/>
          </w:tcPr>
          <w:p w14:paraId="00BAD7C1" w14:textId="77777777" w:rsidR="00871BDF" w:rsidRDefault="00871BDF">
            <w:pPr>
              <w:rPr>
                <w:rFonts w:ascii="宋体"/>
              </w:rPr>
            </w:pPr>
          </w:p>
        </w:tc>
        <w:tc>
          <w:tcPr>
            <w:tcW w:w="0" w:type="auto"/>
            <w:shd w:val="clear" w:color="auto" w:fill="auto"/>
          </w:tcPr>
          <w:p w14:paraId="00BAD7C2" w14:textId="77777777" w:rsidR="00871BDF" w:rsidRDefault="00871BDF">
            <w:pPr>
              <w:rPr>
                <w:rFonts w:ascii="宋体"/>
              </w:rPr>
            </w:pPr>
          </w:p>
        </w:tc>
        <w:tc>
          <w:tcPr>
            <w:tcW w:w="0" w:type="auto"/>
            <w:shd w:val="clear" w:color="auto" w:fill="auto"/>
          </w:tcPr>
          <w:p w14:paraId="00BAD7C3" w14:textId="77777777" w:rsidR="00871BDF" w:rsidRDefault="00871BDF">
            <w:pPr>
              <w:rPr>
                <w:rFonts w:ascii="宋体"/>
              </w:rPr>
            </w:pPr>
          </w:p>
        </w:tc>
      </w:tr>
      <w:tr w:rsidR="00871BDF" w14:paraId="00BAD7F2" w14:textId="77777777">
        <w:trPr>
          <w:jc w:val="center"/>
        </w:trPr>
        <w:tc>
          <w:tcPr>
            <w:tcW w:w="0" w:type="auto"/>
            <w:gridSpan w:val="3"/>
            <w:shd w:val="clear" w:color="auto" w:fill="FFFFFF"/>
            <w:tcMar>
              <w:top w:w="40" w:type="dxa"/>
              <w:left w:w="155" w:type="dxa"/>
              <w:bottom w:w="40" w:type="dxa"/>
              <w:right w:w="20" w:type="dxa"/>
            </w:tcMar>
            <w:vAlign w:val="bottom"/>
          </w:tcPr>
          <w:p w14:paraId="00BAD7C5" w14:textId="77777777" w:rsidR="00871BDF" w:rsidRDefault="005C5088">
            <w:pPr>
              <w:textAlignment w:val="bottom"/>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00BAD7C6"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D7C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7C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7C9"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D7C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7C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7CC"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D7C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7C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7CF" w14:textId="77777777" w:rsidR="00871BDF" w:rsidRDefault="005C5088">
            <w:pPr>
              <w:jc w:val="right"/>
              <w:textAlignment w:val="bottom"/>
            </w:pPr>
            <w:r>
              <w:rPr>
                <w:rFonts w:ascii="Times New Roman" w:eastAsia="宋体" w:hAnsi="Times New Roman"/>
                <w:color w:val="000000"/>
                <w:sz w:val="20"/>
                <w:szCs w:val="20"/>
              </w:rPr>
              <w:t>288 </w:t>
            </w:r>
          </w:p>
        </w:tc>
        <w:tc>
          <w:tcPr>
            <w:tcW w:w="0" w:type="auto"/>
            <w:shd w:val="clear" w:color="auto" w:fill="FFFFFF"/>
            <w:tcMar>
              <w:top w:w="40" w:type="dxa"/>
              <w:left w:w="0" w:type="dxa"/>
              <w:bottom w:w="40" w:type="dxa"/>
              <w:right w:w="20" w:type="dxa"/>
            </w:tcMar>
            <w:vAlign w:val="bottom"/>
          </w:tcPr>
          <w:p w14:paraId="00BAD7D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7D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7D2" w14:textId="77777777" w:rsidR="00871BDF" w:rsidRDefault="005C5088">
            <w:pPr>
              <w:jc w:val="right"/>
              <w:textAlignment w:val="bottom"/>
            </w:pPr>
            <w:r>
              <w:rPr>
                <w:rFonts w:ascii="Times New Roman" w:eastAsia="宋体" w:hAnsi="Times New Roman"/>
                <w:color w:val="000000"/>
                <w:sz w:val="20"/>
                <w:szCs w:val="20"/>
              </w:rPr>
              <w:t>357 </w:t>
            </w:r>
          </w:p>
        </w:tc>
        <w:tc>
          <w:tcPr>
            <w:tcW w:w="0" w:type="auto"/>
            <w:shd w:val="clear" w:color="auto" w:fill="FFFFFF"/>
            <w:tcMar>
              <w:top w:w="40" w:type="dxa"/>
              <w:left w:w="0" w:type="dxa"/>
              <w:bottom w:w="40" w:type="dxa"/>
              <w:right w:w="20" w:type="dxa"/>
            </w:tcMar>
            <w:vAlign w:val="bottom"/>
          </w:tcPr>
          <w:p w14:paraId="00BAD7D3" w14:textId="77777777" w:rsidR="00871BDF" w:rsidRDefault="00871BDF">
            <w:pPr>
              <w:jc w:val="right"/>
              <w:rPr>
                <w:rFonts w:ascii="宋体"/>
              </w:rPr>
            </w:pPr>
          </w:p>
        </w:tc>
        <w:tc>
          <w:tcPr>
            <w:tcW w:w="0" w:type="auto"/>
            <w:shd w:val="clear" w:color="auto" w:fill="auto"/>
          </w:tcPr>
          <w:p w14:paraId="00BAD7D4" w14:textId="77777777" w:rsidR="00871BDF" w:rsidRDefault="00871BDF">
            <w:pPr>
              <w:rPr>
                <w:rFonts w:ascii="宋体"/>
              </w:rPr>
            </w:pPr>
          </w:p>
        </w:tc>
        <w:tc>
          <w:tcPr>
            <w:tcW w:w="0" w:type="auto"/>
            <w:shd w:val="clear" w:color="auto" w:fill="auto"/>
          </w:tcPr>
          <w:p w14:paraId="00BAD7D5" w14:textId="77777777" w:rsidR="00871BDF" w:rsidRDefault="00871BDF">
            <w:pPr>
              <w:rPr>
                <w:rFonts w:ascii="宋体"/>
              </w:rPr>
            </w:pPr>
          </w:p>
        </w:tc>
        <w:tc>
          <w:tcPr>
            <w:tcW w:w="0" w:type="auto"/>
            <w:shd w:val="clear" w:color="auto" w:fill="auto"/>
          </w:tcPr>
          <w:p w14:paraId="00BAD7D6" w14:textId="77777777" w:rsidR="00871BDF" w:rsidRDefault="00871BDF">
            <w:pPr>
              <w:rPr>
                <w:rFonts w:ascii="宋体"/>
              </w:rPr>
            </w:pPr>
          </w:p>
        </w:tc>
        <w:tc>
          <w:tcPr>
            <w:tcW w:w="0" w:type="auto"/>
            <w:shd w:val="clear" w:color="auto" w:fill="auto"/>
          </w:tcPr>
          <w:p w14:paraId="00BAD7D7" w14:textId="77777777" w:rsidR="00871BDF" w:rsidRDefault="00871BDF">
            <w:pPr>
              <w:rPr>
                <w:rFonts w:ascii="宋体"/>
              </w:rPr>
            </w:pPr>
          </w:p>
        </w:tc>
        <w:tc>
          <w:tcPr>
            <w:tcW w:w="0" w:type="auto"/>
            <w:shd w:val="clear" w:color="auto" w:fill="auto"/>
          </w:tcPr>
          <w:p w14:paraId="00BAD7D8" w14:textId="77777777" w:rsidR="00871BDF" w:rsidRDefault="00871BDF">
            <w:pPr>
              <w:rPr>
                <w:rFonts w:ascii="宋体"/>
              </w:rPr>
            </w:pPr>
          </w:p>
        </w:tc>
        <w:tc>
          <w:tcPr>
            <w:tcW w:w="0" w:type="auto"/>
            <w:shd w:val="clear" w:color="auto" w:fill="auto"/>
          </w:tcPr>
          <w:p w14:paraId="00BAD7D9" w14:textId="77777777" w:rsidR="00871BDF" w:rsidRDefault="00871BDF">
            <w:pPr>
              <w:rPr>
                <w:rFonts w:ascii="宋体"/>
              </w:rPr>
            </w:pPr>
          </w:p>
        </w:tc>
        <w:tc>
          <w:tcPr>
            <w:tcW w:w="0" w:type="auto"/>
            <w:shd w:val="clear" w:color="auto" w:fill="auto"/>
          </w:tcPr>
          <w:p w14:paraId="00BAD7DA" w14:textId="77777777" w:rsidR="00871BDF" w:rsidRDefault="00871BDF">
            <w:pPr>
              <w:rPr>
                <w:rFonts w:ascii="宋体"/>
              </w:rPr>
            </w:pPr>
          </w:p>
        </w:tc>
        <w:tc>
          <w:tcPr>
            <w:tcW w:w="0" w:type="auto"/>
            <w:shd w:val="clear" w:color="auto" w:fill="auto"/>
          </w:tcPr>
          <w:p w14:paraId="00BAD7DB" w14:textId="77777777" w:rsidR="00871BDF" w:rsidRDefault="00871BDF">
            <w:pPr>
              <w:rPr>
                <w:rFonts w:ascii="宋体"/>
              </w:rPr>
            </w:pPr>
          </w:p>
        </w:tc>
        <w:tc>
          <w:tcPr>
            <w:tcW w:w="0" w:type="auto"/>
            <w:shd w:val="clear" w:color="auto" w:fill="auto"/>
          </w:tcPr>
          <w:p w14:paraId="00BAD7DC" w14:textId="77777777" w:rsidR="00871BDF" w:rsidRDefault="00871BDF">
            <w:pPr>
              <w:rPr>
                <w:rFonts w:ascii="宋体"/>
              </w:rPr>
            </w:pPr>
          </w:p>
        </w:tc>
        <w:tc>
          <w:tcPr>
            <w:tcW w:w="0" w:type="auto"/>
            <w:shd w:val="clear" w:color="auto" w:fill="auto"/>
          </w:tcPr>
          <w:p w14:paraId="00BAD7DD" w14:textId="77777777" w:rsidR="00871BDF" w:rsidRDefault="00871BDF">
            <w:pPr>
              <w:rPr>
                <w:rFonts w:ascii="宋体"/>
              </w:rPr>
            </w:pPr>
          </w:p>
        </w:tc>
        <w:tc>
          <w:tcPr>
            <w:tcW w:w="0" w:type="auto"/>
            <w:shd w:val="clear" w:color="auto" w:fill="auto"/>
          </w:tcPr>
          <w:p w14:paraId="00BAD7DE" w14:textId="77777777" w:rsidR="00871BDF" w:rsidRDefault="00871BDF">
            <w:pPr>
              <w:rPr>
                <w:rFonts w:ascii="宋体"/>
              </w:rPr>
            </w:pPr>
          </w:p>
        </w:tc>
        <w:tc>
          <w:tcPr>
            <w:tcW w:w="0" w:type="auto"/>
            <w:shd w:val="clear" w:color="auto" w:fill="auto"/>
          </w:tcPr>
          <w:p w14:paraId="00BAD7DF" w14:textId="77777777" w:rsidR="00871BDF" w:rsidRDefault="00871BDF">
            <w:pPr>
              <w:rPr>
                <w:rFonts w:ascii="宋体"/>
              </w:rPr>
            </w:pPr>
          </w:p>
        </w:tc>
        <w:tc>
          <w:tcPr>
            <w:tcW w:w="0" w:type="auto"/>
            <w:shd w:val="clear" w:color="auto" w:fill="auto"/>
          </w:tcPr>
          <w:p w14:paraId="00BAD7E0" w14:textId="77777777" w:rsidR="00871BDF" w:rsidRDefault="00871BDF">
            <w:pPr>
              <w:rPr>
                <w:rFonts w:ascii="宋体"/>
              </w:rPr>
            </w:pPr>
          </w:p>
        </w:tc>
        <w:tc>
          <w:tcPr>
            <w:tcW w:w="0" w:type="auto"/>
            <w:shd w:val="clear" w:color="auto" w:fill="auto"/>
          </w:tcPr>
          <w:p w14:paraId="00BAD7E1" w14:textId="77777777" w:rsidR="00871BDF" w:rsidRDefault="00871BDF">
            <w:pPr>
              <w:rPr>
                <w:rFonts w:ascii="宋体"/>
              </w:rPr>
            </w:pPr>
          </w:p>
        </w:tc>
        <w:tc>
          <w:tcPr>
            <w:tcW w:w="0" w:type="auto"/>
            <w:shd w:val="clear" w:color="auto" w:fill="auto"/>
          </w:tcPr>
          <w:p w14:paraId="00BAD7E2" w14:textId="77777777" w:rsidR="00871BDF" w:rsidRDefault="00871BDF">
            <w:pPr>
              <w:rPr>
                <w:rFonts w:ascii="宋体"/>
              </w:rPr>
            </w:pPr>
          </w:p>
        </w:tc>
        <w:tc>
          <w:tcPr>
            <w:tcW w:w="0" w:type="auto"/>
            <w:shd w:val="clear" w:color="auto" w:fill="auto"/>
          </w:tcPr>
          <w:p w14:paraId="00BAD7E3" w14:textId="77777777" w:rsidR="00871BDF" w:rsidRDefault="00871BDF">
            <w:pPr>
              <w:rPr>
                <w:rFonts w:ascii="宋体"/>
              </w:rPr>
            </w:pPr>
          </w:p>
        </w:tc>
        <w:tc>
          <w:tcPr>
            <w:tcW w:w="0" w:type="auto"/>
            <w:shd w:val="clear" w:color="auto" w:fill="auto"/>
          </w:tcPr>
          <w:p w14:paraId="00BAD7E4" w14:textId="77777777" w:rsidR="00871BDF" w:rsidRDefault="00871BDF">
            <w:pPr>
              <w:rPr>
                <w:rFonts w:ascii="宋体"/>
              </w:rPr>
            </w:pPr>
          </w:p>
        </w:tc>
        <w:tc>
          <w:tcPr>
            <w:tcW w:w="0" w:type="auto"/>
            <w:shd w:val="clear" w:color="auto" w:fill="auto"/>
          </w:tcPr>
          <w:p w14:paraId="00BAD7E5" w14:textId="77777777" w:rsidR="00871BDF" w:rsidRDefault="00871BDF">
            <w:pPr>
              <w:rPr>
                <w:rFonts w:ascii="宋体"/>
              </w:rPr>
            </w:pPr>
          </w:p>
        </w:tc>
        <w:tc>
          <w:tcPr>
            <w:tcW w:w="0" w:type="auto"/>
            <w:shd w:val="clear" w:color="auto" w:fill="auto"/>
          </w:tcPr>
          <w:p w14:paraId="00BAD7E6" w14:textId="77777777" w:rsidR="00871BDF" w:rsidRDefault="00871BDF">
            <w:pPr>
              <w:rPr>
                <w:rFonts w:ascii="宋体"/>
              </w:rPr>
            </w:pPr>
          </w:p>
        </w:tc>
        <w:tc>
          <w:tcPr>
            <w:tcW w:w="0" w:type="auto"/>
            <w:shd w:val="clear" w:color="auto" w:fill="auto"/>
          </w:tcPr>
          <w:p w14:paraId="00BAD7E7" w14:textId="77777777" w:rsidR="00871BDF" w:rsidRDefault="00871BDF">
            <w:pPr>
              <w:rPr>
                <w:rFonts w:ascii="宋体"/>
              </w:rPr>
            </w:pPr>
          </w:p>
        </w:tc>
        <w:tc>
          <w:tcPr>
            <w:tcW w:w="0" w:type="auto"/>
            <w:shd w:val="clear" w:color="auto" w:fill="auto"/>
          </w:tcPr>
          <w:p w14:paraId="00BAD7E8" w14:textId="77777777" w:rsidR="00871BDF" w:rsidRDefault="00871BDF">
            <w:pPr>
              <w:rPr>
                <w:rFonts w:ascii="宋体"/>
              </w:rPr>
            </w:pPr>
          </w:p>
        </w:tc>
        <w:tc>
          <w:tcPr>
            <w:tcW w:w="0" w:type="auto"/>
            <w:shd w:val="clear" w:color="auto" w:fill="auto"/>
          </w:tcPr>
          <w:p w14:paraId="00BAD7E9" w14:textId="77777777" w:rsidR="00871BDF" w:rsidRDefault="00871BDF">
            <w:pPr>
              <w:rPr>
                <w:rFonts w:ascii="宋体"/>
              </w:rPr>
            </w:pPr>
          </w:p>
        </w:tc>
        <w:tc>
          <w:tcPr>
            <w:tcW w:w="0" w:type="auto"/>
            <w:shd w:val="clear" w:color="auto" w:fill="auto"/>
          </w:tcPr>
          <w:p w14:paraId="00BAD7EA" w14:textId="77777777" w:rsidR="00871BDF" w:rsidRDefault="00871BDF">
            <w:pPr>
              <w:rPr>
                <w:rFonts w:ascii="宋体"/>
              </w:rPr>
            </w:pPr>
          </w:p>
        </w:tc>
        <w:tc>
          <w:tcPr>
            <w:tcW w:w="0" w:type="auto"/>
            <w:shd w:val="clear" w:color="auto" w:fill="auto"/>
          </w:tcPr>
          <w:p w14:paraId="00BAD7EB" w14:textId="77777777" w:rsidR="00871BDF" w:rsidRDefault="00871BDF">
            <w:pPr>
              <w:rPr>
                <w:rFonts w:ascii="宋体"/>
              </w:rPr>
            </w:pPr>
          </w:p>
        </w:tc>
        <w:tc>
          <w:tcPr>
            <w:tcW w:w="0" w:type="auto"/>
            <w:shd w:val="clear" w:color="auto" w:fill="auto"/>
          </w:tcPr>
          <w:p w14:paraId="00BAD7EC" w14:textId="77777777" w:rsidR="00871BDF" w:rsidRDefault="00871BDF">
            <w:pPr>
              <w:rPr>
                <w:rFonts w:ascii="宋体"/>
              </w:rPr>
            </w:pPr>
          </w:p>
        </w:tc>
        <w:tc>
          <w:tcPr>
            <w:tcW w:w="0" w:type="auto"/>
            <w:shd w:val="clear" w:color="auto" w:fill="auto"/>
          </w:tcPr>
          <w:p w14:paraId="00BAD7ED" w14:textId="77777777" w:rsidR="00871BDF" w:rsidRDefault="00871BDF">
            <w:pPr>
              <w:rPr>
                <w:rFonts w:ascii="宋体"/>
              </w:rPr>
            </w:pPr>
          </w:p>
        </w:tc>
        <w:tc>
          <w:tcPr>
            <w:tcW w:w="0" w:type="auto"/>
            <w:shd w:val="clear" w:color="auto" w:fill="auto"/>
          </w:tcPr>
          <w:p w14:paraId="00BAD7EE" w14:textId="77777777" w:rsidR="00871BDF" w:rsidRDefault="00871BDF">
            <w:pPr>
              <w:rPr>
                <w:rFonts w:ascii="宋体"/>
              </w:rPr>
            </w:pPr>
          </w:p>
        </w:tc>
        <w:tc>
          <w:tcPr>
            <w:tcW w:w="0" w:type="auto"/>
            <w:shd w:val="clear" w:color="auto" w:fill="auto"/>
          </w:tcPr>
          <w:p w14:paraId="00BAD7EF" w14:textId="77777777" w:rsidR="00871BDF" w:rsidRDefault="00871BDF">
            <w:pPr>
              <w:rPr>
                <w:rFonts w:ascii="宋体"/>
              </w:rPr>
            </w:pPr>
          </w:p>
        </w:tc>
        <w:tc>
          <w:tcPr>
            <w:tcW w:w="0" w:type="auto"/>
            <w:shd w:val="clear" w:color="auto" w:fill="auto"/>
          </w:tcPr>
          <w:p w14:paraId="00BAD7F0" w14:textId="77777777" w:rsidR="00871BDF" w:rsidRDefault="00871BDF">
            <w:pPr>
              <w:rPr>
                <w:rFonts w:ascii="宋体"/>
              </w:rPr>
            </w:pPr>
          </w:p>
        </w:tc>
        <w:tc>
          <w:tcPr>
            <w:tcW w:w="0" w:type="auto"/>
            <w:shd w:val="clear" w:color="auto" w:fill="auto"/>
          </w:tcPr>
          <w:p w14:paraId="00BAD7F1" w14:textId="77777777" w:rsidR="00871BDF" w:rsidRDefault="00871BDF">
            <w:pPr>
              <w:rPr>
                <w:rFonts w:ascii="宋体"/>
              </w:rPr>
            </w:pPr>
          </w:p>
        </w:tc>
      </w:tr>
      <w:tr w:rsidR="00871BDF" w14:paraId="00BAD820" w14:textId="77777777">
        <w:trPr>
          <w:jc w:val="center"/>
        </w:trPr>
        <w:tc>
          <w:tcPr>
            <w:tcW w:w="0" w:type="auto"/>
            <w:gridSpan w:val="3"/>
            <w:shd w:val="clear" w:color="auto" w:fill="D7E4BC"/>
            <w:tcMar>
              <w:top w:w="40" w:type="dxa"/>
              <w:left w:w="155" w:type="dxa"/>
              <w:bottom w:w="40" w:type="dxa"/>
              <w:right w:w="20" w:type="dxa"/>
            </w:tcMar>
            <w:vAlign w:val="bottom"/>
          </w:tcPr>
          <w:p w14:paraId="00BAD7F3" w14:textId="77777777" w:rsidR="00871BDF" w:rsidRDefault="005C5088">
            <w:pPr>
              <w:textAlignment w:val="bottom"/>
            </w:pPr>
            <w:r>
              <w:rPr>
                <w:rFonts w:ascii="Times New Roman" w:eastAsia="宋体" w:hAnsi="Times New Roman"/>
                <w:color w:val="000000"/>
                <w:sz w:val="20"/>
                <w:szCs w:val="20"/>
              </w:rPr>
              <w:t>Lic</w:t>
            </w:r>
            <w:r>
              <w:rPr>
                <w:rFonts w:ascii="Times New Roman" w:eastAsia="宋体" w:hAnsi="Times New Roman"/>
                <w:color w:val="000000"/>
                <w:sz w:val="20"/>
                <w:szCs w:val="20"/>
              </w:rPr>
              <w:t>ensed stores</w:t>
            </w:r>
          </w:p>
        </w:tc>
        <w:tc>
          <w:tcPr>
            <w:tcW w:w="0" w:type="auto"/>
            <w:gridSpan w:val="2"/>
            <w:shd w:val="clear" w:color="auto" w:fill="D7E4BC"/>
            <w:tcMar>
              <w:top w:w="40" w:type="dxa"/>
              <w:left w:w="20" w:type="dxa"/>
              <w:bottom w:w="40" w:type="dxa"/>
              <w:right w:w="0" w:type="dxa"/>
            </w:tcMar>
            <w:vAlign w:val="bottom"/>
          </w:tcPr>
          <w:p w14:paraId="00BAD7F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D7F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7F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7F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D7F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7F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7FA" w14:textId="77777777" w:rsidR="00871BDF" w:rsidRDefault="005C5088">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0BAD7F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7F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7FD" w14:textId="77777777" w:rsidR="00871BDF" w:rsidRDefault="005C5088">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left w:w="0" w:type="dxa"/>
              <w:bottom w:w="40" w:type="dxa"/>
              <w:right w:w="20" w:type="dxa"/>
            </w:tcMar>
            <w:vAlign w:val="bottom"/>
          </w:tcPr>
          <w:p w14:paraId="00BAD7F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7F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800" w14:textId="77777777" w:rsidR="00871BDF" w:rsidRDefault="005C5088">
            <w:pPr>
              <w:jc w:val="right"/>
              <w:textAlignment w:val="bottom"/>
            </w:pPr>
            <w:r>
              <w:rPr>
                <w:rFonts w:ascii="Times New Roman" w:eastAsia="宋体" w:hAnsi="Times New Roman"/>
                <w:color w:val="000000"/>
                <w:sz w:val="20"/>
                <w:szCs w:val="20"/>
              </w:rPr>
              <w:t>35 </w:t>
            </w:r>
          </w:p>
        </w:tc>
        <w:tc>
          <w:tcPr>
            <w:tcW w:w="0" w:type="auto"/>
            <w:shd w:val="clear" w:color="auto" w:fill="D7E4BC"/>
            <w:tcMar>
              <w:top w:w="40" w:type="dxa"/>
              <w:left w:w="0" w:type="dxa"/>
              <w:bottom w:w="40" w:type="dxa"/>
              <w:right w:w="20" w:type="dxa"/>
            </w:tcMar>
            <w:vAlign w:val="bottom"/>
          </w:tcPr>
          <w:p w14:paraId="00BAD801" w14:textId="77777777" w:rsidR="00871BDF" w:rsidRDefault="00871BDF">
            <w:pPr>
              <w:jc w:val="right"/>
              <w:rPr>
                <w:rFonts w:ascii="宋体"/>
              </w:rPr>
            </w:pPr>
          </w:p>
        </w:tc>
        <w:tc>
          <w:tcPr>
            <w:tcW w:w="0" w:type="auto"/>
            <w:shd w:val="clear" w:color="auto" w:fill="auto"/>
          </w:tcPr>
          <w:p w14:paraId="00BAD802" w14:textId="77777777" w:rsidR="00871BDF" w:rsidRDefault="00871BDF">
            <w:pPr>
              <w:rPr>
                <w:rFonts w:ascii="宋体"/>
              </w:rPr>
            </w:pPr>
          </w:p>
        </w:tc>
        <w:tc>
          <w:tcPr>
            <w:tcW w:w="0" w:type="auto"/>
            <w:shd w:val="clear" w:color="auto" w:fill="auto"/>
          </w:tcPr>
          <w:p w14:paraId="00BAD803" w14:textId="77777777" w:rsidR="00871BDF" w:rsidRDefault="00871BDF">
            <w:pPr>
              <w:rPr>
                <w:rFonts w:ascii="宋体"/>
              </w:rPr>
            </w:pPr>
          </w:p>
        </w:tc>
        <w:tc>
          <w:tcPr>
            <w:tcW w:w="0" w:type="auto"/>
            <w:shd w:val="clear" w:color="auto" w:fill="auto"/>
          </w:tcPr>
          <w:p w14:paraId="00BAD804" w14:textId="77777777" w:rsidR="00871BDF" w:rsidRDefault="00871BDF">
            <w:pPr>
              <w:rPr>
                <w:rFonts w:ascii="宋体"/>
              </w:rPr>
            </w:pPr>
          </w:p>
        </w:tc>
        <w:tc>
          <w:tcPr>
            <w:tcW w:w="0" w:type="auto"/>
            <w:shd w:val="clear" w:color="auto" w:fill="auto"/>
          </w:tcPr>
          <w:p w14:paraId="00BAD805" w14:textId="77777777" w:rsidR="00871BDF" w:rsidRDefault="00871BDF">
            <w:pPr>
              <w:rPr>
                <w:rFonts w:ascii="宋体"/>
              </w:rPr>
            </w:pPr>
          </w:p>
        </w:tc>
        <w:tc>
          <w:tcPr>
            <w:tcW w:w="0" w:type="auto"/>
            <w:shd w:val="clear" w:color="auto" w:fill="auto"/>
          </w:tcPr>
          <w:p w14:paraId="00BAD806" w14:textId="77777777" w:rsidR="00871BDF" w:rsidRDefault="00871BDF">
            <w:pPr>
              <w:rPr>
                <w:rFonts w:ascii="宋体"/>
              </w:rPr>
            </w:pPr>
          </w:p>
        </w:tc>
        <w:tc>
          <w:tcPr>
            <w:tcW w:w="0" w:type="auto"/>
            <w:shd w:val="clear" w:color="auto" w:fill="auto"/>
          </w:tcPr>
          <w:p w14:paraId="00BAD807" w14:textId="77777777" w:rsidR="00871BDF" w:rsidRDefault="00871BDF">
            <w:pPr>
              <w:rPr>
                <w:rFonts w:ascii="宋体"/>
              </w:rPr>
            </w:pPr>
          </w:p>
        </w:tc>
        <w:tc>
          <w:tcPr>
            <w:tcW w:w="0" w:type="auto"/>
            <w:shd w:val="clear" w:color="auto" w:fill="auto"/>
          </w:tcPr>
          <w:p w14:paraId="00BAD808" w14:textId="77777777" w:rsidR="00871BDF" w:rsidRDefault="00871BDF">
            <w:pPr>
              <w:rPr>
                <w:rFonts w:ascii="宋体"/>
              </w:rPr>
            </w:pPr>
          </w:p>
        </w:tc>
        <w:tc>
          <w:tcPr>
            <w:tcW w:w="0" w:type="auto"/>
            <w:shd w:val="clear" w:color="auto" w:fill="auto"/>
          </w:tcPr>
          <w:p w14:paraId="00BAD809" w14:textId="77777777" w:rsidR="00871BDF" w:rsidRDefault="00871BDF">
            <w:pPr>
              <w:rPr>
                <w:rFonts w:ascii="宋体"/>
              </w:rPr>
            </w:pPr>
          </w:p>
        </w:tc>
        <w:tc>
          <w:tcPr>
            <w:tcW w:w="0" w:type="auto"/>
            <w:shd w:val="clear" w:color="auto" w:fill="auto"/>
          </w:tcPr>
          <w:p w14:paraId="00BAD80A" w14:textId="77777777" w:rsidR="00871BDF" w:rsidRDefault="00871BDF">
            <w:pPr>
              <w:rPr>
                <w:rFonts w:ascii="宋体"/>
              </w:rPr>
            </w:pPr>
          </w:p>
        </w:tc>
        <w:tc>
          <w:tcPr>
            <w:tcW w:w="0" w:type="auto"/>
            <w:shd w:val="clear" w:color="auto" w:fill="auto"/>
          </w:tcPr>
          <w:p w14:paraId="00BAD80B" w14:textId="77777777" w:rsidR="00871BDF" w:rsidRDefault="00871BDF">
            <w:pPr>
              <w:rPr>
                <w:rFonts w:ascii="宋体"/>
              </w:rPr>
            </w:pPr>
          </w:p>
        </w:tc>
        <w:tc>
          <w:tcPr>
            <w:tcW w:w="0" w:type="auto"/>
            <w:shd w:val="clear" w:color="auto" w:fill="auto"/>
          </w:tcPr>
          <w:p w14:paraId="00BAD80C" w14:textId="77777777" w:rsidR="00871BDF" w:rsidRDefault="00871BDF">
            <w:pPr>
              <w:rPr>
                <w:rFonts w:ascii="宋体"/>
              </w:rPr>
            </w:pPr>
          </w:p>
        </w:tc>
        <w:tc>
          <w:tcPr>
            <w:tcW w:w="0" w:type="auto"/>
            <w:shd w:val="clear" w:color="auto" w:fill="auto"/>
          </w:tcPr>
          <w:p w14:paraId="00BAD80D" w14:textId="77777777" w:rsidR="00871BDF" w:rsidRDefault="00871BDF">
            <w:pPr>
              <w:rPr>
                <w:rFonts w:ascii="宋体"/>
              </w:rPr>
            </w:pPr>
          </w:p>
        </w:tc>
        <w:tc>
          <w:tcPr>
            <w:tcW w:w="0" w:type="auto"/>
            <w:shd w:val="clear" w:color="auto" w:fill="auto"/>
          </w:tcPr>
          <w:p w14:paraId="00BAD80E" w14:textId="77777777" w:rsidR="00871BDF" w:rsidRDefault="00871BDF">
            <w:pPr>
              <w:rPr>
                <w:rFonts w:ascii="宋体"/>
              </w:rPr>
            </w:pPr>
          </w:p>
        </w:tc>
        <w:tc>
          <w:tcPr>
            <w:tcW w:w="0" w:type="auto"/>
            <w:shd w:val="clear" w:color="auto" w:fill="auto"/>
          </w:tcPr>
          <w:p w14:paraId="00BAD80F" w14:textId="77777777" w:rsidR="00871BDF" w:rsidRDefault="00871BDF">
            <w:pPr>
              <w:rPr>
                <w:rFonts w:ascii="宋体"/>
              </w:rPr>
            </w:pPr>
          </w:p>
        </w:tc>
        <w:tc>
          <w:tcPr>
            <w:tcW w:w="0" w:type="auto"/>
            <w:shd w:val="clear" w:color="auto" w:fill="auto"/>
          </w:tcPr>
          <w:p w14:paraId="00BAD810" w14:textId="77777777" w:rsidR="00871BDF" w:rsidRDefault="00871BDF">
            <w:pPr>
              <w:rPr>
                <w:rFonts w:ascii="宋体"/>
              </w:rPr>
            </w:pPr>
          </w:p>
        </w:tc>
        <w:tc>
          <w:tcPr>
            <w:tcW w:w="0" w:type="auto"/>
            <w:shd w:val="clear" w:color="auto" w:fill="auto"/>
          </w:tcPr>
          <w:p w14:paraId="00BAD811" w14:textId="77777777" w:rsidR="00871BDF" w:rsidRDefault="00871BDF">
            <w:pPr>
              <w:rPr>
                <w:rFonts w:ascii="宋体"/>
              </w:rPr>
            </w:pPr>
          </w:p>
        </w:tc>
        <w:tc>
          <w:tcPr>
            <w:tcW w:w="0" w:type="auto"/>
            <w:shd w:val="clear" w:color="auto" w:fill="auto"/>
          </w:tcPr>
          <w:p w14:paraId="00BAD812" w14:textId="77777777" w:rsidR="00871BDF" w:rsidRDefault="00871BDF">
            <w:pPr>
              <w:rPr>
                <w:rFonts w:ascii="宋体"/>
              </w:rPr>
            </w:pPr>
          </w:p>
        </w:tc>
        <w:tc>
          <w:tcPr>
            <w:tcW w:w="0" w:type="auto"/>
            <w:shd w:val="clear" w:color="auto" w:fill="auto"/>
          </w:tcPr>
          <w:p w14:paraId="00BAD813" w14:textId="77777777" w:rsidR="00871BDF" w:rsidRDefault="00871BDF">
            <w:pPr>
              <w:rPr>
                <w:rFonts w:ascii="宋体"/>
              </w:rPr>
            </w:pPr>
          </w:p>
        </w:tc>
        <w:tc>
          <w:tcPr>
            <w:tcW w:w="0" w:type="auto"/>
            <w:shd w:val="clear" w:color="auto" w:fill="auto"/>
          </w:tcPr>
          <w:p w14:paraId="00BAD814" w14:textId="77777777" w:rsidR="00871BDF" w:rsidRDefault="00871BDF">
            <w:pPr>
              <w:rPr>
                <w:rFonts w:ascii="宋体"/>
              </w:rPr>
            </w:pPr>
          </w:p>
        </w:tc>
        <w:tc>
          <w:tcPr>
            <w:tcW w:w="0" w:type="auto"/>
            <w:shd w:val="clear" w:color="auto" w:fill="auto"/>
          </w:tcPr>
          <w:p w14:paraId="00BAD815" w14:textId="77777777" w:rsidR="00871BDF" w:rsidRDefault="00871BDF">
            <w:pPr>
              <w:rPr>
                <w:rFonts w:ascii="宋体"/>
              </w:rPr>
            </w:pPr>
          </w:p>
        </w:tc>
        <w:tc>
          <w:tcPr>
            <w:tcW w:w="0" w:type="auto"/>
            <w:shd w:val="clear" w:color="auto" w:fill="auto"/>
          </w:tcPr>
          <w:p w14:paraId="00BAD816" w14:textId="77777777" w:rsidR="00871BDF" w:rsidRDefault="00871BDF">
            <w:pPr>
              <w:rPr>
                <w:rFonts w:ascii="宋体"/>
              </w:rPr>
            </w:pPr>
          </w:p>
        </w:tc>
        <w:tc>
          <w:tcPr>
            <w:tcW w:w="0" w:type="auto"/>
            <w:shd w:val="clear" w:color="auto" w:fill="auto"/>
          </w:tcPr>
          <w:p w14:paraId="00BAD817" w14:textId="77777777" w:rsidR="00871BDF" w:rsidRDefault="00871BDF">
            <w:pPr>
              <w:rPr>
                <w:rFonts w:ascii="宋体"/>
              </w:rPr>
            </w:pPr>
          </w:p>
        </w:tc>
        <w:tc>
          <w:tcPr>
            <w:tcW w:w="0" w:type="auto"/>
            <w:shd w:val="clear" w:color="auto" w:fill="auto"/>
          </w:tcPr>
          <w:p w14:paraId="00BAD818" w14:textId="77777777" w:rsidR="00871BDF" w:rsidRDefault="00871BDF">
            <w:pPr>
              <w:rPr>
                <w:rFonts w:ascii="宋体"/>
              </w:rPr>
            </w:pPr>
          </w:p>
        </w:tc>
        <w:tc>
          <w:tcPr>
            <w:tcW w:w="0" w:type="auto"/>
            <w:shd w:val="clear" w:color="auto" w:fill="auto"/>
          </w:tcPr>
          <w:p w14:paraId="00BAD819" w14:textId="77777777" w:rsidR="00871BDF" w:rsidRDefault="00871BDF">
            <w:pPr>
              <w:rPr>
                <w:rFonts w:ascii="宋体"/>
              </w:rPr>
            </w:pPr>
          </w:p>
        </w:tc>
        <w:tc>
          <w:tcPr>
            <w:tcW w:w="0" w:type="auto"/>
            <w:shd w:val="clear" w:color="auto" w:fill="auto"/>
          </w:tcPr>
          <w:p w14:paraId="00BAD81A" w14:textId="77777777" w:rsidR="00871BDF" w:rsidRDefault="00871BDF">
            <w:pPr>
              <w:rPr>
                <w:rFonts w:ascii="宋体"/>
              </w:rPr>
            </w:pPr>
          </w:p>
        </w:tc>
        <w:tc>
          <w:tcPr>
            <w:tcW w:w="0" w:type="auto"/>
            <w:shd w:val="clear" w:color="auto" w:fill="auto"/>
          </w:tcPr>
          <w:p w14:paraId="00BAD81B" w14:textId="77777777" w:rsidR="00871BDF" w:rsidRDefault="00871BDF">
            <w:pPr>
              <w:rPr>
                <w:rFonts w:ascii="宋体"/>
              </w:rPr>
            </w:pPr>
          </w:p>
        </w:tc>
        <w:tc>
          <w:tcPr>
            <w:tcW w:w="0" w:type="auto"/>
            <w:shd w:val="clear" w:color="auto" w:fill="auto"/>
          </w:tcPr>
          <w:p w14:paraId="00BAD81C" w14:textId="77777777" w:rsidR="00871BDF" w:rsidRDefault="00871BDF">
            <w:pPr>
              <w:rPr>
                <w:rFonts w:ascii="宋体"/>
              </w:rPr>
            </w:pPr>
          </w:p>
        </w:tc>
        <w:tc>
          <w:tcPr>
            <w:tcW w:w="0" w:type="auto"/>
            <w:shd w:val="clear" w:color="auto" w:fill="auto"/>
          </w:tcPr>
          <w:p w14:paraId="00BAD81D" w14:textId="77777777" w:rsidR="00871BDF" w:rsidRDefault="00871BDF">
            <w:pPr>
              <w:rPr>
                <w:rFonts w:ascii="宋体"/>
              </w:rPr>
            </w:pPr>
          </w:p>
        </w:tc>
        <w:tc>
          <w:tcPr>
            <w:tcW w:w="0" w:type="auto"/>
            <w:shd w:val="clear" w:color="auto" w:fill="auto"/>
          </w:tcPr>
          <w:p w14:paraId="00BAD81E" w14:textId="77777777" w:rsidR="00871BDF" w:rsidRDefault="00871BDF">
            <w:pPr>
              <w:rPr>
                <w:rFonts w:ascii="宋体"/>
              </w:rPr>
            </w:pPr>
          </w:p>
        </w:tc>
        <w:tc>
          <w:tcPr>
            <w:tcW w:w="0" w:type="auto"/>
            <w:shd w:val="clear" w:color="auto" w:fill="auto"/>
          </w:tcPr>
          <w:p w14:paraId="00BAD81F" w14:textId="77777777" w:rsidR="00871BDF" w:rsidRDefault="00871BDF">
            <w:pPr>
              <w:rPr>
                <w:rFonts w:ascii="宋体"/>
              </w:rPr>
            </w:pPr>
          </w:p>
        </w:tc>
      </w:tr>
      <w:tr w:rsidR="00871BDF" w14:paraId="00BAD84E" w14:textId="77777777">
        <w:trPr>
          <w:jc w:val="center"/>
        </w:trPr>
        <w:tc>
          <w:tcPr>
            <w:tcW w:w="0" w:type="auto"/>
            <w:gridSpan w:val="3"/>
            <w:shd w:val="clear" w:color="auto" w:fill="FFFFFF"/>
            <w:tcMar>
              <w:top w:w="40" w:type="dxa"/>
              <w:left w:w="20" w:type="dxa"/>
              <w:bottom w:w="40" w:type="dxa"/>
              <w:right w:w="20" w:type="dxa"/>
            </w:tcMar>
            <w:vAlign w:val="bottom"/>
          </w:tcPr>
          <w:p w14:paraId="00BAD821" w14:textId="77777777" w:rsidR="00871BDF" w:rsidRDefault="005C5088">
            <w:pPr>
              <w:textAlignment w:val="bottom"/>
            </w:pPr>
            <w:r>
              <w:rPr>
                <w:rFonts w:ascii="Times New Roman" w:eastAsia="宋体" w:hAnsi="Times New Roman"/>
                <w:color w:val="000000"/>
                <w:sz w:val="20"/>
                <w:szCs w:val="20"/>
              </w:rPr>
              <w:t>Tot</w:t>
            </w:r>
            <w:r>
              <w:rPr>
                <w:rFonts w:ascii="Times New Roman" w:eastAsia="宋体" w:hAnsi="Times New Roman"/>
                <w:color w:val="000000"/>
                <w:sz w:val="20"/>
                <w:szCs w:val="20"/>
              </w:rPr>
              <w: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D822" w14:textId="77777777" w:rsidR="00871BDF" w:rsidRDefault="005C5088">
            <w:pPr>
              <w:jc w:val="right"/>
              <w:textAlignment w:val="bottom"/>
            </w:pPr>
            <w:r>
              <w:rPr>
                <w:rFonts w:ascii="Times New Roman" w:eastAsia="宋体" w:hAnsi="Times New Roman"/>
                <w:color w:val="000000"/>
                <w:sz w:val="20"/>
                <w:szCs w:val="20"/>
              </w:rPr>
              <w:t>32,660 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D82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824"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D825" w14:textId="77777777" w:rsidR="00871BDF" w:rsidRDefault="005C5088">
            <w:pPr>
              <w:jc w:val="right"/>
              <w:textAlignment w:val="bottom"/>
            </w:pPr>
            <w:r>
              <w:rPr>
                <w:rFonts w:ascii="Times New Roman" w:eastAsia="宋体" w:hAnsi="Times New Roman"/>
                <w:color w:val="000000"/>
                <w:sz w:val="20"/>
                <w:szCs w:val="20"/>
              </w:rPr>
              <w:t>31,256 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D82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827"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D828" w14:textId="77777777" w:rsidR="00871BDF" w:rsidRDefault="005C5088">
            <w:pPr>
              <w:jc w:val="right"/>
              <w:textAlignment w:val="bottom"/>
            </w:pPr>
            <w:r>
              <w:rPr>
                <w:rFonts w:ascii="Times New Roman" w:eastAsia="宋体" w:hAnsi="Times New Roman"/>
                <w:color w:val="000000"/>
                <w:sz w:val="20"/>
                <w:szCs w:val="20"/>
              </w:rPr>
              <w:t>29,324 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D82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82A"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D82B" w14:textId="77777777" w:rsidR="00871BDF" w:rsidRDefault="005C5088">
            <w:pPr>
              <w:jc w:val="right"/>
              <w:textAlignment w:val="bottom"/>
            </w:pPr>
            <w:r>
              <w:rPr>
                <w:rFonts w:ascii="Times New Roman" w:eastAsia="宋体" w:hAnsi="Times New Roman"/>
                <w:color w:val="000000"/>
                <w:sz w:val="20"/>
                <w:szCs w:val="20"/>
              </w:rPr>
              <w:t>27,339 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D82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82D"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D82E" w14:textId="77777777" w:rsidR="00871BDF" w:rsidRDefault="005C5088">
            <w:pPr>
              <w:jc w:val="right"/>
              <w:textAlignment w:val="bottom"/>
            </w:pPr>
            <w:r>
              <w:rPr>
                <w:rFonts w:ascii="Times New Roman" w:eastAsia="宋体" w:hAnsi="Times New Roman"/>
                <w:color w:val="000000"/>
                <w:sz w:val="20"/>
                <w:szCs w:val="20"/>
              </w:rPr>
              <w:t>25,085 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D82F" w14:textId="77777777" w:rsidR="00871BDF" w:rsidRDefault="00871BDF">
            <w:pPr>
              <w:jc w:val="right"/>
              <w:rPr>
                <w:rFonts w:ascii="宋体"/>
              </w:rPr>
            </w:pPr>
          </w:p>
        </w:tc>
        <w:tc>
          <w:tcPr>
            <w:tcW w:w="0" w:type="auto"/>
            <w:shd w:val="clear" w:color="auto" w:fill="auto"/>
          </w:tcPr>
          <w:p w14:paraId="00BAD830" w14:textId="77777777" w:rsidR="00871BDF" w:rsidRDefault="00871BDF">
            <w:pPr>
              <w:rPr>
                <w:rFonts w:ascii="宋体"/>
              </w:rPr>
            </w:pPr>
          </w:p>
        </w:tc>
        <w:tc>
          <w:tcPr>
            <w:tcW w:w="0" w:type="auto"/>
            <w:shd w:val="clear" w:color="auto" w:fill="auto"/>
          </w:tcPr>
          <w:p w14:paraId="00BAD831" w14:textId="77777777" w:rsidR="00871BDF" w:rsidRDefault="00871BDF">
            <w:pPr>
              <w:rPr>
                <w:rFonts w:ascii="宋体"/>
              </w:rPr>
            </w:pPr>
          </w:p>
        </w:tc>
        <w:tc>
          <w:tcPr>
            <w:tcW w:w="0" w:type="auto"/>
            <w:shd w:val="clear" w:color="auto" w:fill="auto"/>
          </w:tcPr>
          <w:p w14:paraId="00BAD832" w14:textId="77777777" w:rsidR="00871BDF" w:rsidRDefault="00871BDF">
            <w:pPr>
              <w:rPr>
                <w:rFonts w:ascii="宋体"/>
              </w:rPr>
            </w:pPr>
          </w:p>
        </w:tc>
        <w:tc>
          <w:tcPr>
            <w:tcW w:w="0" w:type="auto"/>
            <w:shd w:val="clear" w:color="auto" w:fill="auto"/>
          </w:tcPr>
          <w:p w14:paraId="00BAD833" w14:textId="77777777" w:rsidR="00871BDF" w:rsidRDefault="00871BDF">
            <w:pPr>
              <w:rPr>
                <w:rFonts w:ascii="宋体"/>
              </w:rPr>
            </w:pPr>
          </w:p>
        </w:tc>
        <w:tc>
          <w:tcPr>
            <w:tcW w:w="0" w:type="auto"/>
            <w:shd w:val="clear" w:color="auto" w:fill="auto"/>
          </w:tcPr>
          <w:p w14:paraId="00BAD834" w14:textId="77777777" w:rsidR="00871BDF" w:rsidRDefault="00871BDF">
            <w:pPr>
              <w:rPr>
                <w:rFonts w:ascii="宋体"/>
              </w:rPr>
            </w:pPr>
          </w:p>
        </w:tc>
        <w:tc>
          <w:tcPr>
            <w:tcW w:w="0" w:type="auto"/>
            <w:shd w:val="clear" w:color="auto" w:fill="auto"/>
          </w:tcPr>
          <w:p w14:paraId="00BAD835" w14:textId="77777777" w:rsidR="00871BDF" w:rsidRDefault="00871BDF">
            <w:pPr>
              <w:rPr>
                <w:rFonts w:ascii="宋体"/>
              </w:rPr>
            </w:pPr>
          </w:p>
        </w:tc>
        <w:tc>
          <w:tcPr>
            <w:tcW w:w="0" w:type="auto"/>
            <w:shd w:val="clear" w:color="auto" w:fill="auto"/>
          </w:tcPr>
          <w:p w14:paraId="00BAD836" w14:textId="77777777" w:rsidR="00871BDF" w:rsidRDefault="00871BDF">
            <w:pPr>
              <w:rPr>
                <w:rFonts w:ascii="宋体"/>
              </w:rPr>
            </w:pPr>
          </w:p>
        </w:tc>
        <w:tc>
          <w:tcPr>
            <w:tcW w:w="0" w:type="auto"/>
            <w:shd w:val="clear" w:color="auto" w:fill="auto"/>
          </w:tcPr>
          <w:p w14:paraId="00BAD837" w14:textId="77777777" w:rsidR="00871BDF" w:rsidRDefault="00871BDF">
            <w:pPr>
              <w:rPr>
                <w:rFonts w:ascii="宋体"/>
              </w:rPr>
            </w:pPr>
          </w:p>
        </w:tc>
        <w:tc>
          <w:tcPr>
            <w:tcW w:w="0" w:type="auto"/>
            <w:shd w:val="clear" w:color="auto" w:fill="auto"/>
          </w:tcPr>
          <w:p w14:paraId="00BAD838" w14:textId="77777777" w:rsidR="00871BDF" w:rsidRDefault="00871BDF">
            <w:pPr>
              <w:rPr>
                <w:rFonts w:ascii="宋体"/>
              </w:rPr>
            </w:pPr>
          </w:p>
        </w:tc>
        <w:tc>
          <w:tcPr>
            <w:tcW w:w="0" w:type="auto"/>
            <w:shd w:val="clear" w:color="auto" w:fill="auto"/>
          </w:tcPr>
          <w:p w14:paraId="00BAD839" w14:textId="77777777" w:rsidR="00871BDF" w:rsidRDefault="00871BDF">
            <w:pPr>
              <w:rPr>
                <w:rFonts w:ascii="宋体"/>
              </w:rPr>
            </w:pPr>
          </w:p>
        </w:tc>
        <w:tc>
          <w:tcPr>
            <w:tcW w:w="0" w:type="auto"/>
            <w:shd w:val="clear" w:color="auto" w:fill="auto"/>
          </w:tcPr>
          <w:p w14:paraId="00BAD83A" w14:textId="77777777" w:rsidR="00871BDF" w:rsidRDefault="00871BDF">
            <w:pPr>
              <w:rPr>
                <w:rFonts w:ascii="宋体"/>
              </w:rPr>
            </w:pPr>
          </w:p>
        </w:tc>
        <w:tc>
          <w:tcPr>
            <w:tcW w:w="0" w:type="auto"/>
            <w:shd w:val="clear" w:color="auto" w:fill="auto"/>
          </w:tcPr>
          <w:p w14:paraId="00BAD83B" w14:textId="77777777" w:rsidR="00871BDF" w:rsidRDefault="00871BDF">
            <w:pPr>
              <w:rPr>
                <w:rFonts w:ascii="宋体"/>
              </w:rPr>
            </w:pPr>
          </w:p>
        </w:tc>
        <w:tc>
          <w:tcPr>
            <w:tcW w:w="0" w:type="auto"/>
            <w:shd w:val="clear" w:color="auto" w:fill="auto"/>
          </w:tcPr>
          <w:p w14:paraId="00BAD83C" w14:textId="77777777" w:rsidR="00871BDF" w:rsidRDefault="00871BDF">
            <w:pPr>
              <w:rPr>
                <w:rFonts w:ascii="宋体"/>
              </w:rPr>
            </w:pPr>
          </w:p>
        </w:tc>
        <w:tc>
          <w:tcPr>
            <w:tcW w:w="0" w:type="auto"/>
            <w:shd w:val="clear" w:color="auto" w:fill="auto"/>
          </w:tcPr>
          <w:p w14:paraId="00BAD83D" w14:textId="77777777" w:rsidR="00871BDF" w:rsidRDefault="00871BDF">
            <w:pPr>
              <w:rPr>
                <w:rFonts w:ascii="宋体"/>
              </w:rPr>
            </w:pPr>
          </w:p>
        </w:tc>
        <w:tc>
          <w:tcPr>
            <w:tcW w:w="0" w:type="auto"/>
            <w:shd w:val="clear" w:color="auto" w:fill="auto"/>
          </w:tcPr>
          <w:p w14:paraId="00BAD83E" w14:textId="77777777" w:rsidR="00871BDF" w:rsidRDefault="00871BDF">
            <w:pPr>
              <w:rPr>
                <w:rFonts w:ascii="宋体"/>
              </w:rPr>
            </w:pPr>
          </w:p>
        </w:tc>
        <w:tc>
          <w:tcPr>
            <w:tcW w:w="0" w:type="auto"/>
            <w:shd w:val="clear" w:color="auto" w:fill="auto"/>
          </w:tcPr>
          <w:p w14:paraId="00BAD83F" w14:textId="77777777" w:rsidR="00871BDF" w:rsidRDefault="00871BDF">
            <w:pPr>
              <w:rPr>
                <w:rFonts w:ascii="宋体"/>
              </w:rPr>
            </w:pPr>
          </w:p>
        </w:tc>
        <w:tc>
          <w:tcPr>
            <w:tcW w:w="0" w:type="auto"/>
            <w:shd w:val="clear" w:color="auto" w:fill="auto"/>
          </w:tcPr>
          <w:p w14:paraId="00BAD840" w14:textId="77777777" w:rsidR="00871BDF" w:rsidRDefault="00871BDF">
            <w:pPr>
              <w:rPr>
                <w:rFonts w:ascii="宋体"/>
              </w:rPr>
            </w:pPr>
          </w:p>
        </w:tc>
        <w:tc>
          <w:tcPr>
            <w:tcW w:w="0" w:type="auto"/>
            <w:shd w:val="clear" w:color="auto" w:fill="auto"/>
          </w:tcPr>
          <w:p w14:paraId="00BAD841" w14:textId="77777777" w:rsidR="00871BDF" w:rsidRDefault="00871BDF">
            <w:pPr>
              <w:rPr>
                <w:rFonts w:ascii="宋体"/>
              </w:rPr>
            </w:pPr>
          </w:p>
        </w:tc>
        <w:tc>
          <w:tcPr>
            <w:tcW w:w="0" w:type="auto"/>
            <w:shd w:val="clear" w:color="auto" w:fill="auto"/>
          </w:tcPr>
          <w:p w14:paraId="00BAD842" w14:textId="77777777" w:rsidR="00871BDF" w:rsidRDefault="00871BDF">
            <w:pPr>
              <w:rPr>
                <w:rFonts w:ascii="宋体"/>
              </w:rPr>
            </w:pPr>
          </w:p>
        </w:tc>
        <w:tc>
          <w:tcPr>
            <w:tcW w:w="0" w:type="auto"/>
            <w:shd w:val="clear" w:color="auto" w:fill="auto"/>
          </w:tcPr>
          <w:p w14:paraId="00BAD843" w14:textId="77777777" w:rsidR="00871BDF" w:rsidRDefault="00871BDF">
            <w:pPr>
              <w:rPr>
                <w:rFonts w:ascii="宋体"/>
              </w:rPr>
            </w:pPr>
          </w:p>
        </w:tc>
        <w:tc>
          <w:tcPr>
            <w:tcW w:w="0" w:type="auto"/>
            <w:shd w:val="clear" w:color="auto" w:fill="auto"/>
          </w:tcPr>
          <w:p w14:paraId="00BAD844" w14:textId="77777777" w:rsidR="00871BDF" w:rsidRDefault="00871BDF">
            <w:pPr>
              <w:rPr>
                <w:rFonts w:ascii="宋体"/>
              </w:rPr>
            </w:pPr>
          </w:p>
        </w:tc>
        <w:tc>
          <w:tcPr>
            <w:tcW w:w="0" w:type="auto"/>
            <w:shd w:val="clear" w:color="auto" w:fill="auto"/>
          </w:tcPr>
          <w:p w14:paraId="00BAD845" w14:textId="77777777" w:rsidR="00871BDF" w:rsidRDefault="00871BDF">
            <w:pPr>
              <w:rPr>
                <w:rFonts w:ascii="宋体"/>
              </w:rPr>
            </w:pPr>
          </w:p>
        </w:tc>
        <w:tc>
          <w:tcPr>
            <w:tcW w:w="0" w:type="auto"/>
            <w:shd w:val="clear" w:color="auto" w:fill="auto"/>
          </w:tcPr>
          <w:p w14:paraId="00BAD846" w14:textId="77777777" w:rsidR="00871BDF" w:rsidRDefault="00871BDF">
            <w:pPr>
              <w:rPr>
                <w:rFonts w:ascii="宋体"/>
              </w:rPr>
            </w:pPr>
          </w:p>
        </w:tc>
        <w:tc>
          <w:tcPr>
            <w:tcW w:w="0" w:type="auto"/>
            <w:shd w:val="clear" w:color="auto" w:fill="auto"/>
          </w:tcPr>
          <w:p w14:paraId="00BAD847" w14:textId="77777777" w:rsidR="00871BDF" w:rsidRDefault="00871BDF">
            <w:pPr>
              <w:rPr>
                <w:rFonts w:ascii="宋体"/>
              </w:rPr>
            </w:pPr>
          </w:p>
        </w:tc>
        <w:tc>
          <w:tcPr>
            <w:tcW w:w="0" w:type="auto"/>
            <w:shd w:val="clear" w:color="auto" w:fill="auto"/>
          </w:tcPr>
          <w:p w14:paraId="00BAD848" w14:textId="77777777" w:rsidR="00871BDF" w:rsidRDefault="00871BDF">
            <w:pPr>
              <w:rPr>
                <w:rFonts w:ascii="宋体"/>
              </w:rPr>
            </w:pPr>
          </w:p>
        </w:tc>
        <w:tc>
          <w:tcPr>
            <w:tcW w:w="0" w:type="auto"/>
            <w:shd w:val="clear" w:color="auto" w:fill="auto"/>
          </w:tcPr>
          <w:p w14:paraId="00BAD849" w14:textId="77777777" w:rsidR="00871BDF" w:rsidRDefault="00871BDF">
            <w:pPr>
              <w:rPr>
                <w:rFonts w:ascii="宋体"/>
              </w:rPr>
            </w:pPr>
          </w:p>
        </w:tc>
        <w:tc>
          <w:tcPr>
            <w:tcW w:w="0" w:type="auto"/>
            <w:shd w:val="clear" w:color="auto" w:fill="auto"/>
          </w:tcPr>
          <w:p w14:paraId="00BAD84A" w14:textId="77777777" w:rsidR="00871BDF" w:rsidRDefault="00871BDF">
            <w:pPr>
              <w:rPr>
                <w:rFonts w:ascii="宋体"/>
              </w:rPr>
            </w:pPr>
          </w:p>
        </w:tc>
        <w:tc>
          <w:tcPr>
            <w:tcW w:w="0" w:type="auto"/>
            <w:shd w:val="clear" w:color="auto" w:fill="auto"/>
          </w:tcPr>
          <w:p w14:paraId="00BAD84B" w14:textId="77777777" w:rsidR="00871BDF" w:rsidRDefault="00871BDF">
            <w:pPr>
              <w:rPr>
                <w:rFonts w:ascii="宋体"/>
              </w:rPr>
            </w:pPr>
          </w:p>
        </w:tc>
        <w:tc>
          <w:tcPr>
            <w:tcW w:w="0" w:type="auto"/>
            <w:shd w:val="clear" w:color="auto" w:fill="auto"/>
          </w:tcPr>
          <w:p w14:paraId="00BAD84C" w14:textId="77777777" w:rsidR="00871BDF" w:rsidRDefault="00871BDF">
            <w:pPr>
              <w:rPr>
                <w:rFonts w:ascii="宋体"/>
              </w:rPr>
            </w:pPr>
          </w:p>
        </w:tc>
        <w:tc>
          <w:tcPr>
            <w:tcW w:w="0" w:type="auto"/>
            <w:shd w:val="clear" w:color="auto" w:fill="auto"/>
          </w:tcPr>
          <w:p w14:paraId="00BAD84D" w14:textId="77777777" w:rsidR="00871BDF" w:rsidRDefault="00871BDF">
            <w:pPr>
              <w:rPr>
                <w:rFonts w:ascii="宋体"/>
              </w:rPr>
            </w:pPr>
          </w:p>
        </w:tc>
      </w:tr>
    </w:tbl>
    <w:p w14:paraId="00BAD84F" w14:textId="77777777" w:rsidR="00871BDF" w:rsidRDefault="005C5088">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Americas store data includes the transfer of 112 company-operated retail stores in Brazil to licensed stores as a result of the sale of our Brazil retail operations in the second quarter of f</w:t>
      </w:r>
      <w:r>
        <w:rPr>
          <w:rFonts w:ascii="Times New Roman" w:eastAsia="宋体" w:hAnsi="Times New Roman"/>
          <w:color w:val="000000"/>
          <w:sz w:val="20"/>
          <w:szCs w:val="20"/>
        </w:rPr>
        <w:t xml:space="preserve">iscal 2018. </w:t>
      </w:r>
    </w:p>
    <w:p w14:paraId="00BAD850" w14:textId="77777777" w:rsidR="00871BDF" w:rsidRDefault="005C5088">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International store data includes in fiscal 2019 the transfer of 82 company-operated stores in France and the Netherlands to licensed stores as a result of the sales of operations in the second quarter and the transfer of 377 company-operat</w:t>
      </w:r>
      <w:r>
        <w:rPr>
          <w:rFonts w:ascii="Times New Roman" w:eastAsia="宋体" w:hAnsi="Times New Roman"/>
          <w:color w:val="000000"/>
          <w:sz w:val="20"/>
          <w:szCs w:val="20"/>
        </w:rPr>
        <w:t>ed stores in Thailand to licensed stores as a result of the sale of operations late in the third quarter. Additionally, store data includes the transfer of 1,477 licensed stores in East China to company-operated retail stores as a result of the purchase of</w:t>
      </w:r>
      <w:r>
        <w:rPr>
          <w:rFonts w:ascii="Times New Roman" w:eastAsia="宋体" w:hAnsi="Times New Roman"/>
          <w:color w:val="000000"/>
          <w:sz w:val="20"/>
          <w:szCs w:val="20"/>
        </w:rPr>
        <w:t xml:space="preserve"> our East China joint venture in the first quarter of fiscal 2018, the transfer of 133 Singapore stores from company-operated stores to licensed stores in fiscal 2017 and the transfer of 144 Germany company-operated stores to licensed stores in fiscal 2016</w:t>
      </w:r>
      <w:r>
        <w:rPr>
          <w:rFonts w:ascii="Times New Roman" w:eastAsia="宋体" w:hAnsi="Times New Roman"/>
          <w:color w:val="000000"/>
          <w:sz w:val="20"/>
          <w:szCs w:val="20"/>
        </w:rPr>
        <w:t>.</w:t>
      </w:r>
    </w:p>
    <w:p w14:paraId="00BAD851" w14:textId="77777777" w:rsidR="00871BDF" w:rsidRDefault="005C5088">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Corporate and Other store data includes the closure of 313 Teavana retail stores in fiscal 2018 and 12 Teavana retail stores in the first quarter of fiscal 2019.</w:t>
      </w:r>
    </w:p>
    <w:p w14:paraId="00BAD852" w14:textId="77777777" w:rsidR="00871BDF" w:rsidRDefault="005C5088">
      <w:pPr>
        <w:jc w:val="center"/>
      </w:pPr>
      <w:r>
        <w:rPr>
          <w:rFonts w:ascii="Times New Roman" w:eastAsia="宋体" w:hAnsi="Times New Roman"/>
          <w:color w:val="000000"/>
          <w:sz w:val="20"/>
          <w:szCs w:val="20"/>
        </w:rPr>
        <w:t>24</w:t>
      </w:r>
    </w:p>
    <w:p w14:paraId="00BAD853" w14:textId="77777777" w:rsidR="00871BDF" w:rsidRDefault="005C5088">
      <w:r>
        <w:pict w14:anchorId="00BB147D">
          <v:rect id="_x0000_i1051" style="width:415.3pt;height:1.5pt" o:hralign="center" o:hrstd="t" o:hr="t" fillcolor="#a0a0a0" stroked="f"/>
        </w:pict>
      </w:r>
    </w:p>
    <w:p w14:paraId="00BAD854" w14:textId="77777777" w:rsidR="00871BDF" w:rsidRDefault="005C5088">
      <w:hyperlink r:id="rId86" w:anchor="i54ccc64cb5384be5a4849ef1cdef4dde_7" w:history="1">
        <w:r>
          <w:rPr>
            <w:rStyle w:val="a5"/>
            <w:rFonts w:ascii="Times New Roman" w:eastAsia="宋体" w:hAnsi="Times New Roman"/>
            <w:sz w:val="20"/>
            <w:szCs w:val="20"/>
          </w:rPr>
          <w:t>Table of Contents</w:t>
        </w:r>
      </w:hyperlink>
    </w:p>
    <w:p w14:paraId="00BAD855" w14:textId="77777777" w:rsidR="00871BDF" w:rsidRDefault="005C5088">
      <w:pPr>
        <w:spacing w:before="120"/>
        <w:ind w:hanging="720"/>
      </w:pPr>
      <w:r>
        <w:rPr>
          <w:rFonts w:ascii="Times New Roman" w:eastAsia="宋体" w:hAnsi="Times New Roman"/>
          <w:b/>
          <w:bCs/>
          <w:color w:val="00704A"/>
          <w:sz w:val="20"/>
          <w:szCs w:val="20"/>
        </w:rPr>
        <w:t>Item 7.</w:t>
      </w:r>
      <w:r>
        <w:rPr>
          <w:rFonts w:ascii="Times New Roman" w:eastAsia="宋体" w:hAnsi="Times New Roman"/>
          <w:b/>
          <w:bCs/>
          <w:i/>
          <w:iCs/>
          <w:color w:val="00704A"/>
          <w:sz w:val="20"/>
          <w:szCs w:val="20"/>
        </w:rPr>
        <w:t>Management’s Discussion and Analysis of Financial Condition and Results of Operations</w:t>
      </w:r>
    </w:p>
    <w:p w14:paraId="00BAD856" w14:textId="77777777" w:rsidR="00871BDF" w:rsidRDefault="005C5088">
      <w:pPr>
        <w:spacing w:before="120"/>
      </w:pPr>
      <w:r>
        <w:rPr>
          <w:rFonts w:ascii="Times New Roman" w:eastAsia="宋体" w:hAnsi="Times New Roman"/>
          <w:b/>
          <w:bCs/>
          <w:color w:val="000000"/>
          <w:sz w:val="20"/>
          <w:szCs w:val="20"/>
        </w:rPr>
        <w:t>General</w:t>
      </w:r>
    </w:p>
    <w:p w14:paraId="00BAD857" w14:textId="77777777" w:rsidR="00871BDF" w:rsidRDefault="005C5088">
      <w:pPr>
        <w:spacing w:before="120"/>
      </w:pPr>
      <w:r>
        <w:rPr>
          <w:rFonts w:ascii="Times New Roman" w:eastAsia="宋体" w:hAnsi="Times New Roman"/>
          <w:color w:val="000000"/>
          <w:sz w:val="20"/>
          <w:szCs w:val="20"/>
        </w:rPr>
        <w:t xml:space="preserve">Our fiscal year ends on the Sunday closest to </w:t>
      </w:r>
      <w:r>
        <w:rPr>
          <w:rFonts w:ascii="Times New Roman" w:eastAsia="宋体" w:hAnsi="Times New Roman"/>
          <w:color w:val="000000"/>
          <w:sz w:val="20"/>
          <w:szCs w:val="20"/>
        </w:rPr>
        <w:t>September 30. All references to store counts, including data for new store openings, are reported net of related store closures, unless otherwise noted.</w:t>
      </w:r>
    </w:p>
    <w:p w14:paraId="00BAD858" w14:textId="77777777" w:rsidR="00871BDF" w:rsidRDefault="005C5088">
      <w:pPr>
        <w:spacing w:before="120"/>
      </w:pPr>
      <w:r>
        <w:rPr>
          <w:rFonts w:ascii="Times New Roman" w:eastAsia="宋体" w:hAnsi="Times New Roman"/>
          <w:b/>
          <w:bCs/>
          <w:color w:val="000000"/>
          <w:sz w:val="20"/>
          <w:szCs w:val="20"/>
        </w:rPr>
        <w:t>Overview</w:t>
      </w:r>
    </w:p>
    <w:p w14:paraId="00BAD859" w14:textId="77777777" w:rsidR="00871BDF" w:rsidRDefault="005C5088">
      <w:pPr>
        <w:spacing w:before="120"/>
      </w:pPr>
      <w:r>
        <w:rPr>
          <w:rFonts w:ascii="Times New Roman" w:eastAsia="宋体" w:hAnsi="Times New Roman"/>
          <w:color w:val="000000"/>
          <w:sz w:val="20"/>
          <w:szCs w:val="20"/>
        </w:rPr>
        <w:t xml:space="preserve">Starbucks results for fiscal 2020 reflect the challenges our business faced with the </w:t>
      </w:r>
      <w:r>
        <w:rPr>
          <w:rFonts w:ascii="Times New Roman" w:eastAsia="宋体" w:hAnsi="Times New Roman"/>
          <w:color w:val="000000"/>
          <w:sz w:val="20"/>
          <w:szCs w:val="20"/>
        </w:rPr>
        <w:t xml:space="preserve">COVID-19 pandemic, which severely impacted our results, particularly during the second and third fiscal quarters. Consolidated revenues declined 11% to $23.5 billion in fiscal 2020 compared to $26.5 billion in fiscal 2019 driven by temporary closures of a </w:t>
      </w:r>
      <w:r>
        <w:rPr>
          <w:rFonts w:ascii="Times New Roman" w:eastAsia="宋体" w:hAnsi="Times New Roman"/>
          <w:color w:val="000000"/>
          <w:sz w:val="20"/>
          <w:szCs w:val="20"/>
        </w:rPr>
        <w:t xml:space="preserve">significant number of our company-operated and licensed stores, as well as modified business operations and reduced customer traffic. We gradually reopened our stores and, since then, have seen sequential improvements in comparable store sales in both our </w:t>
      </w:r>
      <w:r>
        <w:rPr>
          <w:rFonts w:ascii="Times New Roman" w:eastAsia="宋体" w:hAnsi="Times New Roman"/>
          <w:color w:val="000000"/>
          <w:sz w:val="20"/>
          <w:szCs w:val="20"/>
        </w:rPr>
        <w:t>Americas and International segments as transaction volumes continue to climb, reflecting the resilience of our business model and the strength of our brand.</w:t>
      </w:r>
    </w:p>
    <w:p w14:paraId="00BAD85A" w14:textId="77777777" w:rsidR="00871BDF" w:rsidRDefault="005C5088">
      <w:pPr>
        <w:spacing w:before="120"/>
      </w:pPr>
      <w:r>
        <w:rPr>
          <w:rFonts w:ascii="Times New Roman" w:eastAsia="宋体" w:hAnsi="Times New Roman"/>
          <w:color w:val="000000"/>
          <w:sz w:val="20"/>
          <w:szCs w:val="20"/>
        </w:rPr>
        <w:t>Comparable store sales for the Americas segment declined by 12% for fiscal 2020, primarily due to t</w:t>
      </w:r>
      <w:r>
        <w:rPr>
          <w:rFonts w:ascii="Times New Roman" w:eastAsia="宋体" w:hAnsi="Times New Roman"/>
          <w:color w:val="000000"/>
          <w:sz w:val="20"/>
          <w:szCs w:val="20"/>
        </w:rPr>
        <w:t>he temporary store closures, reduced customer traffic and shortened store hours. The most negative impacts occurred during the third quarter of fiscal 2020. Most company-operated and licensed stores were re-opened as of early May, and over 60% of company-o</w:t>
      </w:r>
      <w:r>
        <w:rPr>
          <w:rFonts w:ascii="Times New Roman" w:eastAsia="宋体" w:hAnsi="Times New Roman"/>
          <w:color w:val="000000"/>
          <w:sz w:val="20"/>
          <w:szCs w:val="20"/>
        </w:rPr>
        <w:t>perated stores in the U.S. provided limited seating by the end of the fiscal year. To help protect the health and welfare of our partners, we incurred incremental labor costs, including paying the wages and benefits to partners who were either unable or un</w:t>
      </w:r>
      <w:r>
        <w:rPr>
          <w:rFonts w:ascii="Times New Roman" w:eastAsia="宋体" w:hAnsi="Times New Roman"/>
          <w:color w:val="000000"/>
          <w:sz w:val="20"/>
          <w:szCs w:val="20"/>
        </w:rPr>
        <w:t>comfortable working from mid-March through May, a temporary wage increase for partners who continued working during this period and additional benefits to furloughed or separated partners resulting from reduced store hours. The incremental wages incurred w</w:t>
      </w:r>
      <w:r>
        <w:rPr>
          <w:rFonts w:ascii="Times New Roman" w:eastAsia="宋体" w:hAnsi="Times New Roman"/>
          <w:color w:val="000000"/>
          <w:sz w:val="20"/>
          <w:szCs w:val="20"/>
        </w:rPr>
        <w:t>ere partially offset by qualified tax credits provided by the Coronavirus Aid, Relief and Economic Security Act (“CARES Act”) and the Canada Emergency Wage Subsidy (“CEWS”). In June 2020, we announced a plan to optimize our North America store portfolio, p</w:t>
      </w:r>
      <w:r>
        <w:rPr>
          <w:rFonts w:ascii="Times New Roman" w:eastAsia="宋体" w:hAnsi="Times New Roman"/>
          <w:color w:val="000000"/>
          <w:sz w:val="20"/>
          <w:szCs w:val="20"/>
        </w:rPr>
        <w:t>rimarily in dense, metropolitan markets, by blending store formats to better cater to changing customer tastes and preferences. During the fourth quarter of fiscal 2020, we closed approximately 100 stores in the U.S. and Canada, and we expect to close an a</w:t>
      </w:r>
      <w:r>
        <w:rPr>
          <w:rFonts w:ascii="Times New Roman" w:eastAsia="宋体" w:hAnsi="Times New Roman"/>
          <w:color w:val="000000"/>
          <w:sz w:val="20"/>
          <w:szCs w:val="20"/>
        </w:rPr>
        <w:t>dditional 700 stores in those markets over the next 18 months. This reflects an additional 200 store closures than the initial announcement estimate of 600 stores. Costs incurred related to the restructuring efforts are recorded as restructuring and impair</w:t>
      </w:r>
      <w:r>
        <w:rPr>
          <w:rFonts w:ascii="Times New Roman" w:eastAsia="宋体" w:hAnsi="Times New Roman"/>
          <w:color w:val="000000"/>
          <w:sz w:val="20"/>
          <w:szCs w:val="20"/>
        </w:rPr>
        <w:t>ments on our consolidated statement of earnings and will continue to be recorded in accordance with the anticipated timeline of store closures.</w:t>
      </w:r>
    </w:p>
    <w:p w14:paraId="00BAD85B" w14:textId="77777777" w:rsidR="00871BDF" w:rsidRDefault="005C5088">
      <w:pPr>
        <w:spacing w:before="120"/>
      </w:pPr>
      <w:r>
        <w:rPr>
          <w:rFonts w:ascii="Times New Roman" w:eastAsia="宋体" w:hAnsi="Times New Roman"/>
          <w:color w:val="000000"/>
          <w:sz w:val="20"/>
          <w:szCs w:val="20"/>
        </w:rPr>
        <w:t>For the International segment, comparable store sales declined by 19% for fiscal 2020, mostly due to the 31% and</w:t>
      </w:r>
      <w:r>
        <w:rPr>
          <w:rFonts w:ascii="Times New Roman" w:eastAsia="宋体" w:hAnsi="Times New Roman"/>
          <w:color w:val="000000"/>
          <w:sz w:val="20"/>
          <w:szCs w:val="20"/>
        </w:rPr>
        <w:t xml:space="preserve"> 37% reduction in comparable store sales during the second and third fiscal quarters of 2020, respectively. Company-operated stores in the China market began re-opening in the fiscal second quarter, and nearly all company-operated stores were open by the e</w:t>
      </w:r>
      <w:r>
        <w:rPr>
          <w:rFonts w:ascii="Times New Roman" w:eastAsia="宋体" w:hAnsi="Times New Roman"/>
          <w:color w:val="000000"/>
          <w:sz w:val="20"/>
          <w:szCs w:val="20"/>
        </w:rPr>
        <w:t xml:space="preserve">nd of the fiscal third quarter. To support our international licensees in their recovery efforts, we extended more flexible development and financial terms, including waiving royalty payments during the fiscal third quarter. </w:t>
      </w:r>
    </w:p>
    <w:p w14:paraId="00BAD85C" w14:textId="77777777" w:rsidR="00871BDF" w:rsidRDefault="005C5088">
      <w:pPr>
        <w:spacing w:before="120"/>
      </w:pPr>
      <w:r>
        <w:rPr>
          <w:rFonts w:ascii="Times New Roman" w:eastAsia="宋体" w:hAnsi="Times New Roman"/>
          <w:color w:val="000000"/>
          <w:sz w:val="20"/>
          <w:szCs w:val="20"/>
        </w:rPr>
        <w:t>Revenue for our Channel Develo</w:t>
      </w:r>
      <w:r>
        <w:rPr>
          <w:rFonts w:ascii="Times New Roman" w:eastAsia="宋体" w:hAnsi="Times New Roman"/>
          <w:color w:val="000000"/>
          <w:sz w:val="20"/>
          <w:szCs w:val="20"/>
        </w:rPr>
        <w:t>pment segment declined $68 million, or 3%, when compared with fiscal 2019. This is largely due to the lapping of Global Coffee Alliance transition-related activities, including higher inventory sales in the prior year as Nestlé prepared to fulfill customer</w:t>
      </w:r>
      <w:r>
        <w:rPr>
          <w:rFonts w:ascii="Times New Roman" w:eastAsia="宋体" w:hAnsi="Times New Roman"/>
          <w:color w:val="000000"/>
          <w:sz w:val="20"/>
          <w:szCs w:val="20"/>
        </w:rPr>
        <w:t xml:space="preserve"> orders. These are partially offset by the continued growth of the Global Coffee Alliance during fiscal 2020.</w:t>
      </w:r>
    </w:p>
    <w:p w14:paraId="00BAD85D" w14:textId="77777777" w:rsidR="00871BDF" w:rsidRDefault="005C5088">
      <w:pPr>
        <w:spacing w:before="120"/>
      </w:pPr>
      <w:r>
        <w:rPr>
          <w:rFonts w:ascii="Times New Roman" w:eastAsia="宋体" w:hAnsi="Times New Roman"/>
          <w:color w:val="000000"/>
          <w:sz w:val="20"/>
          <w:szCs w:val="20"/>
        </w:rPr>
        <w:t xml:space="preserve">Throughout the second half of fiscal 2020, we experienced initial business recovery as our stores gradually reopened under modified operations to </w:t>
      </w:r>
      <w:r>
        <w:rPr>
          <w:rFonts w:ascii="Times New Roman" w:eastAsia="宋体" w:hAnsi="Times New Roman"/>
          <w:color w:val="000000"/>
          <w:sz w:val="20"/>
          <w:szCs w:val="20"/>
        </w:rPr>
        <w:t>meet public health guidelines and evolving customer behaviors and expectations. As of September 27, 2020, nearly all of our company-operated and licensed stores were re-opened. Those that have remained closed are located in travel or transportation hubs as</w:t>
      </w:r>
      <w:r>
        <w:rPr>
          <w:rFonts w:ascii="Times New Roman" w:eastAsia="宋体" w:hAnsi="Times New Roman"/>
          <w:color w:val="000000"/>
          <w:sz w:val="20"/>
          <w:szCs w:val="20"/>
        </w:rPr>
        <w:t xml:space="preserve"> well as central business districts. Our global business is recovering steadily, with China approaching comparable store sales recovery and the U.S. demonstrating continued upward momentum in sales and profitability. Our Channel Development segment continu</w:t>
      </w:r>
      <w:r>
        <w:rPr>
          <w:rFonts w:ascii="Times New Roman" w:eastAsia="宋体" w:hAnsi="Times New Roman"/>
          <w:color w:val="000000"/>
          <w:sz w:val="20"/>
          <w:szCs w:val="20"/>
        </w:rPr>
        <w:t>es to grow category share as customers adjust to their at-home routines. In fiscal 2021, we expect lower revenues for the segment as we transitioned our single-serve coffee business to a more royalty-based model. We do not expect the change to have a mater</w:t>
      </w:r>
      <w:r>
        <w:rPr>
          <w:rFonts w:ascii="Times New Roman" w:eastAsia="宋体" w:hAnsi="Times New Roman"/>
          <w:color w:val="000000"/>
          <w:sz w:val="20"/>
          <w:szCs w:val="20"/>
        </w:rPr>
        <w:t xml:space="preserve">ial impact on our earnings. However, the change is anticipated to have an accretive impact on operating margin for the segment. </w:t>
      </w:r>
    </w:p>
    <w:p w14:paraId="00BAD85E" w14:textId="77777777" w:rsidR="00871BDF" w:rsidRDefault="005C5088">
      <w:pPr>
        <w:spacing w:before="120"/>
      </w:pPr>
      <w:r>
        <w:rPr>
          <w:rFonts w:ascii="Times New Roman" w:eastAsia="宋体" w:hAnsi="Times New Roman"/>
          <w:color w:val="000000"/>
          <w:sz w:val="20"/>
          <w:szCs w:val="20"/>
        </w:rPr>
        <w:t>We continue to invest in technologies and innovations to elevate the customer and partner experience and to drive long-term gro</w:t>
      </w:r>
      <w:r>
        <w:rPr>
          <w:rFonts w:ascii="Times New Roman" w:eastAsia="宋体" w:hAnsi="Times New Roman"/>
          <w:color w:val="000000"/>
          <w:sz w:val="20"/>
          <w:szCs w:val="20"/>
        </w:rPr>
        <w:t xml:space="preserve">wth. By reimagining our store formats, we are moving swiftly to adapt to new customer behaviors. Absent significant COVID-19 relapses or global economic disruptions, and based on the current trend of our retail business recovery and our focused efforts to </w:t>
      </w:r>
      <w:r>
        <w:rPr>
          <w:rFonts w:ascii="Times New Roman" w:eastAsia="宋体" w:hAnsi="Times New Roman"/>
          <w:color w:val="000000"/>
          <w:sz w:val="20"/>
          <w:szCs w:val="20"/>
        </w:rPr>
        <w:t xml:space="preserve">expand contactless customer experiences, digital capabilities and beverage innovation, we believe we are well positioned to regain the positive business momentum we had demonstrated prior to the pandemic. </w:t>
      </w:r>
    </w:p>
    <w:p w14:paraId="00BAD85F" w14:textId="77777777" w:rsidR="00871BDF" w:rsidRDefault="005C5088">
      <w:pPr>
        <w:spacing w:before="120"/>
      </w:pPr>
      <w:r>
        <w:rPr>
          <w:rFonts w:ascii="Times New Roman" w:eastAsia="宋体" w:hAnsi="Times New Roman"/>
          <w:b/>
          <w:bCs/>
          <w:color w:val="000000"/>
          <w:sz w:val="20"/>
          <w:szCs w:val="20"/>
        </w:rPr>
        <w:t>Financial Highlights</w:t>
      </w:r>
    </w:p>
    <w:p w14:paraId="00BAD860" w14:textId="77777777" w:rsidR="00871BDF" w:rsidRDefault="005C5088">
      <w:pPr>
        <w:spacing w:before="120"/>
        <w:ind w:hanging="360"/>
      </w:pPr>
      <w:r>
        <w:rPr>
          <w:rFonts w:ascii="Times New Roman" w:eastAsia="宋体" w:hAnsi="Times New Roman"/>
          <w:color w:val="000000"/>
          <w:sz w:val="20"/>
          <w:szCs w:val="20"/>
        </w:rPr>
        <w:t>•Total net revenues decreased</w:t>
      </w:r>
      <w:r>
        <w:rPr>
          <w:rFonts w:ascii="Times New Roman" w:eastAsia="宋体" w:hAnsi="Times New Roman"/>
          <w:color w:val="000000"/>
          <w:sz w:val="20"/>
          <w:szCs w:val="20"/>
        </w:rPr>
        <w:t xml:space="preserve"> 11% to $23.5 billion in fiscal 2020 compared to $26.5 billion in fiscal 2019.</w:t>
      </w:r>
    </w:p>
    <w:p w14:paraId="00BAD861" w14:textId="77777777" w:rsidR="00871BDF" w:rsidRDefault="005C5088">
      <w:pPr>
        <w:jc w:val="center"/>
      </w:pPr>
      <w:r>
        <w:rPr>
          <w:rFonts w:ascii="Times New Roman" w:eastAsia="宋体" w:hAnsi="Times New Roman"/>
          <w:color w:val="000000"/>
          <w:sz w:val="20"/>
          <w:szCs w:val="20"/>
        </w:rPr>
        <w:t>25</w:t>
      </w:r>
    </w:p>
    <w:p w14:paraId="00BAD862" w14:textId="77777777" w:rsidR="00871BDF" w:rsidRDefault="005C5088">
      <w:r>
        <w:pict w14:anchorId="00BB147E">
          <v:rect id="_x0000_i1052" style="width:415.3pt;height:1.5pt" o:hralign="center" o:hrstd="t" o:hr="t" fillcolor="#a0a0a0" stroked="f"/>
        </w:pict>
      </w:r>
    </w:p>
    <w:p w14:paraId="00BAD863" w14:textId="77777777" w:rsidR="00871BDF" w:rsidRDefault="005C5088">
      <w:hyperlink r:id="rId87" w:anchor="i54ccc64cb5384be5a4849ef1cdef4dde_7" w:history="1">
        <w:r>
          <w:rPr>
            <w:rStyle w:val="a5"/>
            <w:rFonts w:ascii="Times New Roman" w:eastAsia="宋体" w:hAnsi="Times New Roman"/>
            <w:sz w:val="20"/>
            <w:szCs w:val="20"/>
          </w:rPr>
          <w:t>Table of Contents</w:t>
        </w:r>
      </w:hyperlink>
    </w:p>
    <w:p w14:paraId="00BAD864" w14:textId="77777777" w:rsidR="00871BDF" w:rsidRDefault="005C5088">
      <w:pPr>
        <w:spacing w:before="120"/>
        <w:ind w:hanging="360"/>
      </w:pPr>
      <w:r>
        <w:rPr>
          <w:rFonts w:ascii="Times New Roman" w:eastAsia="宋体" w:hAnsi="Times New Roman"/>
          <w:color w:val="000000"/>
          <w:sz w:val="20"/>
          <w:szCs w:val="20"/>
        </w:rPr>
        <w:t>•</w:t>
      </w:r>
      <w:r>
        <w:rPr>
          <w:rFonts w:ascii="Times New Roman" w:eastAsia="宋体" w:hAnsi="Times New Roman"/>
          <w:color w:val="000000"/>
          <w:sz w:val="20"/>
          <w:szCs w:val="20"/>
        </w:rPr>
        <w:t>Consolidated operating income decreased to $1.6 billion in fiscal 2020 compared to operating income of $4.1 billion in fiscal 2019. Fiscal 2020 operating margin was 6.6% compared to 15.4% in fiscal 2019. Operating margin contraction was primarily driven by</w:t>
      </w:r>
      <w:r>
        <w:rPr>
          <w:rFonts w:ascii="Times New Roman" w:eastAsia="宋体" w:hAnsi="Times New Roman"/>
          <w:color w:val="000000"/>
          <w:sz w:val="20"/>
          <w:szCs w:val="20"/>
        </w:rPr>
        <w:t xml:space="preserve"> sales deleverage and additional costs incurred attributable to COVID-19, including catastrophe pay and enhanced pay programs for retail store partners, net of benefits provided by government subsidies. Higher restructuring activities related to our Americ</w:t>
      </w:r>
      <w:r>
        <w:rPr>
          <w:rFonts w:ascii="Times New Roman" w:eastAsia="宋体" w:hAnsi="Times New Roman"/>
          <w:color w:val="000000"/>
          <w:sz w:val="20"/>
          <w:szCs w:val="20"/>
        </w:rPr>
        <w:t xml:space="preserve">as store portfolio optimization and investments to support key business partners also contributed. These decreases were partially offset by sales leverage realized in the first quarter of fiscal 2020 prior to the onset of COVID-19 impacts and supply chain </w:t>
      </w:r>
      <w:r>
        <w:rPr>
          <w:rFonts w:ascii="Times New Roman" w:eastAsia="宋体" w:hAnsi="Times New Roman"/>
          <w:color w:val="000000"/>
          <w:sz w:val="20"/>
          <w:szCs w:val="20"/>
        </w:rPr>
        <w:t>efficiencies.</w:t>
      </w:r>
    </w:p>
    <w:p w14:paraId="00BAD865" w14:textId="77777777" w:rsidR="00871BDF" w:rsidRDefault="005C5088">
      <w:pPr>
        <w:spacing w:before="120"/>
        <w:ind w:hanging="360"/>
      </w:pPr>
      <w:r>
        <w:rPr>
          <w:rFonts w:ascii="Times New Roman" w:eastAsia="宋体" w:hAnsi="Times New Roman"/>
          <w:color w:val="000000"/>
          <w:sz w:val="20"/>
          <w:szCs w:val="20"/>
        </w:rPr>
        <w:t>•Earnings per share (“EPS”) for fiscal 2020 decreased to $0.79, compared to EPS of $2.92 in fiscal 2019. The decrease was primarily driven by the adverse impacts of COVID-19, including lower revenues due to temporary store closures, reduced c</w:t>
      </w:r>
      <w:r>
        <w:rPr>
          <w:rFonts w:ascii="Times New Roman" w:eastAsia="宋体" w:hAnsi="Times New Roman"/>
          <w:color w:val="000000"/>
          <w:sz w:val="20"/>
          <w:szCs w:val="20"/>
        </w:rPr>
        <w:t>ustomer traffic and modified operations, as well as incremental labor expenses and restructuring costs.</w:t>
      </w:r>
    </w:p>
    <w:p w14:paraId="00BAD866" w14:textId="77777777" w:rsidR="00871BDF" w:rsidRDefault="005C5088">
      <w:pPr>
        <w:spacing w:before="120"/>
        <w:ind w:hanging="360"/>
      </w:pPr>
      <w:r>
        <w:rPr>
          <w:rFonts w:ascii="Times New Roman" w:eastAsia="宋体" w:hAnsi="Times New Roman"/>
          <w:color w:val="000000"/>
          <w:sz w:val="20"/>
          <w:szCs w:val="20"/>
        </w:rPr>
        <w:t>•Capital expenditures were $1.5 billion in fiscal 2020 compared to $1.8 billion in fiscal 2019 primarily due to a pause in new store openings due to COV</w:t>
      </w:r>
      <w:r>
        <w:rPr>
          <w:rFonts w:ascii="Times New Roman" w:eastAsia="宋体" w:hAnsi="Times New Roman"/>
          <w:color w:val="000000"/>
          <w:sz w:val="20"/>
          <w:szCs w:val="20"/>
        </w:rPr>
        <w:t>ID-19.</w:t>
      </w:r>
    </w:p>
    <w:p w14:paraId="00BAD867" w14:textId="77777777" w:rsidR="00871BDF" w:rsidRDefault="005C5088">
      <w:pPr>
        <w:spacing w:before="120"/>
        <w:ind w:hanging="360"/>
      </w:pPr>
      <w:r>
        <w:rPr>
          <w:rFonts w:ascii="Times New Roman" w:eastAsia="宋体" w:hAnsi="Times New Roman"/>
          <w:color w:val="000000"/>
          <w:sz w:val="20"/>
          <w:szCs w:val="20"/>
        </w:rPr>
        <w:t>•We returned $3.6 billion to our shareholders in fiscal 2020 through share repurchases and dividends compared to $12.0 billion in fiscal 2019. We temporarily suspended our share repurchase program in March 2020.</w:t>
      </w:r>
    </w:p>
    <w:p w14:paraId="00BAD868" w14:textId="77777777" w:rsidR="00871BDF" w:rsidRDefault="005C5088">
      <w:pPr>
        <w:spacing w:before="120"/>
      </w:pPr>
      <w:r>
        <w:rPr>
          <w:rFonts w:ascii="Times New Roman" w:eastAsia="宋体" w:hAnsi="Times New Roman"/>
          <w:b/>
          <w:bCs/>
          <w:color w:val="000000"/>
          <w:sz w:val="20"/>
          <w:szCs w:val="20"/>
        </w:rPr>
        <w:t>Acquisitions and Divestitures</w:t>
      </w:r>
    </w:p>
    <w:p w14:paraId="00BAD869" w14:textId="77777777" w:rsidR="00871BDF" w:rsidRDefault="005C5088">
      <w:pPr>
        <w:spacing w:before="120"/>
      </w:pPr>
      <w:r>
        <w:rPr>
          <w:rFonts w:ascii="Times New Roman" w:eastAsia="宋体" w:hAnsi="Times New Roman"/>
          <w:color w:val="000000"/>
          <w:sz w:val="20"/>
          <w:szCs w:val="20"/>
        </w:rPr>
        <w:t xml:space="preserve">See </w:t>
      </w:r>
      <w:hyperlink r:id="rId88" w:anchor="i54ccc64cb5384be5a4849ef1cdef4dde_13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Acquisitions, Divestitures and Strategic Alliance, to the consolidated financial statements incl</w:t>
      </w:r>
      <w:r>
        <w:rPr>
          <w:rFonts w:ascii="Times New Roman" w:eastAsia="宋体" w:hAnsi="Times New Roman"/>
          <w:color w:val="000000"/>
          <w:sz w:val="20"/>
          <w:szCs w:val="20"/>
        </w:rPr>
        <w:t>uded in Item 8 of Part II of this 10-K for information regarding acquisitions and divestitures.</w:t>
      </w:r>
    </w:p>
    <w:p w14:paraId="00BAD86A" w14:textId="77777777" w:rsidR="00871BDF" w:rsidRDefault="005C5088">
      <w:pPr>
        <w:spacing w:before="120"/>
      </w:pPr>
      <w:r>
        <w:rPr>
          <w:rFonts w:ascii="Times New Roman" w:eastAsia="宋体" w:hAnsi="Times New Roman"/>
          <w:b/>
          <w:bCs/>
          <w:color w:val="000000"/>
          <w:sz w:val="20"/>
          <w:szCs w:val="20"/>
        </w:rPr>
        <w:t xml:space="preserve">RESULTS OF OPERATIONS — FISCAL 2020 COMPARED TO FISCAL 2019 </w:t>
      </w:r>
    </w:p>
    <w:p w14:paraId="00BAD86B" w14:textId="77777777" w:rsidR="00871BDF" w:rsidRDefault="005C5088">
      <w:pPr>
        <w:spacing w:before="120"/>
      </w:pPr>
      <w:r>
        <w:rPr>
          <w:rFonts w:ascii="Times New Roman" w:eastAsia="宋体" w:hAnsi="Times New Roman"/>
          <w:b/>
          <w:bCs/>
          <w:color w:val="000000"/>
          <w:sz w:val="20"/>
          <w:szCs w:val="20"/>
        </w:rPr>
        <w:t xml:space="preserve">Consolidated results of operations </w:t>
      </w:r>
      <w:r>
        <w:rPr>
          <w:rFonts w:ascii="Times New Roman" w:eastAsia="宋体" w:hAnsi="Times New Roman"/>
          <w:b/>
          <w:bCs/>
          <w:i/>
          <w:iCs/>
          <w:color w:val="000000"/>
          <w:sz w:val="20"/>
          <w:szCs w:val="20"/>
        </w:rPr>
        <w:t>(in millions)</w:t>
      </w:r>
      <w:r>
        <w:rPr>
          <w:rFonts w:ascii="Times New Roman" w:eastAsia="宋体" w:hAnsi="Times New Roman"/>
          <w:b/>
          <w:bCs/>
          <w:color w:val="000000"/>
          <w:sz w:val="20"/>
          <w:szCs w:val="20"/>
        </w:rPr>
        <w:t>:</w:t>
      </w:r>
    </w:p>
    <w:p w14:paraId="00BAD86C" w14:textId="77777777" w:rsidR="00871BDF" w:rsidRDefault="005C5088">
      <w:pPr>
        <w:spacing w:before="120"/>
      </w:pPr>
      <w:r>
        <w:rPr>
          <w:rFonts w:ascii="Times New Roman" w:eastAsia="宋体" w:hAnsi="Times New Roman"/>
          <w:color w:val="000000"/>
          <w:sz w:val="20"/>
          <w:szCs w:val="20"/>
          <w:u w:val="single"/>
        </w:rPr>
        <w:t>Revenues</w:t>
      </w:r>
    </w:p>
    <w:tbl>
      <w:tblPr>
        <w:tblW w:w="4993" w:type="pct"/>
        <w:tblCellMar>
          <w:top w:w="15" w:type="dxa"/>
          <w:left w:w="15" w:type="dxa"/>
          <w:bottom w:w="15" w:type="dxa"/>
          <w:right w:w="15" w:type="dxa"/>
        </w:tblCellMar>
        <w:tblLook w:val="04A0" w:firstRow="1" w:lastRow="0" w:firstColumn="1" w:lastColumn="0" w:noHBand="0" w:noVBand="1"/>
      </w:tblPr>
      <w:tblGrid>
        <w:gridCol w:w="39"/>
        <w:gridCol w:w="3978"/>
        <w:gridCol w:w="37"/>
        <w:gridCol w:w="120"/>
        <w:gridCol w:w="1200"/>
        <w:gridCol w:w="36"/>
        <w:gridCol w:w="36"/>
        <w:gridCol w:w="36"/>
        <w:gridCol w:w="36"/>
        <w:gridCol w:w="120"/>
        <w:gridCol w:w="1149"/>
        <w:gridCol w:w="36"/>
        <w:gridCol w:w="36"/>
        <w:gridCol w:w="36"/>
        <w:gridCol w:w="36"/>
        <w:gridCol w:w="37"/>
        <w:gridCol w:w="1136"/>
        <w:gridCol w:w="220"/>
      </w:tblGrid>
      <w:tr w:rsidR="00871BDF" w14:paraId="00BAD87F" w14:textId="77777777">
        <w:tc>
          <w:tcPr>
            <w:tcW w:w="50" w:type="pct"/>
            <w:shd w:val="clear" w:color="auto" w:fill="auto"/>
          </w:tcPr>
          <w:p w14:paraId="00BAD86D" w14:textId="77777777" w:rsidR="00871BDF" w:rsidRDefault="00871BDF">
            <w:pPr>
              <w:rPr>
                <w:rFonts w:ascii="宋体"/>
              </w:rPr>
            </w:pPr>
          </w:p>
        </w:tc>
        <w:tc>
          <w:tcPr>
            <w:tcW w:w="2434" w:type="pct"/>
            <w:shd w:val="clear" w:color="auto" w:fill="auto"/>
          </w:tcPr>
          <w:p w14:paraId="00BAD86E" w14:textId="77777777" w:rsidR="00871BDF" w:rsidRDefault="00871BDF">
            <w:pPr>
              <w:rPr>
                <w:rFonts w:ascii="宋体"/>
              </w:rPr>
            </w:pPr>
          </w:p>
        </w:tc>
        <w:tc>
          <w:tcPr>
            <w:tcW w:w="5" w:type="pct"/>
            <w:shd w:val="clear" w:color="auto" w:fill="auto"/>
          </w:tcPr>
          <w:p w14:paraId="00BAD86F" w14:textId="77777777" w:rsidR="00871BDF" w:rsidRDefault="00871BDF">
            <w:pPr>
              <w:rPr>
                <w:rFonts w:ascii="宋体"/>
              </w:rPr>
            </w:pPr>
          </w:p>
        </w:tc>
        <w:tc>
          <w:tcPr>
            <w:tcW w:w="50" w:type="pct"/>
            <w:shd w:val="clear" w:color="auto" w:fill="auto"/>
          </w:tcPr>
          <w:p w14:paraId="00BAD870" w14:textId="77777777" w:rsidR="00871BDF" w:rsidRDefault="00871BDF">
            <w:pPr>
              <w:rPr>
                <w:rFonts w:ascii="宋体"/>
              </w:rPr>
            </w:pPr>
          </w:p>
        </w:tc>
        <w:tc>
          <w:tcPr>
            <w:tcW w:w="757" w:type="pct"/>
            <w:shd w:val="clear" w:color="auto" w:fill="auto"/>
          </w:tcPr>
          <w:p w14:paraId="00BAD871" w14:textId="77777777" w:rsidR="00871BDF" w:rsidRDefault="00871BDF">
            <w:pPr>
              <w:rPr>
                <w:rFonts w:ascii="宋体"/>
              </w:rPr>
            </w:pPr>
          </w:p>
        </w:tc>
        <w:tc>
          <w:tcPr>
            <w:tcW w:w="5" w:type="pct"/>
            <w:shd w:val="clear" w:color="auto" w:fill="auto"/>
          </w:tcPr>
          <w:p w14:paraId="00BAD872" w14:textId="77777777" w:rsidR="00871BDF" w:rsidRDefault="00871BDF">
            <w:pPr>
              <w:rPr>
                <w:rFonts w:ascii="宋体"/>
              </w:rPr>
            </w:pPr>
          </w:p>
        </w:tc>
        <w:tc>
          <w:tcPr>
            <w:tcW w:w="5" w:type="pct"/>
            <w:shd w:val="clear" w:color="auto" w:fill="auto"/>
          </w:tcPr>
          <w:p w14:paraId="00BAD873" w14:textId="77777777" w:rsidR="00871BDF" w:rsidRDefault="00871BDF">
            <w:pPr>
              <w:rPr>
                <w:rFonts w:ascii="宋体"/>
              </w:rPr>
            </w:pPr>
          </w:p>
        </w:tc>
        <w:tc>
          <w:tcPr>
            <w:tcW w:w="26" w:type="pct"/>
            <w:shd w:val="clear" w:color="auto" w:fill="auto"/>
          </w:tcPr>
          <w:p w14:paraId="00BAD874" w14:textId="77777777" w:rsidR="00871BDF" w:rsidRDefault="00871BDF">
            <w:pPr>
              <w:rPr>
                <w:rFonts w:ascii="宋体"/>
              </w:rPr>
            </w:pPr>
          </w:p>
        </w:tc>
        <w:tc>
          <w:tcPr>
            <w:tcW w:w="5" w:type="pct"/>
            <w:shd w:val="clear" w:color="auto" w:fill="auto"/>
          </w:tcPr>
          <w:p w14:paraId="00BAD875" w14:textId="77777777" w:rsidR="00871BDF" w:rsidRDefault="00871BDF">
            <w:pPr>
              <w:rPr>
                <w:rFonts w:ascii="宋体"/>
              </w:rPr>
            </w:pPr>
          </w:p>
        </w:tc>
        <w:tc>
          <w:tcPr>
            <w:tcW w:w="50" w:type="pct"/>
            <w:shd w:val="clear" w:color="auto" w:fill="auto"/>
          </w:tcPr>
          <w:p w14:paraId="00BAD876" w14:textId="77777777" w:rsidR="00871BDF" w:rsidRDefault="00871BDF">
            <w:pPr>
              <w:rPr>
                <w:rFonts w:ascii="宋体"/>
              </w:rPr>
            </w:pPr>
          </w:p>
        </w:tc>
        <w:tc>
          <w:tcPr>
            <w:tcW w:w="757" w:type="pct"/>
            <w:shd w:val="clear" w:color="auto" w:fill="auto"/>
          </w:tcPr>
          <w:p w14:paraId="00BAD877" w14:textId="77777777" w:rsidR="00871BDF" w:rsidRDefault="00871BDF">
            <w:pPr>
              <w:rPr>
                <w:rFonts w:ascii="宋体"/>
              </w:rPr>
            </w:pPr>
          </w:p>
        </w:tc>
        <w:tc>
          <w:tcPr>
            <w:tcW w:w="5" w:type="pct"/>
            <w:shd w:val="clear" w:color="auto" w:fill="auto"/>
          </w:tcPr>
          <w:p w14:paraId="00BAD878" w14:textId="77777777" w:rsidR="00871BDF" w:rsidRDefault="00871BDF">
            <w:pPr>
              <w:rPr>
                <w:rFonts w:ascii="宋体"/>
              </w:rPr>
            </w:pPr>
          </w:p>
        </w:tc>
        <w:tc>
          <w:tcPr>
            <w:tcW w:w="5" w:type="pct"/>
            <w:shd w:val="clear" w:color="auto" w:fill="auto"/>
          </w:tcPr>
          <w:p w14:paraId="00BAD879" w14:textId="77777777" w:rsidR="00871BDF" w:rsidRDefault="00871BDF">
            <w:pPr>
              <w:rPr>
                <w:rFonts w:ascii="宋体"/>
              </w:rPr>
            </w:pPr>
          </w:p>
        </w:tc>
        <w:tc>
          <w:tcPr>
            <w:tcW w:w="26" w:type="pct"/>
            <w:shd w:val="clear" w:color="auto" w:fill="auto"/>
          </w:tcPr>
          <w:p w14:paraId="00BAD87A" w14:textId="77777777" w:rsidR="00871BDF" w:rsidRDefault="00871BDF">
            <w:pPr>
              <w:rPr>
                <w:rFonts w:ascii="宋体"/>
              </w:rPr>
            </w:pPr>
          </w:p>
        </w:tc>
        <w:tc>
          <w:tcPr>
            <w:tcW w:w="5" w:type="pct"/>
            <w:shd w:val="clear" w:color="auto" w:fill="auto"/>
          </w:tcPr>
          <w:p w14:paraId="00BAD87B" w14:textId="77777777" w:rsidR="00871BDF" w:rsidRDefault="00871BDF">
            <w:pPr>
              <w:rPr>
                <w:rFonts w:ascii="宋体"/>
              </w:rPr>
            </w:pPr>
          </w:p>
        </w:tc>
        <w:tc>
          <w:tcPr>
            <w:tcW w:w="50" w:type="pct"/>
            <w:shd w:val="clear" w:color="auto" w:fill="auto"/>
          </w:tcPr>
          <w:p w14:paraId="00BAD87C" w14:textId="77777777" w:rsidR="00871BDF" w:rsidRDefault="00871BDF">
            <w:pPr>
              <w:rPr>
                <w:rFonts w:ascii="宋体"/>
              </w:rPr>
            </w:pPr>
          </w:p>
        </w:tc>
        <w:tc>
          <w:tcPr>
            <w:tcW w:w="757" w:type="pct"/>
            <w:shd w:val="clear" w:color="auto" w:fill="auto"/>
          </w:tcPr>
          <w:p w14:paraId="00BAD87D" w14:textId="77777777" w:rsidR="00871BDF" w:rsidRDefault="00871BDF">
            <w:pPr>
              <w:rPr>
                <w:rFonts w:ascii="宋体"/>
              </w:rPr>
            </w:pPr>
          </w:p>
        </w:tc>
        <w:tc>
          <w:tcPr>
            <w:tcW w:w="5" w:type="pct"/>
            <w:shd w:val="clear" w:color="auto" w:fill="auto"/>
          </w:tcPr>
          <w:p w14:paraId="00BAD87E" w14:textId="77777777" w:rsidR="00871BDF" w:rsidRDefault="00871BDF">
            <w:pPr>
              <w:rPr>
                <w:rFonts w:ascii="宋体"/>
              </w:rPr>
            </w:pPr>
          </w:p>
        </w:tc>
      </w:tr>
      <w:tr w:rsidR="00871BDF" w14:paraId="00BAD887" w14:textId="77777777">
        <w:tc>
          <w:tcPr>
            <w:tcW w:w="0" w:type="auto"/>
            <w:gridSpan w:val="3"/>
            <w:shd w:val="clear" w:color="auto" w:fill="auto"/>
            <w:tcMar>
              <w:top w:w="40" w:type="dxa"/>
              <w:left w:w="20" w:type="dxa"/>
              <w:bottom w:w="40" w:type="dxa"/>
              <w:right w:w="20" w:type="dxa"/>
            </w:tcMar>
            <w:vAlign w:val="bottom"/>
          </w:tcPr>
          <w:p w14:paraId="00BAD880" w14:textId="77777777" w:rsidR="00871BDF" w:rsidRDefault="005C5088">
            <w:pPr>
              <w:textAlignment w:val="bottom"/>
            </w:pPr>
            <w:r>
              <w:rPr>
                <w:rFonts w:ascii="Times New Roman" w:eastAsia="宋体" w:hAnsi="Times New Roman"/>
                <w:b/>
                <w:bCs/>
                <w:color w:val="000000"/>
                <w:sz w:val="16"/>
                <w:szCs w:val="16"/>
                <w:u w:val="single"/>
              </w:rPr>
              <w:t xml:space="preserve">Fiscal Year </w:t>
            </w:r>
            <w:r>
              <w:rPr>
                <w:rFonts w:ascii="Times New Roman" w:eastAsia="宋体" w:hAnsi="Times New Roman"/>
                <w:b/>
                <w:bCs/>
                <w:color w:val="000000"/>
                <w:sz w:val="16"/>
                <w:szCs w:val="16"/>
                <w:u w:val="single"/>
              </w:rPr>
              <w:t>Ended</w:t>
            </w:r>
          </w:p>
        </w:tc>
        <w:tc>
          <w:tcPr>
            <w:tcW w:w="0" w:type="auto"/>
            <w:gridSpan w:val="3"/>
            <w:shd w:val="clear" w:color="auto" w:fill="00704A"/>
            <w:tcMar>
              <w:top w:w="40" w:type="dxa"/>
              <w:left w:w="20" w:type="dxa"/>
              <w:bottom w:w="40" w:type="dxa"/>
              <w:right w:w="20" w:type="dxa"/>
            </w:tcMar>
            <w:vAlign w:val="bottom"/>
          </w:tcPr>
          <w:p w14:paraId="00BAD881"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D882"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883"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D884"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885" w14:textId="77777777" w:rsidR="00871BDF" w:rsidRDefault="005C5088">
            <w:pPr>
              <w:jc w:val="center"/>
              <w:textAlignment w:val="bottom"/>
            </w:pPr>
            <w:r>
              <w:rPr>
                <w:rFonts w:ascii="Times New Roman" w:eastAsia="宋体" w:hAnsi="Times New Roman"/>
                <w:b/>
                <w:bCs/>
                <w:color w:val="FFFFFF"/>
                <w:sz w:val="16"/>
                <w:szCs w:val="16"/>
              </w:rPr>
              <w:t>%</w:t>
            </w:r>
          </w:p>
          <w:p w14:paraId="00BAD886" w14:textId="77777777" w:rsidR="00871BDF" w:rsidRDefault="005C5088">
            <w:pPr>
              <w:jc w:val="center"/>
              <w:textAlignment w:val="bottom"/>
            </w:pPr>
            <w:r>
              <w:rPr>
                <w:rFonts w:ascii="Times New Roman" w:eastAsia="宋体" w:hAnsi="Times New Roman"/>
                <w:b/>
                <w:bCs/>
                <w:color w:val="FFFFFF"/>
                <w:sz w:val="16"/>
                <w:szCs w:val="16"/>
              </w:rPr>
              <w:t>Change</w:t>
            </w:r>
          </w:p>
        </w:tc>
      </w:tr>
      <w:tr w:rsidR="00871BDF" w14:paraId="00BAD88E" w14:textId="77777777">
        <w:tc>
          <w:tcPr>
            <w:tcW w:w="0" w:type="auto"/>
            <w:gridSpan w:val="3"/>
            <w:shd w:val="clear" w:color="auto" w:fill="D7E4BC"/>
            <w:tcMar>
              <w:top w:w="40" w:type="dxa"/>
              <w:left w:w="20" w:type="dxa"/>
              <w:bottom w:w="40" w:type="dxa"/>
              <w:right w:w="20" w:type="dxa"/>
            </w:tcMar>
          </w:tcPr>
          <w:p w14:paraId="00BAD888" w14:textId="77777777" w:rsidR="00871BDF" w:rsidRDefault="005C5088">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tcPr>
          <w:p w14:paraId="00BAD88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88A"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88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88C"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88D" w14:textId="77777777" w:rsidR="00871BDF" w:rsidRDefault="00871BDF">
            <w:pPr>
              <w:rPr>
                <w:rFonts w:ascii="宋体"/>
              </w:rPr>
            </w:pPr>
          </w:p>
        </w:tc>
      </w:tr>
      <w:tr w:rsidR="00871BDF" w14:paraId="00BAD89A" w14:textId="77777777">
        <w:tc>
          <w:tcPr>
            <w:tcW w:w="0" w:type="auto"/>
            <w:gridSpan w:val="3"/>
            <w:shd w:val="clear" w:color="auto" w:fill="FFFFFF"/>
            <w:tcMar>
              <w:top w:w="40" w:type="dxa"/>
              <w:left w:w="155" w:type="dxa"/>
              <w:bottom w:w="40" w:type="dxa"/>
              <w:right w:w="20" w:type="dxa"/>
            </w:tcMar>
          </w:tcPr>
          <w:p w14:paraId="00BAD88F" w14:textId="77777777" w:rsidR="00871BDF" w:rsidRDefault="005C5088">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00BAD890"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891" w14:textId="77777777" w:rsidR="00871BDF" w:rsidRDefault="005C5088">
            <w:pPr>
              <w:jc w:val="right"/>
              <w:textAlignment w:val="bottom"/>
            </w:pPr>
            <w:r>
              <w:rPr>
                <w:rFonts w:ascii="Times New Roman" w:eastAsia="宋体" w:hAnsi="Times New Roman"/>
                <w:color w:val="000000"/>
                <w:sz w:val="20"/>
                <w:szCs w:val="20"/>
              </w:rPr>
              <w:t>19,164.6 </w:t>
            </w:r>
          </w:p>
        </w:tc>
        <w:tc>
          <w:tcPr>
            <w:tcW w:w="0" w:type="auto"/>
            <w:shd w:val="clear" w:color="auto" w:fill="FFFFFF"/>
            <w:tcMar>
              <w:top w:w="40" w:type="dxa"/>
              <w:left w:w="0" w:type="dxa"/>
              <w:bottom w:w="40" w:type="dxa"/>
              <w:right w:w="20" w:type="dxa"/>
            </w:tcMar>
            <w:vAlign w:val="bottom"/>
          </w:tcPr>
          <w:p w14:paraId="00BAD89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893"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D894"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895" w14:textId="77777777" w:rsidR="00871BDF" w:rsidRDefault="005C5088">
            <w:pPr>
              <w:jc w:val="right"/>
              <w:textAlignment w:val="bottom"/>
            </w:pPr>
            <w:r>
              <w:rPr>
                <w:rFonts w:ascii="Times New Roman" w:eastAsia="宋体" w:hAnsi="Times New Roman"/>
                <w:color w:val="000000"/>
                <w:sz w:val="20"/>
                <w:szCs w:val="20"/>
              </w:rPr>
              <w:t>21,544.4 </w:t>
            </w:r>
          </w:p>
        </w:tc>
        <w:tc>
          <w:tcPr>
            <w:tcW w:w="0" w:type="auto"/>
            <w:shd w:val="clear" w:color="auto" w:fill="FFFFFF"/>
            <w:tcMar>
              <w:top w:w="40" w:type="dxa"/>
              <w:left w:w="0" w:type="dxa"/>
              <w:bottom w:w="40" w:type="dxa"/>
              <w:right w:w="20" w:type="dxa"/>
            </w:tcMar>
            <w:vAlign w:val="bottom"/>
          </w:tcPr>
          <w:p w14:paraId="00BAD89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89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898" w14:textId="77777777" w:rsidR="00871BDF" w:rsidRDefault="005C5088">
            <w:pPr>
              <w:jc w:val="right"/>
              <w:textAlignment w:val="bottom"/>
            </w:pPr>
            <w:r>
              <w:rPr>
                <w:rFonts w:ascii="Times New Roman" w:eastAsia="宋体" w:hAnsi="Times New Roman"/>
                <w:color w:val="000000"/>
                <w:sz w:val="20"/>
                <w:szCs w:val="20"/>
              </w:rPr>
              <w:t>(11.0)</w:t>
            </w:r>
          </w:p>
        </w:tc>
        <w:tc>
          <w:tcPr>
            <w:tcW w:w="0" w:type="auto"/>
            <w:shd w:val="clear" w:color="auto" w:fill="FFFFFF"/>
            <w:tcMar>
              <w:top w:w="40" w:type="dxa"/>
              <w:left w:w="0" w:type="dxa"/>
              <w:bottom w:w="40" w:type="dxa"/>
              <w:right w:w="20" w:type="dxa"/>
            </w:tcMar>
            <w:vAlign w:val="bottom"/>
          </w:tcPr>
          <w:p w14:paraId="00BAD899"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D8A4" w14:textId="77777777">
        <w:tc>
          <w:tcPr>
            <w:tcW w:w="0" w:type="auto"/>
            <w:gridSpan w:val="3"/>
            <w:shd w:val="clear" w:color="auto" w:fill="D7E4BC"/>
            <w:tcMar>
              <w:top w:w="40" w:type="dxa"/>
              <w:left w:w="155" w:type="dxa"/>
              <w:bottom w:w="40" w:type="dxa"/>
              <w:right w:w="20" w:type="dxa"/>
            </w:tcMar>
          </w:tcPr>
          <w:p w14:paraId="00BAD89B" w14:textId="77777777" w:rsidR="00871BDF" w:rsidRDefault="005C5088">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00BAD89C" w14:textId="77777777" w:rsidR="00871BDF" w:rsidRDefault="005C5088">
            <w:pPr>
              <w:jc w:val="right"/>
              <w:textAlignment w:val="bottom"/>
            </w:pPr>
            <w:r>
              <w:rPr>
                <w:rFonts w:ascii="Times New Roman" w:eastAsia="宋体" w:hAnsi="Times New Roman"/>
                <w:color w:val="000000"/>
                <w:sz w:val="20"/>
                <w:szCs w:val="20"/>
              </w:rPr>
              <w:t>2,327.1 </w:t>
            </w:r>
          </w:p>
        </w:tc>
        <w:tc>
          <w:tcPr>
            <w:tcW w:w="0" w:type="auto"/>
            <w:shd w:val="clear" w:color="auto" w:fill="D7E4BC"/>
            <w:tcMar>
              <w:top w:w="40" w:type="dxa"/>
              <w:left w:w="0" w:type="dxa"/>
              <w:bottom w:w="40" w:type="dxa"/>
              <w:right w:w="20" w:type="dxa"/>
            </w:tcMar>
            <w:vAlign w:val="bottom"/>
          </w:tcPr>
          <w:p w14:paraId="00BAD89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89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89F" w14:textId="77777777" w:rsidR="00871BDF" w:rsidRDefault="005C5088">
            <w:pPr>
              <w:jc w:val="right"/>
              <w:textAlignment w:val="bottom"/>
            </w:pPr>
            <w:r>
              <w:rPr>
                <w:rFonts w:ascii="Times New Roman" w:eastAsia="宋体" w:hAnsi="Times New Roman"/>
                <w:color w:val="000000"/>
                <w:sz w:val="20"/>
                <w:szCs w:val="20"/>
              </w:rPr>
              <w:t>2,875.0 </w:t>
            </w:r>
          </w:p>
        </w:tc>
        <w:tc>
          <w:tcPr>
            <w:tcW w:w="0" w:type="auto"/>
            <w:shd w:val="clear" w:color="auto" w:fill="D7E4BC"/>
            <w:tcMar>
              <w:top w:w="40" w:type="dxa"/>
              <w:left w:w="0" w:type="dxa"/>
              <w:bottom w:w="40" w:type="dxa"/>
              <w:right w:w="20" w:type="dxa"/>
            </w:tcMar>
            <w:vAlign w:val="bottom"/>
          </w:tcPr>
          <w:p w14:paraId="00BAD8A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8A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8A2" w14:textId="77777777" w:rsidR="00871BDF" w:rsidRDefault="005C5088">
            <w:pPr>
              <w:jc w:val="right"/>
              <w:textAlignment w:val="bottom"/>
            </w:pPr>
            <w:r>
              <w:rPr>
                <w:rFonts w:ascii="Times New Roman" w:eastAsia="宋体" w:hAnsi="Times New Roman"/>
                <w:color w:val="000000"/>
                <w:sz w:val="20"/>
                <w:szCs w:val="20"/>
              </w:rPr>
              <w:t>(19.1)</w:t>
            </w:r>
          </w:p>
        </w:tc>
        <w:tc>
          <w:tcPr>
            <w:tcW w:w="0" w:type="auto"/>
            <w:shd w:val="clear" w:color="auto" w:fill="D7E4BC"/>
            <w:tcMar>
              <w:top w:w="40" w:type="dxa"/>
              <w:left w:w="0" w:type="dxa"/>
              <w:bottom w:w="40" w:type="dxa"/>
              <w:right w:w="20" w:type="dxa"/>
            </w:tcMar>
            <w:vAlign w:val="bottom"/>
          </w:tcPr>
          <w:p w14:paraId="00BAD8A3" w14:textId="77777777" w:rsidR="00871BDF" w:rsidRDefault="00871BDF">
            <w:pPr>
              <w:jc w:val="right"/>
              <w:rPr>
                <w:rFonts w:ascii="宋体"/>
              </w:rPr>
            </w:pPr>
          </w:p>
        </w:tc>
      </w:tr>
      <w:tr w:rsidR="00871BDF" w14:paraId="00BAD8AE" w14:textId="77777777">
        <w:tc>
          <w:tcPr>
            <w:tcW w:w="0" w:type="auto"/>
            <w:gridSpan w:val="3"/>
            <w:shd w:val="clear" w:color="auto" w:fill="FFFFFF"/>
            <w:tcMar>
              <w:top w:w="40" w:type="dxa"/>
              <w:left w:w="155" w:type="dxa"/>
              <w:bottom w:w="40" w:type="dxa"/>
              <w:right w:w="20" w:type="dxa"/>
            </w:tcMar>
          </w:tcPr>
          <w:p w14:paraId="00BAD8A5" w14:textId="77777777" w:rsidR="00871BDF" w:rsidRDefault="005C5088">
            <w:pPr>
              <w:textAlignment w:val="top"/>
            </w:pPr>
            <w:r>
              <w:rPr>
                <w:rFonts w:ascii="Times New Roman" w:eastAsia="宋体" w:hAnsi="Times New Roman"/>
                <w:color w:val="000000"/>
                <w:sz w:val="20"/>
                <w:szCs w:val="20"/>
              </w:rPr>
              <w:t xml:space="preserve">Other </w:t>
            </w:r>
          </w:p>
        </w:tc>
        <w:tc>
          <w:tcPr>
            <w:tcW w:w="0" w:type="auto"/>
            <w:gridSpan w:val="2"/>
            <w:shd w:val="clear" w:color="auto" w:fill="FFFFFF"/>
            <w:tcMar>
              <w:top w:w="40" w:type="dxa"/>
              <w:left w:w="20" w:type="dxa"/>
              <w:bottom w:w="40" w:type="dxa"/>
              <w:right w:w="0" w:type="dxa"/>
            </w:tcMar>
            <w:vAlign w:val="bottom"/>
          </w:tcPr>
          <w:p w14:paraId="00BAD8A6" w14:textId="77777777" w:rsidR="00871BDF" w:rsidRDefault="005C5088">
            <w:pPr>
              <w:jc w:val="right"/>
              <w:textAlignment w:val="bottom"/>
            </w:pPr>
            <w:r>
              <w:rPr>
                <w:rFonts w:ascii="Times New Roman" w:eastAsia="宋体" w:hAnsi="Times New Roman"/>
                <w:color w:val="000000"/>
                <w:sz w:val="20"/>
                <w:szCs w:val="20"/>
              </w:rPr>
              <w:t>2,026.3 </w:t>
            </w:r>
          </w:p>
        </w:tc>
        <w:tc>
          <w:tcPr>
            <w:tcW w:w="0" w:type="auto"/>
            <w:shd w:val="clear" w:color="auto" w:fill="FFFFFF"/>
            <w:tcMar>
              <w:top w:w="40" w:type="dxa"/>
              <w:left w:w="0" w:type="dxa"/>
              <w:bottom w:w="40" w:type="dxa"/>
              <w:right w:w="20" w:type="dxa"/>
            </w:tcMar>
            <w:vAlign w:val="bottom"/>
          </w:tcPr>
          <w:p w14:paraId="00BAD8A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8A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8A9" w14:textId="77777777" w:rsidR="00871BDF" w:rsidRDefault="005C5088">
            <w:pPr>
              <w:jc w:val="right"/>
              <w:textAlignment w:val="bottom"/>
            </w:pPr>
            <w:r>
              <w:rPr>
                <w:rFonts w:ascii="Times New Roman" w:eastAsia="宋体" w:hAnsi="Times New Roman"/>
                <w:color w:val="000000"/>
                <w:sz w:val="20"/>
                <w:szCs w:val="20"/>
              </w:rPr>
              <w:t>2,089.2 </w:t>
            </w:r>
          </w:p>
        </w:tc>
        <w:tc>
          <w:tcPr>
            <w:tcW w:w="0" w:type="auto"/>
            <w:shd w:val="clear" w:color="auto" w:fill="FFFFFF"/>
            <w:tcMar>
              <w:top w:w="40" w:type="dxa"/>
              <w:left w:w="0" w:type="dxa"/>
              <w:bottom w:w="40" w:type="dxa"/>
              <w:right w:w="20" w:type="dxa"/>
            </w:tcMar>
            <w:vAlign w:val="bottom"/>
          </w:tcPr>
          <w:p w14:paraId="00BAD8A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8A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8AC" w14:textId="77777777" w:rsidR="00871BDF" w:rsidRDefault="005C5088">
            <w:pPr>
              <w:jc w:val="right"/>
              <w:textAlignment w:val="bottom"/>
            </w:pPr>
            <w:r>
              <w:rPr>
                <w:rFonts w:ascii="Times New Roman" w:eastAsia="宋体" w:hAnsi="Times New Roman"/>
                <w:color w:val="000000"/>
                <w:sz w:val="20"/>
                <w:szCs w:val="20"/>
              </w:rPr>
              <w:t>(3.0)</w:t>
            </w:r>
          </w:p>
        </w:tc>
        <w:tc>
          <w:tcPr>
            <w:tcW w:w="0" w:type="auto"/>
            <w:shd w:val="clear" w:color="auto" w:fill="FFFFFF"/>
            <w:tcMar>
              <w:top w:w="40" w:type="dxa"/>
              <w:left w:w="0" w:type="dxa"/>
              <w:bottom w:w="40" w:type="dxa"/>
              <w:right w:w="20" w:type="dxa"/>
            </w:tcMar>
            <w:vAlign w:val="bottom"/>
          </w:tcPr>
          <w:p w14:paraId="00BAD8AD" w14:textId="77777777" w:rsidR="00871BDF" w:rsidRDefault="00871BDF">
            <w:pPr>
              <w:jc w:val="right"/>
              <w:rPr>
                <w:rFonts w:ascii="宋体"/>
              </w:rPr>
            </w:pPr>
          </w:p>
        </w:tc>
      </w:tr>
      <w:tr w:rsidR="00871BDF" w14:paraId="00BAD8BA" w14:textId="77777777">
        <w:tc>
          <w:tcPr>
            <w:tcW w:w="0" w:type="auto"/>
            <w:gridSpan w:val="3"/>
            <w:shd w:val="clear" w:color="auto" w:fill="D7E4BC"/>
            <w:tcMar>
              <w:top w:w="40" w:type="dxa"/>
              <w:left w:w="20" w:type="dxa"/>
              <w:bottom w:w="40" w:type="dxa"/>
              <w:right w:w="20" w:type="dxa"/>
            </w:tcMar>
          </w:tcPr>
          <w:p w14:paraId="00BAD8AF" w14:textId="77777777" w:rsidR="00871BDF" w:rsidRDefault="005C5088">
            <w:pPr>
              <w:textAlignment w:val="top"/>
            </w:pPr>
            <w:r>
              <w:rPr>
                <w:rFonts w:ascii="Times New Roman" w:eastAsia="宋体" w:hAnsi="Times New Roman"/>
                <w:b/>
                <w:bCs/>
                <w:color w:val="000000"/>
                <w:sz w:val="20"/>
                <w:szCs w:val="20"/>
              </w:rPr>
              <w:t>Total net revenues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D8B0"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D8B1" w14:textId="77777777" w:rsidR="00871BDF" w:rsidRDefault="005C5088">
            <w:pPr>
              <w:jc w:val="right"/>
              <w:textAlignment w:val="bottom"/>
            </w:pPr>
            <w:r>
              <w:rPr>
                <w:rFonts w:ascii="Times New Roman" w:eastAsia="宋体" w:hAnsi="Times New Roman"/>
                <w:b/>
                <w:bCs/>
                <w:color w:val="000000"/>
                <w:sz w:val="20"/>
                <w:szCs w:val="20"/>
              </w:rPr>
              <w:t>23,518.0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8B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8B3"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D8B4"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D8B5" w14:textId="77777777" w:rsidR="00871BDF" w:rsidRDefault="005C5088">
            <w:pPr>
              <w:jc w:val="right"/>
              <w:textAlignment w:val="bottom"/>
            </w:pPr>
            <w:r>
              <w:rPr>
                <w:rFonts w:ascii="Times New Roman" w:eastAsia="宋体" w:hAnsi="Times New Roman"/>
                <w:b/>
                <w:bCs/>
                <w:color w:val="000000"/>
                <w:sz w:val="20"/>
                <w:szCs w:val="20"/>
              </w:rPr>
              <w:t>26,508.6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8B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8B7"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8B8" w14:textId="77777777" w:rsidR="00871BDF" w:rsidRDefault="005C5088">
            <w:pPr>
              <w:jc w:val="right"/>
              <w:textAlignment w:val="bottom"/>
            </w:pPr>
            <w:r>
              <w:rPr>
                <w:rFonts w:ascii="Times New Roman" w:eastAsia="宋体" w:hAnsi="Times New Roman"/>
                <w:b/>
                <w:bCs/>
                <w:color w:val="000000"/>
                <w:sz w:val="20"/>
                <w:szCs w:val="20"/>
              </w:rPr>
              <w:t>(11.3)</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8B9" w14:textId="77777777" w:rsidR="00871BDF" w:rsidRDefault="005C5088">
            <w:pPr>
              <w:jc w:val="right"/>
              <w:textAlignment w:val="bottom"/>
            </w:pPr>
            <w:r>
              <w:rPr>
                <w:rFonts w:ascii="Times New Roman" w:eastAsia="宋体" w:hAnsi="Times New Roman"/>
                <w:b/>
                <w:bCs/>
                <w:color w:val="000000"/>
                <w:sz w:val="20"/>
                <w:szCs w:val="20"/>
              </w:rPr>
              <w:t>%</w:t>
            </w:r>
          </w:p>
        </w:tc>
      </w:tr>
    </w:tbl>
    <w:p w14:paraId="00BAD8BB" w14:textId="77777777" w:rsidR="00871BDF" w:rsidRDefault="005C5088">
      <w:pPr>
        <w:spacing w:before="120"/>
      </w:pPr>
      <w:r>
        <w:rPr>
          <w:rFonts w:ascii="Times New Roman" w:eastAsia="宋体" w:hAnsi="Times New Roman"/>
          <w:color w:val="000000"/>
          <w:sz w:val="20"/>
          <w:szCs w:val="20"/>
          <w:shd w:val="clear" w:color="auto" w:fill="FFFFFF"/>
        </w:rPr>
        <w:t>Total net revenues decreased $3.0 billion, or 11%, over fiscal 2019, primarily due to lower revenues from company-operated stores ($2.4 billion). The decline in company-operated store revenue was due to a 14% decrease in comparable st</w:t>
      </w:r>
      <w:r>
        <w:rPr>
          <w:rFonts w:ascii="Times New Roman" w:eastAsia="宋体" w:hAnsi="Times New Roman"/>
          <w:color w:val="000000"/>
          <w:sz w:val="20"/>
          <w:szCs w:val="20"/>
          <w:shd w:val="clear" w:color="auto" w:fill="FFFFFF"/>
        </w:rPr>
        <w:t>ore sales ($2.9 billion), attributable to a 22% decrease in comparable transactions, partially offset by a 10% increase in average ticket. Also contributing to the decrease were the conversions of our retail businesses in Thailand, France and the Netherlan</w:t>
      </w:r>
      <w:r>
        <w:rPr>
          <w:rFonts w:ascii="Times New Roman" w:eastAsia="宋体" w:hAnsi="Times New Roman"/>
          <w:color w:val="000000"/>
          <w:sz w:val="20"/>
          <w:szCs w:val="20"/>
          <w:shd w:val="clear" w:color="auto" w:fill="FFFFFF"/>
        </w:rPr>
        <w:t>ds to fully licensed markets during fiscal 2019 ($204 million). Partially offsetting these decreases were the incremental revenues from 806 net new Starbucks</w:t>
      </w:r>
      <w:r>
        <w:rPr>
          <w:rFonts w:ascii="Times New Roman" w:eastAsia="宋体" w:hAnsi="Times New Roman"/>
          <w:color w:val="000000"/>
          <w:sz w:val="13"/>
          <w:szCs w:val="13"/>
          <w:shd w:val="clear" w:color="auto" w:fill="FFFFFF"/>
        </w:rPr>
        <w:t>®</w:t>
      </w:r>
      <w:r>
        <w:rPr>
          <w:rFonts w:ascii="Times New Roman" w:eastAsia="宋体" w:hAnsi="Times New Roman"/>
          <w:color w:val="000000"/>
          <w:sz w:val="20"/>
          <w:szCs w:val="20"/>
          <w:shd w:val="clear" w:color="auto" w:fill="FFFFFF"/>
        </w:rPr>
        <w:t xml:space="preserve"> company-operated store openings, or a 5% increase, over the past 12 months ($718 million).</w:t>
      </w:r>
    </w:p>
    <w:p w14:paraId="00BAD8BC" w14:textId="77777777" w:rsidR="00871BDF" w:rsidRDefault="005C5088">
      <w:pPr>
        <w:spacing w:before="120"/>
      </w:pPr>
      <w:r>
        <w:rPr>
          <w:rFonts w:ascii="Times New Roman" w:eastAsia="宋体" w:hAnsi="Times New Roman"/>
          <w:color w:val="000000"/>
          <w:sz w:val="20"/>
          <w:szCs w:val="20"/>
          <w:shd w:val="clear" w:color="auto" w:fill="FFFFFF"/>
        </w:rPr>
        <w:t>Licens</w:t>
      </w:r>
      <w:r>
        <w:rPr>
          <w:rFonts w:ascii="Times New Roman" w:eastAsia="宋体" w:hAnsi="Times New Roman"/>
          <w:color w:val="000000"/>
          <w:sz w:val="20"/>
          <w:szCs w:val="20"/>
          <w:shd w:val="clear" w:color="auto" w:fill="FFFFFF"/>
        </w:rPr>
        <w:t>ed stores revenue declined by $548 million, driven by lower product and equipment sales to and royalty revenues from our licensees.</w:t>
      </w:r>
    </w:p>
    <w:p w14:paraId="00BAD8BD" w14:textId="77777777" w:rsidR="00871BDF" w:rsidRDefault="005C5088">
      <w:pPr>
        <w:spacing w:before="120"/>
      </w:pPr>
      <w:r>
        <w:rPr>
          <w:rFonts w:ascii="Times New Roman" w:eastAsia="宋体" w:hAnsi="Times New Roman"/>
          <w:color w:val="000000"/>
          <w:sz w:val="20"/>
          <w:szCs w:val="20"/>
          <w:shd w:val="clear" w:color="auto" w:fill="FFFFFF"/>
        </w:rPr>
        <w:t>Other revenues decreased $63 million, primarily due to the lapping of a higher volume of transition activities related to th</w:t>
      </w:r>
      <w:r>
        <w:rPr>
          <w:rFonts w:ascii="Times New Roman" w:eastAsia="宋体" w:hAnsi="Times New Roman"/>
          <w:color w:val="000000"/>
          <w:sz w:val="20"/>
          <w:szCs w:val="20"/>
          <w:shd w:val="clear" w:color="auto" w:fill="FFFFFF"/>
        </w:rPr>
        <w:t xml:space="preserve">e Global Coffee Alliance and the Tazo brand sale, partially offset by higher sales from the growth of the Global Coffee Alliance. </w:t>
      </w:r>
    </w:p>
    <w:p w14:paraId="00BAD8BE" w14:textId="77777777" w:rsidR="00871BDF" w:rsidRDefault="005C5088">
      <w:pPr>
        <w:jc w:val="center"/>
      </w:pPr>
      <w:r>
        <w:rPr>
          <w:rFonts w:ascii="Times New Roman" w:eastAsia="宋体" w:hAnsi="Times New Roman"/>
          <w:color w:val="000000"/>
          <w:sz w:val="20"/>
          <w:szCs w:val="20"/>
        </w:rPr>
        <w:t>26</w:t>
      </w:r>
    </w:p>
    <w:p w14:paraId="00BAD8BF" w14:textId="77777777" w:rsidR="00871BDF" w:rsidRDefault="005C5088">
      <w:r>
        <w:pict w14:anchorId="00BB147F">
          <v:rect id="_x0000_i1053" style="width:415.3pt;height:1.5pt" o:hralign="center" o:hrstd="t" o:hr="t" fillcolor="#a0a0a0" stroked="f"/>
        </w:pict>
      </w:r>
    </w:p>
    <w:p w14:paraId="00BAD8C0" w14:textId="77777777" w:rsidR="00871BDF" w:rsidRDefault="005C5088">
      <w:hyperlink r:id="rId89" w:anchor="i54ccc64cb5384be5a4849ef1cdef4dde_7" w:history="1">
        <w:r>
          <w:rPr>
            <w:rStyle w:val="a5"/>
            <w:rFonts w:ascii="Times New Roman" w:eastAsia="宋体" w:hAnsi="Times New Roman"/>
            <w:sz w:val="20"/>
            <w:szCs w:val="20"/>
          </w:rPr>
          <w:t>Table of Contents</w:t>
        </w:r>
      </w:hyperlink>
    </w:p>
    <w:p w14:paraId="00BAD8C1" w14:textId="77777777" w:rsidR="00871BDF" w:rsidRDefault="005C5088">
      <w:pPr>
        <w:spacing w:before="120"/>
      </w:pPr>
      <w:r>
        <w:rPr>
          <w:rFonts w:ascii="Times New Roman" w:eastAsia="宋体" w:hAnsi="Times New Roman"/>
          <w:color w:val="000000"/>
          <w:sz w:val="20"/>
          <w:szCs w:val="20"/>
          <w:u w:val="single"/>
        </w:rPr>
        <w:t>Operating Expenses</w:t>
      </w:r>
    </w:p>
    <w:tbl>
      <w:tblPr>
        <w:tblW w:w="4993" w:type="pct"/>
        <w:tblCellMar>
          <w:top w:w="15" w:type="dxa"/>
          <w:left w:w="15" w:type="dxa"/>
          <w:bottom w:w="15" w:type="dxa"/>
          <w:right w:w="15" w:type="dxa"/>
        </w:tblCellMar>
        <w:tblLook w:val="04A0" w:firstRow="1" w:lastRow="0" w:firstColumn="1" w:lastColumn="0" w:noHBand="0" w:noVBand="1"/>
      </w:tblPr>
      <w:tblGrid>
        <w:gridCol w:w="41"/>
        <w:gridCol w:w="2544"/>
        <w:gridCol w:w="40"/>
        <w:gridCol w:w="120"/>
        <w:gridCol w:w="1194"/>
        <w:gridCol w:w="36"/>
        <w:gridCol w:w="36"/>
        <w:gridCol w:w="36"/>
        <w:gridCol w:w="36"/>
        <w:gridCol w:w="120"/>
        <w:gridCol w:w="1133"/>
        <w:gridCol w:w="36"/>
        <w:gridCol w:w="36"/>
        <w:gridCol w:w="36"/>
        <w:gridCol w:w="36"/>
        <w:gridCol w:w="38"/>
        <w:gridCol w:w="1110"/>
        <w:gridCol w:w="220"/>
        <w:gridCol w:w="36"/>
        <w:gridCol w:w="36"/>
        <w:gridCol w:w="36"/>
        <w:gridCol w:w="38"/>
        <w:gridCol w:w="1110"/>
        <w:gridCol w:w="220"/>
      </w:tblGrid>
      <w:tr w:rsidR="00871BDF" w14:paraId="00BAD8DA" w14:textId="77777777">
        <w:tc>
          <w:tcPr>
            <w:tcW w:w="50" w:type="pct"/>
            <w:shd w:val="clear" w:color="auto" w:fill="auto"/>
          </w:tcPr>
          <w:p w14:paraId="00BAD8C2" w14:textId="77777777" w:rsidR="00871BDF" w:rsidRDefault="00871BDF">
            <w:pPr>
              <w:rPr>
                <w:rFonts w:ascii="宋体"/>
              </w:rPr>
            </w:pPr>
          </w:p>
        </w:tc>
        <w:tc>
          <w:tcPr>
            <w:tcW w:w="1584" w:type="pct"/>
            <w:shd w:val="clear" w:color="auto" w:fill="auto"/>
          </w:tcPr>
          <w:p w14:paraId="00BAD8C3" w14:textId="77777777" w:rsidR="00871BDF" w:rsidRDefault="00871BDF">
            <w:pPr>
              <w:rPr>
                <w:rFonts w:ascii="宋体"/>
              </w:rPr>
            </w:pPr>
          </w:p>
        </w:tc>
        <w:tc>
          <w:tcPr>
            <w:tcW w:w="5" w:type="pct"/>
            <w:shd w:val="clear" w:color="auto" w:fill="auto"/>
          </w:tcPr>
          <w:p w14:paraId="00BAD8C4" w14:textId="77777777" w:rsidR="00871BDF" w:rsidRDefault="00871BDF">
            <w:pPr>
              <w:rPr>
                <w:rFonts w:ascii="宋体"/>
              </w:rPr>
            </w:pPr>
          </w:p>
        </w:tc>
        <w:tc>
          <w:tcPr>
            <w:tcW w:w="50" w:type="pct"/>
            <w:shd w:val="clear" w:color="auto" w:fill="auto"/>
          </w:tcPr>
          <w:p w14:paraId="00BAD8C5" w14:textId="77777777" w:rsidR="00871BDF" w:rsidRDefault="00871BDF">
            <w:pPr>
              <w:rPr>
                <w:rFonts w:ascii="宋体"/>
              </w:rPr>
            </w:pPr>
          </w:p>
        </w:tc>
        <w:tc>
          <w:tcPr>
            <w:tcW w:w="757" w:type="pct"/>
            <w:shd w:val="clear" w:color="auto" w:fill="auto"/>
          </w:tcPr>
          <w:p w14:paraId="00BAD8C6" w14:textId="77777777" w:rsidR="00871BDF" w:rsidRDefault="00871BDF">
            <w:pPr>
              <w:rPr>
                <w:rFonts w:ascii="宋体"/>
              </w:rPr>
            </w:pPr>
          </w:p>
        </w:tc>
        <w:tc>
          <w:tcPr>
            <w:tcW w:w="5" w:type="pct"/>
            <w:shd w:val="clear" w:color="auto" w:fill="auto"/>
          </w:tcPr>
          <w:p w14:paraId="00BAD8C7" w14:textId="77777777" w:rsidR="00871BDF" w:rsidRDefault="00871BDF">
            <w:pPr>
              <w:rPr>
                <w:rFonts w:ascii="宋体"/>
              </w:rPr>
            </w:pPr>
          </w:p>
        </w:tc>
        <w:tc>
          <w:tcPr>
            <w:tcW w:w="5" w:type="pct"/>
            <w:shd w:val="clear" w:color="auto" w:fill="auto"/>
          </w:tcPr>
          <w:p w14:paraId="00BAD8C8" w14:textId="77777777" w:rsidR="00871BDF" w:rsidRDefault="00871BDF">
            <w:pPr>
              <w:rPr>
                <w:rFonts w:ascii="宋体"/>
              </w:rPr>
            </w:pPr>
          </w:p>
        </w:tc>
        <w:tc>
          <w:tcPr>
            <w:tcW w:w="26" w:type="pct"/>
            <w:shd w:val="clear" w:color="auto" w:fill="auto"/>
          </w:tcPr>
          <w:p w14:paraId="00BAD8C9" w14:textId="77777777" w:rsidR="00871BDF" w:rsidRDefault="00871BDF">
            <w:pPr>
              <w:rPr>
                <w:rFonts w:ascii="宋体"/>
              </w:rPr>
            </w:pPr>
          </w:p>
        </w:tc>
        <w:tc>
          <w:tcPr>
            <w:tcW w:w="5" w:type="pct"/>
            <w:shd w:val="clear" w:color="auto" w:fill="auto"/>
          </w:tcPr>
          <w:p w14:paraId="00BAD8CA" w14:textId="77777777" w:rsidR="00871BDF" w:rsidRDefault="00871BDF">
            <w:pPr>
              <w:rPr>
                <w:rFonts w:ascii="宋体"/>
              </w:rPr>
            </w:pPr>
          </w:p>
        </w:tc>
        <w:tc>
          <w:tcPr>
            <w:tcW w:w="50" w:type="pct"/>
            <w:shd w:val="clear" w:color="auto" w:fill="auto"/>
          </w:tcPr>
          <w:p w14:paraId="00BAD8CB" w14:textId="77777777" w:rsidR="00871BDF" w:rsidRDefault="00871BDF">
            <w:pPr>
              <w:rPr>
                <w:rFonts w:ascii="宋体"/>
              </w:rPr>
            </w:pPr>
          </w:p>
        </w:tc>
        <w:tc>
          <w:tcPr>
            <w:tcW w:w="757" w:type="pct"/>
            <w:shd w:val="clear" w:color="auto" w:fill="auto"/>
          </w:tcPr>
          <w:p w14:paraId="00BAD8CC" w14:textId="77777777" w:rsidR="00871BDF" w:rsidRDefault="00871BDF">
            <w:pPr>
              <w:rPr>
                <w:rFonts w:ascii="宋体"/>
              </w:rPr>
            </w:pPr>
          </w:p>
        </w:tc>
        <w:tc>
          <w:tcPr>
            <w:tcW w:w="5" w:type="pct"/>
            <w:shd w:val="clear" w:color="auto" w:fill="auto"/>
          </w:tcPr>
          <w:p w14:paraId="00BAD8CD" w14:textId="77777777" w:rsidR="00871BDF" w:rsidRDefault="00871BDF">
            <w:pPr>
              <w:rPr>
                <w:rFonts w:ascii="宋体"/>
              </w:rPr>
            </w:pPr>
          </w:p>
        </w:tc>
        <w:tc>
          <w:tcPr>
            <w:tcW w:w="5" w:type="pct"/>
            <w:shd w:val="clear" w:color="auto" w:fill="auto"/>
          </w:tcPr>
          <w:p w14:paraId="00BAD8CE" w14:textId="77777777" w:rsidR="00871BDF" w:rsidRDefault="00871BDF">
            <w:pPr>
              <w:rPr>
                <w:rFonts w:ascii="宋体"/>
              </w:rPr>
            </w:pPr>
          </w:p>
        </w:tc>
        <w:tc>
          <w:tcPr>
            <w:tcW w:w="26" w:type="pct"/>
            <w:shd w:val="clear" w:color="auto" w:fill="auto"/>
          </w:tcPr>
          <w:p w14:paraId="00BAD8CF" w14:textId="77777777" w:rsidR="00871BDF" w:rsidRDefault="00871BDF">
            <w:pPr>
              <w:rPr>
                <w:rFonts w:ascii="宋体"/>
              </w:rPr>
            </w:pPr>
          </w:p>
        </w:tc>
        <w:tc>
          <w:tcPr>
            <w:tcW w:w="5" w:type="pct"/>
            <w:shd w:val="clear" w:color="auto" w:fill="auto"/>
          </w:tcPr>
          <w:p w14:paraId="00BAD8D0" w14:textId="77777777" w:rsidR="00871BDF" w:rsidRDefault="00871BDF">
            <w:pPr>
              <w:rPr>
                <w:rFonts w:ascii="宋体"/>
              </w:rPr>
            </w:pPr>
          </w:p>
        </w:tc>
        <w:tc>
          <w:tcPr>
            <w:tcW w:w="50" w:type="pct"/>
            <w:shd w:val="clear" w:color="auto" w:fill="auto"/>
          </w:tcPr>
          <w:p w14:paraId="00BAD8D1" w14:textId="77777777" w:rsidR="00871BDF" w:rsidRDefault="00871BDF">
            <w:pPr>
              <w:rPr>
                <w:rFonts w:ascii="宋体"/>
              </w:rPr>
            </w:pPr>
          </w:p>
        </w:tc>
        <w:tc>
          <w:tcPr>
            <w:tcW w:w="757" w:type="pct"/>
            <w:shd w:val="clear" w:color="auto" w:fill="auto"/>
          </w:tcPr>
          <w:p w14:paraId="00BAD8D2" w14:textId="77777777" w:rsidR="00871BDF" w:rsidRDefault="00871BDF">
            <w:pPr>
              <w:rPr>
                <w:rFonts w:ascii="宋体"/>
              </w:rPr>
            </w:pPr>
          </w:p>
        </w:tc>
        <w:tc>
          <w:tcPr>
            <w:tcW w:w="5" w:type="pct"/>
            <w:shd w:val="clear" w:color="auto" w:fill="auto"/>
          </w:tcPr>
          <w:p w14:paraId="00BAD8D3" w14:textId="77777777" w:rsidR="00871BDF" w:rsidRDefault="00871BDF">
            <w:pPr>
              <w:rPr>
                <w:rFonts w:ascii="宋体"/>
              </w:rPr>
            </w:pPr>
          </w:p>
        </w:tc>
        <w:tc>
          <w:tcPr>
            <w:tcW w:w="5" w:type="pct"/>
            <w:shd w:val="clear" w:color="auto" w:fill="auto"/>
          </w:tcPr>
          <w:p w14:paraId="00BAD8D4" w14:textId="77777777" w:rsidR="00871BDF" w:rsidRDefault="00871BDF">
            <w:pPr>
              <w:rPr>
                <w:rFonts w:ascii="宋体"/>
              </w:rPr>
            </w:pPr>
          </w:p>
        </w:tc>
        <w:tc>
          <w:tcPr>
            <w:tcW w:w="26" w:type="pct"/>
            <w:shd w:val="clear" w:color="auto" w:fill="auto"/>
          </w:tcPr>
          <w:p w14:paraId="00BAD8D5" w14:textId="77777777" w:rsidR="00871BDF" w:rsidRDefault="00871BDF">
            <w:pPr>
              <w:rPr>
                <w:rFonts w:ascii="宋体"/>
              </w:rPr>
            </w:pPr>
          </w:p>
        </w:tc>
        <w:tc>
          <w:tcPr>
            <w:tcW w:w="5" w:type="pct"/>
            <w:shd w:val="clear" w:color="auto" w:fill="auto"/>
          </w:tcPr>
          <w:p w14:paraId="00BAD8D6" w14:textId="77777777" w:rsidR="00871BDF" w:rsidRDefault="00871BDF">
            <w:pPr>
              <w:rPr>
                <w:rFonts w:ascii="宋体"/>
              </w:rPr>
            </w:pPr>
          </w:p>
        </w:tc>
        <w:tc>
          <w:tcPr>
            <w:tcW w:w="50" w:type="pct"/>
            <w:shd w:val="clear" w:color="auto" w:fill="auto"/>
          </w:tcPr>
          <w:p w14:paraId="00BAD8D7" w14:textId="77777777" w:rsidR="00871BDF" w:rsidRDefault="00871BDF">
            <w:pPr>
              <w:rPr>
                <w:rFonts w:ascii="宋体"/>
              </w:rPr>
            </w:pPr>
          </w:p>
        </w:tc>
        <w:tc>
          <w:tcPr>
            <w:tcW w:w="757" w:type="pct"/>
            <w:shd w:val="clear" w:color="auto" w:fill="auto"/>
          </w:tcPr>
          <w:p w14:paraId="00BAD8D8" w14:textId="77777777" w:rsidR="00871BDF" w:rsidRDefault="00871BDF">
            <w:pPr>
              <w:rPr>
                <w:rFonts w:ascii="宋体"/>
              </w:rPr>
            </w:pPr>
          </w:p>
        </w:tc>
        <w:tc>
          <w:tcPr>
            <w:tcW w:w="5" w:type="pct"/>
            <w:shd w:val="clear" w:color="auto" w:fill="auto"/>
          </w:tcPr>
          <w:p w14:paraId="00BAD8D9" w14:textId="77777777" w:rsidR="00871BDF" w:rsidRDefault="00871BDF">
            <w:pPr>
              <w:rPr>
                <w:rFonts w:ascii="宋体"/>
              </w:rPr>
            </w:pPr>
          </w:p>
        </w:tc>
      </w:tr>
      <w:tr w:rsidR="00871BDF" w14:paraId="00BAD8E3" w14:textId="77777777">
        <w:tc>
          <w:tcPr>
            <w:tcW w:w="0" w:type="auto"/>
            <w:gridSpan w:val="3"/>
            <w:shd w:val="clear" w:color="auto" w:fill="auto"/>
            <w:tcMar>
              <w:top w:w="40" w:type="dxa"/>
              <w:left w:w="20" w:type="dxa"/>
              <w:bottom w:w="40" w:type="dxa"/>
              <w:right w:w="20" w:type="dxa"/>
            </w:tcMar>
            <w:vAlign w:val="bottom"/>
          </w:tcPr>
          <w:p w14:paraId="00BAD8DB"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D8DC"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D8DD"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8DE"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D8DF"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8E0"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tcBorders>
              <w:bottom w:val="single" w:sz="8" w:space="0" w:color="000000"/>
            </w:tcBorders>
            <w:shd w:val="clear" w:color="auto" w:fill="auto"/>
            <w:tcMar>
              <w:top w:w="0" w:type="dxa"/>
              <w:left w:w="20" w:type="dxa"/>
              <w:bottom w:w="0" w:type="dxa"/>
              <w:right w:w="20" w:type="dxa"/>
            </w:tcMar>
          </w:tcPr>
          <w:p w14:paraId="00BAD8E1" w14:textId="77777777" w:rsidR="00871BDF" w:rsidRDefault="00871BDF">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0BAD8E2"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r>
      <w:tr w:rsidR="00871BDF" w14:paraId="00BAD8EB" w14:textId="77777777">
        <w:tc>
          <w:tcPr>
            <w:tcW w:w="0" w:type="auto"/>
            <w:gridSpan w:val="3"/>
            <w:shd w:val="clear" w:color="auto" w:fill="auto"/>
            <w:tcMar>
              <w:top w:w="0" w:type="dxa"/>
              <w:left w:w="20" w:type="dxa"/>
              <w:bottom w:w="0" w:type="dxa"/>
              <w:right w:w="20" w:type="dxa"/>
            </w:tcMar>
          </w:tcPr>
          <w:p w14:paraId="00BAD8E4" w14:textId="77777777" w:rsidR="00871BDF" w:rsidRDefault="00871B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0BAD8E5"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D8E6" w14:textId="77777777" w:rsidR="00871BDF" w:rsidRDefault="00871BD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00BAD8E7"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D8E8" w14:textId="77777777" w:rsidR="00871BDF" w:rsidRDefault="00871BD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0BAD8E9" w14:textId="77777777" w:rsidR="00871BDF" w:rsidRDefault="005C5088">
            <w:pPr>
              <w:jc w:val="center"/>
              <w:textAlignment w:val="bottom"/>
            </w:pPr>
            <w:r>
              <w:rPr>
                <w:rFonts w:ascii="Times New Roman" w:eastAsia="宋体" w:hAnsi="Times New Roman"/>
                <w:b/>
                <w:bCs/>
                <w:color w:val="000000"/>
                <w:sz w:val="16"/>
                <w:szCs w:val="16"/>
              </w:rPr>
              <w:t>As a % of Total</w:t>
            </w:r>
          </w:p>
          <w:p w14:paraId="00BAD8EA" w14:textId="77777777" w:rsidR="00871BDF" w:rsidRDefault="005C5088">
            <w:pPr>
              <w:jc w:val="center"/>
              <w:textAlignment w:val="bottom"/>
            </w:pPr>
            <w:r>
              <w:rPr>
                <w:rFonts w:ascii="Times New Roman" w:eastAsia="宋体" w:hAnsi="Times New Roman"/>
                <w:b/>
                <w:bCs/>
                <w:color w:val="000000"/>
                <w:sz w:val="16"/>
                <w:szCs w:val="16"/>
              </w:rPr>
              <w:t>Net Revenues</w:t>
            </w:r>
          </w:p>
        </w:tc>
      </w:tr>
      <w:tr w:rsidR="00871BDF" w14:paraId="00BAD8FA" w14:textId="77777777">
        <w:tc>
          <w:tcPr>
            <w:tcW w:w="0" w:type="auto"/>
            <w:gridSpan w:val="3"/>
            <w:shd w:val="clear" w:color="auto" w:fill="D7E4BC"/>
            <w:tcMar>
              <w:top w:w="40" w:type="dxa"/>
              <w:left w:w="20" w:type="dxa"/>
              <w:bottom w:w="40" w:type="dxa"/>
              <w:right w:w="20" w:type="dxa"/>
            </w:tcMar>
          </w:tcPr>
          <w:p w14:paraId="00BAD8EC" w14:textId="77777777" w:rsidR="00871BDF" w:rsidRDefault="005C5088">
            <w:pPr>
              <w:textAlignment w:val="top"/>
            </w:pPr>
            <w:r>
              <w:rPr>
                <w:rFonts w:ascii="Times New Roman" w:eastAsia="宋体" w:hAnsi="Times New Roman"/>
                <w:color w:val="000000"/>
                <w:sz w:val="20"/>
                <w:szCs w:val="20"/>
              </w:rPr>
              <w:t>Product and distribution costs</w:t>
            </w:r>
          </w:p>
        </w:tc>
        <w:tc>
          <w:tcPr>
            <w:tcW w:w="0" w:type="auto"/>
            <w:shd w:val="clear" w:color="auto" w:fill="D7E4BC"/>
            <w:tcMar>
              <w:top w:w="40" w:type="dxa"/>
              <w:left w:w="20" w:type="dxa"/>
              <w:bottom w:w="40" w:type="dxa"/>
              <w:right w:w="0" w:type="dxa"/>
            </w:tcMar>
            <w:vAlign w:val="bottom"/>
          </w:tcPr>
          <w:p w14:paraId="00BAD8ED"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D8EE" w14:textId="77777777" w:rsidR="00871BDF" w:rsidRDefault="005C5088">
            <w:pPr>
              <w:jc w:val="right"/>
              <w:textAlignment w:val="bottom"/>
            </w:pPr>
            <w:r>
              <w:rPr>
                <w:rFonts w:ascii="Times New Roman" w:eastAsia="宋体" w:hAnsi="Times New Roman"/>
                <w:color w:val="000000"/>
                <w:sz w:val="20"/>
                <w:szCs w:val="20"/>
              </w:rPr>
              <w:t>7,694.9 </w:t>
            </w:r>
          </w:p>
        </w:tc>
        <w:tc>
          <w:tcPr>
            <w:tcW w:w="0" w:type="auto"/>
            <w:shd w:val="clear" w:color="auto" w:fill="D7E4BC"/>
            <w:tcMar>
              <w:top w:w="40" w:type="dxa"/>
              <w:left w:w="0" w:type="dxa"/>
              <w:bottom w:w="40" w:type="dxa"/>
              <w:right w:w="20" w:type="dxa"/>
            </w:tcMar>
            <w:vAlign w:val="bottom"/>
          </w:tcPr>
          <w:p w14:paraId="00BAD8E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8F0"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D8F1"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D8F2" w14:textId="77777777" w:rsidR="00871BDF" w:rsidRDefault="005C5088">
            <w:pPr>
              <w:jc w:val="right"/>
              <w:textAlignment w:val="bottom"/>
            </w:pPr>
            <w:r>
              <w:rPr>
                <w:rFonts w:ascii="Times New Roman" w:eastAsia="宋体" w:hAnsi="Times New Roman"/>
                <w:color w:val="000000"/>
                <w:sz w:val="20"/>
                <w:szCs w:val="20"/>
              </w:rPr>
              <w:t>8,526.9 </w:t>
            </w:r>
          </w:p>
        </w:tc>
        <w:tc>
          <w:tcPr>
            <w:tcW w:w="0" w:type="auto"/>
            <w:shd w:val="clear" w:color="auto" w:fill="D7E4BC"/>
            <w:tcMar>
              <w:top w:w="40" w:type="dxa"/>
              <w:left w:w="0" w:type="dxa"/>
              <w:bottom w:w="40" w:type="dxa"/>
              <w:right w:w="20" w:type="dxa"/>
            </w:tcMar>
            <w:vAlign w:val="bottom"/>
          </w:tcPr>
          <w:p w14:paraId="00BAD8F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8F4"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8F5" w14:textId="77777777" w:rsidR="00871BDF" w:rsidRDefault="005C5088">
            <w:pPr>
              <w:jc w:val="right"/>
              <w:textAlignment w:val="bottom"/>
            </w:pPr>
            <w:r>
              <w:rPr>
                <w:rFonts w:ascii="Times New Roman" w:eastAsia="宋体" w:hAnsi="Times New Roman"/>
                <w:color w:val="000000"/>
                <w:sz w:val="20"/>
                <w:szCs w:val="20"/>
              </w:rPr>
              <w:t>32.7 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8F6"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tcPr>
          <w:p w14:paraId="00BAD8F7"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8F8" w14:textId="77777777" w:rsidR="00871BDF" w:rsidRDefault="005C5088">
            <w:pPr>
              <w:jc w:val="right"/>
              <w:textAlignment w:val="bottom"/>
            </w:pPr>
            <w:r>
              <w:rPr>
                <w:rFonts w:ascii="Times New Roman" w:eastAsia="宋体" w:hAnsi="Times New Roman"/>
                <w:color w:val="000000"/>
                <w:sz w:val="20"/>
                <w:szCs w:val="20"/>
              </w:rPr>
              <w:t>32.2 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8F9"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D907" w14:textId="77777777">
        <w:tc>
          <w:tcPr>
            <w:tcW w:w="0" w:type="auto"/>
            <w:gridSpan w:val="3"/>
            <w:shd w:val="clear" w:color="auto" w:fill="FFFFFF"/>
            <w:tcMar>
              <w:top w:w="40" w:type="dxa"/>
              <w:left w:w="20" w:type="dxa"/>
              <w:bottom w:w="40" w:type="dxa"/>
              <w:right w:w="20" w:type="dxa"/>
            </w:tcMar>
          </w:tcPr>
          <w:p w14:paraId="00BAD8FB" w14:textId="77777777" w:rsidR="00871BDF" w:rsidRDefault="005C5088">
            <w:pPr>
              <w:textAlignment w:val="top"/>
            </w:pPr>
            <w:r>
              <w:rPr>
                <w:rFonts w:ascii="Times New Roman" w:eastAsia="宋体" w:hAnsi="Times New Roman"/>
                <w:color w:val="000000"/>
                <w:sz w:val="20"/>
                <w:szCs w:val="20"/>
              </w:rPr>
              <w:t xml:space="preserve">Store operating expenses </w:t>
            </w:r>
          </w:p>
        </w:tc>
        <w:tc>
          <w:tcPr>
            <w:tcW w:w="0" w:type="auto"/>
            <w:gridSpan w:val="2"/>
            <w:shd w:val="clear" w:color="auto" w:fill="FFFFFF"/>
            <w:tcMar>
              <w:top w:w="40" w:type="dxa"/>
              <w:left w:w="20" w:type="dxa"/>
              <w:bottom w:w="40" w:type="dxa"/>
              <w:right w:w="0" w:type="dxa"/>
            </w:tcMar>
            <w:vAlign w:val="bottom"/>
          </w:tcPr>
          <w:p w14:paraId="00BAD8FC" w14:textId="77777777" w:rsidR="00871BDF" w:rsidRDefault="005C5088">
            <w:pPr>
              <w:jc w:val="right"/>
              <w:textAlignment w:val="bottom"/>
            </w:pPr>
            <w:r>
              <w:rPr>
                <w:rFonts w:ascii="Times New Roman" w:eastAsia="宋体" w:hAnsi="Times New Roman"/>
                <w:color w:val="000000"/>
                <w:sz w:val="20"/>
                <w:szCs w:val="20"/>
              </w:rPr>
              <w:t>10,764.0 </w:t>
            </w:r>
          </w:p>
        </w:tc>
        <w:tc>
          <w:tcPr>
            <w:tcW w:w="0" w:type="auto"/>
            <w:shd w:val="clear" w:color="auto" w:fill="FFFFFF"/>
            <w:tcMar>
              <w:top w:w="40" w:type="dxa"/>
              <w:left w:w="0" w:type="dxa"/>
              <w:bottom w:w="40" w:type="dxa"/>
              <w:right w:w="20" w:type="dxa"/>
            </w:tcMar>
            <w:vAlign w:val="bottom"/>
          </w:tcPr>
          <w:p w14:paraId="00BAD8F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8F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8FF" w14:textId="77777777" w:rsidR="00871BDF" w:rsidRDefault="005C5088">
            <w:pPr>
              <w:jc w:val="right"/>
              <w:textAlignment w:val="bottom"/>
            </w:pPr>
            <w:r>
              <w:rPr>
                <w:rFonts w:ascii="Times New Roman" w:eastAsia="宋体" w:hAnsi="Times New Roman"/>
                <w:color w:val="000000"/>
                <w:sz w:val="20"/>
                <w:szCs w:val="20"/>
              </w:rPr>
              <w:t>10,493.6 </w:t>
            </w:r>
          </w:p>
        </w:tc>
        <w:tc>
          <w:tcPr>
            <w:tcW w:w="0" w:type="auto"/>
            <w:shd w:val="clear" w:color="auto" w:fill="FFFFFF"/>
            <w:tcMar>
              <w:top w:w="40" w:type="dxa"/>
              <w:left w:w="0" w:type="dxa"/>
              <w:bottom w:w="40" w:type="dxa"/>
              <w:right w:w="20" w:type="dxa"/>
            </w:tcMar>
            <w:vAlign w:val="bottom"/>
          </w:tcPr>
          <w:p w14:paraId="00BAD90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0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02" w14:textId="77777777" w:rsidR="00871BDF" w:rsidRDefault="005C5088">
            <w:pPr>
              <w:jc w:val="right"/>
              <w:textAlignment w:val="bottom"/>
            </w:pPr>
            <w:r>
              <w:rPr>
                <w:rFonts w:ascii="Times New Roman" w:eastAsia="宋体" w:hAnsi="Times New Roman"/>
                <w:color w:val="000000"/>
                <w:sz w:val="20"/>
                <w:szCs w:val="20"/>
              </w:rPr>
              <w:t>45.8 </w:t>
            </w:r>
          </w:p>
        </w:tc>
        <w:tc>
          <w:tcPr>
            <w:tcW w:w="0" w:type="auto"/>
            <w:shd w:val="clear" w:color="auto" w:fill="FFFFFF"/>
            <w:tcMar>
              <w:top w:w="40" w:type="dxa"/>
              <w:left w:w="0" w:type="dxa"/>
              <w:bottom w:w="40" w:type="dxa"/>
              <w:right w:w="20" w:type="dxa"/>
            </w:tcMar>
            <w:vAlign w:val="bottom"/>
          </w:tcPr>
          <w:p w14:paraId="00BAD90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0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05" w14:textId="77777777" w:rsidR="00871BDF" w:rsidRDefault="005C5088">
            <w:pPr>
              <w:jc w:val="right"/>
              <w:textAlignment w:val="bottom"/>
            </w:pPr>
            <w:r>
              <w:rPr>
                <w:rFonts w:ascii="Times New Roman" w:eastAsia="宋体" w:hAnsi="Times New Roman"/>
                <w:color w:val="000000"/>
                <w:sz w:val="20"/>
                <w:szCs w:val="20"/>
              </w:rPr>
              <w:t>39.6 </w:t>
            </w:r>
          </w:p>
        </w:tc>
        <w:tc>
          <w:tcPr>
            <w:tcW w:w="0" w:type="auto"/>
            <w:shd w:val="clear" w:color="auto" w:fill="FFFFFF"/>
            <w:tcMar>
              <w:top w:w="40" w:type="dxa"/>
              <w:left w:w="0" w:type="dxa"/>
              <w:bottom w:w="40" w:type="dxa"/>
              <w:right w:w="20" w:type="dxa"/>
            </w:tcMar>
            <w:vAlign w:val="bottom"/>
          </w:tcPr>
          <w:p w14:paraId="00BAD906" w14:textId="77777777" w:rsidR="00871BDF" w:rsidRDefault="00871BDF">
            <w:pPr>
              <w:jc w:val="right"/>
              <w:rPr>
                <w:rFonts w:ascii="宋体"/>
              </w:rPr>
            </w:pPr>
          </w:p>
        </w:tc>
      </w:tr>
      <w:tr w:rsidR="00871BDF" w14:paraId="00BAD914" w14:textId="77777777">
        <w:tc>
          <w:tcPr>
            <w:tcW w:w="0" w:type="auto"/>
            <w:gridSpan w:val="3"/>
            <w:shd w:val="clear" w:color="auto" w:fill="D7E4BC"/>
            <w:tcMar>
              <w:top w:w="40" w:type="dxa"/>
              <w:left w:w="20" w:type="dxa"/>
              <w:bottom w:w="40" w:type="dxa"/>
              <w:right w:w="20" w:type="dxa"/>
            </w:tcMar>
          </w:tcPr>
          <w:p w14:paraId="00BAD908" w14:textId="77777777" w:rsidR="00871BDF" w:rsidRDefault="005C5088">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00BAD909" w14:textId="77777777" w:rsidR="00871BDF" w:rsidRDefault="005C5088">
            <w:pPr>
              <w:jc w:val="right"/>
              <w:textAlignment w:val="bottom"/>
            </w:pPr>
            <w:r>
              <w:rPr>
                <w:rFonts w:ascii="Times New Roman" w:eastAsia="宋体" w:hAnsi="Times New Roman"/>
                <w:color w:val="000000"/>
                <w:sz w:val="20"/>
                <w:szCs w:val="20"/>
              </w:rPr>
              <w:t>430.3 </w:t>
            </w:r>
          </w:p>
        </w:tc>
        <w:tc>
          <w:tcPr>
            <w:tcW w:w="0" w:type="auto"/>
            <w:shd w:val="clear" w:color="auto" w:fill="D7E4BC"/>
            <w:tcMar>
              <w:top w:w="40" w:type="dxa"/>
              <w:left w:w="0" w:type="dxa"/>
              <w:bottom w:w="40" w:type="dxa"/>
              <w:right w:w="20" w:type="dxa"/>
            </w:tcMar>
            <w:vAlign w:val="bottom"/>
          </w:tcPr>
          <w:p w14:paraId="00BAD90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0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90C" w14:textId="77777777" w:rsidR="00871BDF" w:rsidRDefault="005C5088">
            <w:pPr>
              <w:jc w:val="right"/>
              <w:textAlignment w:val="bottom"/>
            </w:pPr>
            <w:r>
              <w:rPr>
                <w:rFonts w:ascii="Times New Roman" w:eastAsia="宋体" w:hAnsi="Times New Roman"/>
                <w:color w:val="000000"/>
                <w:sz w:val="20"/>
                <w:szCs w:val="20"/>
              </w:rPr>
              <w:t>371.0 </w:t>
            </w:r>
          </w:p>
        </w:tc>
        <w:tc>
          <w:tcPr>
            <w:tcW w:w="0" w:type="auto"/>
            <w:shd w:val="clear" w:color="auto" w:fill="D7E4BC"/>
            <w:tcMar>
              <w:top w:w="40" w:type="dxa"/>
              <w:left w:w="0" w:type="dxa"/>
              <w:bottom w:w="40" w:type="dxa"/>
              <w:right w:w="20" w:type="dxa"/>
            </w:tcMar>
            <w:vAlign w:val="bottom"/>
          </w:tcPr>
          <w:p w14:paraId="00BAD90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0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90F" w14:textId="77777777" w:rsidR="00871BDF" w:rsidRDefault="005C5088">
            <w:pPr>
              <w:jc w:val="right"/>
              <w:textAlignment w:val="bottom"/>
            </w:pPr>
            <w:r>
              <w:rPr>
                <w:rFonts w:ascii="Times New Roman" w:eastAsia="宋体" w:hAnsi="Times New Roman"/>
                <w:color w:val="000000"/>
                <w:sz w:val="20"/>
                <w:szCs w:val="20"/>
              </w:rPr>
              <w:t>1.8 </w:t>
            </w:r>
          </w:p>
        </w:tc>
        <w:tc>
          <w:tcPr>
            <w:tcW w:w="0" w:type="auto"/>
            <w:shd w:val="clear" w:color="auto" w:fill="D7E4BC"/>
            <w:tcMar>
              <w:top w:w="40" w:type="dxa"/>
              <w:left w:w="0" w:type="dxa"/>
              <w:bottom w:w="40" w:type="dxa"/>
              <w:right w:w="20" w:type="dxa"/>
            </w:tcMar>
            <w:vAlign w:val="bottom"/>
          </w:tcPr>
          <w:p w14:paraId="00BAD91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1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912" w14:textId="77777777" w:rsidR="00871BDF" w:rsidRDefault="005C5088">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00BAD913" w14:textId="77777777" w:rsidR="00871BDF" w:rsidRDefault="00871BDF">
            <w:pPr>
              <w:jc w:val="right"/>
              <w:rPr>
                <w:rFonts w:ascii="宋体"/>
              </w:rPr>
            </w:pPr>
          </w:p>
        </w:tc>
      </w:tr>
      <w:tr w:rsidR="00871BDF" w14:paraId="00BAD921" w14:textId="77777777">
        <w:tc>
          <w:tcPr>
            <w:tcW w:w="0" w:type="auto"/>
            <w:gridSpan w:val="3"/>
            <w:shd w:val="clear" w:color="auto" w:fill="FFFFFF"/>
            <w:tcMar>
              <w:top w:w="40" w:type="dxa"/>
              <w:left w:w="20" w:type="dxa"/>
              <w:bottom w:w="40" w:type="dxa"/>
              <w:right w:w="20" w:type="dxa"/>
            </w:tcMar>
          </w:tcPr>
          <w:p w14:paraId="00BAD915"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00BAD916" w14:textId="77777777" w:rsidR="00871BDF" w:rsidRDefault="005C5088">
            <w:pPr>
              <w:jc w:val="right"/>
              <w:textAlignment w:val="bottom"/>
            </w:pPr>
            <w:r>
              <w:rPr>
                <w:rFonts w:ascii="Times New Roman" w:eastAsia="宋体" w:hAnsi="Times New Roman"/>
                <w:color w:val="000000"/>
                <w:sz w:val="20"/>
                <w:szCs w:val="20"/>
              </w:rPr>
              <w:t>1,431.3 </w:t>
            </w:r>
          </w:p>
        </w:tc>
        <w:tc>
          <w:tcPr>
            <w:tcW w:w="0" w:type="auto"/>
            <w:shd w:val="clear" w:color="auto" w:fill="FFFFFF"/>
            <w:tcMar>
              <w:top w:w="40" w:type="dxa"/>
              <w:left w:w="0" w:type="dxa"/>
              <w:bottom w:w="40" w:type="dxa"/>
              <w:right w:w="20" w:type="dxa"/>
            </w:tcMar>
            <w:vAlign w:val="bottom"/>
          </w:tcPr>
          <w:p w14:paraId="00BAD91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1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19" w14:textId="77777777" w:rsidR="00871BDF" w:rsidRDefault="005C5088">
            <w:pPr>
              <w:jc w:val="right"/>
              <w:textAlignment w:val="bottom"/>
            </w:pPr>
            <w:r>
              <w:rPr>
                <w:rFonts w:ascii="Times New Roman" w:eastAsia="宋体" w:hAnsi="Times New Roman"/>
                <w:color w:val="000000"/>
                <w:sz w:val="20"/>
                <w:szCs w:val="20"/>
              </w:rPr>
              <w:t>1,377.3 </w:t>
            </w:r>
          </w:p>
        </w:tc>
        <w:tc>
          <w:tcPr>
            <w:tcW w:w="0" w:type="auto"/>
            <w:shd w:val="clear" w:color="auto" w:fill="FFFFFF"/>
            <w:tcMar>
              <w:top w:w="40" w:type="dxa"/>
              <w:left w:w="0" w:type="dxa"/>
              <w:bottom w:w="40" w:type="dxa"/>
              <w:right w:w="20" w:type="dxa"/>
            </w:tcMar>
            <w:vAlign w:val="bottom"/>
          </w:tcPr>
          <w:p w14:paraId="00BAD91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1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1C" w14:textId="77777777" w:rsidR="00871BDF" w:rsidRDefault="005C5088">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00BAD91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1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1F" w14:textId="77777777" w:rsidR="00871BDF" w:rsidRDefault="005C5088">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00BAD920" w14:textId="77777777" w:rsidR="00871BDF" w:rsidRDefault="00871BDF">
            <w:pPr>
              <w:jc w:val="right"/>
              <w:rPr>
                <w:rFonts w:ascii="宋体"/>
              </w:rPr>
            </w:pPr>
          </w:p>
        </w:tc>
      </w:tr>
      <w:tr w:rsidR="00871BDF" w14:paraId="00BAD92E" w14:textId="77777777">
        <w:tc>
          <w:tcPr>
            <w:tcW w:w="0" w:type="auto"/>
            <w:gridSpan w:val="3"/>
            <w:shd w:val="clear" w:color="auto" w:fill="D7E4BC"/>
            <w:tcMar>
              <w:top w:w="40" w:type="dxa"/>
              <w:left w:w="20" w:type="dxa"/>
              <w:bottom w:w="40" w:type="dxa"/>
              <w:right w:w="20" w:type="dxa"/>
            </w:tcMar>
          </w:tcPr>
          <w:p w14:paraId="00BAD922" w14:textId="77777777" w:rsidR="00871BDF" w:rsidRDefault="005C5088">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00BAD923" w14:textId="77777777" w:rsidR="00871BDF" w:rsidRDefault="005C5088">
            <w:pPr>
              <w:jc w:val="right"/>
              <w:textAlignment w:val="bottom"/>
            </w:pPr>
            <w:r>
              <w:rPr>
                <w:rFonts w:ascii="Times New Roman" w:eastAsia="宋体" w:hAnsi="Times New Roman"/>
                <w:color w:val="000000"/>
                <w:sz w:val="20"/>
                <w:szCs w:val="20"/>
              </w:rPr>
              <w:t>1,679.6 </w:t>
            </w:r>
          </w:p>
        </w:tc>
        <w:tc>
          <w:tcPr>
            <w:tcW w:w="0" w:type="auto"/>
            <w:shd w:val="clear" w:color="auto" w:fill="D7E4BC"/>
            <w:tcMar>
              <w:top w:w="40" w:type="dxa"/>
              <w:left w:w="0" w:type="dxa"/>
              <w:bottom w:w="40" w:type="dxa"/>
              <w:right w:w="20" w:type="dxa"/>
            </w:tcMar>
            <w:vAlign w:val="bottom"/>
          </w:tcPr>
          <w:p w14:paraId="00BAD92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2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926" w14:textId="77777777" w:rsidR="00871BDF" w:rsidRDefault="005C5088">
            <w:pPr>
              <w:jc w:val="right"/>
              <w:textAlignment w:val="bottom"/>
            </w:pPr>
            <w:r>
              <w:rPr>
                <w:rFonts w:ascii="Times New Roman" w:eastAsia="宋体" w:hAnsi="Times New Roman"/>
                <w:color w:val="000000"/>
                <w:sz w:val="20"/>
                <w:szCs w:val="20"/>
              </w:rPr>
              <w:t>1,824.1 </w:t>
            </w:r>
          </w:p>
        </w:tc>
        <w:tc>
          <w:tcPr>
            <w:tcW w:w="0" w:type="auto"/>
            <w:shd w:val="clear" w:color="auto" w:fill="D7E4BC"/>
            <w:tcMar>
              <w:top w:w="40" w:type="dxa"/>
              <w:left w:w="0" w:type="dxa"/>
              <w:bottom w:w="40" w:type="dxa"/>
              <w:right w:w="20" w:type="dxa"/>
            </w:tcMar>
            <w:vAlign w:val="bottom"/>
          </w:tcPr>
          <w:p w14:paraId="00BAD92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2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929" w14:textId="77777777" w:rsidR="00871BDF" w:rsidRDefault="005C5088">
            <w:pPr>
              <w:jc w:val="right"/>
              <w:textAlignment w:val="bottom"/>
            </w:pPr>
            <w:r>
              <w:rPr>
                <w:rFonts w:ascii="Times New Roman" w:eastAsia="宋体" w:hAnsi="Times New Roman"/>
                <w:color w:val="000000"/>
                <w:sz w:val="20"/>
                <w:szCs w:val="20"/>
              </w:rPr>
              <w:t>7.1 </w:t>
            </w:r>
          </w:p>
        </w:tc>
        <w:tc>
          <w:tcPr>
            <w:tcW w:w="0" w:type="auto"/>
            <w:shd w:val="clear" w:color="auto" w:fill="D7E4BC"/>
            <w:tcMar>
              <w:top w:w="40" w:type="dxa"/>
              <w:left w:w="0" w:type="dxa"/>
              <w:bottom w:w="40" w:type="dxa"/>
              <w:right w:w="20" w:type="dxa"/>
            </w:tcMar>
            <w:vAlign w:val="bottom"/>
          </w:tcPr>
          <w:p w14:paraId="00BAD92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2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92C" w14:textId="77777777" w:rsidR="00871BDF" w:rsidRDefault="005C5088">
            <w:pPr>
              <w:jc w:val="right"/>
              <w:textAlignment w:val="bottom"/>
            </w:pPr>
            <w:r>
              <w:rPr>
                <w:rFonts w:ascii="Times New Roman" w:eastAsia="宋体" w:hAnsi="Times New Roman"/>
                <w:color w:val="000000"/>
                <w:sz w:val="20"/>
                <w:szCs w:val="20"/>
              </w:rPr>
              <w:t>6.9 </w:t>
            </w:r>
          </w:p>
        </w:tc>
        <w:tc>
          <w:tcPr>
            <w:tcW w:w="0" w:type="auto"/>
            <w:shd w:val="clear" w:color="auto" w:fill="D7E4BC"/>
            <w:tcMar>
              <w:top w:w="40" w:type="dxa"/>
              <w:left w:w="0" w:type="dxa"/>
              <w:bottom w:w="40" w:type="dxa"/>
              <w:right w:w="20" w:type="dxa"/>
            </w:tcMar>
            <w:vAlign w:val="bottom"/>
          </w:tcPr>
          <w:p w14:paraId="00BAD92D" w14:textId="77777777" w:rsidR="00871BDF" w:rsidRDefault="00871BDF">
            <w:pPr>
              <w:jc w:val="right"/>
              <w:rPr>
                <w:rFonts w:ascii="宋体"/>
              </w:rPr>
            </w:pPr>
          </w:p>
        </w:tc>
      </w:tr>
      <w:tr w:rsidR="00871BDF" w14:paraId="00BAD93B" w14:textId="77777777">
        <w:tc>
          <w:tcPr>
            <w:tcW w:w="0" w:type="auto"/>
            <w:gridSpan w:val="3"/>
            <w:shd w:val="clear" w:color="auto" w:fill="FFFFFF"/>
            <w:tcMar>
              <w:top w:w="40" w:type="dxa"/>
              <w:left w:w="20" w:type="dxa"/>
              <w:bottom w:w="40" w:type="dxa"/>
              <w:right w:w="20" w:type="dxa"/>
            </w:tcMar>
          </w:tcPr>
          <w:p w14:paraId="00BAD92F" w14:textId="77777777" w:rsidR="00871BDF" w:rsidRDefault="005C5088">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00BAD930" w14:textId="77777777" w:rsidR="00871BDF" w:rsidRDefault="005C5088">
            <w:pPr>
              <w:jc w:val="right"/>
              <w:textAlignment w:val="bottom"/>
            </w:pPr>
            <w:r>
              <w:rPr>
                <w:rFonts w:ascii="Times New Roman" w:eastAsia="宋体" w:hAnsi="Times New Roman"/>
                <w:color w:val="000000"/>
                <w:sz w:val="20"/>
                <w:szCs w:val="20"/>
              </w:rPr>
              <w:t>278.7 </w:t>
            </w:r>
          </w:p>
        </w:tc>
        <w:tc>
          <w:tcPr>
            <w:tcW w:w="0" w:type="auto"/>
            <w:shd w:val="clear" w:color="auto" w:fill="FFFFFF"/>
            <w:tcMar>
              <w:top w:w="40" w:type="dxa"/>
              <w:left w:w="0" w:type="dxa"/>
              <w:bottom w:w="40" w:type="dxa"/>
              <w:right w:w="20" w:type="dxa"/>
            </w:tcMar>
            <w:vAlign w:val="bottom"/>
          </w:tcPr>
          <w:p w14:paraId="00BAD93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3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33" w14:textId="77777777" w:rsidR="00871BDF" w:rsidRDefault="005C5088">
            <w:pPr>
              <w:jc w:val="right"/>
              <w:textAlignment w:val="bottom"/>
            </w:pPr>
            <w:r>
              <w:rPr>
                <w:rFonts w:ascii="Times New Roman" w:eastAsia="宋体" w:hAnsi="Times New Roman"/>
                <w:color w:val="000000"/>
                <w:sz w:val="20"/>
                <w:szCs w:val="20"/>
              </w:rPr>
              <w:t>135.8 </w:t>
            </w:r>
          </w:p>
        </w:tc>
        <w:tc>
          <w:tcPr>
            <w:tcW w:w="0" w:type="auto"/>
            <w:shd w:val="clear" w:color="auto" w:fill="FFFFFF"/>
            <w:tcMar>
              <w:top w:w="40" w:type="dxa"/>
              <w:left w:w="0" w:type="dxa"/>
              <w:bottom w:w="40" w:type="dxa"/>
              <w:right w:w="20" w:type="dxa"/>
            </w:tcMar>
            <w:vAlign w:val="bottom"/>
          </w:tcPr>
          <w:p w14:paraId="00BAD93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3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36" w14:textId="77777777" w:rsidR="00871BDF" w:rsidRDefault="005C5088">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00BAD93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3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39" w14:textId="77777777" w:rsidR="00871BDF" w:rsidRDefault="005C5088">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00BAD93A" w14:textId="77777777" w:rsidR="00871BDF" w:rsidRDefault="00871BDF">
            <w:pPr>
              <w:jc w:val="right"/>
              <w:rPr>
                <w:rFonts w:ascii="宋体"/>
              </w:rPr>
            </w:pPr>
          </w:p>
        </w:tc>
      </w:tr>
      <w:tr w:rsidR="00871BDF" w14:paraId="00BAD944" w14:textId="77777777">
        <w:trPr>
          <w:hidden/>
        </w:trPr>
        <w:tc>
          <w:tcPr>
            <w:tcW w:w="0" w:type="auto"/>
            <w:gridSpan w:val="3"/>
            <w:shd w:val="clear" w:color="auto" w:fill="auto"/>
          </w:tcPr>
          <w:p w14:paraId="00BAD93C" w14:textId="77777777" w:rsidR="00871BDF" w:rsidRDefault="00871BDF">
            <w:pPr>
              <w:rPr>
                <w:rFonts w:ascii="宋体"/>
                <w:vanish/>
              </w:rPr>
            </w:pPr>
          </w:p>
        </w:tc>
        <w:tc>
          <w:tcPr>
            <w:tcW w:w="0" w:type="auto"/>
            <w:gridSpan w:val="3"/>
            <w:shd w:val="clear" w:color="auto" w:fill="auto"/>
          </w:tcPr>
          <w:p w14:paraId="00BAD93D" w14:textId="77777777" w:rsidR="00871BDF" w:rsidRDefault="00871BDF">
            <w:pPr>
              <w:rPr>
                <w:rFonts w:ascii="宋体"/>
                <w:vanish/>
              </w:rPr>
            </w:pPr>
          </w:p>
        </w:tc>
        <w:tc>
          <w:tcPr>
            <w:tcW w:w="0" w:type="auto"/>
            <w:gridSpan w:val="3"/>
            <w:shd w:val="clear" w:color="auto" w:fill="auto"/>
          </w:tcPr>
          <w:p w14:paraId="00BAD93E" w14:textId="77777777" w:rsidR="00871BDF" w:rsidRDefault="00871BDF">
            <w:pPr>
              <w:rPr>
                <w:rFonts w:ascii="宋体"/>
                <w:vanish/>
              </w:rPr>
            </w:pPr>
          </w:p>
        </w:tc>
        <w:tc>
          <w:tcPr>
            <w:tcW w:w="0" w:type="auto"/>
            <w:gridSpan w:val="3"/>
            <w:shd w:val="clear" w:color="auto" w:fill="auto"/>
          </w:tcPr>
          <w:p w14:paraId="00BAD93F" w14:textId="77777777" w:rsidR="00871BDF" w:rsidRDefault="00871BDF">
            <w:pPr>
              <w:rPr>
                <w:rFonts w:ascii="宋体"/>
                <w:vanish/>
              </w:rPr>
            </w:pPr>
          </w:p>
        </w:tc>
        <w:tc>
          <w:tcPr>
            <w:tcW w:w="0" w:type="auto"/>
            <w:gridSpan w:val="3"/>
            <w:shd w:val="clear" w:color="auto" w:fill="auto"/>
          </w:tcPr>
          <w:p w14:paraId="00BAD940" w14:textId="77777777" w:rsidR="00871BDF" w:rsidRDefault="00871BDF">
            <w:pPr>
              <w:rPr>
                <w:rFonts w:ascii="宋体"/>
                <w:vanish/>
              </w:rPr>
            </w:pPr>
          </w:p>
        </w:tc>
        <w:tc>
          <w:tcPr>
            <w:tcW w:w="0" w:type="auto"/>
            <w:gridSpan w:val="3"/>
            <w:shd w:val="clear" w:color="auto" w:fill="auto"/>
          </w:tcPr>
          <w:p w14:paraId="00BAD941" w14:textId="77777777" w:rsidR="00871BDF" w:rsidRDefault="00871BDF">
            <w:pPr>
              <w:rPr>
                <w:rFonts w:ascii="宋体"/>
                <w:vanish/>
              </w:rPr>
            </w:pPr>
          </w:p>
        </w:tc>
        <w:tc>
          <w:tcPr>
            <w:tcW w:w="0" w:type="auto"/>
            <w:gridSpan w:val="3"/>
            <w:shd w:val="clear" w:color="auto" w:fill="auto"/>
          </w:tcPr>
          <w:p w14:paraId="00BAD942" w14:textId="77777777" w:rsidR="00871BDF" w:rsidRDefault="00871BDF">
            <w:pPr>
              <w:rPr>
                <w:rFonts w:ascii="宋体"/>
                <w:vanish/>
              </w:rPr>
            </w:pPr>
          </w:p>
        </w:tc>
        <w:tc>
          <w:tcPr>
            <w:tcW w:w="0" w:type="auto"/>
            <w:gridSpan w:val="3"/>
            <w:shd w:val="clear" w:color="auto" w:fill="auto"/>
          </w:tcPr>
          <w:p w14:paraId="00BAD943" w14:textId="77777777" w:rsidR="00871BDF" w:rsidRDefault="00871BDF">
            <w:pPr>
              <w:rPr>
                <w:rFonts w:ascii="宋体"/>
                <w:vanish/>
              </w:rPr>
            </w:pPr>
          </w:p>
        </w:tc>
      </w:tr>
      <w:tr w:rsidR="00871BDF" w14:paraId="00BAD951" w14:textId="77777777">
        <w:tc>
          <w:tcPr>
            <w:tcW w:w="0" w:type="auto"/>
            <w:gridSpan w:val="3"/>
            <w:shd w:val="clear" w:color="auto" w:fill="D7E4BC"/>
            <w:tcMar>
              <w:top w:w="40" w:type="dxa"/>
              <w:left w:w="20" w:type="dxa"/>
              <w:bottom w:w="40" w:type="dxa"/>
              <w:right w:w="20" w:type="dxa"/>
            </w:tcMar>
          </w:tcPr>
          <w:p w14:paraId="00BAD945" w14:textId="77777777" w:rsidR="00871BDF" w:rsidRDefault="005C5088">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946" w14:textId="77777777" w:rsidR="00871BDF" w:rsidRDefault="005C5088">
            <w:pPr>
              <w:jc w:val="right"/>
              <w:textAlignment w:val="bottom"/>
            </w:pPr>
            <w:r>
              <w:rPr>
                <w:rFonts w:ascii="Times New Roman" w:eastAsia="宋体" w:hAnsi="Times New Roman"/>
                <w:color w:val="000000"/>
                <w:sz w:val="20"/>
                <w:szCs w:val="20"/>
              </w:rPr>
              <w:t>22,278.8 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4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48"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949" w14:textId="77777777" w:rsidR="00871BDF" w:rsidRDefault="005C5088">
            <w:pPr>
              <w:jc w:val="right"/>
              <w:textAlignment w:val="bottom"/>
            </w:pPr>
            <w:r>
              <w:rPr>
                <w:rFonts w:ascii="Times New Roman" w:eastAsia="宋体" w:hAnsi="Times New Roman"/>
                <w:color w:val="000000"/>
                <w:sz w:val="20"/>
                <w:szCs w:val="20"/>
              </w:rPr>
              <w:t>22,728.7 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4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4B"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94C" w14:textId="77777777" w:rsidR="00871BDF" w:rsidRDefault="005C5088">
            <w:pPr>
              <w:jc w:val="right"/>
              <w:textAlignment w:val="bottom"/>
            </w:pPr>
            <w:r>
              <w:rPr>
                <w:rFonts w:ascii="Times New Roman" w:eastAsia="宋体" w:hAnsi="Times New Roman"/>
                <w:color w:val="000000"/>
                <w:sz w:val="20"/>
                <w:szCs w:val="20"/>
              </w:rPr>
              <w:t>94.7 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4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4E"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94F" w14:textId="77777777" w:rsidR="00871BDF" w:rsidRDefault="005C5088">
            <w:pPr>
              <w:jc w:val="right"/>
              <w:textAlignment w:val="bottom"/>
            </w:pPr>
            <w:r>
              <w:rPr>
                <w:rFonts w:ascii="Times New Roman" w:eastAsia="宋体" w:hAnsi="Times New Roman"/>
                <w:color w:val="000000"/>
                <w:sz w:val="20"/>
                <w:szCs w:val="20"/>
              </w:rPr>
              <w:t>85.7 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50" w14:textId="77777777" w:rsidR="00871BDF" w:rsidRDefault="00871BDF">
            <w:pPr>
              <w:jc w:val="right"/>
              <w:rPr>
                <w:rFonts w:ascii="宋体"/>
              </w:rPr>
            </w:pPr>
          </w:p>
        </w:tc>
      </w:tr>
      <w:tr w:rsidR="00871BDF" w14:paraId="00BAD95E" w14:textId="77777777">
        <w:tc>
          <w:tcPr>
            <w:tcW w:w="0" w:type="auto"/>
            <w:gridSpan w:val="3"/>
            <w:shd w:val="clear" w:color="auto" w:fill="FFFFFF"/>
            <w:tcMar>
              <w:top w:w="40" w:type="dxa"/>
              <w:left w:w="20" w:type="dxa"/>
              <w:bottom w:w="40" w:type="dxa"/>
              <w:right w:w="20" w:type="dxa"/>
            </w:tcMar>
          </w:tcPr>
          <w:p w14:paraId="00BAD952" w14:textId="77777777" w:rsidR="00871BDF" w:rsidRDefault="005C5088">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00BAD953" w14:textId="77777777" w:rsidR="00871BDF" w:rsidRDefault="005C5088">
            <w:pPr>
              <w:jc w:val="right"/>
              <w:textAlignment w:val="bottom"/>
            </w:pPr>
            <w:r>
              <w:rPr>
                <w:rFonts w:ascii="Times New Roman" w:eastAsia="宋体" w:hAnsi="Times New Roman"/>
                <w:color w:val="000000"/>
                <w:sz w:val="20"/>
                <w:szCs w:val="20"/>
              </w:rPr>
              <w:t>322.5 </w:t>
            </w:r>
          </w:p>
        </w:tc>
        <w:tc>
          <w:tcPr>
            <w:tcW w:w="0" w:type="auto"/>
            <w:shd w:val="clear" w:color="auto" w:fill="FFFFFF"/>
            <w:tcMar>
              <w:top w:w="40" w:type="dxa"/>
              <w:left w:w="0" w:type="dxa"/>
              <w:bottom w:w="40" w:type="dxa"/>
              <w:right w:w="20" w:type="dxa"/>
            </w:tcMar>
            <w:vAlign w:val="bottom"/>
          </w:tcPr>
          <w:p w14:paraId="00BAD95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5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56" w14:textId="77777777" w:rsidR="00871BDF" w:rsidRDefault="005C5088">
            <w:pPr>
              <w:jc w:val="right"/>
              <w:textAlignment w:val="bottom"/>
            </w:pPr>
            <w:r>
              <w:rPr>
                <w:rFonts w:ascii="Times New Roman" w:eastAsia="宋体" w:hAnsi="Times New Roman"/>
                <w:color w:val="000000"/>
                <w:sz w:val="20"/>
                <w:szCs w:val="20"/>
              </w:rPr>
              <w:t>298.0 </w:t>
            </w:r>
          </w:p>
        </w:tc>
        <w:tc>
          <w:tcPr>
            <w:tcW w:w="0" w:type="auto"/>
            <w:shd w:val="clear" w:color="auto" w:fill="FFFFFF"/>
            <w:tcMar>
              <w:top w:w="40" w:type="dxa"/>
              <w:left w:w="0" w:type="dxa"/>
              <w:bottom w:w="40" w:type="dxa"/>
              <w:right w:w="20" w:type="dxa"/>
            </w:tcMar>
            <w:vAlign w:val="bottom"/>
          </w:tcPr>
          <w:p w14:paraId="00BAD95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5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59" w14:textId="77777777" w:rsidR="00871BDF" w:rsidRDefault="005C5088">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00BAD95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5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5C" w14:textId="77777777" w:rsidR="00871BDF" w:rsidRDefault="005C5088">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0BAD95D" w14:textId="77777777" w:rsidR="00871BDF" w:rsidRDefault="00871BDF">
            <w:pPr>
              <w:jc w:val="right"/>
              <w:rPr>
                <w:rFonts w:ascii="宋体"/>
              </w:rPr>
            </w:pPr>
          </w:p>
        </w:tc>
      </w:tr>
      <w:tr w:rsidR="00871BDF" w14:paraId="00BAD96D" w14:textId="77777777">
        <w:tc>
          <w:tcPr>
            <w:tcW w:w="0" w:type="auto"/>
            <w:gridSpan w:val="3"/>
            <w:shd w:val="clear" w:color="auto" w:fill="D7E4BC"/>
            <w:tcMar>
              <w:top w:w="40" w:type="dxa"/>
              <w:left w:w="380" w:type="dxa"/>
              <w:bottom w:w="40" w:type="dxa"/>
              <w:right w:w="20" w:type="dxa"/>
            </w:tcMar>
          </w:tcPr>
          <w:p w14:paraId="00BAD95F" w14:textId="77777777" w:rsidR="00871BDF" w:rsidRDefault="005C5088">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D960"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D961" w14:textId="77777777" w:rsidR="00871BDF" w:rsidRDefault="005C5088">
            <w:pPr>
              <w:jc w:val="right"/>
              <w:textAlignment w:val="bottom"/>
            </w:pPr>
            <w:r>
              <w:rPr>
                <w:rFonts w:ascii="Times New Roman" w:eastAsia="宋体" w:hAnsi="Times New Roman"/>
                <w:b/>
                <w:bCs/>
                <w:color w:val="000000"/>
                <w:sz w:val="20"/>
                <w:szCs w:val="20"/>
              </w:rPr>
              <w:t>1,561.7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6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63"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D964"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D965" w14:textId="77777777" w:rsidR="00871BDF" w:rsidRDefault="005C5088">
            <w:pPr>
              <w:jc w:val="right"/>
              <w:textAlignment w:val="bottom"/>
            </w:pPr>
            <w:r>
              <w:rPr>
                <w:rFonts w:ascii="Times New Roman" w:eastAsia="宋体" w:hAnsi="Times New Roman"/>
                <w:b/>
                <w:bCs/>
                <w:color w:val="000000"/>
                <w:sz w:val="20"/>
                <w:szCs w:val="20"/>
              </w:rPr>
              <w:t>4,077.9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6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67"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968" w14:textId="77777777" w:rsidR="00871BDF" w:rsidRDefault="005C5088">
            <w:pPr>
              <w:jc w:val="right"/>
              <w:textAlignment w:val="bottom"/>
            </w:pPr>
            <w:r>
              <w:rPr>
                <w:rFonts w:ascii="Times New Roman" w:eastAsia="宋体" w:hAnsi="Times New Roman"/>
                <w:b/>
                <w:bCs/>
                <w:color w:val="000000"/>
                <w:sz w:val="20"/>
                <w:szCs w:val="20"/>
              </w:rPr>
              <w:t>6.6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69"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00BAD96A"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96B" w14:textId="77777777" w:rsidR="00871BDF" w:rsidRDefault="005C5088">
            <w:pPr>
              <w:jc w:val="right"/>
              <w:textAlignment w:val="bottom"/>
            </w:pPr>
            <w:r>
              <w:rPr>
                <w:rFonts w:ascii="Times New Roman" w:eastAsia="宋体" w:hAnsi="Times New Roman"/>
                <w:b/>
                <w:bCs/>
                <w:color w:val="000000"/>
                <w:sz w:val="20"/>
                <w:szCs w:val="20"/>
              </w:rPr>
              <w:t>15.4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6C" w14:textId="77777777" w:rsidR="00871BDF" w:rsidRDefault="005C5088">
            <w:pPr>
              <w:jc w:val="right"/>
              <w:textAlignment w:val="bottom"/>
            </w:pPr>
            <w:r>
              <w:rPr>
                <w:rFonts w:ascii="Times New Roman" w:eastAsia="宋体" w:hAnsi="Times New Roman"/>
                <w:b/>
                <w:bCs/>
                <w:color w:val="000000"/>
                <w:sz w:val="20"/>
                <w:szCs w:val="20"/>
              </w:rPr>
              <w:t>%</w:t>
            </w:r>
          </w:p>
        </w:tc>
      </w:tr>
      <w:tr w:rsidR="00871BDF" w14:paraId="00BAD978" w14:textId="77777777">
        <w:tc>
          <w:tcPr>
            <w:tcW w:w="0" w:type="auto"/>
            <w:gridSpan w:val="3"/>
            <w:shd w:val="clear" w:color="auto" w:fill="FFFFFF"/>
            <w:tcMar>
              <w:top w:w="40" w:type="dxa"/>
              <w:left w:w="20" w:type="dxa"/>
              <w:bottom w:w="40" w:type="dxa"/>
              <w:right w:w="20" w:type="dxa"/>
            </w:tcMar>
          </w:tcPr>
          <w:p w14:paraId="00BAD96E" w14:textId="77777777" w:rsidR="00871BDF" w:rsidRDefault="005C5088">
            <w:pPr>
              <w:textAlignment w:val="top"/>
            </w:pPr>
            <w:r>
              <w:rPr>
                <w:rFonts w:ascii="Times New Roman" w:eastAsia="宋体" w:hAnsi="Times New Roman"/>
                <w:color w:val="000000"/>
                <w:sz w:val="20"/>
                <w:szCs w:val="20"/>
              </w:rPr>
              <w:t>Store operating expenses as a % of related revenues</w:t>
            </w:r>
          </w:p>
        </w:tc>
        <w:tc>
          <w:tcPr>
            <w:tcW w:w="0" w:type="auto"/>
            <w:gridSpan w:val="3"/>
            <w:shd w:val="clear" w:color="auto" w:fill="FFFFFF"/>
            <w:tcMar>
              <w:top w:w="0" w:type="dxa"/>
              <w:left w:w="20" w:type="dxa"/>
              <w:bottom w:w="0" w:type="dxa"/>
              <w:right w:w="20" w:type="dxa"/>
            </w:tcMar>
          </w:tcPr>
          <w:p w14:paraId="00BAD96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97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97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97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73" w14:textId="77777777" w:rsidR="00871BDF" w:rsidRDefault="005C5088">
            <w:pPr>
              <w:jc w:val="right"/>
              <w:textAlignment w:val="bottom"/>
            </w:pPr>
            <w:r>
              <w:rPr>
                <w:rFonts w:ascii="Times New Roman" w:eastAsia="宋体" w:hAnsi="Times New Roman"/>
                <w:color w:val="000000"/>
                <w:sz w:val="20"/>
                <w:szCs w:val="20"/>
              </w:rPr>
              <w:t>56.2 </w:t>
            </w:r>
          </w:p>
        </w:tc>
        <w:tc>
          <w:tcPr>
            <w:tcW w:w="0" w:type="auto"/>
            <w:shd w:val="clear" w:color="auto" w:fill="FFFFFF"/>
            <w:tcMar>
              <w:top w:w="40" w:type="dxa"/>
              <w:left w:w="0" w:type="dxa"/>
              <w:bottom w:w="40" w:type="dxa"/>
              <w:right w:w="20" w:type="dxa"/>
            </w:tcMar>
            <w:vAlign w:val="bottom"/>
          </w:tcPr>
          <w:p w14:paraId="00BAD974"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97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76" w14:textId="77777777" w:rsidR="00871BDF" w:rsidRDefault="005C5088">
            <w:pPr>
              <w:jc w:val="right"/>
              <w:textAlignment w:val="bottom"/>
            </w:pPr>
            <w:r>
              <w:rPr>
                <w:rFonts w:ascii="Times New Roman" w:eastAsia="宋体" w:hAnsi="Times New Roman"/>
                <w:color w:val="000000"/>
                <w:sz w:val="20"/>
                <w:szCs w:val="20"/>
              </w:rPr>
              <w:t>48.7 </w:t>
            </w:r>
          </w:p>
        </w:tc>
        <w:tc>
          <w:tcPr>
            <w:tcW w:w="0" w:type="auto"/>
            <w:shd w:val="clear" w:color="auto" w:fill="FFFFFF"/>
            <w:tcMar>
              <w:top w:w="40" w:type="dxa"/>
              <w:left w:w="0" w:type="dxa"/>
              <w:bottom w:w="40" w:type="dxa"/>
              <w:right w:w="20" w:type="dxa"/>
            </w:tcMar>
            <w:vAlign w:val="bottom"/>
          </w:tcPr>
          <w:p w14:paraId="00BAD977" w14:textId="77777777" w:rsidR="00871BDF" w:rsidRDefault="005C5088">
            <w:pPr>
              <w:jc w:val="right"/>
              <w:textAlignment w:val="bottom"/>
            </w:pPr>
            <w:r>
              <w:rPr>
                <w:rFonts w:ascii="Times New Roman" w:eastAsia="宋体" w:hAnsi="Times New Roman"/>
                <w:color w:val="000000"/>
                <w:sz w:val="20"/>
                <w:szCs w:val="20"/>
              </w:rPr>
              <w:t>%</w:t>
            </w:r>
          </w:p>
        </w:tc>
      </w:tr>
    </w:tbl>
    <w:p w14:paraId="00BAD979" w14:textId="77777777" w:rsidR="00871BDF" w:rsidRDefault="005C5088">
      <w:pPr>
        <w:spacing w:before="120"/>
      </w:pPr>
      <w:r>
        <w:rPr>
          <w:rFonts w:ascii="Times New Roman" w:eastAsia="宋体" w:hAnsi="Times New Roman"/>
          <w:color w:val="000000"/>
          <w:sz w:val="20"/>
          <w:szCs w:val="20"/>
        </w:rPr>
        <w:t xml:space="preserve">Product and distribution costs as a percentage of total net revenues </w:t>
      </w:r>
      <w:r>
        <w:rPr>
          <w:rFonts w:ascii="Times New Roman" w:eastAsia="宋体" w:hAnsi="Times New Roman"/>
          <w:color w:val="000000"/>
          <w:sz w:val="20"/>
          <w:szCs w:val="20"/>
        </w:rPr>
        <w:t>increased 50 basis points, primarily due to sales deleverage attributable to COVID-19 impacts, which included inventory write-offs and product waste (approximately 10 basis points), partially offset by supply chain efficiencies (approximately 60 basis poin</w:t>
      </w:r>
      <w:r>
        <w:rPr>
          <w:rFonts w:ascii="Times New Roman" w:eastAsia="宋体" w:hAnsi="Times New Roman"/>
          <w:color w:val="000000"/>
          <w:sz w:val="20"/>
          <w:szCs w:val="20"/>
        </w:rPr>
        <w:t>ts).</w:t>
      </w:r>
    </w:p>
    <w:p w14:paraId="00BAD97A" w14:textId="77777777" w:rsidR="00871BDF" w:rsidRDefault="005C5088">
      <w:pPr>
        <w:spacing w:before="120"/>
      </w:pPr>
      <w:r>
        <w:rPr>
          <w:rFonts w:ascii="Times New Roman" w:eastAsia="宋体" w:hAnsi="Times New Roman"/>
          <w:color w:val="000000"/>
          <w:sz w:val="20"/>
          <w:szCs w:val="20"/>
        </w:rPr>
        <w:t>Store operating expenses as a percentage of total net revenues increased 620 basis points. Store operating expenses as a percentage of company-operated store revenues increased 750 basis points, primarily due to sales deleverage attributable to COVID-</w:t>
      </w:r>
      <w:r>
        <w:rPr>
          <w:rFonts w:ascii="Times New Roman" w:eastAsia="宋体" w:hAnsi="Times New Roman"/>
          <w:color w:val="000000"/>
          <w:sz w:val="20"/>
          <w:szCs w:val="20"/>
        </w:rPr>
        <w:t>19 impacts, which included catastrophe pay and enhanced pay programs for retail partners, net of benefits provided by temporary subsidies from the U.S. and certain foreign governments (approximately 150 basis points).</w:t>
      </w:r>
    </w:p>
    <w:p w14:paraId="00BAD97B" w14:textId="77777777" w:rsidR="00871BDF" w:rsidRDefault="005C5088">
      <w:pPr>
        <w:spacing w:before="120"/>
      </w:pPr>
      <w:r>
        <w:rPr>
          <w:rFonts w:ascii="Times New Roman" w:eastAsia="宋体" w:hAnsi="Times New Roman"/>
          <w:color w:val="000000"/>
          <w:sz w:val="20"/>
          <w:szCs w:val="20"/>
        </w:rPr>
        <w:t>Other operating expenses increased $59</w:t>
      </w:r>
      <w:r>
        <w:rPr>
          <w:rFonts w:ascii="Times New Roman" w:eastAsia="宋体" w:hAnsi="Times New Roman"/>
          <w:color w:val="000000"/>
          <w:sz w:val="20"/>
          <w:szCs w:val="20"/>
        </w:rPr>
        <w:t xml:space="preserve"> million, primarily due to incremental costs to develop and grow the Global Coffee Alliance.</w:t>
      </w:r>
    </w:p>
    <w:p w14:paraId="00BAD97C" w14:textId="77777777" w:rsidR="00871BDF" w:rsidRDefault="005C5088">
      <w:pPr>
        <w:spacing w:before="120"/>
      </w:pPr>
      <w:r>
        <w:rPr>
          <w:rFonts w:ascii="Times New Roman" w:eastAsia="宋体" w:hAnsi="Times New Roman"/>
          <w:color w:val="000000"/>
          <w:sz w:val="20"/>
          <w:szCs w:val="20"/>
        </w:rPr>
        <w:t>Depreciation and amortization expenses as a percentage of total net revenues increased 90 basis points, primarily due to sales deleverage.</w:t>
      </w:r>
    </w:p>
    <w:p w14:paraId="00BAD97D" w14:textId="77777777" w:rsidR="00871BDF" w:rsidRDefault="005C5088">
      <w:pPr>
        <w:spacing w:before="120"/>
      </w:pPr>
      <w:r>
        <w:rPr>
          <w:rFonts w:ascii="Times New Roman" w:eastAsia="宋体" w:hAnsi="Times New Roman"/>
          <w:color w:val="000000"/>
          <w:sz w:val="20"/>
          <w:szCs w:val="20"/>
        </w:rPr>
        <w:t>General and administrative expenses decreased $145 million, primarily driven by lower performance-based compensation ($63 million), lapping of the 2018 U.S stock award granted in fiscal 2018, which was funded by savings from the Tax Cuts and Jobs Act enact</w:t>
      </w:r>
      <w:r>
        <w:rPr>
          <w:rFonts w:ascii="Times New Roman" w:eastAsia="宋体" w:hAnsi="Times New Roman"/>
          <w:color w:val="000000"/>
          <w:sz w:val="20"/>
          <w:szCs w:val="20"/>
        </w:rPr>
        <w:t xml:space="preserve">ed in December 2017 (“Tax Act”) and vested in fiscal 2019 ($61 million), and lapping of the 2019 Starbucks Leadership Experience in Chicago ($52 million), partially offset by incremental strategic investments in technology. </w:t>
      </w:r>
    </w:p>
    <w:p w14:paraId="00BAD97E" w14:textId="77777777" w:rsidR="00871BDF" w:rsidRDefault="005C5088">
      <w:pPr>
        <w:spacing w:before="120"/>
      </w:pPr>
      <w:r>
        <w:rPr>
          <w:rFonts w:ascii="Times New Roman" w:eastAsia="宋体" w:hAnsi="Times New Roman"/>
          <w:color w:val="000000"/>
          <w:sz w:val="20"/>
          <w:szCs w:val="20"/>
        </w:rPr>
        <w:t>Restructuring and impairment ex</w:t>
      </w:r>
      <w:r>
        <w:rPr>
          <w:rFonts w:ascii="Times New Roman" w:eastAsia="宋体" w:hAnsi="Times New Roman"/>
          <w:color w:val="000000"/>
          <w:sz w:val="20"/>
          <w:szCs w:val="20"/>
        </w:rPr>
        <w:t>penses increased $143 million, primarily due to higher asset impairment related to our North America store portfolio optimization ($136 million), higher lease-related costs associated with the closure of certain company-operated stores ($28 million) and in</w:t>
      </w:r>
      <w:r>
        <w:rPr>
          <w:rFonts w:ascii="Times New Roman" w:eastAsia="宋体" w:hAnsi="Times New Roman"/>
          <w:color w:val="000000"/>
          <w:sz w:val="20"/>
          <w:szCs w:val="20"/>
        </w:rPr>
        <w:t>tangible asset impairment related to changes in our branding and marketing strategies ($22 million). Partially offsetting theses increases were lower severance costs ($38 million) and lapping the impairment related to our Switzerland retail market ($10 mil</w:t>
      </w:r>
      <w:r>
        <w:rPr>
          <w:rFonts w:ascii="Times New Roman" w:eastAsia="宋体" w:hAnsi="Times New Roman"/>
          <w:color w:val="000000"/>
          <w:sz w:val="20"/>
          <w:szCs w:val="20"/>
        </w:rPr>
        <w:t>lion).</w:t>
      </w:r>
    </w:p>
    <w:p w14:paraId="00BAD97F" w14:textId="77777777" w:rsidR="00871BDF" w:rsidRDefault="005C5088">
      <w:pPr>
        <w:spacing w:before="120"/>
      </w:pPr>
      <w:r>
        <w:rPr>
          <w:rFonts w:ascii="Times New Roman" w:eastAsia="宋体" w:hAnsi="Times New Roman"/>
          <w:color w:val="000000"/>
          <w:sz w:val="20"/>
          <w:szCs w:val="20"/>
        </w:rPr>
        <w:t>Income from equity investees increased $25 million, primarily due to higher income from our North American Coffee Partnership joint venture and growth in our South Korea joint venture.</w:t>
      </w:r>
    </w:p>
    <w:p w14:paraId="00BAD980" w14:textId="77777777" w:rsidR="00871BDF" w:rsidRDefault="005C5088">
      <w:pPr>
        <w:spacing w:before="120"/>
      </w:pPr>
      <w:r>
        <w:rPr>
          <w:rFonts w:ascii="Times New Roman" w:eastAsia="宋体" w:hAnsi="Times New Roman"/>
          <w:color w:val="000000"/>
          <w:sz w:val="20"/>
          <w:szCs w:val="20"/>
        </w:rPr>
        <w:t xml:space="preserve">The combination of these changes resulted in an overall </w:t>
      </w:r>
      <w:r>
        <w:rPr>
          <w:rFonts w:ascii="Times New Roman" w:eastAsia="宋体" w:hAnsi="Times New Roman"/>
          <w:color w:val="000000"/>
          <w:sz w:val="20"/>
          <w:szCs w:val="20"/>
        </w:rPr>
        <w:t>decrease in operating margin of 880 basis points in fiscal 2020 when compared to fiscal 2019.</w:t>
      </w:r>
    </w:p>
    <w:p w14:paraId="00BAD981" w14:textId="77777777" w:rsidR="00871BDF" w:rsidRDefault="005C5088">
      <w:pPr>
        <w:jc w:val="center"/>
      </w:pPr>
      <w:r>
        <w:rPr>
          <w:rFonts w:ascii="Times New Roman" w:eastAsia="宋体" w:hAnsi="Times New Roman"/>
          <w:color w:val="000000"/>
          <w:sz w:val="20"/>
          <w:szCs w:val="20"/>
        </w:rPr>
        <w:t>27</w:t>
      </w:r>
    </w:p>
    <w:p w14:paraId="00BAD982" w14:textId="77777777" w:rsidR="00871BDF" w:rsidRDefault="005C5088">
      <w:r>
        <w:pict w14:anchorId="00BB1480">
          <v:rect id="_x0000_i1054" style="width:415.3pt;height:1.5pt" o:hralign="center" o:hrstd="t" o:hr="t" fillcolor="#a0a0a0" stroked="f"/>
        </w:pict>
      </w:r>
    </w:p>
    <w:p w14:paraId="00BAD983" w14:textId="77777777" w:rsidR="00871BDF" w:rsidRDefault="005C5088">
      <w:hyperlink r:id="rId90" w:anchor="i54ccc64cb5384be5a4849ef1cdef4dde_7" w:history="1">
        <w:r>
          <w:rPr>
            <w:rStyle w:val="a5"/>
            <w:rFonts w:ascii="Times New Roman" w:eastAsia="宋体" w:hAnsi="Times New Roman"/>
            <w:sz w:val="20"/>
            <w:szCs w:val="20"/>
          </w:rPr>
          <w:t>Table o</w:t>
        </w:r>
        <w:r>
          <w:rPr>
            <w:rStyle w:val="a5"/>
            <w:rFonts w:ascii="Times New Roman" w:eastAsia="宋体" w:hAnsi="Times New Roman"/>
            <w:sz w:val="20"/>
            <w:szCs w:val="20"/>
          </w:rPr>
          <w:t>f Contents</w:t>
        </w:r>
      </w:hyperlink>
    </w:p>
    <w:p w14:paraId="00BAD984" w14:textId="77777777" w:rsidR="00871BDF" w:rsidRDefault="005C5088">
      <w:pPr>
        <w:spacing w:before="120"/>
      </w:pPr>
      <w:r>
        <w:rPr>
          <w:rFonts w:ascii="Times New Roman" w:eastAsia="宋体" w:hAnsi="Times New Roman"/>
          <w:color w:val="000000"/>
          <w:sz w:val="20"/>
          <w:szCs w:val="20"/>
          <w:u w:val="single"/>
        </w:rPr>
        <w:t>Other Income and Expenses</w:t>
      </w:r>
    </w:p>
    <w:tbl>
      <w:tblPr>
        <w:tblW w:w="4993" w:type="pct"/>
        <w:tblCellMar>
          <w:top w:w="15" w:type="dxa"/>
          <w:left w:w="15" w:type="dxa"/>
          <w:bottom w:w="15" w:type="dxa"/>
          <w:right w:w="15" w:type="dxa"/>
        </w:tblCellMar>
        <w:tblLook w:val="04A0" w:firstRow="1" w:lastRow="0" w:firstColumn="1" w:lastColumn="0" w:noHBand="0" w:noVBand="1"/>
      </w:tblPr>
      <w:tblGrid>
        <w:gridCol w:w="49"/>
        <w:gridCol w:w="2537"/>
        <w:gridCol w:w="39"/>
        <w:gridCol w:w="120"/>
        <w:gridCol w:w="1194"/>
        <w:gridCol w:w="36"/>
        <w:gridCol w:w="36"/>
        <w:gridCol w:w="36"/>
        <w:gridCol w:w="36"/>
        <w:gridCol w:w="120"/>
        <w:gridCol w:w="1133"/>
        <w:gridCol w:w="36"/>
        <w:gridCol w:w="36"/>
        <w:gridCol w:w="36"/>
        <w:gridCol w:w="36"/>
        <w:gridCol w:w="38"/>
        <w:gridCol w:w="1110"/>
        <w:gridCol w:w="220"/>
        <w:gridCol w:w="36"/>
        <w:gridCol w:w="36"/>
        <w:gridCol w:w="36"/>
        <w:gridCol w:w="38"/>
        <w:gridCol w:w="1110"/>
        <w:gridCol w:w="220"/>
      </w:tblGrid>
      <w:tr w:rsidR="00871BDF" w14:paraId="00BAD99D" w14:textId="77777777">
        <w:tc>
          <w:tcPr>
            <w:tcW w:w="50" w:type="pct"/>
            <w:shd w:val="clear" w:color="auto" w:fill="auto"/>
          </w:tcPr>
          <w:p w14:paraId="00BAD985" w14:textId="77777777" w:rsidR="00871BDF" w:rsidRDefault="00871BDF">
            <w:pPr>
              <w:rPr>
                <w:rFonts w:ascii="宋体"/>
              </w:rPr>
            </w:pPr>
          </w:p>
        </w:tc>
        <w:tc>
          <w:tcPr>
            <w:tcW w:w="1584" w:type="pct"/>
            <w:shd w:val="clear" w:color="auto" w:fill="auto"/>
          </w:tcPr>
          <w:p w14:paraId="00BAD986" w14:textId="77777777" w:rsidR="00871BDF" w:rsidRDefault="00871BDF">
            <w:pPr>
              <w:rPr>
                <w:rFonts w:ascii="宋体"/>
              </w:rPr>
            </w:pPr>
          </w:p>
        </w:tc>
        <w:tc>
          <w:tcPr>
            <w:tcW w:w="5" w:type="pct"/>
            <w:shd w:val="clear" w:color="auto" w:fill="auto"/>
          </w:tcPr>
          <w:p w14:paraId="00BAD987" w14:textId="77777777" w:rsidR="00871BDF" w:rsidRDefault="00871BDF">
            <w:pPr>
              <w:rPr>
                <w:rFonts w:ascii="宋体"/>
              </w:rPr>
            </w:pPr>
          </w:p>
        </w:tc>
        <w:tc>
          <w:tcPr>
            <w:tcW w:w="50" w:type="pct"/>
            <w:shd w:val="clear" w:color="auto" w:fill="auto"/>
          </w:tcPr>
          <w:p w14:paraId="00BAD988" w14:textId="77777777" w:rsidR="00871BDF" w:rsidRDefault="00871BDF">
            <w:pPr>
              <w:rPr>
                <w:rFonts w:ascii="宋体"/>
              </w:rPr>
            </w:pPr>
          </w:p>
        </w:tc>
        <w:tc>
          <w:tcPr>
            <w:tcW w:w="757" w:type="pct"/>
            <w:shd w:val="clear" w:color="auto" w:fill="auto"/>
          </w:tcPr>
          <w:p w14:paraId="00BAD989" w14:textId="77777777" w:rsidR="00871BDF" w:rsidRDefault="00871BDF">
            <w:pPr>
              <w:rPr>
                <w:rFonts w:ascii="宋体"/>
              </w:rPr>
            </w:pPr>
          </w:p>
        </w:tc>
        <w:tc>
          <w:tcPr>
            <w:tcW w:w="5" w:type="pct"/>
            <w:shd w:val="clear" w:color="auto" w:fill="auto"/>
          </w:tcPr>
          <w:p w14:paraId="00BAD98A" w14:textId="77777777" w:rsidR="00871BDF" w:rsidRDefault="00871BDF">
            <w:pPr>
              <w:rPr>
                <w:rFonts w:ascii="宋体"/>
              </w:rPr>
            </w:pPr>
          </w:p>
        </w:tc>
        <w:tc>
          <w:tcPr>
            <w:tcW w:w="5" w:type="pct"/>
            <w:shd w:val="clear" w:color="auto" w:fill="auto"/>
          </w:tcPr>
          <w:p w14:paraId="00BAD98B" w14:textId="77777777" w:rsidR="00871BDF" w:rsidRDefault="00871BDF">
            <w:pPr>
              <w:rPr>
                <w:rFonts w:ascii="宋体"/>
              </w:rPr>
            </w:pPr>
          </w:p>
        </w:tc>
        <w:tc>
          <w:tcPr>
            <w:tcW w:w="26" w:type="pct"/>
            <w:shd w:val="clear" w:color="auto" w:fill="auto"/>
          </w:tcPr>
          <w:p w14:paraId="00BAD98C" w14:textId="77777777" w:rsidR="00871BDF" w:rsidRDefault="00871BDF">
            <w:pPr>
              <w:rPr>
                <w:rFonts w:ascii="宋体"/>
              </w:rPr>
            </w:pPr>
          </w:p>
        </w:tc>
        <w:tc>
          <w:tcPr>
            <w:tcW w:w="5" w:type="pct"/>
            <w:shd w:val="clear" w:color="auto" w:fill="auto"/>
          </w:tcPr>
          <w:p w14:paraId="00BAD98D" w14:textId="77777777" w:rsidR="00871BDF" w:rsidRDefault="00871BDF">
            <w:pPr>
              <w:rPr>
                <w:rFonts w:ascii="宋体"/>
              </w:rPr>
            </w:pPr>
          </w:p>
        </w:tc>
        <w:tc>
          <w:tcPr>
            <w:tcW w:w="50" w:type="pct"/>
            <w:shd w:val="clear" w:color="auto" w:fill="auto"/>
          </w:tcPr>
          <w:p w14:paraId="00BAD98E" w14:textId="77777777" w:rsidR="00871BDF" w:rsidRDefault="00871BDF">
            <w:pPr>
              <w:rPr>
                <w:rFonts w:ascii="宋体"/>
              </w:rPr>
            </w:pPr>
          </w:p>
        </w:tc>
        <w:tc>
          <w:tcPr>
            <w:tcW w:w="757" w:type="pct"/>
            <w:shd w:val="clear" w:color="auto" w:fill="auto"/>
          </w:tcPr>
          <w:p w14:paraId="00BAD98F" w14:textId="77777777" w:rsidR="00871BDF" w:rsidRDefault="00871BDF">
            <w:pPr>
              <w:rPr>
                <w:rFonts w:ascii="宋体"/>
              </w:rPr>
            </w:pPr>
          </w:p>
        </w:tc>
        <w:tc>
          <w:tcPr>
            <w:tcW w:w="5" w:type="pct"/>
            <w:shd w:val="clear" w:color="auto" w:fill="auto"/>
          </w:tcPr>
          <w:p w14:paraId="00BAD990" w14:textId="77777777" w:rsidR="00871BDF" w:rsidRDefault="00871BDF">
            <w:pPr>
              <w:rPr>
                <w:rFonts w:ascii="宋体"/>
              </w:rPr>
            </w:pPr>
          </w:p>
        </w:tc>
        <w:tc>
          <w:tcPr>
            <w:tcW w:w="5" w:type="pct"/>
            <w:shd w:val="clear" w:color="auto" w:fill="auto"/>
          </w:tcPr>
          <w:p w14:paraId="00BAD991" w14:textId="77777777" w:rsidR="00871BDF" w:rsidRDefault="00871BDF">
            <w:pPr>
              <w:rPr>
                <w:rFonts w:ascii="宋体"/>
              </w:rPr>
            </w:pPr>
          </w:p>
        </w:tc>
        <w:tc>
          <w:tcPr>
            <w:tcW w:w="26" w:type="pct"/>
            <w:shd w:val="clear" w:color="auto" w:fill="auto"/>
          </w:tcPr>
          <w:p w14:paraId="00BAD992" w14:textId="77777777" w:rsidR="00871BDF" w:rsidRDefault="00871BDF">
            <w:pPr>
              <w:rPr>
                <w:rFonts w:ascii="宋体"/>
              </w:rPr>
            </w:pPr>
          </w:p>
        </w:tc>
        <w:tc>
          <w:tcPr>
            <w:tcW w:w="5" w:type="pct"/>
            <w:shd w:val="clear" w:color="auto" w:fill="auto"/>
          </w:tcPr>
          <w:p w14:paraId="00BAD993" w14:textId="77777777" w:rsidR="00871BDF" w:rsidRDefault="00871BDF">
            <w:pPr>
              <w:rPr>
                <w:rFonts w:ascii="宋体"/>
              </w:rPr>
            </w:pPr>
          </w:p>
        </w:tc>
        <w:tc>
          <w:tcPr>
            <w:tcW w:w="50" w:type="pct"/>
            <w:shd w:val="clear" w:color="auto" w:fill="auto"/>
          </w:tcPr>
          <w:p w14:paraId="00BAD994" w14:textId="77777777" w:rsidR="00871BDF" w:rsidRDefault="00871BDF">
            <w:pPr>
              <w:rPr>
                <w:rFonts w:ascii="宋体"/>
              </w:rPr>
            </w:pPr>
          </w:p>
        </w:tc>
        <w:tc>
          <w:tcPr>
            <w:tcW w:w="757" w:type="pct"/>
            <w:shd w:val="clear" w:color="auto" w:fill="auto"/>
          </w:tcPr>
          <w:p w14:paraId="00BAD995" w14:textId="77777777" w:rsidR="00871BDF" w:rsidRDefault="00871BDF">
            <w:pPr>
              <w:rPr>
                <w:rFonts w:ascii="宋体"/>
              </w:rPr>
            </w:pPr>
          </w:p>
        </w:tc>
        <w:tc>
          <w:tcPr>
            <w:tcW w:w="5" w:type="pct"/>
            <w:shd w:val="clear" w:color="auto" w:fill="auto"/>
          </w:tcPr>
          <w:p w14:paraId="00BAD996" w14:textId="77777777" w:rsidR="00871BDF" w:rsidRDefault="00871BDF">
            <w:pPr>
              <w:rPr>
                <w:rFonts w:ascii="宋体"/>
              </w:rPr>
            </w:pPr>
          </w:p>
        </w:tc>
        <w:tc>
          <w:tcPr>
            <w:tcW w:w="5" w:type="pct"/>
            <w:shd w:val="clear" w:color="auto" w:fill="auto"/>
          </w:tcPr>
          <w:p w14:paraId="00BAD997" w14:textId="77777777" w:rsidR="00871BDF" w:rsidRDefault="00871BDF">
            <w:pPr>
              <w:rPr>
                <w:rFonts w:ascii="宋体"/>
              </w:rPr>
            </w:pPr>
          </w:p>
        </w:tc>
        <w:tc>
          <w:tcPr>
            <w:tcW w:w="26" w:type="pct"/>
            <w:shd w:val="clear" w:color="auto" w:fill="auto"/>
          </w:tcPr>
          <w:p w14:paraId="00BAD998" w14:textId="77777777" w:rsidR="00871BDF" w:rsidRDefault="00871BDF">
            <w:pPr>
              <w:rPr>
                <w:rFonts w:ascii="宋体"/>
              </w:rPr>
            </w:pPr>
          </w:p>
        </w:tc>
        <w:tc>
          <w:tcPr>
            <w:tcW w:w="5" w:type="pct"/>
            <w:shd w:val="clear" w:color="auto" w:fill="auto"/>
          </w:tcPr>
          <w:p w14:paraId="00BAD999" w14:textId="77777777" w:rsidR="00871BDF" w:rsidRDefault="00871BDF">
            <w:pPr>
              <w:rPr>
                <w:rFonts w:ascii="宋体"/>
              </w:rPr>
            </w:pPr>
          </w:p>
        </w:tc>
        <w:tc>
          <w:tcPr>
            <w:tcW w:w="50" w:type="pct"/>
            <w:shd w:val="clear" w:color="auto" w:fill="auto"/>
          </w:tcPr>
          <w:p w14:paraId="00BAD99A" w14:textId="77777777" w:rsidR="00871BDF" w:rsidRDefault="00871BDF">
            <w:pPr>
              <w:rPr>
                <w:rFonts w:ascii="宋体"/>
              </w:rPr>
            </w:pPr>
          </w:p>
        </w:tc>
        <w:tc>
          <w:tcPr>
            <w:tcW w:w="757" w:type="pct"/>
            <w:shd w:val="clear" w:color="auto" w:fill="auto"/>
          </w:tcPr>
          <w:p w14:paraId="00BAD99B" w14:textId="77777777" w:rsidR="00871BDF" w:rsidRDefault="00871BDF">
            <w:pPr>
              <w:rPr>
                <w:rFonts w:ascii="宋体"/>
              </w:rPr>
            </w:pPr>
          </w:p>
        </w:tc>
        <w:tc>
          <w:tcPr>
            <w:tcW w:w="5" w:type="pct"/>
            <w:shd w:val="clear" w:color="auto" w:fill="auto"/>
          </w:tcPr>
          <w:p w14:paraId="00BAD99C" w14:textId="77777777" w:rsidR="00871BDF" w:rsidRDefault="00871BDF">
            <w:pPr>
              <w:rPr>
                <w:rFonts w:ascii="宋体"/>
              </w:rPr>
            </w:pPr>
          </w:p>
        </w:tc>
      </w:tr>
      <w:tr w:rsidR="00871BDF" w14:paraId="00BAD9A6" w14:textId="77777777">
        <w:tc>
          <w:tcPr>
            <w:tcW w:w="0" w:type="auto"/>
            <w:gridSpan w:val="3"/>
            <w:shd w:val="clear" w:color="auto" w:fill="auto"/>
            <w:tcMar>
              <w:top w:w="40" w:type="dxa"/>
              <w:left w:w="20" w:type="dxa"/>
              <w:bottom w:w="40" w:type="dxa"/>
              <w:right w:w="20" w:type="dxa"/>
            </w:tcMar>
            <w:vAlign w:val="bottom"/>
          </w:tcPr>
          <w:p w14:paraId="00BAD99E"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D99F"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D9A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9A1"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D9A2"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9A3"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tcBorders>
              <w:bottom w:val="single" w:sz="8" w:space="0" w:color="000000"/>
            </w:tcBorders>
            <w:shd w:val="clear" w:color="auto" w:fill="auto"/>
            <w:tcMar>
              <w:top w:w="0" w:type="dxa"/>
              <w:left w:w="20" w:type="dxa"/>
              <w:bottom w:w="0" w:type="dxa"/>
              <w:right w:w="20" w:type="dxa"/>
            </w:tcMar>
          </w:tcPr>
          <w:p w14:paraId="00BAD9A4" w14:textId="77777777" w:rsidR="00871BDF" w:rsidRDefault="00871BDF">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0BAD9A5"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r>
      <w:tr w:rsidR="00871BDF" w14:paraId="00BAD9AE" w14:textId="77777777">
        <w:tc>
          <w:tcPr>
            <w:tcW w:w="0" w:type="auto"/>
            <w:gridSpan w:val="3"/>
            <w:shd w:val="clear" w:color="auto" w:fill="auto"/>
            <w:tcMar>
              <w:top w:w="0" w:type="dxa"/>
              <w:left w:w="20" w:type="dxa"/>
              <w:bottom w:w="0" w:type="dxa"/>
              <w:right w:w="20" w:type="dxa"/>
            </w:tcMar>
          </w:tcPr>
          <w:p w14:paraId="00BAD9A7"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AD9A8"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AD9A9"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AD9AA"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AD9AB" w14:textId="77777777" w:rsidR="00871BDF" w:rsidRDefault="00871BD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0BAD9AC" w14:textId="77777777" w:rsidR="00871BDF" w:rsidRDefault="005C5088">
            <w:pPr>
              <w:jc w:val="center"/>
              <w:textAlignment w:val="bottom"/>
            </w:pPr>
            <w:r>
              <w:rPr>
                <w:rFonts w:ascii="Times New Roman" w:eastAsia="宋体" w:hAnsi="Times New Roman"/>
                <w:b/>
                <w:bCs/>
                <w:color w:val="000000"/>
                <w:sz w:val="16"/>
                <w:szCs w:val="16"/>
              </w:rPr>
              <w:t>As a % of Total</w:t>
            </w:r>
          </w:p>
          <w:p w14:paraId="00BAD9AD" w14:textId="77777777" w:rsidR="00871BDF" w:rsidRDefault="005C5088">
            <w:pPr>
              <w:jc w:val="center"/>
              <w:textAlignment w:val="bottom"/>
            </w:pPr>
            <w:r>
              <w:rPr>
                <w:rFonts w:ascii="Times New Roman" w:eastAsia="宋体" w:hAnsi="Times New Roman"/>
                <w:b/>
                <w:bCs/>
                <w:color w:val="000000"/>
                <w:sz w:val="16"/>
                <w:szCs w:val="16"/>
              </w:rPr>
              <w:t>Net Revenues</w:t>
            </w:r>
          </w:p>
        </w:tc>
      </w:tr>
      <w:tr w:rsidR="00871BDF" w14:paraId="00BAD9BD" w14:textId="77777777">
        <w:tc>
          <w:tcPr>
            <w:tcW w:w="0" w:type="auto"/>
            <w:gridSpan w:val="3"/>
            <w:shd w:val="clear" w:color="auto" w:fill="D7E4BC"/>
            <w:tcMar>
              <w:top w:w="40" w:type="dxa"/>
              <w:left w:w="20" w:type="dxa"/>
              <w:bottom w:w="40" w:type="dxa"/>
              <w:right w:w="20" w:type="dxa"/>
            </w:tcMar>
          </w:tcPr>
          <w:p w14:paraId="00BAD9AF" w14:textId="77777777" w:rsidR="00871BDF" w:rsidRDefault="005C5088">
            <w:pPr>
              <w:textAlignment w:val="top"/>
            </w:pPr>
            <w:r>
              <w:rPr>
                <w:rFonts w:ascii="Times New Roman" w:eastAsia="宋体" w:hAnsi="Times New Roman"/>
                <w:color w:val="000000"/>
                <w:sz w:val="20"/>
                <w:szCs w:val="20"/>
              </w:rPr>
              <w:t>Operating income</w:t>
            </w:r>
          </w:p>
        </w:tc>
        <w:tc>
          <w:tcPr>
            <w:tcW w:w="0" w:type="auto"/>
            <w:shd w:val="clear" w:color="auto" w:fill="D7E4BC"/>
            <w:tcMar>
              <w:top w:w="40" w:type="dxa"/>
              <w:left w:w="20" w:type="dxa"/>
              <w:bottom w:w="40" w:type="dxa"/>
              <w:right w:w="0" w:type="dxa"/>
            </w:tcMar>
            <w:vAlign w:val="bottom"/>
          </w:tcPr>
          <w:p w14:paraId="00BAD9B0"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D9B1" w14:textId="77777777" w:rsidR="00871BDF" w:rsidRDefault="005C5088">
            <w:pPr>
              <w:jc w:val="right"/>
              <w:textAlignment w:val="bottom"/>
            </w:pPr>
            <w:r>
              <w:rPr>
                <w:rFonts w:ascii="Times New Roman" w:eastAsia="宋体" w:hAnsi="Times New Roman"/>
                <w:color w:val="000000"/>
                <w:sz w:val="20"/>
                <w:szCs w:val="20"/>
              </w:rPr>
              <w:t>1,561.7 </w:t>
            </w:r>
          </w:p>
        </w:tc>
        <w:tc>
          <w:tcPr>
            <w:tcW w:w="0" w:type="auto"/>
            <w:shd w:val="clear" w:color="auto" w:fill="D7E4BC"/>
            <w:tcMar>
              <w:top w:w="40" w:type="dxa"/>
              <w:left w:w="0" w:type="dxa"/>
              <w:bottom w:w="40" w:type="dxa"/>
              <w:right w:w="20" w:type="dxa"/>
            </w:tcMar>
            <w:vAlign w:val="bottom"/>
          </w:tcPr>
          <w:p w14:paraId="00BAD9B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B3"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D9B4"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D9B5" w14:textId="77777777" w:rsidR="00871BDF" w:rsidRDefault="005C5088">
            <w:pPr>
              <w:jc w:val="right"/>
              <w:textAlignment w:val="bottom"/>
            </w:pPr>
            <w:r>
              <w:rPr>
                <w:rFonts w:ascii="Times New Roman" w:eastAsia="宋体" w:hAnsi="Times New Roman"/>
                <w:color w:val="000000"/>
                <w:sz w:val="20"/>
                <w:szCs w:val="20"/>
              </w:rPr>
              <w:t>4,077.9 </w:t>
            </w:r>
          </w:p>
        </w:tc>
        <w:tc>
          <w:tcPr>
            <w:tcW w:w="0" w:type="auto"/>
            <w:shd w:val="clear" w:color="auto" w:fill="D7E4BC"/>
            <w:tcMar>
              <w:top w:w="40" w:type="dxa"/>
              <w:left w:w="0" w:type="dxa"/>
              <w:bottom w:w="40" w:type="dxa"/>
              <w:right w:w="20" w:type="dxa"/>
            </w:tcMar>
            <w:vAlign w:val="bottom"/>
          </w:tcPr>
          <w:p w14:paraId="00BAD9B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B7"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9B8" w14:textId="77777777" w:rsidR="00871BDF" w:rsidRDefault="005C5088">
            <w:pPr>
              <w:jc w:val="right"/>
              <w:textAlignment w:val="bottom"/>
            </w:pPr>
            <w:r>
              <w:rPr>
                <w:rFonts w:ascii="Times New Roman" w:eastAsia="宋体" w:hAnsi="Times New Roman"/>
                <w:color w:val="000000"/>
                <w:sz w:val="20"/>
                <w:szCs w:val="20"/>
              </w:rPr>
              <w:t>6.6 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B9"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tcPr>
          <w:p w14:paraId="00BAD9BA"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9BB" w14:textId="77777777" w:rsidR="00871BDF" w:rsidRDefault="005C5088">
            <w:pPr>
              <w:jc w:val="right"/>
              <w:textAlignment w:val="bottom"/>
            </w:pPr>
            <w:r>
              <w:rPr>
                <w:rFonts w:ascii="Times New Roman" w:eastAsia="宋体" w:hAnsi="Times New Roman"/>
                <w:color w:val="000000"/>
                <w:sz w:val="20"/>
                <w:szCs w:val="20"/>
              </w:rPr>
              <w:t>15.4 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BC"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D9CA" w14:textId="77777777">
        <w:tc>
          <w:tcPr>
            <w:tcW w:w="0" w:type="auto"/>
            <w:gridSpan w:val="3"/>
            <w:shd w:val="clear" w:color="auto" w:fill="FFFFFF"/>
            <w:tcMar>
              <w:top w:w="40" w:type="dxa"/>
              <w:left w:w="20" w:type="dxa"/>
              <w:bottom w:w="40" w:type="dxa"/>
              <w:right w:w="20" w:type="dxa"/>
            </w:tcMar>
          </w:tcPr>
          <w:p w14:paraId="00BAD9BE" w14:textId="77777777" w:rsidR="00871BDF" w:rsidRDefault="005C5088">
            <w:pPr>
              <w:textAlignment w:val="top"/>
            </w:pPr>
            <w:r>
              <w:rPr>
                <w:rFonts w:ascii="Times New Roman" w:eastAsia="宋体" w:hAnsi="Times New Roman"/>
                <w:color w:val="000000"/>
                <w:sz w:val="20"/>
                <w:szCs w:val="20"/>
              </w:rPr>
              <w:t xml:space="preserve">Net gain resulting from divestiture of certain operations </w:t>
            </w:r>
          </w:p>
        </w:tc>
        <w:tc>
          <w:tcPr>
            <w:tcW w:w="0" w:type="auto"/>
            <w:gridSpan w:val="2"/>
            <w:shd w:val="clear" w:color="auto" w:fill="FFFFFF"/>
            <w:tcMar>
              <w:top w:w="40" w:type="dxa"/>
              <w:left w:w="20" w:type="dxa"/>
              <w:bottom w:w="40" w:type="dxa"/>
              <w:right w:w="0" w:type="dxa"/>
            </w:tcMar>
            <w:vAlign w:val="bottom"/>
          </w:tcPr>
          <w:p w14:paraId="00BAD9BF"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D9C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C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C2" w14:textId="77777777" w:rsidR="00871BDF" w:rsidRDefault="005C5088">
            <w:pPr>
              <w:jc w:val="right"/>
              <w:textAlignment w:val="bottom"/>
            </w:pPr>
            <w:r>
              <w:rPr>
                <w:rFonts w:ascii="Times New Roman" w:eastAsia="宋体" w:hAnsi="Times New Roman"/>
                <w:color w:val="000000"/>
                <w:sz w:val="20"/>
                <w:szCs w:val="20"/>
              </w:rPr>
              <w:t>622.8 </w:t>
            </w:r>
          </w:p>
        </w:tc>
        <w:tc>
          <w:tcPr>
            <w:tcW w:w="0" w:type="auto"/>
            <w:shd w:val="clear" w:color="auto" w:fill="FFFFFF"/>
            <w:tcMar>
              <w:top w:w="40" w:type="dxa"/>
              <w:left w:w="0" w:type="dxa"/>
              <w:bottom w:w="40" w:type="dxa"/>
              <w:right w:w="20" w:type="dxa"/>
            </w:tcMar>
            <w:vAlign w:val="bottom"/>
          </w:tcPr>
          <w:p w14:paraId="00BAD9C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C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C5"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D9C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C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C8" w14:textId="77777777" w:rsidR="00871BDF" w:rsidRDefault="005C5088">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00BAD9C9" w14:textId="77777777" w:rsidR="00871BDF" w:rsidRDefault="00871BDF">
            <w:pPr>
              <w:jc w:val="right"/>
              <w:rPr>
                <w:rFonts w:ascii="宋体"/>
              </w:rPr>
            </w:pPr>
          </w:p>
        </w:tc>
      </w:tr>
      <w:tr w:rsidR="00871BDF" w14:paraId="00BAD9D7" w14:textId="77777777">
        <w:tc>
          <w:tcPr>
            <w:tcW w:w="0" w:type="auto"/>
            <w:gridSpan w:val="3"/>
            <w:shd w:val="clear" w:color="auto" w:fill="D7E4BC"/>
            <w:tcMar>
              <w:top w:w="40" w:type="dxa"/>
              <w:left w:w="20" w:type="dxa"/>
              <w:bottom w:w="40" w:type="dxa"/>
              <w:right w:w="20" w:type="dxa"/>
            </w:tcMar>
          </w:tcPr>
          <w:p w14:paraId="00BAD9CB" w14:textId="77777777" w:rsidR="00871BDF" w:rsidRDefault="005C5088">
            <w:pPr>
              <w:textAlignment w:val="top"/>
            </w:pPr>
            <w:r>
              <w:rPr>
                <w:rFonts w:ascii="Times New Roman" w:eastAsia="宋体" w:hAnsi="Times New Roman"/>
                <w:color w:val="000000"/>
                <w:sz w:val="20"/>
                <w:szCs w:val="20"/>
              </w:rPr>
              <w:t>Interest income and other, net</w:t>
            </w:r>
          </w:p>
        </w:tc>
        <w:tc>
          <w:tcPr>
            <w:tcW w:w="0" w:type="auto"/>
            <w:gridSpan w:val="2"/>
            <w:shd w:val="clear" w:color="auto" w:fill="D7E4BC"/>
            <w:tcMar>
              <w:top w:w="40" w:type="dxa"/>
              <w:left w:w="20" w:type="dxa"/>
              <w:bottom w:w="40" w:type="dxa"/>
              <w:right w:w="0" w:type="dxa"/>
            </w:tcMar>
            <w:vAlign w:val="bottom"/>
          </w:tcPr>
          <w:p w14:paraId="00BAD9CC" w14:textId="77777777" w:rsidR="00871BDF" w:rsidRDefault="005C5088">
            <w:pPr>
              <w:jc w:val="right"/>
              <w:textAlignment w:val="bottom"/>
            </w:pPr>
            <w:r>
              <w:rPr>
                <w:rFonts w:ascii="Times New Roman" w:eastAsia="宋体" w:hAnsi="Times New Roman"/>
                <w:color w:val="000000"/>
                <w:sz w:val="20"/>
                <w:szCs w:val="20"/>
              </w:rPr>
              <w:t>39.7 </w:t>
            </w:r>
          </w:p>
        </w:tc>
        <w:tc>
          <w:tcPr>
            <w:tcW w:w="0" w:type="auto"/>
            <w:shd w:val="clear" w:color="auto" w:fill="D7E4BC"/>
            <w:tcMar>
              <w:top w:w="40" w:type="dxa"/>
              <w:left w:w="0" w:type="dxa"/>
              <w:bottom w:w="40" w:type="dxa"/>
              <w:right w:w="20" w:type="dxa"/>
            </w:tcMar>
            <w:vAlign w:val="bottom"/>
          </w:tcPr>
          <w:p w14:paraId="00BAD9C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C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9CF" w14:textId="77777777" w:rsidR="00871BDF" w:rsidRDefault="005C5088">
            <w:pPr>
              <w:jc w:val="right"/>
              <w:textAlignment w:val="bottom"/>
            </w:pPr>
            <w:r>
              <w:rPr>
                <w:rFonts w:ascii="Times New Roman" w:eastAsia="宋体" w:hAnsi="Times New Roman"/>
                <w:color w:val="000000"/>
                <w:sz w:val="20"/>
                <w:szCs w:val="20"/>
              </w:rPr>
              <w:t>96.5 </w:t>
            </w:r>
          </w:p>
        </w:tc>
        <w:tc>
          <w:tcPr>
            <w:tcW w:w="0" w:type="auto"/>
            <w:shd w:val="clear" w:color="auto" w:fill="D7E4BC"/>
            <w:tcMar>
              <w:top w:w="40" w:type="dxa"/>
              <w:left w:w="0" w:type="dxa"/>
              <w:bottom w:w="40" w:type="dxa"/>
              <w:right w:w="20" w:type="dxa"/>
            </w:tcMar>
            <w:vAlign w:val="bottom"/>
          </w:tcPr>
          <w:p w14:paraId="00BAD9D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D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9D2" w14:textId="77777777" w:rsidR="00871BDF" w:rsidRDefault="005C5088">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00BAD9D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D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9D5" w14:textId="77777777" w:rsidR="00871BDF" w:rsidRDefault="005C5088">
            <w:pPr>
              <w:jc w:val="right"/>
              <w:textAlignment w:val="bottom"/>
            </w:pPr>
            <w:r>
              <w:rPr>
                <w:rFonts w:ascii="Times New Roman" w:eastAsia="宋体" w:hAnsi="Times New Roman"/>
                <w:color w:val="000000"/>
                <w:sz w:val="20"/>
                <w:szCs w:val="20"/>
              </w:rPr>
              <w:t>0.4 </w:t>
            </w:r>
          </w:p>
        </w:tc>
        <w:tc>
          <w:tcPr>
            <w:tcW w:w="0" w:type="auto"/>
            <w:shd w:val="clear" w:color="auto" w:fill="D7E4BC"/>
            <w:tcMar>
              <w:top w:w="40" w:type="dxa"/>
              <w:left w:w="0" w:type="dxa"/>
              <w:bottom w:w="40" w:type="dxa"/>
              <w:right w:w="20" w:type="dxa"/>
            </w:tcMar>
            <w:vAlign w:val="bottom"/>
          </w:tcPr>
          <w:p w14:paraId="00BAD9D6" w14:textId="77777777" w:rsidR="00871BDF" w:rsidRDefault="00871BDF">
            <w:pPr>
              <w:jc w:val="right"/>
              <w:rPr>
                <w:rFonts w:ascii="宋体"/>
              </w:rPr>
            </w:pPr>
          </w:p>
        </w:tc>
      </w:tr>
      <w:tr w:rsidR="00871BDF" w14:paraId="00BAD9E4" w14:textId="77777777">
        <w:tc>
          <w:tcPr>
            <w:tcW w:w="0" w:type="auto"/>
            <w:gridSpan w:val="3"/>
            <w:shd w:val="clear" w:color="auto" w:fill="FFFFFF"/>
            <w:tcMar>
              <w:top w:w="40" w:type="dxa"/>
              <w:left w:w="20" w:type="dxa"/>
              <w:bottom w:w="40" w:type="dxa"/>
              <w:right w:w="20" w:type="dxa"/>
            </w:tcMar>
          </w:tcPr>
          <w:p w14:paraId="00BAD9D8" w14:textId="77777777" w:rsidR="00871BDF" w:rsidRDefault="005C5088">
            <w:pPr>
              <w:textAlignment w:val="top"/>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00BAD9D9" w14:textId="77777777" w:rsidR="00871BDF" w:rsidRDefault="005C5088">
            <w:pPr>
              <w:jc w:val="right"/>
              <w:textAlignment w:val="bottom"/>
            </w:pPr>
            <w:r>
              <w:rPr>
                <w:rFonts w:ascii="Times New Roman" w:eastAsia="宋体" w:hAnsi="Times New Roman"/>
                <w:color w:val="000000"/>
                <w:sz w:val="20"/>
                <w:szCs w:val="20"/>
              </w:rPr>
              <w:t>(437.0)</w:t>
            </w:r>
          </w:p>
        </w:tc>
        <w:tc>
          <w:tcPr>
            <w:tcW w:w="0" w:type="auto"/>
            <w:shd w:val="clear" w:color="auto" w:fill="FFFFFF"/>
            <w:tcMar>
              <w:top w:w="40" w:type="dxa"/>
              <w:left w:w="0" w:type="dxa"/>
              <w:bottom w:w="40" w:type="dxa"/>
              <w:right w:w="20" w:type="dxa"/>
            </w:tcMar>
            <w:vAlign w:val="bottom"/>
          </w:tcPr>
          <w:p w14:paraId="00BAD9D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D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DC" w14:textId="77777777" w:rsidR="00871BDF" w:rsidRDefault="005C5088">
            <w:pPr>
              <w:jc w:val="right"/>
              <w:textAlignment w:val="bottom"/>
            </w:pPr>
            <w:r>
              <w:rPr>
                <w:rFonts w:ascii="Times New Roman" w:eastAsia="宋体" w:hAnsi="Times New Roman"/>
                <w:color w:val="000000"/>
                <w:sz w:val="20"/>
                <w:szCs w:val="20"/>
              </w:rPr>
              <w:t>(331.0)</w:t>
            </w:r>
          </w:p>
        </w:tc>
        <w:tc>
          <w:tcPr>
            <w:tcW w:w="0" w:type="auto"/>
            <w:shd w:val="clear" w:color="auto" w:fill="FFFFFF"/>
            <w:tcMar>
              <w:top w:w="40" w:type="dxa"/>
              <w:left w:w="0" w:type="dxa"/>
              <w:bottom w:w="40" w:type="dxa"/>
              <w:right w:w="20" w:type="dxa"/>
            </w:tcMar>
            <w:vAlign w:val="bottom"/>
          </w:tcPr>
          <w:p w14:paraId="00BAD9D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D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DF" w14:textId="77777777" w:rsidR="00871BDF" w:rsidRDefault="005C5088">
            <w:pPr>
              <w:jc w:val="right"/>
              <w:textAlignment w:val="bottom"/>
            </w:pPr>
            <w:r>
              <w:rPr>
                <w:rFonts w:ascii="Times New Roman" w:eastAsia="宋体" w:hAnsi="Times New Roman"/>
                <w:color w:val="000000"/>
                <w:sz w:val="20"/>
                <w:szCs w:val="20"/>
              </w:rPr>
              <w:t>(1.9)</w:t>
            </w:r>
          </w:p>
        </w:tc>
        <w:tc>
          <w:tcPr>
            <w:tcW w:w="0" w:type="auto"/>
            <w:shd w:val="clear" w:color="auto" w:fill="FFFFFF"/>
            <w:tcMar>
              <w:top w:w="40" w:type="dxa"/>
              <w:left w:w="0" w:type="dxa"/>
              <w:bottom w:w="40" w:type="dxa"/>
              <w:right w:w="20" w:type="dxa"/>
            </w:tcMar>
            <w:vAlign w:val="bottom"/>
          </w:tcPr>
          <w:p w14:paraId="00BAD9E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E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E2" w14:textId="77777777" w:rsidR="00871BDF" w:rsidRDefault="005C5088">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00BAD9E3" w14:textId="77777777" w:rsidR="00871BDF" w:rsidRDefault="00871BDF">
            <w:pPr>
              <w:jc w:val="right"/>
              <w:rPr>
                <w:rFonts w:ascii="宋体"/>
              </w:rPr>
            </w:pPr>
          </w:p>
        </w:tc>
      </w:tr>
      <w:tr w:rsidR="00871BDF" w14:paraId="00BAD9F1" w14:textId="77777777">
        <w:tc>
          <w:tcPr>
            <w:tcW w:w="0" w:type="auto"/>
            <w:gridSpan w:val="3"/>
            <w:shd w:val="clear" w:color="auto" w:fill="D7E4BC"/>
            <w:tcMar>
              <w:top w:w="40" w:type="dxa"/>
              <w:left w:w="380" w:type="dxa"/>
              <w:bottom w:w="40" w:type="dxa"/>
              <w:right w:w="20" w:type="dxa"/>
            </w:tcMar>
          </w:tcPr>
          <w:p w14:paraId="00BAD9E5" w14:textId="77777777" w:rsidR="00871BDF" w:rsidRDefault="005C5088">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9E6" w14:textId="77777777" w:rsidR="00871BDF" w:rsidRDefault="005C5088">
            <w:pPr>
              <w:jc w:val="right"/>
              <w:textAlignment w:val="bottom"/>
            </w:pPr>
            <w:r>
              <w:rPr>
                <w:rFonts w:ascii="Times New Roman" w:eastAsia="宋体" w:hAnsi="Times New Roman"/>
                <w:color w:val="000000"/>
                <w:sz w:val="20"/>
                <w:szCs w:val="20"/>
              </w:rPr>
              <w:t>1,164.4 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E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E8"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9E9" w14:textId="77777777" w:rsidR="00871BDF" w:rsidRDefault="005C5088">
            <w:pPr>
              <w:jc w:val="right"/>
              <w:textAlignment w:val="bottom"/>
            </w:pPr>
            <w:r>
              <w:rPr>
                <w:rFonts w:ascii="Times New Roman" w:eastAsia="宋体" w:hAnsi="Times New Roman"/>
                <w:color w:val="000000"/>
                <w:sz w:val="20"/>
                <w:szCs w:val="20"/>
              </w:rPr>
              <w:t>4,466.2 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E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EB"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9EC" w14:textId="77777777" w:rsidR="00871BDF" w:rsidRDefault="005C5088">
            <w:pPr>
              <w:jc w:val="right"/>
              <w:textAlignment w:val="bottom"/>
            </w:pPr>
            <w:r>
              <w:rPr>
                <w:rFonts w:ascii="Times New Roman" w:eastAsia="宋体" w:hAnsi="Times New Roman"/>
                <w:color w:val="000000"/>
                <w:sz w:val="20"/>
                <w:szCs w:val="20"/>
              </w:rPr>
              <w:t>5.0 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E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9EE"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9EF" w14:textId="77777777" w:rsidR="00871BDF" w:rsidRDefault="005C5088">
            <w:pPr>
              <w:jc w:val="right"/>
              <w:textAlignment w:val="bottom"/>
            </w:pPr>
            <w:r>
              <w:rPr>
                <w:rFonts w:ascii="Times New Roman" w:eastAsia="宋体" w:hAnsi="Times New Roman"/>
                <w:color w:val="000000"/>
                <w:sz w:val="20"/>
                <w:szCs w:val="20"/>
              </w:rPr>
              <w:t>16.8 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9F0" w14:textId="77777777" w:rsidR="00871BDF" w:rsidRDefault="00871BDF">
            <w:pPr>
              <w:jc w:val="right"/>
              <w:rPr>
                <w:rFonts w:ascii="宋体"/>
              </w:rPr>
            </w:pPr>
          </w:p>
        </w:tc>
      </w:tr>
      <w:tr w:rsidR="00871BDF" w14:paraId="00BAD9FE" w14:textId="77777777">
        <w:tc>
          <w:tcPr>
            <w:tcW w:w="0" w:type="auto"/>
            <w:gridSpan w:val="3"/>
            <w:shd w:val="clear" w:color="auto" w:fill="FFFFFF"/>
            <w:tcMar>
              <w:top w:w="40" w:type="dxa"/>
              <w:left w:w="20" w:type="dxa"/>
              <w:bottom w:w="40" w:type="dxa"/>
              <w:right w:w="20" w:type="dxa"/>
            </w:tcMar>
          </w:tcPr>
          <w:p w14:paraId="00BAD9F2" w14:textId="77777777" w:rsidR="00871BDF" w:rsidRDefault="005C5088">
            <w:pPr>
              <w:textAlignment w:val="top"/>
            </w:pPr>
            <w:r>
              <w:rPr>
                <w:rFonts w:ascii="Times New Roman" w:eastAsia="宋体" w:hAnsi="Times New Roman"/>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00BAD9F3" w14:textId="77777777" w:rsidR="00871BDF" w:rsidRDefault="005C5088">
            <w:pPr>
              <w:jc w:val="right"/>
              <w:textAlignment w:val="bottom"/>
            </w:pPr>
            <w:r>
              <w:rPr>
                <w:rFonts w:ascii="Times New Roman" w:eastAsia="宋体" w:hAnsi="Times New Roman"/>
                <w:color w:val="000000"/>
                <w:sz w:val="20"/>
                <w:szCs w:val="20"/>
              </w:rPr>
              <w:t>239.7 </w:t>
            </w:r>
          </w:p>
        </w:tc>
        <w:tc>
          <w:tcPr>
            <w:tcW w:w="0" w:type="auto"/>
            <w:shd w:val="clear" w:color="auto" w:fill="FFFFFF"/>
            <w:tcMar>
              <w:top w:w="40" w:type="dxa"/>
              <w:left w:w="0" w:type="dxa"/>
              <w:bottom w:w="40" w:type="dxa"/>
              <w:right w:w="20" w:type="dxa"/>
            </w:tcMar>
            <w:vAlign w:val="bottom"/>
          </w:tcPr>
          <w:p w14:paraId="00BAD9F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F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F6" w14:textId="77777777" w:rsidR="00871BDF" w:rsidRDefault="005C5088">
            <w:pPr>
              <w:jc w:val="right"/>
              <w:textAlignment w:val="bottom"/>
            </w:pPr>
            <w:r>
              <w:rPr>
                <w:rFonts w:ascii="Times New Roman" w:eastAsia="宋体" w:hAnsi="Times New Roman"/>
                <w:color w:val="000000"/>
                <w:sz w:val="20"/>
                <w:szCs w:val="20"/>
              </w:rPr>
              <w:t>871.6 </w:t>
            </w:r>
          </w:p>
        </w:tc>
        <w:tc>
          <w:tcPr>
            <w:tcW w:w="0" w:type="auto"/>
            <w:shd w:val="clear" w:color="auto" w:fill="FFFFFF"/>
            <w:tcMar>
              <w:top w:w="40" w:type="dxa"/>
              <w:left w:w="0" w:type="dxa"/>
              <w:bottom w:w="40" w:type="dxa"/>
              <w:right w:w="20" w:type="dxa"/>
            </w:tcMar>
            <w:vAlign w:val="bottom"/>
          </w:tcPr>
          <w:p w14:paraId="00BAD9F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F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F9" w14:textId="77777777" w:rsidR="00871BDF" w:rsidRDefault="005C5088">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00BAD9F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9F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9FC" w14:textId="77777777" w:rsidR="00871BDF" w:rsidRDefault="005C5088">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00BAD9FD" w14:textId="77777777" w:rsidR="00871BDF" w:rsidRDefault="00871BDF">
            <w:pPr>
              <w:jc w:val="right"/>
              <w:rPr>
                <w:rFonts w:ascii="宋体"/>
              </w:rPr>
            </w:pPr>
          </w:p>
        </w:tc>
      </w:tr>
      <w:tr w:rsidR="00871BDF" w14:paraId="00BADA0B" w14:textId="77777777">
        <w:tc>
          <w:tcPr>
            <w:tcW w:w="0" w:type="auto"/>
            <w:gridSpan w:val="3"/>
            <w:shd w:val="clear" w:color="auto" w:fill="D7E4BC"/>
            <w:tcMar>
              <w:top w:w="40" w:type="dxa"/>
              <w:left w:w="380" w:type="dxa"/>
              <w:bottom w:w="40" w:type="dxa"/>
              <w:right w:w="20" w:type="dxa"/>
            </w:tcMar>
          </w:tcPr>
          <w:p w14:paraId="00BAD9FF" w14:textId="77777777" w:rsidR="00871BDF" w:rsidRDefault="005C5088">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A00" w14:textId="77777777" w:rsidR="00871BDF" w:rsidRDefault="005C5088">
            <w:pPr>
              <w:jc w:val="right"/>
              <w:textAlignment w:val="bottom"/>
            </w:pPr>
            <w:r>
              <w:rPr>
                <w:rFonts w:ascii="Times New Roman" w:eastAsia="宋体" w:hAnsi="Times New Roman"/>
                <w:color w:val="000000"/>
                <w:sz w:val="20"/>
                <w:szCs w:val="20"/>
              </w:rPr>
              <w:t>924.7 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A0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02"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A03" w14:textId="77777777" w:rsidR="00871BDF" w:rsidRDefault="005C5088">
            <w:pPr>
              <w:jc w:val="right"/>
              <w:textAlignment w:val="bottom"/>
            </w:pPr>
            <w:r>
              <w:rPr>
                <w:rFonts w:ascii="Times New Roman" w:eastAsia="宋体" w:hAnsi="Times New Roman"/>
                <w:color w:val="000000"/>
                <w:sz w:val="20"/>
                <w:szCs w:val="20"/>
              </w:rPr>
              <w:t>3,594.6 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A0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05"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A06" w14:textId="77777777" w:rsidR="00871BDF" w:rsidRDefault="005C5088">
            <w:pPr>
              <w:jc w:val="right"/>
              <w:textAlignment w:val="bottom"/>
            </w:pPr>
            <w:r>
              <w:rPr>
                <w:rFonts w:ascii="Times New Roman" w:eastAsia="宋体" w:hAnsi="Times New Roman"/>
                <w:color w:val="000000"/>
                <w:sz w:val="20"/>
                <w:szCs w:val="20"/>
              </w:rPr>
              <w:t>3.9 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A0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08"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A09" w14:textId="77777777" w:rsidR="00871BDF" w:rsidRDefault="005C5088">
            <w:pPr>
              <w:jc w:val="right"/>
              <w:textAlignment w:val="bottom"/>
            </w:pPr>
            <w:r>
              <w:rPr>
                <w:rFonts w:ascii="Times New Roman" w:eastAsia="宋体" w:hAnsi="Times New Roman"/>
                <w:color w:val="000000"/>
                <w:sz w:val="20"/>
                <w:szCs w:val="20"/>
              </w:rPr>
              <w:t>13.6 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A0A" w14:textId="77777777" w:rsidR="00871BDF" w:rsidRDefault="00871BDF">
            <w:pPr>
              <w:jc w:val="right"/>
              <w:rPr>
                <w:rFonts w:ascii="宋体"/>
              </w:rPr>
            </w:pPr>
          </w:p>
        </w:tc>
      </w:tr>
      <w:tr w:rsidR="00871BDF" w14:paraId="00BADA18" w14:textId="77777777">
        <w:tc>
          <w:tcPr>
            <w:tcW w:w="0" w:type="auto"/>
            <w:gridSpan w:val="3"/>
            <w:shd w:val="clear" w:color="auto" w:fill="FFFFFF"/>
            <w:tcMar>
              <w:top w:w="40" w:type="dxa"/>
              <w:left w:w="380" w:type="dxa"/>
              <w:bottom w:w="40" w:type="dxa"/>
              <w:right w:w="20" w:type="dxa"/>
            </w:tcMar>
          </w:tcPr>
          <w:p w14:paraId="00BADA0C" w14:textId="77777777" w:rsidR="00871BDF" w:rsidRDefault="005C5088">
            <w:pPr>
              <w:textAlignment w:val="top"/>
            </w:pPr>
            <w:r>
              <w:rPr>
                <w:rFonts w:ascii="Times New Roman" w:eastAsia="宋体" w:hAnsi="Times New Roman"/>
                <w:color w:val="000000"/>
                <w:sz w:val="20"/>
                <w:szCs w:val="20"/>
              </w:rPr>
              <w:t>Net loss attributable to noncontrolling interests</w:t>
            </w:r>
          </w:p>
        </w:tc>
        <w:tc>
          <w:tcPr>
            <w:tcW w:w="0" w:type="auto"/>
            <w:gridSpan w:val="2"/>
            <w:shd w:val="clear" w:color="auto" w:fill="FFFFFF"/>
            <w:tcMar>
              <w:top w:w="40" w:type="dxa"/>
              <w:left w:w="20" w:type="dxa"/>
              <w:bottom w:w="40" w:type="dxa"/>
              <w:right w:w="0" w:type="dxa"/>
            </w:tcMar>
            <w:vAlign w:val="bottom"/>
          </w:tcPr>
          <w:p w14:paraId="00BADA0D" w14:textId="77777777" w:rsidR="00871BDF" w:rsidRDefault="005C5088">
            <w:pPr>
              <w:jc w:val="right"/>
              <w:textAlignment w:val="bottom"/>
            </w:pPr>
            <w:r>
              <w:rPr>
                <w:rFonts w:ascii="Times New Roman" w:eastAsia="宋体" w:hAnsi="Times New Roman"/>
                <w:color w:val="000000"/>
                <w:sz w:val="20"/>
                <w:szCs w:val="20"/>
              </w:rPr>
              <w:t>(3.6)</w:t>
            </w:r>
          </w:p>
        </w:tc>
        <w:tc>
          <w:tcPr>
            <w:tcW w:w="0" w:type="auto"/>
            <w:shd w:val="clear" w:color="auto" w:fill="FFFFFF"/>
            <w:tcMar>
              <w:top w:w="40" w:type="dxa"/>
              <w:left w:w="0" w:type="dxa"/>
              <w:bottom w:w="40" w:type="dxa"/>
              <w:right w:w="20" w:type="dxa"/>
            </w:tcMar>
            <w:vAlign w:val="bottom"/>
          </w:tcPr>
          <w:p w14:paraId="00BADA0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0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10" w14:textId="77777777" w:rsidR="00871BDF" w:rsidRDefault="005C5088">
            <w:pPr>
              <w:jc w:val="right"/>
              <w:textAlignment w:val="bottom"/>
            </w:pPr>
            <w:r>
              <w:rPr>
                <w:rFonts w:ascii="Times New Roman" w:eastAsia="宋体" w:hAnsi="Times New Roman"/>
                <w:color w:val="000000"/>
                <w:sz w:val="20"/>
                <w:szCs w:val="20"/>
              </w:rPr>
              <w:t>(4.6)</w:t>
            </w:r>
          </w:p>
        </w:tc>
        <w:tc>
          <w:tcPr>
            <w:tcW w:w="0" w:type="auto"/>
            <w:shd w:val="clear" w:color="auto" w:fill="FFFFFF"/>
            <w:tcMar>
              <w:top w:w="40" w:type="dxa"/>
              <w:left w:w="0" w:type="dxa"/>
              <w:bottom w:w="40" w:type="dxa"/>
              <w:right w:w="20" w:type="dxa"/>
            </w:tcMar>
            <w:vAlign w:val="bottom"/>
          </w:tcPr>
          <w:p w14:paraId="00BADA1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1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13"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DA1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1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16"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DA17" w14:textId="77777777" w:rsidR="00871BDF" w:rsidRDefault="00871BDF">
            <w:pPr>
              <w:jc w:val="right"/>
              <w:rPr>
                <w:rFonts w:ascii="宋体"/>
              </w:rPr>
            </w:pPr>
          </w:p>
        </w:tc>
      </w:tr>
      <w:tr w:rsidR="00871BDF" w14:paraId="00BADA27" w14:textId="77777777">
        <w:tc>
          <w:tcPr>
            <w:tcW w:w="0" w:type="auto"/>
            <w:gridSpan w:val="3"/>
            <w:shd w:val="clear" w:color="auto" w:fill="D7E4BC"/>
            <w:tcMar>
              <w:top w:w="40" w:type="dxa"/>
              <w:left w:w="380" w:type="dxa"/>
              <w:bottom w:w="40" w:type="dxa"/>
              <w:right w:w="20" w:type="dxa"/>
            </w:tcMar>
          </w:tcPr>
          <w:p w14:paraId="00BADA19" w14:textId="77777777" w:rsidR="00871BDF" w:rsidRDefault="005C5088">
            <w:pPr>
              <w:textAlignment w:val="top"/>
            </w:pPr>
            <w:r>
              <w:rPr>
                <w:rFonts w:ascii="Times New Roman" w:eastAsia="宋体" w:hAnsi="Times New Roman"/>
                <w:b/>
                <w:bCs/>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DA1A"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DA1B" w14:textId="77777777" w:rsidR="00871BDF" w:rsidRDefault="005C5088">
            <w:pPr>
              <w:jc w:val="right"/>
              <w:textAlignment w:val="bottom"/>
            </w:pPr>
            <w:r>
              <w:rPr>
                <w:rFonts w:ascii="Times New Roman" w:eastAsia="宋体" w:hAnsi="Times New Roman"/>
                <w:b/>
                <w:bCs/>
                <w:color w:val="000000"/>
                <w:sz w:val="20"/>
                <w:szCs w:val="20"/>
              </w:rPr>
              <w:t>928.3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A1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1D"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DA1E"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DA1F" w14:textId="77777777" w:rsidR="00871BDF" w:rsidRDefault="005C5088">
            <w:pPr>
              <w:jc w:val="right"/>
              <w:textAlignment w:val="bottom"/>
            </w:pPr>
            <w:r>
              <w:rPr>
                <w:rFonts w:ascii="Times New Roman" w:eastAsia="宋体" w:hAnsi="Times New Roman"/>
                <w:b/>
                <w:bCs/>
                <w:color w:val="000000"/>
                <w:sz w:val="20"/>
                <w:szCs w:val="20"/>
              </w:rPr>
              <w:t>3,599.2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A2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21"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A22" w14:textId="77777777" w:rsidR="00871BDF" w:rsidRDefault="005C5088">
            <w:pPr>
              <w:jc w:val="right"/>
              <w:textAlignment w:val="bottom"/>
            </w:pPr>
            <w:r>
              <w:rPr>
                <w:rFonts w:ascii="Times New Roman" w:eastAsia="宋体" w:hAnsi="Times New Roman"/>
                <w:b/>
                <w:bCs/>
                <w:color w:val="000000"/>
                <w:sz w:val="20"/>
                <w:szCs w:val="20"/>
              </w:rPr>
              <w:t>3.9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A23"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00BADA24"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A25" w14:textId="77777777" w:rsidR="00871BDF" w:rsidRDefault="005C5088">
            <w:pPr>
              <w:jc w:val="right"/>
              <w:textAlignment w:val="bottom"/>
            </w:pPr>
            <w:r>
              <w:rPr>
                <w:rFonts w:ascii="Times New Roman" w:eastAsia="宋体" w:hAnsi="Times New Roman"/>
                <w:b/>
                <w:bCs/>
                <w:color w:val="000000"/>
                <w:sz w:val="20"/>
                <w:szCs w:val="20"/>
              </w:rPr>
              <w:t>13.6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A26" w14:textId="77777777" w:rsidR="00871BDF" w:rsidRDefault="005C5088">
            <w:pPr>
              <w:jc w:val="right"/>
              <w:textAlignment w:val="bottom"/>
            </w:pPr>
            <w:r>
              <w:rPr>
                <w:rFonts w:ascii="Times New Roman" w:eastAsia="宋体" w:hAnsi="Times New Roman"/>
                <w:b/>
                <w:bCs/>
                <w:color w:val="000000"/>
                <w:sz w:val="20"/>
                <w:szCs w:val="20"/>
              </w:rPr>
              <w:t>%</w:t>
            </w:r>
          </w:p>
        </w:tc>
      </w:tr>
      <w:tr w:rsidR="00871BDF" w14:paraId="00BADA32" w14:textId="77777777">
        <w:tc>
          <w:tcPr>
            <w:tcW w:w="0" w:type="auto"/>
            <w:gridSpan w:val="3"/>
            <w:shd w:val="clear" w:color="auto" w:fill="FFFFFF"/>
            <w:tcMar>
              <w:top w:w="40" w:type="dxa"/>
              <w:left w:w="20" w:type="dxa"/>
              <w:bottom w:w="40" w:type="dxa"/>
              <w:right w:w="20" w:type="dxa"/>
            </w:tcMar>
          </w:tcPr>
          <w:p w14:paraId="00BADA28" w14:textId="77777777" w:rsidR="00871BDF" w:rsidRDefault="005C5088">
            <w:pPr>
              <w:textAlignment w:val="top"/>
            </w:pPr>
            <w:r>
              <w:rPr>
                <w:rFonts w:ascii="Times New Roman" w:eastAsia="宋体" w:hAnsi="Times New Roman"/>
                <w:color w:val="000000"/>
                <w:sz w:val="20"/>
                <w:szCs w:val="20"/>
              </w:rPr>
              <w:t>Effective tax rate including noncontrolling interests</w:t>
            </w:r>
          </w:p>
        </w:tc>
        <w:tc>
          <w:tcPr>
            <w:tcW w:w="0" w:type="auto"/>
            <w:gridSpan w:val="3"/>
            <w:tcBorders>
              <w:top w:val="double" w:sz="6" w:space="0" w:color="000000"/>
            </w:tcBorders>
            <w:shd w:val="clear" w:color="auto" w:fill="FFFFFF"/>
            <w:tcMar>
              <w:top w:w="0" w:type="dxa"/>
              <w:left w:w="20" w:type="dxa"/>
              <w:bottom w:w="0" w:type="dxa"/>
              <w:right w:w="20" w:type="dxa"/>
            </w:tcMar>
          </w:tcPr>
          <w:p w14:paraId="00BADA2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A2A"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ADA2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A2C" w14:textId="77777777" w:rsidR="00871BDF" w:rsidRDefault="00871BDF">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0BADA2D" w14:textId="77777777" w:rsidR="00871BDF" w:rsidRDefault="005C5088">
            <w:pPr>
              <w:jc w:val="right"/>
              <w:textAlignment w:val="bottom"/>
            </w:pPr>
            <w:r>
              <w:rPr>
                <w:rFonts w:ascii="Times New Roman" w:eastAsia="宋体" w:hAnsi="Times New Roman"/>
                <w:color w:val="000000"/>
                <w:sz w:val="20"/>
                <w:szCs w:val="20"/>
              </w:rPr>
              <w:t>20.6 </w:t>
            </w:r>
          </w:p>
        </w:tc>
        <w:tc>
          <w:tcPr>
            <w:tcW w:w="0" w:type="auto"/>
            <w:tcBorders>
              <w:top w:val="double" w:sz="6" w:space="0" w:color="000000"/>
            </w:tcBorders>
            <w:shd w:val="clear" w:color="auto" w:fill="FFFFFF"/>
            <w:tcMar>
              <w:top w:w="40" w:type="dxa"/>
              <w:left w:w="0" w:type="dxa"/>
              <w:bottom w:w="40" w:type="dxa"/>
              <w:right w:w="20" w:type="dxa"/>
            </w:tcMar>
            <w:vAlign w:val="bottom"/>
          </w:tcPr>
          <w:p w14:paraId="00BADA2E"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A2F" w14:textId="77777777" w:rsidR="00871BDF" w:rsidRDefault="00871BDF">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0BADA30" w14:textId="77777777" w:rsidR="00871BDF" w:rsidRDefault="005C5088">
            <w:pPr>
              <w:jc w:val="right"/>
              <w:textAlignment w:val="bottom"/>
            </w:pPr>
            <w:r>
              <w:rPr>
                <w:rFonts w:ascii="Times New Roman" w:eastAsia="宋体" w:hAnsi="Times New Roman"/>
                <w:color w:val="000000"/>
                <w:sz w:val="20"/>
                <w:szCs w:val="20"/>
              </w:rPr>
              <w:t>19.5 </w:t>
            </w:r>
          </w:p>
        </w:tc>
        <w:tc>
          <w:tcPr>
            <w:tcW w:w="0" w:type="auto"/>
            <w:tcBorders>
              <w:top w:val="double" w:sz="6" w:space="0" w:color="000000"/>
            </w:tcBorders>
            <w:shd w:val="clear" w:color="auto" w:fill="FFFFFF"/>
            <w:tcMar>
              <w:top w:w="40" w:type="dxa"/>
              <w:left w:w="0" w:type="dxa"/>
              <w:bottom w:w="40" w:type="dxa"/>
              <w:right w:w="20" w:type="dxa"/>
            </w:tcMar>
            <w:vAlign w:val="bottom"/>
          </w:tcPr>
          <w:p w14:paraId="00BADA31" w14:textId="77777777" w:rsidR="00871BDF" w:rsidRDefault="005C5088">
            <w:pPr>
              <w:jc w:val="right"/>
              <w:textAlignment w:val="bottom"/>
            </w:pPr>
            <w:r>
              <w:rPr>
                <w:rFonts w:ascii="Times New Roman" w:eastAsia="宋体" w:hAnsi="Times New Roman"/>
                <w:color w:val="000000"/>
                <w:sz w:val="20"/>
                <w:szCs w:val="20"/>
              </w:rPr>
              <w:t>%</w:t>
            </w:r>
          </w:p>
        </w:tc>
      </w:tr>
    </w:tbl>
    <w:p w14:paraId="00BADA33" w14:textId="77777777" w:rsidR="00871BDF" w:rsidRDefault="005C5088">
      <w:pPr>
        <w:spacing w:before="120"/>
      </w:pPr>
      <w:r>
        <w:rPr>
          <w:rFonts w:ascii="Times New Roman" w:eastAsia="宋体" w:hAnsi="Times New Roman"/>
          <w:color w:val="000000"/>
          <w:sz w:val="20"/>
          <w:szCs w:val="20"/>
        </w:rPr>
        <w:t xml:space="preserve">Net gain resulting from divestiture of certain operations decreased $623 million due to lapping the sale of retail operations in Thailand, France and the Netherlands in fiscal 2019. </w:t>
      </w:r>
    </w:p>
    <w:p w14:paraId="00BADA34" w14:textId="77777777" w:rsidR="00871BDF" w:rsidRDefault="005C5088">
      <w:pPr>
        <w:spacing w:before="120"/>
      </w:pPr>
      <w:r>
        <w:rPr>
          <w:rFonts w:ascii="Times New Roman" w:eastAsia="宋体" w:hAnsi="Times New Roman"/>
          <w:color w:val="000000"/>
          <w:sz w:val="20"/>
          <w:szCs w:val="20"/>
          <w:shd w:val="clear" w:color="auto" w:fill="FFFFFF"/>
        </w:rPr>
        <w:t xml:space="preserve">Interest income and other, net decreased $57 million, primarily due to </w:t>
      </w:r>
      <w:r>
        <w:rPr>
          <w:rFonts w:ascii="Times New Roman" w:eastAsia="宋体" w:hAnsi="Times New Roman"/>
          <w:color w:val="000000"/>
          <w:sz w:val="20"/>
          <w:szCs w:val="20"/>
          <w:shd w:val="clear" w:color="auto" w:fill="FFFFFF"/>
        </w:rPr>
        <w:t>lower interest rates and lapping the gain on the sale of a non-operating asset.</w:t>
      </w:r>
    </w:p>
    <w:p w14:paraId="00BADA35" w14:textId="77777777" w:rsidR="00871BDF" w:rsidRDefault="005C5088">
      <w:pPr>
        <w:spacing w:before="120"/>
      </w:pPr>
      <w:r>
        <w:rPr>
          <w:rFonts w:ascii="Times New Roman" w:eastAsia="宋体" w:hAnsi="Times New Roman"/>
          <w:color w:val="000000"/>
          <w:sz w:val="20"/>
          <w:szCs w:val="20"/>
          <w:shd w:val="clear" w:color="auto" w:fill="FFFFFF"/>
        </w:rPr>
        <w:t>Interest expense increased $106 million primarily due to additional interest incurred on long-term debt issued in March 2020 and May 2020.</w:t>
      </w:r>
    </w:p>
    <w:p w14:paraId="00BADA36" w14:textId="77777777" w:rsidR="00871BDF" w:rsidRDefault="005C5088">
      <w:pPr>
        <w:spacing w:before="120"/>
      </w:pPr>
      <w:r>
        <w:rPr>
          <w:rFonts w:ascii="Times New Roman" w:eastAsia="宋体" w:hAnsi="Times New Roman"/>
          <w:color w:val="000000"/>
          <w:sz w:val="20"/>
          <w:szCs w:val="20"/>
          <w:shd w:val="clear" w:color="auto" w:fill="FFFFFF"/>
        </w:rPr>
        <w:t>The effective tax rate for fiscal 202</w:t>
      </w:r>
      <w:r>
        <w:rPr>
          <w:rFonts w:ascii="Times New Roman" w:eastAsia="宋体" w:hAnsi="Times New Roman"/>
          <w:color w:val="000000"/>
          <w:sz w:val="20"/>
          <w:szCs w:val="20"/>
          <w:shd w:val="clear" w:color="auto" w:fill="FFFFFF"/>
        </w:rPr>
        <w:t>0 was 20.6% compared to 19.5% for fiscal 2019. The increase was primarily due to the valuation allowances recorded against deferred tax assets of certain international jurisdictions (approximately 980 basis points). This unfavorable impact was partially of</w:t>
      </w:r>
      <w:r>
        <w:rPr>
          <w:rFonts w:ascii="Times New Roman" w:eastAsia="宋体" w:hAnsi="Times New Roman"/>
          <w:color w:val="000000"/>
          <w:sz w:val="20"/>
          <w:szCs w:val="20"/>
          <w:shd w:val="clear" w:color="auto" w:fill="FFFFFF"/>
        </w:rPr>
        <w:t>fset by lower pre-tax earnings including the foreign rate differential on our jurisdictional mix of earnings (approximately 340 basis points), stock-based compensation excess tax benefits in relation to pre-tax earnings (approximately 250 basis points), re</w:t>
      </w:r>
      <w:r>
        <w:rPr>
          <w:rFonts w:ascii="Times New Roman" w:eastAsia="宋体" w:hAnsi="Times New Roman"/>
          <w:color w:val="000000"/>
          <w:sz w:val="20"/>
          <w:szCs w:val="20"/>
          <w:shd w:val="clear" w:color="auto" w:fill="FFFFFF"/>
        </w:rPr>
        <w:t>measurement of deferred tax assets due to enacted corporate rate change (approximately 220 basis points) and the impact of changes in indefinite reinvestment assertions for certain foreign subsidiaries in the first quarter of fiscal 2019 (approximately 170</w:t>
      </w:r>
      <w:r>
        <w:rPr>
          <w:rFonts w:ascii="Times New Roman" w:eastAsia="宋体" w:hAnsi="Times New Roman"/>
          <w:color w:val="000000"/>
          <w:sz w:val="20"/>
          <w:szCs w:val="20"/>
          <w:shd w:val="clear" w:color="auto" w:fill="FFFFFF"/>
        </w:rPr>
        <w:t xml:space="preserve"> basis points). See</w:t>
      </w:r>
      <w:hyperlink r:id="rId91" w:anchor="i54ccc64cb5384be5a4849ef1cdef4dde_181" w:history="1">
        <w:r>
          <w:rPr>
            <w:rStyle w:val="a5"/>
            <w:rFonts w:ascii="Times New Roman" w:eastAsia="宋体" w:hAnsi="Times New Roman"/>
            <w:sz w:val="20"/>
            <w:szCs w:val="20"/>
            <w:shd w:val="clear" w:color="auto" w:fill="FFFFFF"/>
          </w:rPr>
          <w:t xml:space="preserve"> Note 14</w:t>
        </w:r>
      </w:hyperlink>
      <w:r>
        <w:rPr>
          <w:rFonts w:ascii="Times New Roman" w:eastAsia="宋体" w:hAnsi="Times New Roman"/>
          <w:color w:val="000000"/>
          <w:sz w:val="20"/>
          <w:szCs w:val="20"/>
          <w:shd w:val="clear" w:color="auto" w:fill="FFFFFF"/>
        </w:rPr>
        <w:t xml:space="preserve">, Income Taxes, for further discussion. </w:t>
      </w:r>
    </w:p>
    <w:p w14:paraId="00BADA37" w14:textId="77777777" w:rsidR="00871BDF" w:rsidRDefault="005C5088">
      <w:pPr>
        <w:jc w:val="center"/>
      </w:pPr>
      <w:r>
        <w:rPr>
          <w:rFonts w:ascii="Times New Roman" w:eastAsia="宋体" w:hAnsi="Times New Roman"/>
          <w:color w:val="000000"/>
          <w:sz w:val="20"/>
          <w:szCs w:val="20"/>
        </w:rPr>
        <w:t>28</w:t>
      </w:r>
    </w:p>
    <w:p w14:paraId="00BADA38" w14:textId="77777777" w:rsidR="00871BDF" w:rsidRDefault="005C5088">
      <w:r>
        <w:pict w14:anchorId="00BB1481">
          <v:rect id="_x0000_i1055" style="width:415.3pt;height:1.5pt" o:hralign="center" o:hrstd="t" o:hr="t" fillcolor="#a0a0a0" stroked="f"/>
        </w:pict>
      </w:r>
    </w:p>
    <w:p w14:paraId="00BADA39" w14:textId="77777777" w:rsidR="00871BDF" w:rsidRDefault="005C5088">
      <w:hyperlink r:id="rId92" w:anchor="i54ccc64cb5384be5a4849ef1cdef4dde_7" w:history="1">
        <w:r>
          <w:rPr>
            <w:rStyle w:val="a5"/>
            <w:rFonts w:ascii="Times New Roman" w:eastAsia="宋体" w:hAnsi="Times New Roman"/>
            <w:sz w:val="20"/>
            <w:szCs w:val="20"/>
          </w:rPr>
          <w:t>Table of Contents</w:t>
        </w:r>
      </w:hyperlink>
    </w:p>
    <w:p w14:paraId="00BADA3A" w14:textId="77777777" w:rsidR="00871BDF" w:rsidRDefault="005C5088">
      <w:pPr>
        <w:spacing w:before="120"/>
      </w:pPr>
      <w:r>
        <w:rPr>
          <w:rFonts w:ascii="Times New Roman" w:eastAsia="宋体" w:hAnsi="Times New Roman"/>
          <w:b/>
          <w:bCs/>
          <w:color w:val="000000"/>
          <w:sz w:val="20"/>
          <w:szCs w:val="20"/>
        </w:rPr>
        <w:t>Segment Information</w:t>
      </w:r>
    </w:p>
    <w:p w14:paraId="00BADA3B" w14:textId="77777777" w:rsidR="00871BDF" w:rsidRDefault="005C5088">
      <w:pPr>
        <w:spacing w:before="120"/>
      </w:pPr>
      <w:r>
        <w:rPr>
          <w:rFonts w:ascii="Times New Roman" w:eastAsia="宋体" w:hAnsi="Times New Roman"/>
          <w:color w:val="000000"/>
          <w:sz w:val="20"/>
          <w:szCs w:val="20"/>
        </w:rPr>
        <w:t xml:space="preserve">Results of operations by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p w14:paraId="00BADA3C" w14:textId="77777777" w:rsidR="00871BDF" w:rsidRDefault="005C5088">
      <w:pPr>
        <w:spacing w:before="120"/>
      </w:pPr>
      <w:r>
        <w:rPr>
          <w:rFonts w:ascii="Times New Roman" w:eastAsia="宋体" w:hAnsi="Times New Roman"/>
          <w:b/>
          <w:bCs/>
          <w:i/>
          <w:iCs/>
          <w:color w:val="000000"/>
          <w:sz w:val="20"/>
          <w:szCs w:val="20"/>
        </w:rPr>
        <w:t>Americas</w:t>
      </w:r>
    </w:p>
    <w:tbl>
      <w:tblPr>
        <w:tblW w:w="4993" w:type="pct"/>
        <w:tblCellMar>
          <w:top w:w="15" w:type="dxa"/>
          <w:left w:w="15" w:type="dxa"/>
          <w:bottom w:w="15" w:type="dxa"/>
          <w:right w:w="15" w:type="dxa"/>
        </w:tblCellMar>
        <w:tblLook w:val="04A0" w:firstRow="1" w:lastRow="0" w:firstColumn="1" w:lastColumn="0" w:noHBand="0" w:noVBand="1"/>
      </w:tblPr>
      <w:tblGrid>
        <w:gridCol w:w="53"/>
        <w:gridCol w:w="2534"/>
        <w:gridCol w:w="37"/>
        <w:gridCol w:w="120"/>
        <w:gridCol w:w="1194"/>
        <w:gridCol w:w="36"/>
        <w:gridCol w:w="36"/>
        <w:gridCol w:w="36"/>
        <w:gridCol w:w="36"/>
        <w:gridCol w:w="120"/>
        <w:gridCol w:w="1133"/>
        <w:gridCol w:w="36"/>
        <w:gridCol w:w="36"/>
        <w:gridCol w:w="36"/>
        <w:gridCol w:w="36"/>
        <w:gridCol w:w="39"/>
        <w:gridCol w:w="1109"/>
        <w:gridCol w:w="220"/>
        <w:gridCol w:w="36"/>
        <w:gridCol w:w="36"/>
        <w:gridCol w:w="36"/>
        <w:gridCol w:w="39"/>
        <w:gridCol w:w="1110"/>
        <w:gridCol w:w="220"/>
      </w:tblGrid>
      <w:tr w:rsidR="00871BDF" w14:paraId="00BADA55" w14:textId="77777777">
        <w:tc>
          <w:tcPr>
            <w:tcW w:w="50" w:type="pct"/>
            <w:shd w:val="clear" w:color="auto" w:fill="auto"/>
          </w:tcPr>
          <w:p w14:paraId="00BADA3D" w14:textId="77777777" w:rsidR="00871BDF" w:rsidRDefault="00871BDF">
            <w:pPr>
              <w:rPr>
                <w:rFonts w:ascii="宋体"/>
              </w:rPr>
            </w:pPr>
          </w:p>
        </w:tc>
        <w:tc>
          <w:tcPr>
            <w:tcW w:w="1584" w:type="pct"/>
            <w:shd w:val="clear" w:color="auto" w:fill="auto"/>
          </w:tcPr>
          <w:p w14:paraId="00BADA3E" w14:textId="77777777" w:rsidR="00871BDF" w:rsidRDefault="00871BDF">
            <w:pPr>
              <w:rPr>
                <w:rFonts w:ascii="宋体"/>
              </w:rPr>
            </w:pPr>
          </w:p>
        </w:tc>
        <w:tc>
          <w:tcPr>
            <w:tcW w:w="5" w:type="pct"/>
            <w:shd w:val="clear" w:color="auto" w:fill="auto"/>
          </w:tcPr>
          <w:p w14:paraId="00BADA3F" w14:textId="77777777" w:rsidR="00871BDF" w:rsidRDefault="00871BDF">
            <w:pPr>
              <w:rPr>
                <w:rFonts w:ascii="宋体"/>
              </w:rPr>
            </w:pPr>
          </w:p>
        </w:tc>
        <w:tc>
          <w:tcPr>
            <w:tcW w:w="50" w:type="pct"/>
            <w:shd w:val="clear" w:color="auto" w:fill="auto"/>
          </w:tcPr>
          <w:p w14:paraId="00BADA40" w14:textId="77777777" w:rsidR="00871BDF" w:rsidRDefault="00871BDF">
            <w:pPr>
              <w:rPr>
                <w:rFonts w:ascii="宋体"/>
              </w:rPr>
            </w:pPr>
          </w:p>
        </w:tc>
        <w:tc>
          <w:tcPr>
            <w:tcW w:w="757" w:type="pct"/>
            <w:shd w:val="clear" w:color="auto" w:fill="auto"/>
          </w:tcPr>
          <w:p w14:paraId="00BADA41" w14:textId="77777777" w:rsidR="00871BDF" w:rsidRDefault="00871BDF">
            <w:pPr>
              <w:rPr>
                <w:rFonts w:ascii="宋体"/>
              </w:rPr>
            </w:pPr>
          </w:p>
        </w:tc>
        <w:tc>
          <w:tcPr>
            <w:tcW w:w="5" w:type="pct"/>
            <w:shd w:val="clear" w:color="auto" w:fill="auto"/>
          </w:tcPr>
          <w:p w14:paraId="00BADA42" w14:textId="77777777" w:rsidR="00871BDF" w:rsidRDefault="00871BDF">
            <w:pPr>
              <w:rPr>
                <w:rFonts w:ascii="宋体"/>
              </w:rPr>
            </w:pPr>
          </w:p>
        </w:tc>
        <w:tc>
          <w:tcPr>
            <w:tcW w:w="5" w:type="pct"/>
            <w:shd w:val="clear" w:color="auto" w:fill="auto"/>
          </w:tcPr>
          <w:p w14:paraId="00BADA43" w14:textId="77777777" w:rsidR="00871BDF" w:rsidRDefault="00871BDF">
            <w:pPr>
              <w:rPr>
                <w:rFonts w:ascii="宋体"/>
              </w:rPr>
            </w:pPr>
          </w:p>
        </w:tc>
        <w:tc>
          <w:tcPr>
            <w:tcW w:w="26" w:type="pct"/>
            <w:shd w:val="clear" w:color="auto" w:fill="auto"/>
          </w:tcPr>
          <w:p w14:paraId="00BADA44" w14:textId="77777777" w:rsidR="00871BDF" w:rsidRDefault="00871BDF">
            <w:pPr>
              <w:rPr>
                <w:rFonts w:ascii="宋体"/>
              </w:rPr>
            </w:pPr>
          </w:p>
        </w:tc>
        <w:tc>
          <w:tcPr>
            <w:tcW w:w="5" w:type="pct"/>
            <w:shd w:val="clear" w:color="auto" w:fill="auto"/>
          </w:tcPr>
          <w:p w14:paraId="00BADA45" w14:textId="77777777" w:rsidR="00871BDF" w:rsidRDefault="00871BDF">
            <w:pPr>
              <w:rPr>
                <w:rFonts w:ascii="宋体"/>
              </w:rPr>
            </w:pPr>
          </w:p>
        </w:tc>
        <w:tc>
          <w:tcPr>
            <w:tcW w:w="50" w:type="pct"/>
            <w:shd w:val="clear" w:color="auto" w:fill="auto"/>
          </w:tcPr>
          <w:p w14:paraId="00BADA46" w14:textId="77777777" w:rsidR="00871BDF" w:rsidRDefault="00871BDF">
            <w:pPr>
              <w:rPr>
                <w:rFonts w:ascii="宋体"/>
              </w:rPr>
            </w:pPr>
          </w:p>
        </w:tc>
        <w:tc>
          <w:tcPr>
            <w:tcW w:w="757" w:type="pct"/>
            <w:shd w:val="clear" w:color="auto" w:fill="auto"/>
          </w:tcPr>
          <w:p w14:paraId="00BADA47" w14:textId="77777777" w:rsidR="00871BDF" w:rsidRDefault="00871BDF">
            <w:pPr>
              <w:rPr>
                <w:rFonts w:ascii="宋体"/>
              </w:rPr>
            </w:pPr>
          </w:p>
        </w:tc>
        <w:tc>
          <w:tcPr>
            <w:tcW w:w="5" w:type="pct"/>
            <w:shd w:val="clear" w:color="auto" w:fill="auto"/>
          </w:tcPr>
          <w:p w14:paraId="00BADA48" w14:textId="77777777" w:rsidR="00871BDF" w:rsidRDefault="00871BDF">
            <w:pPr>
              <w:rPr>
                <w:rFonts w:ascii="宋体"/>
              </w:rPr>
            </w:pPr>
          </w:p>
        </w:tc>
        <w:tc>
          <w:tcPr>
            <w:tcW w:w="5" w:type="pct"/>
            <w:shd w:val="clear" w:color="auto" w:fill="auto"/>
          </w:tcPr>
          <w:p w14:paraId="00BADA49" w14:textId="77777777" w:rsidR="00871BDF" w:rsidRDefault="00871BDF">
            <w:pPr>
              <w:rPr>
                <w:rFonts w:ascii="宋体"/>
              </w:rPr>
            </w:pPr>
          </w:p>
        </w:tc>
        <w:tc>
          <w:tcPr>
            <w:tcW w:w="26" w:type="pct"/>
            <w:shd w:val="clear" w:color="auto" w:fill="auto"/>
          </w:tcPr>
          <w:p w14:paraId="00BADA4A" w14:textId="77777777" w:rsidR="00871BDF" w:rsidRDefault="00871BDF">
            <w:pPr>
              <w:rPr>
                <w:rFonts w:ascii="宋体"/>
              </w:rPr>
            </w:pPr>
          </w:p>
        </w:tc>
        <w:tc>
          <w:tcPr>
            <w:tcW w:w="5" w:type="pct"/>
            <w:shd w:val="clear" w:color="auto" w:fill="auto"/>
          </w:tcPr>
          <w:p w14:paraId="00BADA4B" w14:textId="77777777" w:rsidR="00871BDF" w:rsidRDefault="00871BDF">
            <w:pPr>
              <w:rPr>
                <w:rFonts w:ascii="宋体"/>
              </w:rPr>
            </w:pPr>
          </w:p>
        </w:tc>
        <w:tc>
          <w:tcPr>
            <w:tcW w:w="50" w:type="pct"/>
            <w:shd w:val="clear" w:color="auto" w:fill="auto"/>
          </w:tcPr>
          <w:p w14:paraId="00BADA4C" w14:textId="77777777" w:rsidR="00871BDF" w:rsidRDefault="00871BDF">
            <w:pPr>
              <w:rPr>
                <w:rFonts w:ascii="宋体"/>
              </w:rPr>
            </w:pPr>
          </w:p>
        </w:tc>
        <w:tc>
          <w:tcPr>
            <w:tcW w:w="757" w:type="pct"/>
            <w:shd w:val="clear" w:color="auto" w:fill="auto"/>
          </w:tcPr>
          <w:p w14:paraId="00BADA4D" w14:textId="77777777" w:rsidR="00871BDF" w:rsidRDefault="00871BDF">
            <w:pPr>
              <w:rPr>
                <w:rFonts w:ascii="宋体"/>
              </w:rPr>
            </w:pPr>
          </w:p>
        </w:tc>
        <w:tc>
          <w:tcPr>
            <w:tcW w:w="5" w:type="pct"/>
            <w:shd w:val="clear" w:color="auto" w:fill="auto"/>
          </w:tcPr>
          <w:p w14:paraId="00BADA4E" w14:textId="77777777" w:rsidR="00871BDF" w:rsidRDefault="00871BDF">
            <w:pPr>
              <w:rPr>
                <w:rFonts w:ascii="宋体"/>
              </w:rPr>
            </w:pPr>
          </w:p>
        </w:tc>
        <w:tc>
          <w:tcPr>
            <w:tcW w:w="5" w:type="pct"/>
            <w:shd w:val="clear" w:color="auto" w:fill="auto"/>
          </w:tcPr>
          <w:p w14:paraId="00BADA4F" w14:textId="77777777" w:rsidR="00871BDF" w:rsidRDefault="00871BDF">
            <w:pPr>
              <w:rPr>
                <w:rFonts w:ascii="宋体"/>
              </w:rPr>
            </w:pPr>
          </w:p>
        </w:tc>
        <w:tc>
          <w:tcPr>
            <w:tcW w:w="26" w:type="pct"/>
            <w:shd w:val="clear" w:color="auto" w:fill="auto"/>
          </w:tcPr>
          <w:p w14:paraId="00BADA50" w14:textId="77777777" w:rsidR="00871BDF" w:rsidRDefault="00871BDF">
            <w:pPr>
              <w:rPr>
                <w:rFonts w:ascii="宋体"/>
              </w:rPr>
            </w:pPr>
          </w:p>
        </w:tc>
        <w:tc>
          <w:tcPr>
            <w:tcW w:w="5" w:type="pct"/>
            <w:shd w:val="clear" w:color="auto" w:fill="auto"/>
          </w:tcPr>
          <w:p w14:paraId="00BADA51" w14:textId="77777777" w:rsidR="00871BDF" w:rsidRDefault="00871BDF">
            <w:pPr>
              <w:rPr>
                <w:rFonts w:ascii="宋体"/>
              </w:rPr>
            </w:pPr>
          </w:p>
        </w:tc>
        <w:tc>
          <w:tcPr>
            <w:tcW w:w="50" w:type="pct"/>
            <w:shd w:val="clear" w:color="auto" w:fill="auto"/>
          </w:tcPr>
          <w:p w14:paraId="00BADA52" w14:textId="77777777" w:rsidR="00871BDF" w:rsidRDefault="00871BDF">
            <w:pPr>
              <w:rPr>
                <w:rFonts w:ascii="宋体"/>
              </w:rPr>
            </w:pPr>
          </w:p>
        </w:tc>
        <w:tc>
          <w:tcPr>
            <w:tcW w:w="757" w:type="pct"/>
            <w:shd w:val="clear" w:color="auto" w:fill="auto"/>
          </w:tcPr>
          <w:p w14:paraId="00BADA53" w14:textId="77777777" w:rsidR="00871BDF" w:rsidRDefault="00871BDF">
            <w:pPr>
              <w:rPr>
                <w:rFonts w:ascii="宋体"/>
              </w:rPr>
            </w:pPr>
          </w:p>
        </w:tc>
        <w:tc>
          <w:tcPr>
            <w:tcW w:w="5" w:type="pct"/>
            <w:shd w:val="clear" w:color="auto" w:fill="auto"/>
          </w:tcPr>
          <w:p w14:paraId="00BADA54" w14:textId="77777777" w:rsidR="00871BDF" w:rsidRDefault="00871BDF">
            <w:pPr>
              <w:rPr>
                <w:rFonts w:ascii="宋体"/>
              </w:rPr>
            </w:pPr>
          </w:p>
        </w:tc>
      </w:tr>
      <w:tr w:rsidR="00871BDF" w14:paraId="00BADA5E" w14:textId="77777777">
        <w:tc>
          <w:tcPr>
            <w:tcW w:w="0" w:type="auto"/>
            <w:gridSpan w:val="3"/>
            <w:shd w:val="clear" w:color="auto" w:fill="auto"/>
            <w:tcMar>
              <w:top w:w="40" w:type="dxa"/>
              <w:left w:w="20" w:type="dxa"/>
              <w:bottom w:w="40" w:type="dxa"/>
              <w:right w:w="20" w:type="dxa"/>
            </w:tcMar>
            <w:vAlign w:val="bottom"/>
          </w:tcPr>
          <w:p w14:paraId="00BADA56"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DA57"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DA58"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A59"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DA5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A5B"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DA5C" w14:textId="77777777" w:rsidR="00871BDF" w:rsidRDefault="00871BDF">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0BADA5D"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r>
      <w:tr w:rsidR="00871BDF" w14:paraId="00BADA66" w14:textId="77777777">
        <w:tc>
          <w:tcPr>
            <w:tcW w:w="0" w:type="auto"/>
            <w:gridSpan w:val="3"/>
            <w:shd w:val="clear" w:color="auto" w:fill="FFFFFF"/>
            <w:tcMar>
              <w:top w:w="0" w:type="dxa"/>
              <w:left w:w="20" w:type="dxa"/>
              <w:bottom w:w="0" w:type="dxa"/>
              <w:right w:w="20" w:type="dxa"/>
            </w:tcMar>
          </w:tcPr>
          <w:p w14:paraId="00BADA5F" w14:textId="77777777" w:rsidR="00871BDF" w:rsidRDefault="00871B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0BADA6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A61" w14:textId="77777777" w:rsidR="00871BDF" w:rsidRDefault="00871B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0BADA62"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DA63" w14:textId="77777777" w:rsidR="00871BDF" w:rsidRDefault="00871BDF">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00BADA64" w14:textId="77777777" w:rsidR="00871BDF" w:rsidRDefault="005C5088">
            <w:pPr>
              <w:jc w:val="center"/>
              <w:textAlignment w:val="bottom"/>
            </w:pPr>
            <w:r>
              <w:rPr>
                <w:rFonts w:ascii="Times New Roman" w:eastAsia="宋体" w:hAnsi="Times New Roman"/>
                <w:b/>
                <w:bCs/>
                <w:color w:val="000000"/>
                <w:sz w:val="16"/>
                <w:szCs w:val="16"/>
              </w:rPr>
              <w:t xml:space="preserve">As a % of Americas </w:t>
            </w:r>
          </w:p>
          <w:p w14:paraId="00BADA65" w14:textId="77777777" w:rsidR="00871BDF" w:rsidRDefault="005C5088">
            <w:pPr>
              <w:jc w:val="center"/>
              <w:textAlignment w:val="bottom"/>
            </w:pPr>
            <w:r>
              <w:rPr>
                <w:rFonts w:ascii="Times New Roman" w:eastAsia="宋体" w:hAnsi="Times New Roman"/>
                <w:b/>
                <w:bCs/>
                <w:color w:val="000000"/>
                <w:sz w:val="16"/>
                <w:szCs w:val="16"/>
              </w:rPr>
              <w:t>Total Net Revenues</w:t>
            </w:r>
          </w:p>
        </w:tc>
      </w:tr>
      <w:tr w:rsidR="00871BDF" w14:paraId="00BADA6F" w14:textId="77777777">
        <w:tc>
          <w:tcPr>
            <w:tcW w:w="0" w:type="auto"/>
            <w:gridSpan w:val="3"/>
            <w:shd w:val="clear" w:color="auto" w:fill="D7E4BC"/>
            <w:tcMar>
              <w:top w:w="40" w:type="dxa"/>
              <w:left w:w="20" w:type="dxa"/>
              <w:bottom w:w="40" w:type="dxa"/>
              <w:right w:w="20" w:type="dxa"/>
            </w:tcMar>
          </w:tcPr>
          <w:p w14:paraId="00BADA67" w14:textId="77777777" w:rsidR="00871BDF" w:rsidRDefault="005C5088">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tcPr>
          <w:p w14:paraId="00BADA6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A6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A6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A6B"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A6C"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A6D"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A6E" w14:textId="77777777" w:rsidR="00871BDF" w:rsidRDefault="00871BDF">
            <w:pPr>
              <w:rPr>
                <w:rFonts w:ascii="宋体"/>
              </w:rPr>
            </w:pPr>
          </w:p>
        </w:tc>
      </w:tr>
      <w:tr w:rsidR="00871BDF" w14:paraId="00BADA7E" w14:textId="77777777">
        <w:tc>
          <w:tcPr>
            <w:tcW w:w="0" w:type="auto"/>
            <w:gridSpan w:val="3"/>
            <w:shd w:val="clear" w:color="auto" w:fill="FFFFFF"/>
            <w:tcMar>
              <w:top w:w="40" w:type="dxa"/>
              <w:left w:w="155" w:type="dxa"/>
              <w:bottom w:w="40" w:type="dxa"/>
              <w:right w:w="20" w:type="dxa"/>
            </w:tcMar>
          </w:tcPr>
          <w:p w14:paraId="00BADA70" w14:textId="77777777" w:rsidR="00871BDF" w:rsidRDefault="005C5088">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00BADA71"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A72" w14:textId="77777777" w:rsidR="00871BDF" w:rsidRDefault="005C5088">
            <w:pPr>
              <w:jc w:val="right"/>
              <w:textAlignment w:val="bottom"/>
            </w:pPr>
            <w:r>
              <w:rPr>
                <w:rFonts w:ascii="Times New Roman" w:eastAsia="宋体" w:hAnsi="Times New Roman"/>
                <w:color w:val="000000"/>
                <w:sz w:val="20"/>
                <w:szCs w:val="20"/>
              </w:rPr>
              <w:t>14,778.8 </w:t>
            </w:r>
          </w:p>
        </w:tc>
        <w:tc>
          <w:tcPr>
            <w:tcW w:w="0" w:type="auto"/>
            <w:shd w:val="clear" w:color="auto" w:fill="FFFFFF"/>
            <w:tcMar>
              <w:top w:w="40" w:type="dxa"/>
              <w:left w:w="0" w:type="dxa"/>
              <w:bottom w:w="40" w:type="dxa"/>
              <w:right w:w="20" w:type="dxa"/>
            </w:tcMar>
            <w:vAlign w:val="bottom"/>
          </w:tcPr>
          <w:p w14:paraId="00BADA7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74"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DA75"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A76" w14:textId="77777777" w:rsidR="00871BDF" w:rsidRDefault="005C5088">
            <w:pPr>
              <w:jc w:val="right"/>
              <w:textAlignment w:val="bottom"/>
            </w:pPr>
            <w:r>
              <w:rPr>
                <w:rFonts w:ascii="Times New Roman" w:eastAsia="宋体" w:hAnsi="Times New Roman"/>
                <w:color w:val="000000"/>
                <w:sz w:val="20"/>
                <w:szCs w:val="20"/>
              </w:rPr>
              <w:t>16,288.2 </w:t>
            </w:r>
          </w:p>
        </w:tc>
        <w:tc>
          <w:tcPr>
            <w:tcW w:w="0" w:type="auto"/>
            <w:shd w:val="clear" w:color="auto" w:fill="FFFFFF"/>
            <w:tcMar>
              <w:top w:w="40" w:type="dxa"/>
              <w:left w:w="0" w:type="dxa"/>
              <w:bottom w:w="40" w:type="dxa"/>
              <w:right w:w="20" w:type="dxa"/>
            </w:tcMar>
            <w:vAlign w:val="bottom"/>
          </w:tcPr>
          <w:p w14:paraId="00BADA7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7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79" w14:textId="77777777" w:rsidR="00871BDF" w:rsidRDefault="005C5088">
            <w:pPr>
              <w:jc w:val="right"/>
              <w:textAlignment w:val="bottom"/>
            </w:pPr>
            <w:r>
              <w:rPr>
                <w:rFonts w:ascii="Times New Roman" w:eastAsia="宋体" w:hAnsi="Times New Roman"/>
                <w:color w:val="000000"/>
                <w:sz w:val="20"/>
                <w:szCs w:val="20"/>
              </w:rPr>
              <w:t>90.2 </w:t>
            </w:r>
          </w:p>
        </w:tc>
        <w:tc>
          <w:tcPr>
            <w:tcW w:w="0" w:type="auto"/>
            <w:shd w:val="clear" w:color="auto" w:fill="FFFFFF"/>
            <w:tcMar>
              <w:top w:w="40" w:type="dxa"/>
              <w:left w:w="0" w:type="dxa"/>
              <w:bottom w:w="40" w:type="dxa"/>
              <w:right w:w="20" w:type="dxa"/>
            </w:tcMar>
            <w:vAlign w:val="bottom"/>
          </w:tcPr>
          <w:p w14:paraId="00BADA7A"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A7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7C" w14:textId="77777777" w:rsidR="00871BDF" w:rsidRDefault="005C5088">
            <w:pPr>
              <w:jc w:val="right"/>
              <w:textAlignment w:val="bottom"/>
            </w:pPr>
            <w:r>
              <w:rPr>
                <w:rFonts w:ascii="Times New Roman" w:eastAsia="宋体" w:hAnsi="Times New Roman"/>
                <w:color w:val="000000"/>
                <w:sz w:val="20"/>
                <w:szCs w:val="20"/>
              </w:rPr>
              <w:t>89.2 </w:t>
            </w:r>
          </w:p>
        </w:tc>
        <w:tc>
          <w:tcPr>
            <w:tcW w:w="0" w:type="auto"/>
            <w:shd w:val="clear" w:color="auto" w:fill="FFFFFF"/>
            <w:tcMar>
              <w:top w:w="40" w:type="dxa"/>
              <w:left w:w="0" w:type="dxa"/>
              <w:bottom w:w="40" w:type="dxa"/>
              <w:right w:w="20" w:type="dxa"/>
            </w:tcMar>
            <w:vAlign w:val="bottom"/>
          </w:tcPr>
          <w:p w14:paraId="00BADA7D"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DA8B" w14:textId="77777777">
        <w:tc>
          <w:tcPr>
            <w:tcW w:w="0" w:type="auto"/>
            <w:gridSpan w:val="3"/>
            <w:shd w:val="clear" w:color="auto" w:fill="D7E4BC"/>
            <w:tcMar>
              <w:top w:w="40" w:type="dxa"/>
              <w:left w:w="155" w:type="dxa"/>
              <w:bottom w:w="40" w:type="dxa"/>
              <w:right w:w="20" w:type="dxa"/>
            </w:tcMar>
          </w:tcPr>
          <w:p w14:paraId="00BADA7F" w14:textId="77777777" w:rsidR="00871BDF" w:rsidRDefault="005C5088">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00BADA80" w14:textId="77777777" w:rsidR="00871BDF" w:rsidRDefault="005C5088">
            <w:pPr>
              <w:jc w:val="right"/>
              <w:textAlignment w:val="bottom"/>
            </w:pPr>
            <w:r>
              <w:rPr>
                <w:rFonts w:ascii="Times New Roman" w:eastAsia="宋体" w:hAnsi="Times New Roman"/>
                <w:color w:val="000000"/>
                <w:sz w:val="20"/>
                <w:szCs w:val="20"/>
              </w:rPr>
              <w:t>1,592.9 </w:t>
            </w:r>
          </w:p>
        </w:tc>
        <w:tc>
          <w:tcPr>
            <w:tcW w:w="0" w:type="auto"/>
            <w:shd w:val="clear" w:color="auto" w:fill="D7E4BC"/>
            <w:tcMar>
              <w:top w:w="40" w:type="dxa"/>
              <w:left w:w="0" w:type="dxa"/>
              <w:bottom w:w="40" w:type="dxa"/>
              <w:right w:w="20" w:type="dxa"/>
            </w:tcMar>
            <w:vAlign w:val="bottom"/>
          </w:tcPr>
          <w:p w14:paraId="00BADA8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8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A83" w14:textId="77777777" w:rsidR="00871BDF" w:rsidRDefault="005C5088">
            <w:pPr>
              <w:jc w:val="right"/>
              <w:textAlignment w:val="bottom"/>
            </w:pPr>
            <w:r>
              <w:rPr>
                <w:rFonts w:ascii="Times New Roman" w:eastAsia="宋体" w:hAnsi="Times New Roman"/>
                <w:color w:val="000000"/>
                <w:sz w:val="20"/>
                <w:szCs w:val="20"/>
              </w:rPr>
              <w:t>1,958.0 </w:t>
            </w:r>
          </w:p>
        </w:tc>
        <w:tc>
          <w:tcPr>
            <w:tcW w:w="0" w:type="auto"/>
            <w:shd w:val="clear" w:color="auto" w:fill="D7E4BC"/>
            <w:tcMar>
              <w:top w:w="40" w:type="dxa"/>
              <w:left w:w="0" w:type="dxa"/>
              <w:bottom w:w="40" w:type="dxa"/>
              <w:right w:w="20" w:type="dxa"/>
            </w:tcMar>
            <w:vAlign w:val="bottom"/>
          </w:tcPr>
          <w:p w14:paraId="00BADA8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8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A86" w14:textId="77777777" w:rsidR="00871BDF" w:rsidRDefault="005C5088">
            <w:pPr>
              <w:jc w:val="right"/>
              <w:textAlignment w:val="bottom"/>
            </w:pPr>
            <w:r>
              <w:rPr>
                <w:rFonts w:ascii="Times New Roman" w:eastAsia="宋体" w:hAnsi="Times New Roman"/>
                <w:color w:val="000000"/>
                <w:sz w:val="20"/>
                <w:szCs w:val="20"/>
              </w:rPr>
              <w:t>9.7 </w:t>
            </w:r>
          </w:p>
        </w:tc>
        <w:tc>
          <w:tcPr>
            <w:tcW w:w="0" w:type="auto"/>
            <w:shd w:val="clear" w:color="auto" w:fill="D7E4BC"/>
            <w:tcMar>
              <w:top w:w="40" w:type="dxa"/>
              <w:left w:w="0" w:type="dxa"/>
              <w:bottom w:w="40" w:type="dxa"/>
              <w:right w:w="20" w:type="dxa"/>
            </w:tcMar>
            <w:vAlign w:val="bottom"/>
          </w:tcPr>
          <w:p w14:paraId="00BADA8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8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A89" w14:textId="77777777" w:rsidR="00871BDF" w:rsidRDefault="005C5088">
            <w:pPr>
              <w:jc w:val="right"/>
              <w:textAlignment w:val="bottom"/>
            </w:pPr>
            <w:r>
              <w:rPr>
                <w:rFonts w:ascii="Times New Roman" w:eastAsia="宋体" w:hAnsi="Times New Roman"/>
                <w:color w:val="000000"/>
                <w:sz w:val="20"/>
                <w:szCs w:val="20"/>
              </w:rPr>
              <w:t>10.7 </w:t>
            </w:r>
          </w:p>
        </w:tc>
        <w:tc>
          <w:tcPr>
            <w:tcW w:w="0" w:type="auto"/>
            <w:shd w:val="clear" w:color="auto" w:fill="D7E4BC"/>
            <w:tcMar>
              <w:top w:w="40" w:type="dxa"/>
              <w:left w:w="0" w:type="dxa"/>
              <w:bottom w:w="40" w:type="dxa"/>
              <w:right w:w="20" w:type="dxa"/>
            </w:tcMar>
            <w:vAlign w:val="bottom"/>
          </w:tcPr>
          <w:p w14:paraId="00BADA8A" w14:textId="77777777" w:rsidR="00871BDF" w:rsidRDefault="00871BDF">
            <w:pPr>
              <w:jc w:val="right"/>
              <w:rPr>
                <w:rFonts w:ascii="宋体"/>
              </w:rPr>
            </w:pPr>
          </w:p>
        </w:tc>
      </w:tr>
      <w:tr w:rsidR="00871BDF" w14:paraId="00BADA98" w14:textId="77777777">
        <w:tc>
          <w:tcPr>
            <w:tcW w:w="0" w:type="auto"/>
            <w:gridSpan w:val="3"/>
            <w:shd w:val="clear" w:color="auto" w:fill="FFFFFF"/>
            <w:tcMar>
              <w:top w:w="40" w:type="dxa"/>
              <w:left w:w="155" w:type="dxa"/>
              <w:bottom w:w="40" w:type="dxa"/>
              <w:right w:w="20" w:type="dxa"/>
            </w:tcMar>
          </w:tcPr>
          <w:p w14:paraId="00BADA8C" w14:textId="77777777" w:rsidR="00871BDF" w:rsidRDefault="005C5088">
            <w:pPr>
              <w:textAlignment w:val="top"/>
            </w:pPr>
            <w:r>
              <w:rPr>
                <w:rFonts w:ascii="Times New Roman" w:eastAsia="宋体" w:hAnsi="Times New Roman"/>
                <w:color w:val="000000"/>
                <w:sz w:val="20"/>
                <w:szCs w:val="20"/>
              </w:rPr>
              <w:t xml:space="preserve">Other </w:t>
            </w:r>
          </w:p>
        </w:tc>
        <w:tc>
          <w:tcPr>
            <w:tcW w:w="0" w:type="auto"/>
            <w:gridSpan w:val="2"/>
            <w:shd w:val="clear" w:color="auto" w:fill="FFFFFF"/>
            <w:tcMar>
              <w:top w:w="40" w:type="dxa"/>
              <w:left w:w="20" w:type="dxa"/>
              <w:bottom w:w="40" w:type="dxa"/>
              <w:right w:w="0" w:type="dxa"/>
            </w:tcMar>
            <w:vAlign w:val="bottom"/>
          </w:tcPr>
          <w:p w14:paraId="00BADA8D" w14:textId="77777777" w:rsidR="00871BDF" w:rsidRDefault="005C5088">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00BADA8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8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90" w14:textId="77777777" w:rsidR="00871BDF" w:rsidRDefault="005C5088">
            <w:pPr>
              <w:jc w:val="right"/>
              <w:textAlignment w:val="bottom"/>
            </w:pPr>
            <w:r>
              <w:rPr>
                <w:rFonts w:ascii="Times New Roman" w:eastAsia="宋体" w:hAnsi="Times New Roman"/>
                <w:color w:val="000000"/>
                <w:sz w:val="20"/>
                <w:szCs w:val="20"/>
              </w:rPr>
              <w:t>12.8 </w:t>
            </w:r>
          </w:p>
        </w:tc>
        <w:tc>
          <w:tcPr>
            <w:tcW w:w="0" w:type="auto"/>
            <w:shd w:val="clear" w:color="auto" w:fill="FFFFFF"/>
            <w:tcMar>
              <w:top w:w="40" w:type="dxa"/>
              <w:left w:w="0" w:type="dxa"/>
              <w:bottom w:w="40" w:type="dxa"/>
              <w:right w:w="20" w:type="dxa"/>
            </w:tcMar>
            <w:vAlign w:val="bottom"/>
          </w:tcPr>
          <w:p w14:paraId="00BADA9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9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93"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DA9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9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96" w14:textId="77777777" w:rsidR="00871BDF" w:rsidRDefault="005C5088">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0BADA97" w14:textId="77777777" w:rsidR="00871BDF" w:rsidRDefault="00871BDF">
            <w:pPr>
              <w:jc w:val="right"/>
              <w:rPr>
                <w:rFonts w:ascii="宋体"/>
              </w:rPr>
            </w:pPr>
          </w:p>
        </w:tc>
      </w:tr>
      <w:tr w:rsidR="00871BDF" w14:paraId="00BADAA5" w14:textId="77777777">
        <w:tc>
          <w:tcPr>
            <w:tcW w:w="0" w:type="auto"/>
            <w:gridSpan w:val="3"/>
            <w:shd w:val="clear" w:color="auto" w:fill="D7E4BC"/>
            <w:tcMar>
              <w:top w:w="40" w:type="dxa"/>
              <w:left w:w="20" w:type="dxa"/>
              <w:bottom w:w="40" w:type="dxa"/>
              <w:right w:w="20" w:type="dxa"/>
            </w:tcMar>
          </w:tcPr>
          <w:p w14:paraId="00BADA99" w14:textId="77777777" w:rsidR="00871BDF" w:rsidRDefault="005C5088">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A9A" w14:textId="77777777" w:rsidR="00871BDF" w:rsidRDefault="005C5088">
            <w:pPr>
              <w:jc w:val="right"/>
              <w:textAlignment w:val="bottom"/>
            </w:pPr>
            <w:r>
              <w:rPr>
                <w:rFonts w:ascii="Times New Roman" w:eastAsia="宋体" w:hAnsi="Times New Roman"/>
                <w:b/>
                <w:bCs/>
                <w:color w:val="000000"/>
                <w:sz w:val="20"/>
                <w:szCs w:val="20"/>
              </w:rPr>
              <w:t>16,379.2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A9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9C"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A9D" w14:textId="77777777" w:rsidR="00871BDF" w:rsidRDefault="005C5088">
            <w:pPr>
              <w:jc w:val="right"/>
              <w:textAlignment w:val="bottom"/>
            </w:pPr>
            <w:r>
              <w:rPr>
                <w:rFonts w:ascii="Times New Roman" w:eastAsia="宋体" w:hAnsi="Times New Roman"/>
                <w:b/>
                <w:bCs/>
                <w:color w:val="000000"/>
                <w:sz w:val="20"/>
                <w:szCs w:val="20"/>
              </w:rPr>
              <w:t>18,259.0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A9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9F"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AA0" w14:textId="77777777" w:rsidR="00871BDF" w:rsidRDefault="005C5088">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AA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A2"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AA3" w14:textId="77777777" w:rsidR="00871BDF" w:rsidRDefault="005C5088">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AA4" w14:textId="77777777" w:rsidR="00871BDF" w:rsidRDefault="00871BDF">
            <w:pPr>
              <w:jc w:val="right"/>
              <w:rPr>
                <w:rFonts w:ascii="宋体"/>
              </w:rPr>
            </w:pPr>
          </w:p>
        </w:tc>
      </w:tr>
      <w:tr w:rsidR="00871BDF" w14:paraId="00BADAB2" w14:textId="77777777">
        <w:tc>
          <w:tcPr>
            <w:tcW w:w="0" w:type="auto"/>
            <w:gridSpan w:val="3"/>
            <w:shd w:val="clear" w:color="auto" w:fill="FFFFFF"/>
            <w:tcMar>
              <w:top w:w="40" w:type="dxa"/>
              <w:left w:w="20" w:type="dxa"/>
              <w:bottom w:w="40" w:type="dxa"/>
              <w:right w:w="20" w:type="dxa"/>
            </w:tcMar>
          </w:tcPr>
          <w:p w14:paraId="00BADAA6" w14:textId="77777777" w:rsidR="00871BDF" w:rsidRDefault="005C5088">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00BADAA7" w14:textId="77777777" w:rsidR="00871BDF" w:rsidRDefault="005C5088">
            <w:pPr>
              <w:jc w:val="right"/>
              <w:textAlignment w:val="bottom"/>
            </w:pPr>
            <w:r>
              <w:rPr>
                <w:rFonts w:ascii="Times New Roman" w:eastAsia="宋体" w:hAnsi="Times New Roman"/>
                <w:color w:val="000000"/>
                <w:sz w:val="20"/>
                <w:szCs w:val="20"/>
              </w:rPr>
              <w:t>4,611.5 </w:t>
            </w:r>
          </w:p>
        </w:tc>
        <w:tc>
          <w:tcPr>
            <w:tcW w:w="0" w:type="auto"/>
            <w:shd w:val="clear" w:color="auto" w:fill="FFFFFF"/>
            <w:tcMar>
              <w:top w:w="40" w:type="dxa"/>
              <w:left w:w="0" w:type="dxa"/>
              <w:bottom w:w="40" w:type="dxa"/>
              <w:right w:w="20" w:type="dxa"/>
            </w:tcMar>
            <w:vAlign w:val="bottom"/>
          </w:tcPr>
          <w:p w14:paraId="00BADAA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A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AA" w14:textId="77777777" w:rsidR="00871BDF" w:rsidRDefault="005C5088">
            <w:pPr>
              <w:jc w:val="right"/>
              <w:textAlignment w:val="bottom"/>
            </w:pPr>
            <w:r>
              <w:rPr>
                <w:rFonts w:ascii="Times New Roman" w:eastAsia="宋体" w:hAnsi="Times New Roman"/>
                <w:color w:val="000000"/>
                <w:sz w:val="20"/>
                <w:szCs w:val="20"/>
              </w:rPr>
              <w:t>5,174.7 </w:t>
            </w:r>
          </w:p>
        </w:tc>
        <w:tc>
          <w:tcPr>
            <w:tcW w:w="0" w:type="auto"/>
            <w:shd w:val="clear" w:color="auto" w:fill="FFFFFF"/>
            <w:tcMar>
              <w:top w:w="40" w:type="dxa"/>
              <w:left w:w="0" w:type="dxa"/>
              <w:bottom w:w="40" w:type="dxa"/>
              <w:right w:w="20" w:type="dxa"/>
            </w:tcMar>
            <w:vAlign w:val="bottom"/>
          </w:tcPr>
          <w:p w14:paraId="00BADAA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A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AD" w14:textId="77777777" w:rsidR="00871BDF" w:rsidRDefault="005C5088">
            <w:pPr>
              <w:jc w:val="right"/>
              <w:textAlignment w:val="bottom"/>
            </w:pPr>
            <w:r>
              <w:rPr>
                <w:rFonts w:ascii="Times New Roman" w:eastAsia="宋体" w:hAnsi="Times New Roman"/>
                <w:color w:val="000000"/>
                <w:sz w:val="20"/>
                <w:szCs w:val="20"/>
              </w:rPr>
              <w:t>28.2 </w:t>
            </w:r>
          </w:p>
        </w:tc>
        <w:tc>
          <w:tcPr>
            <w:tcW w:w="0" w:type="auto"/>
            <w:shd w:val="clear" w:color="auto" w:fill="FFFFFF"/>
            <w:tcMar>
              <w:top w:w="40" w:type="dxa"/>
              <w:left w:w="0" w:type="dxa"/>
              <w:bottom w:w="40" w:type="dxa"/>
              <w:right w:w="20" w:type="dxa"/>
            </w:tcMar>
            <w:vAlign w:val="bottom"/>
          </w:tcPr>
          <w:p w14:paraId="00BADAA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A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B0" w14:textId="77777777" w:rsidR="00871BDF" w:rsidRDefault="005C5088">
            <w:pPr>
              <w:jc w:val="right"/>
              <w:textAlignment w:val="bottom"/>
            </w:pPr>
            <w:r>
              <w:rPr>
                <w:rFonts w:ascii="Times New Roman" w:eastAsia="宋体" w:hAnsi="Times New Roman"/>
                <w:color w:val="000000"/>
                <w:sz w:val="20"/>
                <w:szCs w:val="20"/>
              </w:rPr>
              <w:t>28.3 </w:t>
            </w:r>
          </w:p>
        </w:tc>
        <w:tc>
          <w:tcPr>
            <w:tcW w:w="0" w:type="auto"/>
            <w:shd w:val="clear" w:color="auto" w:fill="FFFFFF"/>
            <w:tcMar>
              <w:top w:w="40" w:type="dxa"/>
              <w:left w:w="0" w:type="dxa"/>
              <w:bottom w:w="40" w:type="dxa"/>
              <w:right w:w="20" w:type="dxa"/>
            </w:tcMar>
            <w:vAlign w:val="bottom"/>
          </w:tcPr>
          <w:p w14:paraId="00BADAB1" w14:textId="77777777" w:rsidR="00871BDF" w:rsidRDefault="00871BDF">
            <w:pPr>
              <w:jc w:val="right"/>
              <w:rPr>
                <w:rFonts w:ascii="宋体"/>
              </w:rPr>
            </w:pPr>
          </w:p>
        </w:tc>
      </w:tr>
      <w:tr w:rsidR="00871BDF" w14:paraId="00BADABF" w14:textId="77777777">
        <w:tc>
          <w:tcPr>
            <w:tcW w:w="0" w:type="auto"/>
            <w:gridSpan w:val="3"/>
            <w:shd w:val="clear" w:color="auto" w:fill="D7E4BC"/>
            <w:tcMar>
              <w:top w:w="40" w:type="dxa"/>
              <w:left w:w="20" w:type="dxa"/>
              <w:bottom w:w="40" w:type="dxa"/>
              <w:right w:w="20" w:type="dxa"/>
            </w:tcMar>
          </w:tcPr>
          <w:p w14:paraId="00BADAB3" w14:textId="77777777" w:rsidR="00871BDF" w:rsidRDefault="005C5088">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00BADAB4" w14:textId="77777777" w:rsidR="00871BDF" w:rsidRDefault="005C5088">
            <w:pPr>
              <w:jc w:val="right"/>
              <w:textAlignment w:val="bottom"/>
            </w:pPr>
            <w:r>
              <w:rPr>
                <w:rFonts w:ascii="Times New Roman" w:eastAsia="宋体" w:hAnsi="Times New Roman"/>
                <w:color w:val="000000"/>
                <w:sz w:val="20"/>
                <w:szCs w:val="20"/>
              </w:rPr>
              <w:t>8,488.0 </w:t>
            </w:r>
          </w:p>
        </w:tc>
        <w:tc>
          <w:tcPr>
            <w:tcW w:w="0" w:type="auto"/>
            <w:shd w:val="clear" w:color="auto" w:fill="D7E4BC"/>
            <w:tcMar>
              <w:top w:w="40" w:type="dxa"/>
              <w:left w:w="0" w:type="dxa"/>
              <w:bottom w:w="40" w:type="dxa"/>
              <w:right w:w="20" w:type="dxa"/>
            </w:tcMar>
            <w:vAlign w:val="bottom"/>
          </w:tcPr>
          <w:p w14:paraId="00BADAB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B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AB7" w14:textId="77777777" w:rsidR="00871BDF" w:rsidRDefault="005C5088">
            <w:pPr>
              <w:jc w:val="right"/>
              <w:textAlignment w:val="bottom"/>
            </w:pPr>
            <w:r>
              <w:rPr>
                <w:rFonts w:ascii="Times New Roman" w:eastAsia="宋体" w:hAnsi="Times New Roman"/>
                <w:color w:val="000000"/>
                <w:sz w:val="20"/>
                <w:szCs w:val="20"/>
              </w:rPr>
              <w:t>8,064.8 </w:t>
            </w:r>
          </w:p>
        </w:tc>
        <w:tc>
          <w:tcPr>
            <w:tcW w:w="0" w:type="auto"/>
            <w:shd w:val="clear" w:color="auto" w:fill="D7E4BC"/>
            <w:tcMar>
              <w:top w:w="40" w:type="dxa"/>
              <w:left w:w="0" w:type="dxa"/>
              <w:bottom w:w="40" w:type="dxa"/>
              <w:right w:w="20" w:type="dxa"/>
            </w:tcMar>
            <w:vAlign w:val="bottom"/>
          </w:tcPr>
          <w:p w14:paraId="00BADAB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B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ABA" w14:textId="77777777" w:rsidR="00871BDF" w:rsidRDefault="005C5088">
            <w:pPr>
              <w:jc w:val="right"/>
              <w:textAlignment w:val="bottom"/>
            </w:pPr>
            <w:r>
              <w:rPr>
                <w:rFonts w:ascii="Times New Roman" w:eastAsia="宋体" w:hAnsi="Times New Roman"/>
                <w:color w:val="000000"/>
                <w:sz w:val="20"/>
                <w:szCs w:val="20"/>
              </w:rPr>
              <w:t>51.8 </w:t>
            </w:r>
          </w:p>
        </w:tc>
        <w:tc>
          <w:tcPr>
            <w:tcW w:w="0" w:type="auto"/>
            <w:shd w:val="clear" w:color="auto" w:fill="D7E4BC"/>
            <w:tcMar>
              <w:top w:w="40" w:type="dxa"/>
              <w:left w:w="0" w:type="dxa"/>
              <w:bottom w:w="40" w:type="dxa"/>
              <w:right w:w="20" w:type="dxa"/>
            </w:tcMar>
            <w:vAlign w:val="bottom"/>
          </w:tcPr>
          <w:p w14:paraId="00BADAB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B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ABD" w14:textId="77777777" w:rsidR="00871BDF" w:rsidRDefault="005C5088">
            <w:pPr>
              <w:jc w:val="right"/>
              <w:textAlignment w:val="bottom"/>
            </w:pPr>
            <w:r>
              <w:rPr>
                <w:rFonts w:ascii="Times New Roman" w:eastAsia="宋体" w:hAnsi="Times New Roman"/>
                <w:color w:val="000000"/>
                <w:sz w:val="20"/>
                <w:szCs w:val="20"/>
              </w:rPr>
              <w:t>44.2 </w:t>
            </w:r>
          </w:p>
        </w:tc>
        <w:tc>
          <w:tcPr>
            <w:tcW w:w="0" w:type="auto"/>
            <w:shd w:val="clear" w:color="auto" w:fill="D7E4BC"/>
            <w:tcMar>
              <w:top w:w="40" w:type="dxa"/>
              <w:left w:w="0" w:type="dxa"/>
              <w:bottom w:w="40" w:type="dxa"/>
              <w:right w:w="20" w:type="dxa"/>
            </w:tcMar>
            <w:vAlign w:val="bottom"/>
          </w:tcPr>
          <w:p w14:paraId="00BADABE" w14:textId="77777777" w:rsidR="00871BDF" w:rsidRDefault="00871BDF">
            <w:pPr>
              <w:jc w:val="right"/>
              <w:rPr>
                <w:rFonts w:ascii="宋体"/>
              </w:rPr>
            </w:pPr>
          </w:p>
        </w:tc>
      </w:tr>
      <w:tr w:rsidR="00871BDF" w14:paraId="00BADACC" w14:textId="77777777">
        <w:tc>
          <w:tcPr>
            <w:tcW w:w="0" w:type="auto"/>
            <w:gridSpan w:val="3"/>
            <w:shd w:val="clear" w:color="auto" w:fill="FFFFFF"/>
            <w:tcMar>
              <w:top w:w="40" w:type="dxa"/>
              <w:left w:w="20" w:type="dxa"/>
              <w:bottom w:w="40" w:type="dxa"/>
              <w:right w:w="20" w:type="dxa"/>
            </w:tcMar>
          </w:tcPr>
          <w:p w14:paraId="00BADAC0" w14:textId="77777777" w:rsidR="00871BDF" w:rsidRDefault="005C5088">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00BADAC1" w14:textId="77777777" w:rsidR="00871BDF" w:rsidRDefault="005C5088">
            <w:pPr>
              <w:jc w:val="right"/>
              <w:textAlignment w:val="bottom"/>
            </w:pPr>
            <w:r>
              <w:rPr>
                <w:rFonts w:ascii="Times New Roman" w:eastAsia="宋体" w:hAnsi="Times New Roman"/>
                <w:color w:val="000000"/>
                <w:sz w:val="20"/>
                <w:szCs w:val="20"/>
              </w:rPr>
              <w:t>166.8 </w:t>
            </w:r>
          </w:p>
        </w:tc>
        <w:tc>
          <w:tcPr>
            <w:tcW w:w="0" w:type="auto"/>
            <w:shd w:val="clear" w:color="auto" w:fill="FFFFFF"/>
            <w:tcMar>
              <w:top w:w="40" w:type="dxa"/>
              <w:left w:w="0" w:type="dxa"/>
              <w:bottom w:w="40" w:type="dxa"/>
              <w:right w:w="20" w:type="dxa"/>
            </w:tcMar>
            <w:vAlign w:val="bottom"/>
          </w:tcPr>
          <w:p w14:paraId="00BADAC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C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C4" w14:textId="77777777" w:rsidR="00871BDF" w:rsidRDefault="005C5088">
            <w:pPr>
              <w:jc w:val="right"/>
              <w:textAlignment w:val="bottom"/>
            </w:pPr>
            <w:r>
              <w:rPr>
                <w:rFonts w:ascii="Times New Roman" w:eastAsia="宋体" w:hAnsi="Times New Roman"/>
                <w:color w:val="000000"/>
                <w:sz w:val="20"/>
                <w:szCs w:val="20"/>
              </w:rPr>
              <w:t>159.8 </w:t>
            </w:r>
          </w:p>
        </w:tc>
        <w:tc>
          <w:tcPr>
            <w:tcW w:w="0" w:type="auto"/>
            <w:shd w:val="clear" w:color="auto" w:fill="FFFFFF"/>
            <w:tcMar>
              <w:top w:w="40" w:type="dxa"/>
              <w:left w:w="0" w:type="dxa"/>
              <w:bottom w:w="40" w:type="dxa"/>
              <w:right w:w="20" w:type="dxa"/>
            </w:tcMar>
            <w:vAlign w:val="bottom"/>
          </w:tcPr>
          <w:p w14:paraId="00BADAC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C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C7" w14:textId="77777777" w:rsidR="00871BDF" w:rsidRDefault="005C5088">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00BADAC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C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CA" w14:textId="77777777" w:rsidR="00871BDF" w:rsidRDefault="005C5088">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00BADACB" w14:textId="77777777" w:rsidR="00871BDF" w:rsidRDefault="00871BDF">
            <w:pPr>
              <w:jc w:val="right"/>
              <w:rPr>
                <w:rFonts w:ascii="宋体"/>
              </w:rPr>
            </w:pPr>
          </w:p>
        </w:tc>
      </w:tr>
      <w:tr w:rsidR="00871BDF" w14:paraId="00BADAD9" w14:textId="77777777">
        <w:tc>
          <w:tcPr>
            <w:tcW w:w="0" w:type="auto"/>
            <w:gridSpan w:val="3"/>
            <w:shd w:val="clear" w:color="auto" w:fill="D7E4BC"/>
            <w:tcMar>
              <w:top w:w="40" w:type="dxa"/>
              <w:left w:w="20" w:type="dxa"/>
              <w:bottom w:w="40" w:type="dxa"/>
              <w:right w:w="20" w:type="dxa"/>
            </w:tcMar>
          </w:tcPr>
          <w:p w14:paraId="00BADACD"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0BADACE" w14:textId="77777777" w:rsidR="00871BDF" w:rsidRDefault="005C5088">
            <w:pPr>
              <w:jc w:val="right"/>
              <w:textAlignment w:val="bottom"/>
            </w:pPr>
            <w:r>
              <w:rPr>
                <w:rFonts w:ascii="Times New Roman" w:eastAsia="宋体" w:hAnsi="Times New Roman"/>
                <w:color w:val="000000"/>
                <w:sz w:val="20"/>
                <w:szCs w:val="20"/>
              </w:rPr>
              <w:t>762.0 </w:t>
            </w:r>
          </w:p>
        </w:tc>
        <w:tc>
          <w:tcPr>
            <w:tcW w:w="0" w:type="auto"/>
            <w:shd w:val="clear" w:color="auto" w:fill="D7E4BC"/>
            <w:tcMar>
              <w:top w:w="40" w:type="dxa"/>
              <w:left w:w="0" w:type="dxa"/>
              <w:bottom w:w="40" w:type="dxa"/>
              <w:right w:w="20" w:type="dxa"/>
            </w:tcMar>
            <w:vAlign w:val="bottom"/>
          </w:tcPr>
          <w:p w14:paraId="00BADAC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D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AD1" w14:textId="77777777" w:rsidR="00871BDF" w:rsidRDefault="005C5088">
            <w:pPr>
              <w:jc w:val="right"/>
              <w:textAlignment w:val="bottom"/>
            </w:pPr>
            <w:r>
              <w:rPr>
                <w:rFonts w:ascii="Times New Roman" w:eastAsia="宋体" w:hAnsi="Times New Roman"/>
                <w:color w:val="000000"/>
                <w:sz w:val="20"/>
                <w:szCs w:val="20"/>
              </w:rPr>
              <w:t>696.1 </w:t>
            </w:r>
          </w:p>
        </w:tc>
        <w:tc>
          <w:tcPr>
            <w:tcW w:w="0" w:type="auto"/>
            <w:shd w:val="clear" w:color="auto" w:fill="D7E4BC"/>
            <w:tcMar>
              <w:top w:w="40" w:type="dxa"/>
              <w:left w:w="0" w:type="dxa"/>
              <w:bottom w:w="40" w:type="dxa"/>
              <w:right w:w="20" w:type="dxa"/>
            </w:tcMar>
            <w:vAlign w:val="bottom"/>
          </w:tcPr>
          <w:p w14:paraId="00BADAD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D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AD4" w14:textId="77777777" w:rsidR="00871BDF" w:rsidRDefault="005C5088">
            <w:pPr>
              <w:jc w:val="right"/>
              <w:textAlignment w:val="bottom"/>
            </w:pPr>
            <w:r>
              <w:rPr>
                <w:rFonts w:ascii="Times New Roman" w:eastAsia="宋体" w:hAnsi="Times New Roman"/>
                <w:color w:val="000000"/>
                <w:sz w:val="20"/>
                <w:szCs w:val="20"/>
              </w:rPr>
              <w:t>4.7 </w:t>
            </w:r>
          </w:p>
        </w:tc>
        <w:tc>
          <w:tcPr>
            <w:tcW w:w="0" w:type="auto"/>
            <w:shd w:val="clear" w:color="auto" w:fill="D7E4BC"/>
            <w:tcMar>
              <w:top w:w="40" w:type="dxa"/>
              <w:left w:w="0" w:type="dxa"/>
              <w:bottom w:w="40" w:type="dxa"/>
              <w:right w:w="20" w:type="dxa"/>
            </w:tcMar>
            <w:vAlign w:val="bottom"/>
          </w:tcPr>
          <w:p w14:paraId="00BADAD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D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AD7" w14:textId="77777777" w:rsidR="00871BDF" w:rsidRDefault="005C5088">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00BADAD8" w14:textId="77777777" w:rsidR="00871BDF" w:rsidRDefault="00871BDF">
            <w:pPr>
              <w:jc w:val="right"/>
              <w:rPr>
                <w:rFonts w:ascii="宋体"/>
              </w:rPr>
            </w:pPr>
          </w:p>
        </w:tc>
      </w:tr>
      <w:tr w:rsidR="00871BDF" w14:paraId="00BADAE6" w14:textId="77777777">
        <w:tc>
          <w:tcPr>
            <w:tcW w:w="0" w:type="auto"/>
            <w:gridSpan w:val="3"/>
            <w:shd w:val="clear" w:color="auto" w:fill="FFFFFF"/>
            <w:tcMar>
              <w:top w:w="40" w:type="dxa"/>
              <w:left w:w="20" w:type="dxa"/>
              <w:bottom w:w="40" w:type="dxa"/>
              <w:right w:w="20" w:type="dxa"/>
            </w:tcMar>
          </w:tcPr>
          <w:p w14:paraId="00BADADA" w14:textId="77777777" w:rsidR="00871BDF" w:rsidRDefault="005C5088">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00BADADB" w14:textId="77777777" w:rsidR="00871BDF" w:rsidRDefault="005C5088">
            <w:pPr>
              <w:jc w:val="right"/>
              <w:textAlignment w:val="bottom"/>
            </w:pPr>
            <w:r>
              <w:rPr>
                <w:rFonts w:ascii="Times New Roman" w:eastAsia="宋体" w:hAnsi="Times New Roman"/>
                <w:color w:val="000000"/>
                <w:sz w:val="20"/>
                <w:szCs w:val="20"/>
              </w:rPr>
              <w:t>268.0 </w:t>
            </w:r>
          </w:p>
        </w:tc>
        <w:tc>
          <w:tcPr>
            <w:tcW w:w="0" w:type="auto"/>
            <w:shd w:val="clear" w:color="auto" w:fill="FFFFFF"/>
            <w:tcMar>
              <w:top w:w="40" w:type="dxa"/>
              <w:left w:w="0" w:type="dxa"/>
              <w:bottom w:w="40" w:type="dxa"/>
              <w:right w:w="20" w:type="dxa"/>
            </w:tcMar>
            <w:vAlign w:val="bottom"/>
          </w:tcPr>
          <w:p w14:paraId="00BADAD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D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DE" w14:textId="77777777" w:rsidR="00871BDF" w:rsidRDefault="005C5088">
            <w:pPr>
              <w:jc w:val="right"/>
              <w:textAlignment w:val="bottom"/>
            </w:pPr>
            <w:r>
              <w:rPr>
                <w:rFonts w:ascii="Times New Roman" w:eastAsia="宋体" w:hAnsi="Times New Roman"/>
                <w:color w:val="000000"/>
                <w:sz w:val="20"/>
                <w:szCs w:val="20"/>
              </w:rPr>
              <w:t>323.9 </w:t>
            </w:r>
          </w:p>
        </w:tc>
        <w:tc>
          <w:tcPr>
            <w:tcW w:w="0" w:type="auto"/>
            <w:shd w:val="clear" w:color="auto" w:fill="FFFFFF"/>
            <w:tcMar>
              <w:top w:w="40" w:type="dxa"/>
              <w:left w:w="0" w:type="dxa"/>
              <w:bottom w:w="40" w:type="dxa"/>
              <w:right w:w="20" w:type="dxa"/>
            </w:tcMar>
            <w:vAlign w:val="bottom"/>
          </w:tcPr>
          <w:p w14:paraId="00BADAD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E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E1" w14:textId="77777777" w:rsidR="00871BDF" w:rsidRDefault="005C5088">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0BADAE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E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AE4" w14:textId="77777777" w:rsidR="00871BDF" w:rsidRDefault="005C5088">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00BADAE5" w14:textId="77777777" w:rsidR="00871BDF" w:rsidRDefault="00871BDF">
            <w:pPr>
              <w:jc w:val="right"/>
              <w:rPr>
                <w:rFonts w:ascii="宋体"/>
              </w:rPr>
            </w:pPr>
          </w:p>
        </w:tc>
      </w:tr>
      <w:tr w:rsidR="00871BDF" w14:paraId="00BADAF3" w14:textId="77777777">
        <w:tc>
          <w:tcPr>
            <w:tcW w:w="0" w:type="auto"/>
            <w:gridSpan w:val="3"/>
            <w:shd w:val="clear" w:color="auto" w:fill="D7E4BC"/>
            <w:tcMar>
              <w:top w:w="40" w:type="dxa"/>
              <w:left w:w="20" w:type="dxa"/>
              <w:bottom w:w="40" w:type="dxa"/>
              <w:right w:w="20" w:type="dxa"/>
            </w:tcMar>
          </w:tcPr>
          <w:p w14:paraId="00BADAE7" w14:textId="77777777" w:rsidR="00871BDF" w:rsidRDefault="005C5088">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00BADAE8" w14:textId="77777777" w:rsidR="00871BDF" w:rsidRDefault="005C5088">
            <w:pPr>
              <w:jc w:val="right"/>
              <w:textAlignment w:val="bottom"/>
            </w:pPr>
            <w:r>
              <w:rPr>
                <w:rFonts w:ascii="Times New Roman" w:eastAsia="宋体" w:hAnsi="Times New Roman"/>
                <w:color w:val="000000"/>
                <w:sz w:val="22"/>
                <w:szCs w:val="22"/>
              </w:rPr>
              <w:t>257.6 </w:t>
            </w:r>
          </w:p>
        </w:tc>
        <w:tc>
          <w:tcPr>
            <w:tcW w:w="0" w:type="auto"/>
            <w:shd w:val="clear" w:color="auto" w:fill="D7E4BC"/>
            <w:tcMar>
              <w:top w:w="40" w:type="dxa"/>
              <w:left w:w="0" w:type="dxa"/>
              <w:bottom w:w="40" w:type="dxa"/>
              <w:right w:w="20" w:type="dxa"/>
            </w:tcMar>
            <w:vAlign w:val="bottom"/>
          </w:tcPr>
          <w:p w14:paraId="00BADAE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E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AEB" w14:textId="77777777" w:rsidR="00871BDF" w:rsidRDefault="005C5088">
            <w:pPr>
              <w:jc w:val="right"/>
              <w:textAlignment w:val="bottom"/>
            </w:pPr>
            <w:r>
              <w:rPr>
                <w:rFonts w:ascii="Times New Roman" w:eastAsia="宋体" w:hAnsi="Times New Roman"/>
                <w:color w:val="000000"/>
                <w:sz w:val="20"/>
                <w:szCs w:val="20"/>
              </w:rPr>
              <w:t>56.9 </w:t>
            </w:r>
          </w:p>
        </w:tc>
        <w:tc>
          <w:tcPr>
            <w:tcW w:w="0" w:type="auto"/>
            <w:shd w:val="clear" w:color="auto" w:fill="D7E4BC"/>
            <w:tcMar>
              <w:top w:w="40" w:type="dxa"/>
              <w:left w:w="0" w:type="dxa"/>
              <w:bottom w:w="40" w:type="dxa"/>
              <w:right w:w="20" w:type="dxa"/>
            </w:tcMar>
            <w:vAlign w:val="bottom"/>
          </w:tcPr>
          <w:p w14:paraId="00BADAE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E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AEE" w14:textId="77777777" w:rsidR="00871BDF" w:rsidRDefault="005C5088">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00BADAE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AF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AF1" w14:textId="77777777" w:rsidR="00871BDF" w:rsidRDefault="005C5088">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00BADAF2" w14:textId="77777777" w:rsidR="00871BDF" w:rsidRDefault="00871BDF">
            <w:pPr>
              <w:jc w:val="right"/>
              <w:rPr>
                <w:rFonts w:ascii="宋体"/>
              </w:rPr>
            </w:pPr>
          </w:p>
        </w:tc>
      </w:tr>
      <w:tr w:rsidR="00871BDF" w14:paraId="00BADB00" w14:textId="77777777">
        <w:tc>
          <w:tcPr>
            <w:tcW w:w="0" w:type="auto"/>
            <w:gridSpan w:val="3"/>
            <w:shd w:val="clear" w:color="auto" w:fill="FFFFFF"/>
            <w:tcMar>
              <w:top w:w="40" w:type="dxa"/>
              <w:left w:w="20" w:type="dxa"/>
              <w:bottom w:w="40" w:type="dxa"/>
              <w:right w:w="20" w:type="dxa"/>
            </w:tcMar>
          </w:tcPr>
          <w:p w14:paraId="00BADAF4" w14:textId="77777777" w:rsidR="00871BDF" w:rsidRDefault="005C5088">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AF5" w14:textId="77777777" w:rsidR="00871BDF" w:rsidRDefault="005C5088">
            <w:pPr>
              <w:jc w:val="right"/>
              <w:textAlignment w:val="bottom"/>
            </w:pPr>
            <w:r>
              <w:rPr>
                <w:rFonts w:ascii="Times New Roman" w:eastAsia="宋体" w:hAnsi="Times New Roman"/>
                <w:color w:val="000000"/>
                <w:sz w:val="20"/>
                <w:szCs w:val="20"/>
              </w:rPr>
              <w:t>14,553.9 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AF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F7"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AF8" w14:textId="77777777" w:rsidR="00871BDF" w:rsidRDefault="005C5088">
            <w:pPr>
              <w:jc w:val="right"/>
              <w:textAlignment w:val="bottom"/>
            </w:pPr>
            <w:r>
              <w:rPr>
                <w:rFonts w:ascii="Times New Roman" w:eastAsia="宋体" w:hAnsi="Times New Roman"/>
                <w:color w:val="000000"/>
                <w:sz w:val="20"/>
                <w:szCs w:val="20"/>
              </w:rPr>
              <w:t>14,476.2 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AF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FA"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AFB" w14:textId="77777777" w:rsidR="00871BDF" w:rsidRDefault="005C5088">
            <w:pPr>
              <w:jc w:val="right"/>
              <w:textAlignment w:val="bottom"/>
            </w:pPr>
            <w:r>
              <w:rPr>
                <w:rFonts w:ascii="Times New Roman" w:eastAsia="宋体" w:hAnsi="Times New Roman"/>
                <w:color w:val="000000"/>
                <w:sz w:val="20"/>
                <w:szCs w:val="20"/>
              </w:rPr>
              <w:t>88.9 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AF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AFD"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AFE" w14:textId="77777777" w:rsidR="00871BDF" w:rsidRDefault="005C5088">
            <w:pPr>
              <w:jc w:val="right"/>
              <w:textAlignment w:val="bottom"/>
            </w:pPr>
            <w:r>
              <w:rPr>
                <w:rFonts w:ascii="Times New Roman" w:eastAsia="宋体" w:hAnsi="Times New Roman"/>
                <w:color w:val="000000"/>
                <w:sz w:val="20"/>
                <w:szCs w:val="20"/>
              </w:rPr>
              <w:t>79.3 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AFF" w14:textId="77777777" w:rsidR="00871BDF" w:rsidRDefault="00871BDF">
            <w:pPr>
              <w:jc w:val="right"/>
              <w:rPr>
                <w:rFonts w:ascii="宋体"/>
              </w:rPr>
            </w:pPr>
          </w:p>
        </w:tc>
      </w:tr>
      <w:tr w:rsidR="00871BDF" w14:paraId="00BADB09" w14:textId="77777777">
        <w:trPr>
          <w:hidden/>
        </w:trPr>
        <w:tc>
          <w:tcPr>
            <w:tcW w:w="0" w:type="auto"/>
            <w:gridSpan w:val="3"/>
            <w:shd w:val="clear" w:color="auto" w:fill="auto"/>
          </w:tcPr>
          <w:p w14:paraId="00BADB01" w14:textId="77777777" w:rsidR="00871BDF" w:rsidRDefault="00871BDF">
            <w:pPr>
              <w:rPr>
                <w:rFonts w:ascii="宋体"/>
                <w:vanish/>
              </w:rPr>
            </w:pPr>
          </w:p>
        </w:tc>
        <w:tc>
          <w:tcPr>
            <w:tcW w:w="0" w:type="auto"/>
            <w:gridSpan w:val="3"/>
            <w:shd w:val="clear" w:color="auto" w:fill="auto"/>
          </w:tcPr>
          <w:p w14:paraId="00BADB02" w14:textId="77777777" w:rsidR="00871BDF" w:rsidRDefault="00871BDF">
            <w:pPr>
              <w:rPr>
                <w:rFonts w:ascii="宋体"/>
                <w:vanish/>
              </w:rPr>
            </w:pPr>
          </w:p>
        </w:tc>
        <w:tc>
          <w:tcPr>
            <w:tcW w:w="0" w:type="auto"/>
            <w:gridSpan w:val="3"/>
            <w:shd w:val="clear" w:color="auto" w:fill="auto"/>
          </w:tcPr>
          <w:p w14:paraId="00BADB03" w14:textId="77777777" w:rsidR="00871BDF" w:rsidRDefault="00871BDF">
            <w:pPr>
              <w:rPr>
                <w:rFonts w:ascii="宋体"/>
                <w:vanish/>
              </w:rPr>
            </w:pPr>
          </w:p>
        </w:tc>
        <w:tc>
          <w:tcPr>
            <w:tcW w:w="0" w:type="auto"/>
            <w:gridSpan w:val="3"/>
            <w:shd w:val="clear" w:color="auto" w:fill="auto"/>
          </w:tcPr>
          <w:p w14:paraId="00BADB04" w14:textId="77777777" w:rsidR="00871BDF" w:rsidRDefault="00871BDF">
            <w:pPr>
              <w:rPr>
                <w:rFonts w:ascii="宋体"/>
                <w:vanish/>
              </w:rPr>
            </w:pPr>
          </w:p>
        </w:tc>
        <w:tc>
          <w:tcPr>
            <w:tcW w:w="0" w:type="auto"/>
            <w:gridSpan w:val="3"/>
            <w:shd w:val="clear" w:color="auto" w:fill="auto"/>
          </w:tcPr>
          <w:p w14:paraId="00BADB05" w14:textId="77777777" w:rsidR="00871BDF" w:rsidRDefault="00871BDF">
            <w:pPr>
              <w:rPr>
                <w:rFonts w:ascii="宋体"/>
                <w:vanish/>
              </w:rPr>
            </w:pPr>
          </w:p>
        </w:tc>
        <w:tc>
          <w:tcPr>
            <w:tcW w:w="0" w:type="auto"/>
            <w:gridSpan w:val="3"/>
            <w:shd w:val="clear" w:color="auto" w:fill="auto"/>
          </w:tcPr>
          <w:p w14:paraId="00BADB06" w14:textId="77777777" w:rsidR="00871BDF" w:rsidRDefault="00871BDF">
            <w:pPr>
              <w:rPr>
                <w:rFonts w:ascii="宋体"/>
                <w:vanish/>
              </w:rPr>
            </w:pPr>
          </w:p>
        </w:tc>
        <w:tc>
          <w:tcPr>
            <w:tcW w:w="0" w:type="auto"/>
            <w:gridSpan w:val="3"/>
            <w:shd w:val="clear" w:color="auto" w:fill="auto"/>
          </w:tcPr>
          <w:p w14:paraId="00BADB07" w14:textId="77777777" w:rsidR="00871BDF" w:rsidRDefault="00871BDF">
            <w:pPr>
              <w:rPr>
                <w:rFonts w:ascii="宋体"/>
                <w:vanish/>
              </w:rPr>
            </w:pPr>
          </w:p>
        </w:tc>
        <w:tc>
          <w:tcPr>
            <w:tcW w:w="0" w:type="auto"/>
            <w:gridSpan w:val="3"/>
            <w:shd w:val="clear" w:color="auto" w:fill="auto"/>
          </w:tcPr>
          <w:p w14:paraId="00BADB08" w14:textId="77777777" w:rsidR="00871BDF" w:rsidRDefault="00871BDF">
            <w:pPr>
              <w:rPr>
                <w:rFonts w:ascii="宋体"/>
                <w:vanish/>
              </w:rPr>
            </w:pPr>
          </w:p>
        </w:tc>
      </w:tr>
      <w:tr w:rsidR="00871BDF" w14:paraId="00BADB18" w14:textId="77777777">
        <w:tc>
          <w:tcPr>
            <w:tcW w:w="0" w:type="auto"/>
            <w:gridSpan w:val="3"/>
            <w:shd w:val="clear" w:color="auto" w:fill="D7E4BC"/>
            <w:tcMar>
              <w:top w:w="40" w:type="dxa"/>
              <w:left w:w="20" w:type="dxa"/>
              <w:bottom w:w="40" w:type="dxa"/>
              <w:right w:w="20" w:type="dxa"/>
            </w:tcMar>
          </w:tcPr>
          <w:p w14:paraId="00BADB0A" w14:textId="77777777" w:rsidR="00871BDF" w:rsidRDefault="005C5088">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DB0B"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DB0C" w14:textId="77777777" w:rsidR="00871BDF" w:rsidRDefault="005C5088">
            <w:pPr>
              <w:jc w:val="right"/>
              <w:textAlignment w:val="bottom"/>
            </w:pPr>
            <w:r>
              <w:rPr>
                <w:rFonts w:ascii="Times New Roman" w:eastAsia="宋体" w:hAnsi="Times New Roman"/>
                <w:b/>
                <w:bCs/>
                <w:color w:val="000000"/>
                <w:sz w:val="20"/>
                <w:szCs w:val="20"/>
              </w:rPr>
              <w:t>1,825.3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B0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0E"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DB0F"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DB10" w14:textId="77777777" w:rsidR="00871BDF" w:rsidRDefault="005C5088">
            <w:pPr>
              <w:jc w:val="right"/>
              <w:textAlignment w:val="bottom"/>
            </w:pPr>
            <w:r>
              <w:rPr>
                <w:rFonts w:ascii="Times New Roman" w:eastAsia="宋体" w:hAnsi="Times New Roman"/>
                <w:b/>
                <w:bCs/>
                <w:color w:val="000000"/>
                <w:sz w:val="20"/>
                <w:szCs w:val="20"/>
              </w:rPr>
              <w:t>3,782.8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B1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12"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B13" w14:textId="77777777" w:rsidR="00871BDF" w:rsidRDefault="005C5088">
            <w:pPr>
              <w:jc w:val="right"/>
              <w:textAlignment w:val="bottom"/>
            </w:pPr>
            <w:r>
              <w:rPr>
                <w:rFonts w:ascii="Times New Roman" w:eastAsia="宋体" w:hAnsi="Times New Roman"/>
                <w:b/>
                <w:bCs/>
                <w:color w:val="000000"/>
                <w:sz w:val="20"/>
                <w:szCs w:val="20"/>
              </w:rPr>
              <w:t>11.1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B14"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00BADB15"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B16" w14:textId="77777777" w:rsidR="00871BDF" w:rsidRDefault="005C5088">
            <w:pPr>
              <w:jc w:val="right"/>
              <w:textAlignment w:val="bottom"/>
            </w:pPr>
            <w:r>
              <w:rPr>
                <w:rFonts w:ascii="Times New Roman" w:eastAsia="宋体" w:hAnsi="Times New Roman"/>
                <w:b/>
                <w:bCs/>
                <w:color w:val="000000"/>
                <w:sz w:val="20"/>
                <w:szCs w:val="20"/>
              </w:rPr>
              <w:t>20.7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B17" w14:textId="77777777" w:rsidR="00871BDF" w:rsidRDefault="005C5088">
            <w:pPr>
              <w:jc w:val="right"/>
              <w:textAlignment w:val="bottom"/>
            </w:pPr>
            <w:r>
              <w:rPr>
                <w:rFonts w:ascii="Times New Roman" w:eastAsia="宋体" w:hAnsi="Times New Roman"/>
                <w:b/>
                <w:bCs/>
                <w:color w:val="000000"/>
                <w:sz w:val="20"/>
                <w:szCs w:val="20"/>
              </w:rPr>
              <w:t>%</w:t>
            </w:r>
          </w:p>
        </w:tc>
      </w:tr>
      <w:tr w:rsidR="00871BDF" w14:paraId="00BADB21" w14:textId="77777777">
        <w:trPr>
          <w:hidden/>
        </w:trPr>
        <w:tc>
          <w:tcPr>
            <w:tcW w:w="0" w:type="auto"/>
            <w:gridSpan w:val="3"/>
            <w:shd w:val="clear" w:color="auto" w:fill="auto"/>
          </w:tcPr>
          <w:p w14:paraId="00BADB19" w14:textId="77777777" w:rsidR="00871BDF" w:rsidRDefault="00871BDF">
            <w:pPr>
              <w:rPr>
                <w:rFonts w:ascii="宋体"/>
                <w:vanish/>
              </w:rPr>
            </w:pPr>
          </w:p>
        </w:tc>
        <w:tc>
          <w:tcPr>
            <w:tcW w:w="0" w:type="auto"/>
            <w:gridSpan w:val="3"/>
            <w:shd w:val="clear" w:color="auto" w:fill="auto"/>
          </w:tcPr>
          <w:p w14:paraId="00BADB1A" w14:textId="77777777" w:rsidR="00871BDF" w:rsidRDefault="00871BDF">
            <w:pPr>
              <w:rPr>
                <w:rFonts w:ascii="宋体"/>
                <w:vanish/>
              </w:rPr>
            </w:pPr>
          </w:p>
        </w:tc>
        <w:tc>
          <w:tcPr>
            <w:tcW w:w="0" w:type="auto"/>
            <w:gridSpan w:val="3"/>
            <w:shd w:val="clear" w:color="auto" w:fill="auto"/>
          </w:tcPr>
          <w:p w14:paraId="00BADB1B" w14:textId="77777777" w:rsidR="00871BDF" w:rsidRDefault="00871BDF">
            <w:pPr>
              <w:rPr>
                <w:rFonts w:ascii="宋体"/>
                <w:vanish/>
              </w:rPr>
            </w:pPr>
          </w:p>
        </w:tc>
        <w:tc>
          <w:tcPr>
            <w:tcW w:w="0" w:type="auto"/>
            <w:gridSpan w:val="3"/>
            <w:shd w:val="clear" w:color="auto" w:fill="auto"/>
          </w:tcPr>
          <w:p w14:paraId="00BADB1C" w14:textId="77777777" w:rsidR="00871BDF" w:rsidRDefault="00871BDF">
            <w:pPr>
              <w:rPr>
                <w:rFonts w:ascii="宋体"/>
                <w:vanish/>
              </w:rPr>
            </w:pPr>
          </w:p>
        </w:tc>
        <w:tc>
          <w:tcPr>
            <w:tcW w:w="0" w:type="auto"/>
            <w:gridSpan w:val="3"/>
            <w:shd w:val="clear" w:color="auto" w:fill="auto"/>
          </w:tcPr>
          <w:p w14:paraId="00BADB1D" w14:textId="77777777" w:rsidR="00871BDF" w:rsidRDefault="00871BDF">
            <w:pPr>
              <w:rPr>
                <w:rFonts w:ascii="宋体"/>
                <w:vanish/>
              </w:rPr>
            </w:pPr>
          </w:p>
        </w:tc>
        <w:tc>
          <w:tcPr>
            <w:tcW w:w="0" w:type="auto"/>
            <w:gridSpan w:val="3"/>
            <w:shd w:val="clear" w:color="auto" w:fill="auto"/>
          </w:tcPr>
          <w:p w14:paraId="00BADB1E" w14:textId="77777777" w:rsidR="00871BDF" w:rsidRDefault="00871BDF">
            <w:pPr>
              <w:rPr>
                <w:rFonts w:ascii="宋体"/>
                <w:vanish/>
              </w:rPr>
            </w:pPr>
          </w:p>
        </w:tc>
        <w:tc>
          <w:tcPr>
            <w:tcW w:w="0" w:type="auto"/>
            <w:gridSpan w:val="3"/>
            <w:shd w:val="clear" w:color="auto" w:fill="auto"/>
          </w:tcPr>
          <w:p w14:paraId="00BADB1F" w14:textId="77777777" w:rsidR="00871BDF" w:rsidRDefault="00871BDF">
            <w:pPr>
              <w:rPr>
                <w:rFonts w:ascii="宋体"/>
                <w:vanish/>
              </w:rPr>
            </w:pPr>
          </w:p>
        </w:tc>
        <w:tc>
          <w:tcPr>
            <w:tcW w:w="0" w:type="auto"/>
            <w:gridSpan w:val="3"/>
            <w:shd w:val="clear" w:color="auto" w:fill="auto"/>
          </w:tcPr>
          <w:p w14:paraId="00BADB20" w14:textId="77777777" w:rsidR="00871BDF" w:rsidRDefault="00871BDF">
            <w:pPr>
              <w:rPr>
                <w:rFonts w:ascii="宋体"/>
                <w:vanish/>
              </w:rPr>
            </w:pPr>
          </w:p>
        </w:tc>
      </w:tr>
    </w:tbl>
    <w:p w14:paraId="00BADB22" w14:textId="77777777" w:rsidR="00871BDF" w:rsidRDefault="005C5088">
      <w:pPr>
        <w:spacing w:before="120"/>
      </w:pPr>
      <w:r>
        <w:rPr>
          <w:rFonts w:ascii="Times New Roman" w:eastAsia="宋体" w:hAnsi="Times New Roman"/>
          <w:color w:val="000000"/>
          <w:sz w:val="20"/>
          <w:szCs w:val="20"/>
          <w:u w:val="single"/>
        </w:rPr>
        <w:t>Revenues</w:t>
      </w:r>
    </w:p>
    <w:p w14:paraId="00BADB23" w14:textId="77777777" w:rsidR="00871BDF" w:rsidRDefault="005C5088">
      <w:pPr>
        <w:spacing w:before="120"/>
      </w:pPr>
      <w:r>
        <w:rPr>
          <w:rFonts w:ascii="Times New Roman" w:eastAsia="宋体" w:hAnsi="Times New Roman"/>
          <w:color w:val="000000"/>
          <w:sz w:val="20"/>
          <w:szCs w:val="20"/>
          <w:shd w:val="clear" w:color="auto" w:fill="FFFFFF"/>
        </w:rPr>
        <w:t xml:space="preserve">Americas total net revenues for fiscal 2020 decreased $1.9 billion, or 10%, primarily due to a 12% decrease in comparable store sales ($1.9 </w:t>
      </w:r>
      <w:r>
        <w:rPr>
          <w:rFonts w:ascii="Times New Roman" w:eastAsia="宋体" w:hAnsi="Times New Roman"/>
          <w:color w:val="000000"/>
          <w:sz w:val="20"/>
          <w:szCs w:val="20"/>
          <w:shd w:val="clear" w:color="auto" w:fill="FFFFFF"/>
        </w:rPr>
        <w:t>billion) driven by a 21% decrease in transactions, partially offset by an 11% increase in average ticket. Also contributing were lower product and equipment sales to and royalty revenues from our licensees ($354 million). These decreases were partially off</w:t>
      </w:r>
      <w:r>
        <w:rPr>
          <w:rFonts w:ascii="Times New Roman" w:eastAsia="宋体" w:hAnsi="Times New Roman"/>
          <w:color w:val="000000"/>
          <w:sz w:val="20"/>
          <w:szCs w:val="20"/>
          <w:shd w:val="clear" w:color="auto" w:fill="FFFFFF"/>
        </w:rPr>
        <w:t>set by 134 net new Starbucks</w:t>
      </w:r>
      <w:r>
        <w:rPr>
          <w:rFonts w:ascii="Times New Roman" w:eastAsia="宋体" w:hAnsi="Times New Roman"/>
          <w:color w:val="000000"/>
          <w:sz w:val="13"/>
          <w:szCs w:val="13"/>
          <w:shd w:val="clear" w:color="auto" w:fill="FFFFFF"/>
        </w:rPr>
        <w:t xml:space="preserve">® </w:t>
      </w:r>
      <w:r>
        <w:rPr>
          <w:rFonts w:ascii="Times New Roman" w:eastAsia="宋体" w:hAnsi="Times New Roman"/>
          <w:color w:val="000000"/>
          <w:sz w:val="20"/>
          <w:szCs w:val="20"/>
          <w:shd w:val="clear" w:color="auto" w:fill="FFFFFF"/>
        </w:rPr>
        <w:t xml:space="preserve">company-operated stores, or a 1% increase, over the past 12 months ($436 million). </w:t>
      </w:r>
    </w:p>
    <w:p w14:paraId="00BADB24" w14:textId="77777777" w:rsidR="00871BDF" w:rsidRDefault="005C5088">
      <w:pPr>
        <w:spacing w:before="120"/>
      </w:pPr>
      <w:r>
        <w:rPr>
          <w:rFonts w:ascii="Times New Roman" w:eastAsia="宋体" w:hAnsi="Times New Roman"/>
          <w:color w:val="000000"/>
          <w:sz w:val="20"/>
          <w:szCs w:val="20"/>
          <w:u w:val="single"/>
        </w:rPr>
        <w:t>Operating Margin</w:t>
      </w:r>
    </w:p>
    <w:p w14:paraId="00BADB25" w14:textId="77777777" w:rsidR="00871BDF" w:rsidRDefault="005C5088">
      <w:pPr>
        <w:spacing w:before="120"/>
      </w:pPr>
      <w:r>
        <w:rPr>
          <w:rFonts w:ascii="Times New Roman" w:eastAsia="宋体" w:hAnsi="Times New Roman"/>
          <w:color w:val="000000"/>
          <w:sz w:val="20"/>
          <w:szCs w:val="20"/>
        </w:rPr>
        <w:t xml:space="preserve">Americas operating income for fiscal 2020 decreased 52% to $1.8 billion, compared to $3.8 billion in fiscal 2019. </w:t>
      </w:r>
      <w:r>
        <w:rPr>
          <w:rFonts w:ascii="Times New Roman" w:eastAsia="宋体" w:hAnsi="Times New Roman"/>
          <w:color w:val="000000"/>
          <w:sz w:val="20"/>
          <w:szCs w:val="20"/>
        </w:rPr>
        <w:t>Operating margin decreased 960 basis points to 11.1%, primarily due to sales deleverage attributed to reduced labor productivity and additional costs incurred as a result of COVID-19, mainly catastrophe pay and enhanced pay programs for retail store partne</w:t>
      </w:r>
      <w:r>
        <w:rPr>
          <w:rFonts w:ascii="Times New Roman" w:eastAsia="宋体" w:hAnsi="Times New Roman"/>
          <w:color w:val="000000"/>
          <w:sz w:val="20"/>
          <w:szCs w:val="20"/>
        </w:rPr>
        <w:t xml:space="preserve">rs incurred primarily during the fiscal third quarter, net of benefits provided by the CARES Act and CEWS (approximately 180 basis points). Higher restructuring expenses relating to our North America portfolio optimization (approximately 130 basis points) </w:t>
      </w:r>
      <w:r>
        <w:rPr>
          <w:rFonts w:ascii="Times New Roman" w:eastAsia="宋体" w:hAnsi="Times New Roman"/>
          <w:color w:val="000000"/>
          <w:sz w:val="20"/>
          <w:szCs w:val="20"/>
        </w:rPr>
        <w:t>also contributed to the decrease. Partially offsetting these decreases were sales leverage realized prior to the onset of COVID-19 and pricing increases.</w:t>
      </w:r>
    </w:p>
    <w:p w14:paraId="00BADB26" w14:textId="77777777" w:rsidR="00871BDF" w:rsidRDefault="005C5088">
      <w:pPr>
        <w:jc w:val="center"/>
      </w:pPr>
      <w:r>
        <w:rPr>
          <w:rFonts w:ascii="Times New Roman" w:eastAsia="宋体" w:hAnsi="Times New Roman"/>
          <w:color w:val="000000"/>
          <w:sz w:val="20"/>
          <w:szCs w:val="20"/>
        </w:rPr>
        <w:t>29</w:t>
      </w:r>
    </w:p>
    <w:p w14:paraId="00BADB27" w14:textId="77777777" w:rsidR="00871BDF" w:rsidRDefault="005C5088">
      <w:r>
        <w:pict w14:anchorId="00BB1482">
          <v:rect id="_x0000_i1056" style="width:415.3pt;height:1.5pt" o:hralign="center" o:hrstd="t" o:hr="t" fillcolor="#a0a0a0" stroked="f"/>
        </w:pict>
      </w:r>
    </w:p>
    <w:p w14:paraId="00BADB28" w14:textId="77777777" w:rsidR="00871BDF" w:rsidRDefault="005C5088">
      <w:hyperlink r:id="rId93" w:anchor="i54ccc64cb5384be5a4849ef1cdef4dde_7" w:history="1">
        <w:r>
          <w:rPr>
            <w:rStyle w:val="a5"/>
            <w:rFonts w:ascii="Times New Roman" w:eastAsia="宋体" w:hAnsi="Times New Roman"/>
            <w:sz w:val="20"/>
            <w:szCs w:val="20"/>
          </w:rPr>
          <w:t>Table of Contents</w:t>
        </w:r>
      </w:hyperlink>
    </w:p>
    <w:p w14:paraId="00BADB29" w14:textId="77777777" w:rsidR="00871BDF" w:rsidRDefault="005C5088">
      <w:pPr>
        <w:spacing w:before="120"/>
      </w:pPr>
      <w:r>
        <w:rPr>
          <w:rFonts w:ascii="Times New Roman" w:eastAsia="宋体" w:hAnsi="Times New Roman"/>
          <w:b/>
          <w:bCs/>
          <w:i/>
          <w:iCs/>
          <w:color w:val="000000"/>
          <w:sz w:val="20"/>
          <w:szCs w:val="20"/>
        </w:rPr>
        <w:t>International</w:t>
      </w:r>
    </w:p>
    <w:tbl>
      <w:tblPr>
        <w:tblW w:w="4993" w:type="pct"/>
        <w:tblCellMar>
          <w:top w:w="15" w:type="dxa"/>
          <w:left w:w="15" w:type="dxa"/>
          <w:bottom w:w="15" w:type="dxa"/>
          <w:right w:w="15" w:type="dxa"/>
        </w:tblCellMar>
        <w:tblLook w:val="04A0" w:firstRow="1" w:lastRow="0" w:firstColumn="1" w:lastColumn="0" w:noHBand="0" w:noVBand="1"/>
      </w:tblPr>
      <w:tblGrid>
        <w:gridCol w:w="53"/>
        <w:gridCol w:w="2511"/>
        <w:gridCol w:w="37"/>
        <w:gridCol w:w="120"/>
        <w:gridCol w:w="1182"/>
        <w:gridCol w:w="36"/>
        <w:gridCol w:w="36"/>
        <w:gridCol w:w="36"/>
        <w:gridCol w:w="36"/>
        <w:gridCol w:w="120"/>
        <w:gridCol w:w="1121"/>
        <w:gridCol w:w="36"/>
        <w:gridCol w:w="36"/>
        <w:gridCol w:w="36"/>
        <w:gridCol w:w="36"/>
        <w:gridCol w:w="39"/>
        <w:gridCol w:w="1097"/>
        <w:gridCol w:w="220"/>
        <w:gridCol w:w="36"/>
        <w:gridCol w:w="36"/>
        <w:gridCol w:w="36"/>
        <w:gridCol w:w="39"/>
        <w:gridCol w:w="1097"/>
        <w:gridCol w:w="220"/>
        <w:gridCol w:w="36"/>
        <w:gridCol w:w="36"/>
      </w:tblGrid>
      <w:tr w:rsidR="00871BDF" w14:paraId="00BADB44" w14:textId="77777777">
        <w:tc>
          <w:tcPr>
            <w:tcW w:w="50" w:type="pct"/>
            <w:shd w:val="clear" w:color="auto" w:fill="auto"/>
          </w:tcPr>
          <w:p w14:paraId="00BADB2A" w14:textId="77777777" w:rsidR="00871BDF" w:rsidRDefault="00871BDF">
            <w:pPr>
              <w:rPr>
                <w:rFonts w:ascii="宋体"/>
              </w:rPr>
            </w:pPr>
          </w:p>
        </w:tc>
        <w:tc>
          <w:tcPr>
            <w:tcW w:w="1584" w:type="pct"/>
            <w:shd w:val="clear" w:color="auto" w:fill="auto"/>
          </w:tcPr>
          <w:p w14:paraId="00BADB2B" w14:textId="77777777" w:rsidR="00871BDF" w:rsidRDefault="00871BDF">
            <w:pPr>
              <w:rPr>
                <w:rFonts w:ascii="宋体"/>
              </w:rPr>
            </w:pPr>
          </w:p>
        </w:tc>
        <w:tc>
          <w:tcPr>
            <w:tcW w:w="5" w:type="pct"/>
            <w:shd w:val="clear" w:color="auto" w:fill="auto"/>
          </w:tcPr>
          <w:p w14:paraId="00BADB2C" w14:textId="77777777" w:rsidR="00871BDF" w:rsidRDefault="00871BDF">
            <w:pPr>
              <w:rPr>
                <w:rFonts w:ascii="宋体"/>
              </w:rPr>
            </w:pPr>
          </w:p>
        </w:tc>
        <w:tc>
          <w:tcPr>
            <w:tcW w:w="50" w:type="pct"/>
            <w:shd w:val="clear" w:color="auto" w:fill="auto"/>
          </w:tcPr>
          <w:p w14:paraId="00BADB2D" w14:textId="77777777" w:rsidR="00871BDF" w:rsidRDefault="00871BDF">
            <w:pPr>
              <w:rPr>
                <w:rFonts w:ascii="宋体"/>
              </w:rPr>
            </w:pPr>
          </w:p>
        </w:tc>
        <w:tc>
          <w:tcPr>
            <w:tcW w:w="757" w:type="pct"/>
            <w:shd w:val="clear" w:color="auto" w:fill="auto"/>
          </w:tcPr>
          <w:p w14:paraId="00BADB2E" w14:textId="77777777" w:rsidR="00871BDF" w:rsidRDefault="00871BDF">
            <w:pPr>
              <w:rPr>
                <w:rFonts w:ascii="宋体"/>
              </w:rPr>
            </w:pPr>
          </w:p>
        </w:tc>
        <w:tc>
          <w:tcPr>
            <w:tcW w:w="5" w:type="pct"/>
            <w:shd w:val="clear" w:color="auto" w:fill="auto"/>
          </w:tcPr>
          <w:p w14:paraId="00BADB2F" w14:textId="77777777" w:rsidR="00871BDF" w:rsidRDefault="00871BDF">
            <w:pPr>
              <w:rPr>
                <w:rFonts w:ascii="宋体"/>
              </w:rPr>
            </w:pPr>
          </w:p>
        </w:tc>
        <w:tc>
          <w:tcPr>
            <w:tcW w:w="5" w:type="pct"/>
            <w:shd w:val="clear" w:color="auto" w:fill="auto"/>
          </w:tcPr>
          <w:p w14:paraId="00BADB30" w14:textId="77777777" w:rsidR="00871BDF" w:rsidRDefault="00871BDF">
            <w:pPr>
              <w:rPr>
                <w:rFonts w:ascii="宋体"/>
              </w:rPr>
            </w:pPr>
          </w:p>
        </w:tc>
        <w:tc>
          <w:tcPr>
            <w:tcW w:w="26" w:type="pct"/>
            <w:shd w:val="clear" w:color="auto" w:fill="auto"/>
          </w:tcPr>
          <w:p w14:paraId="00BADB31" w14:textId="77777777" w:rsidR="00871BDF" w:rsidRDefault="00871BDF">
            <w:pPr>
              <w:rPr>
                <w:rFonts w:ascii="宋体"/>
              </w:rPr>
            </w:pPr>
          </w:p>
        </w:tc>
        <w:tc>
          <w:tcPr>
            <w:tcW w:w="5" w:type="pct"/>
            <w:shd w:val="clear" w:color="auto" w:fill="auto"/>
          </w:tcPr>
          <w:p w14:paraId="00BADB32" w14:textId="77777777" w:rsidR="00871BDF" w:rsidRDefault="00871BDF">
            <w:pPr>
              <w:rPr>
                <w:rFonts w:ascii="宋体"/>
              </w:rPr>
            </w:pPr>
          </w:p>
        </w:tc>
        <w:tc>
          <w:tcPr>
            <w:tcW w:w="50" w:type="pct"/>
            <w:shd w:val="clear" w:color="auto" w:fill="auto"/>
          </w:tcPr>
          <w:p w14:paraId="00BADB33" w14:textId="77777777" w:rsidR="00871BDF" w:rsidRDefault="00871BDF">
            <w:pPr>
              <w:rPr>
                <w:rFonts w:ascii="宋体"/>
              </w:rPr>
            </w:pPr>
          </w:p>
        </w:tc>
        <w:tc>
          <w:tcPr>
            <w:tcW w:w="757" w:type="pct"/>
            <w:shd w:val="clear" w:color="auto" w:fill="auto"/>
          </w:tcPr>
          <w:p w14:paraId="00BADB34" w14:textId="77777777" w:rsidR="00871BDF" w:rsidRDefault="00871BDF">
            <w:pPr>
              <w:rPr>
                <w:rFonts w:ascii="宋体"/>
              </w:rPr>
            </w:pPr>
          </w:p>
        </w:tc>
        <w:tc>
          <w:tcPr>
            <w:tcW w:w="5" w:type="pct"/>
            <w:shd w:val="clear" w:color="auto" w:fill="auto"/>
          </w:tcPr>
          <w:p w14:paraId="00BADB35" w14:textId="77777777" w:rsidR="00871BDF" w:rsidRDefault="00871BDF">
            <w:pPr>
              <w:rPr>
                <w:rFonts w:ascii="宋体"/>
              </w:rPr>
            </w:pPr>
          </w:p>
        </w:tc>
        <w:tc>
          <w:tcPr>
            <w:tcW w:w="5" w:type="pct"/>
            <w:shd w:val="clear" w:color="auto" w:fill="auto"/>
          </w:tcPr>
          <w:p w14:paraId="00BADB36" w14:textId="77777777" w:rsidR="00871BDF" w:rsidRDefault="00871BDF">
            <w:pPr>
              <w:rPr>
                <w:rFonts w:ascii="宋体"/>
              </w:rPr>
            </w:pPr>
          </w:p>
        </w:tc>
        <w:tc>
          <w:tcPr>
            <w:tcW w:w="26" w:type="pct"/>
            <w:shd w:val="clear" w:color="auto" w:fill="auto"/>
          </w:tcPr>
          <w:p w14:paraId="00BADB37" w14:textId="77777777" w:rsidR="00871BDF" w:rsidRDefault="00871BDF">
            <w:pPr>
              <w:rPr>
                <w:rFonts w:ascii="宋体"/>
              </w:rPr>
            </w:pPr>
          </w:p>
        </w:tc>
        <w:tc>
          <w:tcPr>
            <w:tcW w:w="5" w:type="pct"/>
            <w:shd w:val="clear" w:color="auto" w:fill="auto"/>
          </w:tcPr>
          <w:p w14:paraId="00BADB38" w14:textId="77777777" w:rsidR="00871BDF" w:rsidRDefault="00871BDF">
            <w:pPr>
              <w:rPr>
                <w:rFonts w:ascii="宋体"/>
              </w:rPr>
            </w:pPr>
          </w:p>
        </w:tc>
        <w:tc>
          <w:tcPr>
            <w:tcW w:w="50" w:type="pct"/>
            <w:shd w:val="clear" w:color="auto" w:fill="auto"/>
          </w:tcPr>
          <w:p w14:paraId="00BADB39" w14:textId="77777777" w:rsidR="00871BDF" w:rsidRDefault="00871BDF">
            <w:pPr>
              <w:rPr>
                <w:rFonts w:ascii="宋体"/>
              </w:rPr>
            </w:pPr>
          </w:p>
        </w:tc>
        <w:tc>
          <w:tcPr>
            <w:tcW w:w="757" w:type="pct"/>
            <w:shd w:val="clear" w:color="auto" w:fill="auto"/>
          </w:tcPr>
          <w:p w14:paraId="00BADB3A" w14:textId="77777777" w:rsidR="00871BDF" w:rsidRDefault="00871BDF">
            <w:pPr>
              <w:rPr>
                <w:rFonts w:ascii="宋体"/>
              </w:rPr>
            </w:pPr>
          </w:p>
        </w:tc>
        <w:tc>
          <w:tcPr>
            <w:tcW w:w="5" w:type="pct"/>
            <w:shd w:val="clear" w:color="auto" w:fill="auto"/>
          </w:tcPr>
          <w:p w14:paraId="00BADB3B" w14:textId="77777777" w:rsidR="00871BDF" w:rsidRDefault="00871BDF">
            <w:pPr>
              <w:rPr>
                <w:rFonts w:ascii="宋体"/>
              </w:rPr>
            </w:pPr>
          </w:p>
        </w:tc>
        <w:tc>
          <w:tcPr>
            <w:tcW w:w="5" w:type="pct"/>
            <w:shd w:val="clear" w:color="auto" w:fill="auto"/>
          </w:tcPr>
          <w:p w14:paraId="00BADB3C" w14:textId="77777777" w:rsidR="00871BDF" w:rsidRDefault="00871BDF">
            <w:pPr>
              <w:rPr>
                <w:rFonts w:ascii="宋体"/>
              </w:rPr>
            </w:pPr>
          </w:p>
        </w:tc>
        <w:tc>
          <w:tcPr>
            <w:tcW w:w="26" w:type="pct"/>
            <w:shd w:val="clear" w:color="auto" w:fill="auto"/>
          </w:tcPr>
          <w:p w14:paraId="00BADB3D" w14:textId="77777777" w:rsidR="00871BDF" w:rsidRDefault="00871BDF">
            <w:pPr>
              <w:rPr>
                <w:rFonts w:ascii="宋体"/>
              </w:rPr>
            </w:pPr>
          </w:p>
        </w:tc>
        <w:tc>
          <w:tcPr>
            <w:tcW w:w="5" w:type="pct"/>
            <w:shd w:val="clear" w:color="auto" w:fill="auto"/>
          </w:tcPr>
          <w:p w14:paraId="00BADB3E" w14:textId="77777777" w:rsidR="00871BDF" w:rsidRDefault="00871BDF">
            <w:pPr>
              <w:rPr>
                <w:rFonts w:ascii="宋体"/>
              </w:rPr>
            </w:pPr>
          </w:p>
        </w:tc>
        <w:tc>
          <w:tcPr>
            <w:tcW w:w="50" w:type="pct"/>
            <w:shd w:val="clear" w:color="auto" w:fill="auto"/>
          </w:tcPr>
          <w:p w14:paraId="00BADB3F" w14:textId="77777777" w:rsidR="00871BDF" w:rsidRDefault="00871BDF">
            <w:pPr>
              <w:rPr>
                <w:rFonts w:ascii="宋体"/>
              </w:rPr>
            </w:pPr>
          </w:p>
        </w:tc>
        <w:tc>
          <w:tcPr>
            <w:tcW w:w="757" w:type="pct"/>
            <w:shd w:val="clear" w:color="auto" w:fill="auto"/>
          </w:tcPr>
          <w:p w14:paraId="00BADB40" w14:textId="77777777" w:rsidR="00871BDF" w:rsidRDefault="00871BDF">
            <w:pPr>
              <w:rPr>
                <w:rFonts w:ascii="宋体"/>
              </w:rPr>
            </w:pPr>
          </w:p>
        </w:tc>
        <w:tc>
          <w:tcPr>
            <w:tcW w:w="5" w:type="pct"/>
            <w:shd w:val="clear" w:color="auto" w:fill="auto"/>
          </w:tcPr>
          <w:p w14:paraId="00BADB41" w14:textId="77777777" w:rsidR="00871BDF" w:rsidRDefault="00871BDF">
            <w:pPr>
              <w:rPr>
                <w:rFonts w:ascii="宋体"/>
              </w:rPr>
            </w:pPr>
          </w:p>
        </w:tc>
        <w:tc>
          <w:tcPr>
            <w:tcW w:w="0" w:type="auto"/>
            <w:shd w:val="clear" w:color="auto" w:fill="auto"/>
          </w:tcPr>
          <w:p w14:paraId="00BADB42" w14:textId="77777777" w:rsidR="00871BDF" w:rsidRDefault="00871BDF">
            <w:pPr>
              <w:rPr>
                <w:rFonts w:ascii="宋体"/>
                <w:vanish/>
              </w:rPr>
            </w:pPr>
          </w:p>
        </w:tc>
        <w:tc>
          <w:tcPr>
            <w:tcW w:w="0" w:type="auto"/>
            <w:shd w:val="clear" w:color="auto" w:fill="auto"/>
          </w:tcPr>
          <w:p w14:paraId="00BADB43" w14:textId="77777777" w:rsidR="00871BDF" w:rsidRDefault="00871BDF">
            <w:pPr>
              <w:rPr>
                <w:rFonts w:ascii="宋体"/>
                <w:vanish/>
              </w:rPr>
            </w:pPr>
          </w:p>
        </w:tc>
      </w:tr>
      <w:tr w:rsidR="00871BDF" w14:paraId="00BADB4F" w14:textId="77777777">
        <w:tc>
          <w:tcPr>
            <w:tcW w:w="0" w:type="auto"/>
            <w:gridSpan w:val="3"/>
            <w:shd w:val="clear" w:color="auto" w:fill="auto"/>
            <w:tcMar>
              <w:top w:w="40" w:type="dxa"/>
              <w:left w:w="20" w:type="dxa"/>
              <w:bottom w:w="40" w:type="dxa"/>
              <w:right w:w="20" w:type="dxa"/>
            </w:tcMar>
            <w:vAlign w:val="bottom"/>
          </w:tcPr>
          <w:p w14:paraId="00BADB45"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DB46"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DB47"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B48"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DB49"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B4A"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DB4B" w14:textId="77777777" w:rsidR="00871BDF" w:rsidRDefault="00871BDF">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0BADB4C"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shd w:val="clear" w:color="auto" w:fill="auto"/>
          </w:tcPr>
          <w:p w14:paraId="00BADB4D" w14:textId="77777777" w:rsidR="00871BDF" w:rsidRDefault="00871BDF">
            <w:pPr>
              <w:rPr>
                <w:rFonts w:ascii="宋体"/>
                <w:vanish/>
              </w:rPr>
            </w:pPr>
          </w:p>
        </w:tc>
        <w:tc>
          <w:tcPr>
            <w:tcW w:w="0" w:type="auto"/>
            <w:shd w:val="clear" w:color="auto" w:fill="auto"/>
          </w:tcPr>
          <w:p w14:paraId="00BADB4E" w14:textId="77777777" w:rsidR="00871BDF" w:rsidRDefault="00871BDF">
            <w:pPr>
              <w:rPr>
                <w:rFonts w:ascii="宋体"/>
                <w:vanish/>
              </w:rPr>
            </w:pPr>
          </w:p>
        </w:tc>
      </w:tr>
      <w:tr w:rsidR="00871BDF" w14:paraId="00BADB59" w14:textId="77777777">
        <w:tc>
          <w:tcPr>
            <w:tcW w:w="0" w:type="auto"/>
            <w:gridSpan w:val="3"/>
            <w:shd w:val="clear" w:color="auto" w:fill="FFFFFF"/>
            <w:tcMar>
              <w:top w:w="0" w:type="dxa"/>
              <w:left w:w="20" w:type="dxa"/>
              <w:bottom w:w="0" w:type="dxa"/>
              <w:right w:w="20" w:type="dxa"/>
            </w:tcMar>
          </w:tcPr>
          <w:p w14:paraId="00BADB50" w14:textId="77777777" w:rsidR="00871BDF" w:rsidRDefault="00871B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0BADB5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B52" w14:textId="77777777" w:rsidR="00871BDF" w:rsidRDefault="00871B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0BADB5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B54" w14:textId="77777777" w:rsidR="00871BDF" w:rsidRDefault="00871BDF">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00BADB55" w14:textId="77777777" w:rsidR="00871BDF" w:rsidRDefault="005C5088">
            <w:pPr>
              <w:jc w:val="center"/>
              <w:textAlignment w:val="bottom"/>
            </w:pPr>
            <w:r>
              <w:rPr>
                <w:rFonts w:ascii="Times New Roman" w:eastAsia="宋体" w:hAnsi="Times New Roman"/>
                <w:b/>
                <w:bCs/>
                <w:color w:val="000000"/>
                <w:sz w:val="16"/>
                <w:szCs w:val="16"/>
              </w:rPr>
              <w:t xml:space="preserve">As a % of International </w:t>
            </w:r>
          </w:p>
          <w:p w14:paraId="00BADB56" w14:textId="77777777" w:rsidR="00871BDF" w:rsidRDefault="005C5088">
            <w:pPr>
              <w:jc w:val="center"/>
              <w:textAlignment w:val="bottom"/>
            </w:pPr>
            <w:r>
              <w:rPr>
                <w:rFonts w:ascii="Times New Roman" w:eastAsia="宋体" w:hAnsi="Times New Roman"/>
                <w:b/>
                <w:bCs/>
                <w:color w:val="000000"/>
                <w:sz w:val="16"/>
                <w:szCs w:val="16"/>
              </w:rPr>
              <w:t>Total Net Revenues</w:t>
            </w:r>
          </w:p>
        </w:tc>
        <w:tc>
          <w:tcPr>
            <w:tcW w:w="0" w:type="auto"/>
            <w:shd w:val="clear" w:color="auto" w:fill="auto"/>
          </w:tcPr>
          <w:p w14:paraId="00BADB57" w14:textId="77777777" w:rsidR="00871BDF" w:rsidRDefault="00871BDF">
            <w:pPr>
              <w:rPr>
                <w:rFonts w:ascii="宋体"/>
                <w:vanish/>
              </w:rPr>
            </w:pPr>
          </w:p>
        </w:tc>
        <w:tc>
          <w:tcPr>
            <w:tcW w:w="0" w:type="auto"/>
            <w:shd w:val="clear" w:color="auto" w:fill="auto"/>
          </w:tcPr>
          <w:p w14:paraId="00BADB58" w14:textId="77777777" w:rsidR="00871BDF" w:rsidRDefault="00871BDF">
            <w:pPr>
              <w:rPr>
                <w:rFonts w:ascii="宋体"/>
                <w:vanish/>
              </w:rPr>
            </w:pPr>
          </w:p>
        </w:tc>
      </w:tr>
      <w:tr w:rsidR="00871BDF" w14:paraId="00BADB64" w14:textId="77777777">
        <w:tc>
          <w:tcPr>
            <w:tcW w:w="0" w:type="auto"/>
            <w:gridSpan w:val="3"/>
            <w:shd w:val="clear" w:color="auto" w:fill="D7E4BC"/>
            <w:tcMar>
              <w:top w:w="40" w:type="dxa"/>
              <w:left w:w="20" w:type="dxa"/>
              <w:bottom w:w="40" w:type="dxa"/>
              <w:right w:w="20" w:type="dxa"/>
            </w:tcMar>
          </w:tcPr>
          <w:p w14:paraId="00BADB5A" w14:textId="77777777" w:rsidR="00871BDF" w:rsidRDefault="005C5088">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tcPr>
          <w:p w14:paraId="00BADB5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B5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B5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B5E"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B5F"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B60"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B61" w14:textId="77777777" w:rsidR="00871BDF" w:rsidRDefault="00871BDF">
            <w:pPr>
              <w:rPr>
                <w:rFonts w:ascii="宋体"/>
              </w:rPr>
            </w:pPr>
          </w:p>
        </w:tc>
        <w:tc>
          <w:tcPr>
            <w:tcW w:w="0" w:type="auto"/>
            <w:shd w:val="clear" w:color="auto" w:fill="auto"/>
          </w:tcPr>
          <w:p w14:paraId="00BADB62" w14:textId="77777777" w:rsidR="00871BDF" w:rsidRDefault="00871BDF">
            <w:pPr>
              <w:rPr>
                <w:rFonts w:ascii="宋体"/>
                <w:vanish/>
              </w:rPr>
            </w:pPr>
          </w:p>
        </w:tc>
        <w:tc>
          <w:tcPr>
            <w:tcW w:w="0" w:type="auto"/>
            <w:shd w:val="clear" w:color="auto" w:fill="auto"/>
          </w:tcPr>
          <w:p w14:paraId="00BADB63" w14:textId="77777777" w:rsidR="00871BDF" w:rsidRDefault="00871BDF">
            <w:pPr>
              <w:rPr>
                <w:rFonts w:ascii="宋体"/>
                <w:vanish/>
              </w:rPr>
            </w:pPr>
          </w:p>
        </w:tc>
      </w:tr>
      <w:tr w:rsidR="00871BDF" w14:paraId="00BADB75" w14:textId="77777777">
        <w:tc>
          <w:tcPr>
            <w:tcW w:w="0" w:type="auto"/>
            <w:gridSpan w:val="3"/>
            <w:shd w:val="clear" w:color="auto" w:fill="FFFFFF"/>
            <w:tcMar>
              <w:top w:w="40" w:type="dxa"/>
              <w:left w:w="155" w:type="dxa"/>
              <w:bottom w:w="40" w:type="dxa"/>
              <w:right w:w="20" w:type="dxa"/>
            </w:tcMar>
          </w:tcPr>
          <w:p w14:paraId="00BADB65" w14:textId="77777777" w:rsidR="00871BDF" w:rsidRDefault="005C5088">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00BADB66"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B67" w14:textId="77777777" w:rsidR="00871BDF" w:rsidRDefault="005C5088">
            <w:pPr>
              <w:jc w:val="right"/>
              <w:textAlignment w:val="bottom"/>
            </w:pPr>
            <w:r>
              <w:rPr>
                <w:rFonts w:ascii="Times New Roman" w:eastAsia="宋体" w:hAnsi="Times New Roman"/>
                <w:color w:val="000000"/>
                <w:sz w:val="20"/>
                <w:szCs w:val="20"/>
              </w:rPr>
              <w:t>4,385.8 </w:t>
            </w:r>
          </w:p>
        </w:tc>
        <w:tc>
          <w:tcPr>
            <w:tcW w:w="0" w:type="auto"/>
            <w:shd w:val="clear" w:color="auto" w:fill="FFFFFF"/>
            <w:tcMar>
              <w:top w:w="40" w:type="dxa"/>
              <w:left w:w="0" w:type="dxa"/>
              <w:bottom w:w="40" w:type="dxa"/>
              <w:right w:w="20" w:type="dxa"/>
            </w:tcMar>
            <w:vAlign w:val="bottom"/>
          </w:tcPr>
          <w:p w14:paraId="00BADB6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69"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DB6A"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B6B" w14:textId="77777777" w:rsidR="00871BDF" w:rsidRDefault="005C5088">
            <w:pPr>
              <w:jc w:val="right"/>
              <w:textAlignment w:val="bottom"/>
            </w:pPr>
            <w:r>
              <w:rPr>
                <w:rFonts w:ascii="Times New Roman" w:eastAsia="宋体" w:hAnsi="Times New Roman"/>
                <w:color w:val="000000"/>
                <w:sz w:val="20"/>
                <w:szCs w:val="20"/>
              </w:rPr>
              <w:t>5,256.2 </w:t>
            </w:r>
          </w:p>
        </w:tc>
        <w:tc>
          <w:tcPr>
            <w:tcW w:w="0" w:type="auto"/>
            <w:shd w:val="clear" w:color="auto" w:fill="FFFFFF"/>
            <w:tcMar>
              <w:top w:w="40" w:type="dxa"/>
              <w:left w:w="0" w:type="dxa"/>
              <w:bottom w:w="40" w:type="dxa"/>
              <w:right w:w="20" w:type="dxa"/>
            </w:tcMar>
            <w:vAlign w:val="bottom"/>
          </w:tcPr>
          <w:p w14:paraId="00BADB6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6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6E" w14:textId="77777777" w:rsidR="00871BDF" w:rsidRDefault="005C5088">
            <w:pPr>
              <w:jc w:val="right"/>
              <w:textAlignment w:val="bottom"/>
            </w:pPr>
            <w:r>
              <w:rPr>
                <w:rFonts w:ascii="Times New Roman" w:eastAsia="宋体" w:hAnsi="Times New Roman"/>
                <w:color w:val="000000"/>
                <w:sz w:val="20"/>
                <w:szCs w:val="20"/>
              </w:rPr>
              <w:t>85.2 </w:t>
            </w:r>
          </w:p>
        </w:tc>
        <w:tc>
          <w:tcPr>
            <w:tcW w:w="0" w:type="auto"/>
            <w:shd w:val="clear" w:color="auto" w:fill="FFFFFF"/>
            <w:tcMar>
              <w:top w:w="40" w:type="dxa"/>
              <w:left w:w="0" w:type="dxa"/>
              <w:bottom w:w="40" w:type="dxa"/>
              <w:right w:w="20" w:type="dxa"/>
            </w:tcMar>
            <w:vAlign w:val="bottom"/>
          </w:tcPr>
          <w:p w14:paraId="00BADB6F"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B7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71" w14:textId="77777777" w:rsidR="00871BDF" w:rsidRDefault="005C5088">
            <w:pPr>
              <w:jc w:val="right"/>
              <w:textAlignment w:val="bottom"/>
            </w:pPr>
            <w:r>
              <w:rPr>
                <w:rFonts w:ascii="Times New Roman" w:eastAsia="宋体" w:hAnsi="Times New Roman"/>
                <w:color w:val="000000"/>
                <w:sz w:val="20"/>
                <w:szCs w:val="20"/>
              </w:rPr>
              <w:t>84.9 </w:t>
            </w:r>
          </w:p>
        </w:tc>
        <w:tc>
          <w:tcPr>
            <w:tcW w:w="0" w:type="auto"/>
            <w:shd w:val="clear" w:color="auto" w:fill="FFFFFF"/>
            <w:tcMar>
              <w:top w:w="40" w:type="dxa"/>
              <w:left w:w="0" w:type="dxa"/>
              <w:bottom w:w="40" w:type="dxa"/>
              <w:right w:w="20" w:type="dxa"/>
            </w:tcMar>
            <w:vAlign w:val="bottom"/>
          </w:tcPr>
          <w:p w14:paraId="00BADB72" w14:textId="77777777" w:rsidR="00871BDF" w:rsidRDefault="005C5088">
            <w:pPr>
              <w:jc w:val="right"/>
              <w:textAlignment w:val="bottom"/>
            </w:pPr>
            <w:r>
              <w:rPr>
                <w:rFonts w:ascii="Times New Roman" w:eastAsia="宋体" w:hAnsi="Times New Roman"/>
                <w:color w:val="000000"/>
                <w:sz w:val="20"/>
                <w:szCs w:val="20"/>
              </w:rPr>
              <w:t>%</w:t>
            </w:r>
          </w:p>
        </w:tc>
        <w:tc>
          <w:tcPr>
            <w:tcW w:w="0" w:type="auto"/>
            <w:shd w:val="clear" w:color="auto" w:fill="auto"/>
          </w:tcPr>
          <w:p w14:paraId="00BADB73" w14:textId="77777777" w:rsidR="00871BDF" w:rsidRDefault="00871BDF">
            <w:pPr>
              <w:rPr>
                <w:rFonts w:ascii="宋体"/>
                <w:vanish/>
              </w:rPr>
            </w:pPr>
          </w:p>
        </w:tc>
        <w:tc>
          <w:tcPr>
            <w:tcW w:w="0" w:type="auto"/>
            <w:shd w:val="clear" w:color="auto" w:fill="auto"/>
          </w:tcPr>
          <w:p w14:paraId="00BADB74" w14:textId="77777777" w:rsidR="00871BDF" w:rsidRDefault="00871BDF">
            <w:pPr>
              <w:rPr>
                <w:rFonts w:ascii="宋体"/>
                <w:vanish/>
              </w:rPr>
            </w:pPr>
          </w:p>
        </w:tc>
      </w:tr>
      <w:tr w:rsidR="00871BDF" w14:paraId="00BADB84" w14:textId="77777777">
        <w:tc>
          <w:tcPr>
            <w:tcW w:w="0" w:type="auto"/>
            <w:gridSpan w:val="3"/>
            <w:shd w:val="clear" w:color="auto" w:fill="D7E4BC"/>
            <w:tcMar>
              <w:top w:w="40" w:type="dxa"/>
              <w:left w:w="155" w:type="dxa"/>
              <w:bottom w:w="40" w:type="dxa"/>
              <w:right w:w="20" w:type="dxa"/>
            </w:tcMar>
          </w:tcPr>
          <w:p w14:paraId="00BADB76" w14:textId="77777777" w:rsidR="00871BDF" w:rsidRDefault="005C5088">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00BADB77" w14:textId="77777777" w:rsidR="00871BDF" w:rsidRDefault="005C5088">
            <w:pPr>
              <w:jc w:val="right"/>
              <w:textAlignment w:val="bottom"/>
            </w:pPr>
            <w:r>
              <w:rPr>
                <w:rFonts w:ascii="Times New Roman" w:eastAsia="宋体" w:hAnsi="Times New Roman"/>
                <w:color w:val="000000"/>
                <w:sz w:val="20"/>
                <w:szCs w:val="20"/>
              </w:rPr>
              <w:t>734.2 </w:t>
            </w:r>
          </w:p>
        </w:tc>
        <w:tc>
          <w:tcPr>
            <w:tcW w:w="0" w:type="auto"/>
            <w:shd w:val="clear" w:color="auto" w:fill="D7E4BC"/>
            <w:tcMar>
              <w:top w:w="40" w:type="dxa"/>
              <w:left w:w="0" w:type="dxa"/>
              <w:bottom w:w="40" w:type="dxa"/>
              <w:right w:w="20" w:type="dxa"/>
            </w:tcMar>
            <w:vAlign w:val="bottom"/>
          </w:tcPr>
          <w:p w14:paraId="00BADB7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7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B7A" w14:textId="77777777" w:rsidR="00871BDF" w:rsidRDefault="005C5088">
            <w:pPr>
              <w:jc w:val="right"/>
              <w:textAlignment w:val="bottom"/>
            </w:pPr>
            <w:r>
              <w:rPr>
                <w:rFonts w:ascii="Times New Roman" w:eastAsia="宋体" w:hAnsi="Times New Roman"/>
                <w:color w:val="000000"/>
                <w:sz w:val="20"/>
                <w:szCs w:val="20"/>
              </w:rPr>
              <w:t>917.0 </w:t>
            </w:r>
          </w:p>
        </w:tc>
        <w:tc>
          <w:tcPr>
            <w:tcW w:w="0" w:type="auto"/>
            <w:shd w:val="clear" w:color="auto" w:fill="D7E4BC"/>
            <w:tcMar>
              <w:top w:w="40" w:type="dxa"/>
              <w:left w:w="0" w:type="dxa"/>
              <w:bottom w:w="40" w:type="dxa"/>
              <w:right w:w="20" w:type="dxa"/>
            </w:tcMar>
            <w:vAlign w:val="bottom"/>
          </w:tcPr>
          <w:p w14:paraId="00BADB7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7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B7D" w14:textId="77777777" w:rsidR="00871BDF" w:rsidRDefault="005C5088">
            <w:pPr>
              <w:jc w:val="right"/>
              <w:textAlignment w:val="bottom"/>
            </w:pPr>
            <w:r>
              <w:rPr>
                <w:rFonts w:ascii="Times New Roman" w:eastAsia="宋体" w:hAnsi="Times New Roman"/>
                <w:color w:val="000000"/>
                <w:sz w:val="20"/>
                <w:szCs w:val="20"/>
              </w:rPr>
              <w:t>14.3 </w:t>
            </w:r>
          </w:p>
        </w:tc>
        <w:tc>
          <w:tcPr>
            <w:tcW w:w="0" w:type="auto"/>
            <w:shd w:val="clear" w:color="auto" w:fill="D7E4BC"/>
            <w:tcMar>
              <w:top w:w="40" w:type="dxa"/>
              <w:left w:w="0" w:type="dxa"/>
              <w:bottom w:w="40" w:type="dxa"/>
              <w:right w:w="20" w:type="dxa"/>
            </w:tcMar>
            <w:vAlign w:val="bottom"/>
          </w:tcPr>
          <w:p w14:paraId="00BADB7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7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B80" w14:textId="77777777" w:rsidR="00871BDF" w:rsidRDefault="005C5088">
            <w:pPr>
              <w:jc w:val="right"/>
              <w:textAlignment w:val="bottom"/>
            </w:pPr>
            <w:r>
              <w:rPr>
                <w:rFonts w:ascii="Times New Roman" w:eastAsia="宋体" w:hAnsi="Times New Roman"/>
                <w:color w:val="000000"/>
                <w:sz w:val="20"/>
                <w:szCs w:val="20"/>
              </w:rPr>
              <w:t>14.8 </w:t>
            </w:r>
          </w:p>
        </w:tc>
        <w:tc>
          <w:tcPr>
            <w:tcW w:w="0" w:type="auto"/>
            <w:shd w:val="clear" w:color="auto" w:fill="D7E4BC"/>
            <w:tcMar>
              <w:top w:w="40" w:type="dxa"/>
              <w:left w:w="0" w:type="dxa"/>
              <w:bottom w:w="40" w:type="dxa"/>
              <w:right w:w="20" w:type="dxa"/>
            </w:tcMar>
            <w:vAlign w:val="bottom"/>
          </w:tcPr>
          <w:p w14:paraId="00BADB81" w14:textId="77777777" w:rsidR="00871BDF" w:rsidRDefault="00871BDF">
            <w:pPr>
              <w:jc w:val="right"/>
              <w:rPr>
                <w:rFonts w:ascii="宋体"/>
              </w:rPr>
            </w:pPr>
          </w:p>
        </w:tc>
        <w:tc>
          <w:tcPr>
            <w:tcW w:w="0" w:type="auto"/>
            <w:shd w:val="clear" w:color="auto" w:fill="auto"/>
          </w:tcPr>
          <w:p w14:paraId="00BADB82" w14:textId="77777777" w:rsidR="00871BDF" w:rsidRDefault="00871BDF">
            <w:pPr>
              <w:rPr>
                <w:rFonts w:ascii="宋体"/>
                <w:vanish/>
              </w:rPr>
            </w:pPr>
          </w:p>
        </w:tc>
        <w:tc>
          <w:tcPr>
            <w:tcW w:w="0" w:type="auto"/>
            <w:shd w:val="clear" w:color="auto" w:fill="auto"/>
          </w:tcPr>
          <w:p w14:paraId="00BADB83" w14:textId="77777777" w:rsidR="00871BDF" w:rsidRDefault="00871BDF">
            <w:pPr>
              <w:rPr>
                <w:rFonts w:ascii="宋体"/>
                <w:vanish/>
              </w:rPr>
            </w:pPr>
          </w:p>
        </w:tc>
      </w:tr>
      <w:tr w:rsidR="00871BDF" w14:paraId="00BADB93" w14:textId="77777777">
        <w:tc>
          <w:tcPr>
            <w:tcW w:w="0" w:type="auto"/>
            <w:gridSpan w:val="3"/>
            <w:shd w:val="clear" w:color="auto" w:fill="FFFFFF"/>
            <w:tcMar>
              <w:top w:w="40" w:type="dxa"/>
              <w:left w:w="155" w:type="dxa"/>
              <w:bottom w:w="40" w:type="dxa"/>
              <w:right w:w="20" w:type="dxa"/>
            </w:tcMar>
          </w:tcPr>
          <w:p w14:paraId="00BADB85" w14:textId="77777777" w:rsidR="00871BDF" w:rsidRDefault="005C5088">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0BADB86" w14:textId="77777777" w:rsidR="00871BDF" w:rsidRDefault="005C5088">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00BADB8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8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89" w14:textId="77777777" w:rsidR="00871BDF" w:rsidRDefault="005C5088">
            <w:pPr>
              <w:jc w:val="right"/>
              <w:textAlignment w:val="bottom"/>
            </w:pPr>
            <w:r>
              <w:rPr>
                <w:rFonts w:ascii="Times New Roman" w:eastAsia="宋体" w:hAnsi="Times New Roman"/>
                <w:color w:val="000000"/>
                <w:sz w:val="20"/>
                <w:szCs w:val="20"/>
              </w:rPr>
              <w:t>17.5 </w:t>
            </w:r>
          </w:p>
        </w:tc>
        <w:tc>
          <w:tcPr>
            <w:tcW w:w="0" w:type="auto"/>
            <w:shd w:val="clear" w:color="auto" w:fill="FFFFFF"/>
            <w:tcMar>
              <w:top w:w="40" w:type="dxa"/>
              <w:left w:w="0" w:type="dxa"/>
              <w:bottom w:w="40" w:type="dxa"/>
              <w:right w:w="20" w:type="dxa"/>
            </w:tcMar>
            <w:vAlign w:val="bottom"/>
          </w:tcPr>
          <w:p w14:paraId="00BADB8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8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8C" w14:textId="77777777" w:rsidR="00871BDF" w:rsidRDefault="005C5088">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00BADB8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8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8F" w14:textId="77777777" w:rsidR="00871BDF" w:rsidRDefault="005C5088">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00BADB90" w14:textId="77777777" w:rsidR="00871BDF" w:rsidRDefault="00871BDF">
            <w:pPr>
              <w:jc w:val="right"/>
              <w:rPr>
                <w:rFonts w:ascii="宋体"/>
              </w:rPr>
            </w:pPr>
          </w:p>
        </w:tc>
        <w:tc>
          <w:tcPr>
            <w:tcW w:w="0" w:type="auto"/>
            <w:shd w:val="clear" w:color="auto" w:fill="auto"/>
          </w:tcPr>
          <w:p w14:paraId="00BADB91" w14:textId="77777777" w:rsidR="00871BDF" w:rsidRDefault="00871BDF">
            <w:pPr>
              <w:rPr>
                <w:rFonts w:ascii="宋体"/>
                <w:vanish/>
              </w:rPr>
            </w:pPr>
          </w:p>
        </w:tc>
        <w:tc>
          <w:tcPr>
            <w:tcW w:w="0" w:type="auto"/>
            <w:shd w:val="clear" w:color="auto" w:fill="auto"/>
          </w:tcPr>
          <w:p w14:paraId="00BADB92" w14:textId="77777777" w:rsidR="00871BDF" w:rsidRDefault="00871BDF">
            <w:pPr>
              <w:rPr>
                <w:rFonts w:ascii="宋体"/>
                <w:vanish/>
              </w:rPr>
            </w:pPr>
          </w:p>
        </w:tc>
      </w:tr>
      <w:tr w:rsidR="00871BDF" w14:paraId="00BADBA2" w14:textId="77777777">
        <w:tc>
          <w:tcPr>
            <w:tcW w:w="0" w:type="auto"/>
            <w:gridSpan w:val="3"/>
            <w:shd w:val="clear" w:color="auto" w:fill="D7E4BC"/>
            <w:tcMar>
              <w:top w:w="40" w:type="dxa"/>
              <w:left w:w="20" w:type="dxa"/>
              <w:bottom w:w="40" w:type="dxa"/>
              <w:right w:w="20" w:type="dxa"/>
            </w:tcMar>
          </w:tcPr>
          <w:p w14:paraId="00BADB94" w14:textId="77777777" w:rsidR="00871BDF" w:rsidRDefault="005C5088">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B95" w14:textId="77777777" w:rsidR="00871BDF" w:rsidRDefault="005C5088">
            <w:pPr>
              <w:jc w:val="right"/>
              <w:textAlignment w:val="bottom"/>
            </w:pPr>
            <w:r>
              <w:rPr>
                <w:rFonts w:ascii="Times New Roman" w:eastAsia="宋体" w:hAnsi="Times New Roman"/>
                <w:b/>
                <w:bCs/>
                <w:color w:val="000000"/>
                <w:sz w:val="20"/>
                <w:szCs w:val="20"/>
              </w:rPr>
              <w:t>5,147.6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B9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97"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B98" w14:textId="77777777" w:rsidR="00871BDF" w:rsidRDefault="005C5088">
            <w:pPr>
              <w:jc w:val="right"/>
              <w:textAlignment w:val="bottom"/>
            </w:pPr>
            <w:r>
              <w:rPr>
                <w:rFonts w:ascii="Times New Roman" w:eastAsia="宋体" w:hAnsi="Times New Roman"/>
                <w:b/>
                <w:bCs/>
                <w:color w:val="000000"/>
                <w:sz w:val="20"/>
                <w:szCs w:val="20"/>
              </w:rPr>
              <w:t>6,190.7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B9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9A"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B9B" w14:textId="77777777" w:rsidR="00871BDF" w:rsidRDefault="005C5088">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B9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9D"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B9E" w14:textId="77777777" w:rsidR="00871BDF" w:rsidRDefault="005C5088">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B9F" w14:textId="77777777" w:rsidR="00871BDF" w:rsidRDefault="00871BDF">
            <w:pPr>
              <w:jc w:val="right"/>
              <w:rPr>
                <w:rFonts w:ascii="宋体"/>
              </w:rPr>
            </w:pPr>
          </w:p>
        </w:tc>
        <w:tc>
          <w:tcPr>
            <w:tcW w:w="0" w:type="auto"/>
            <w:shd w:val="clear" w:color="auto" w:fill="auto"/>
          </w:tcPr>
          <w:p w14:paraId="00BADBA0" w14:textId="77777777" w:rsidR="00871BDF" w:rsidRDefault="00871BDF">
            <w:pPr>
              <w:rPr>
                <w:rFonts w:ascii="宋体"/>
                <w:vanish/>
              </w:rPr>
            </w:pPr>
          </w:p>
        </w:tc>
        <w:tc>
          <w:tcPr>
            <w:tcW w:w="0" w:type="auto"/>
            <w:shd w:val="clear" w:color="auto" w:fill="auto"/>
          </w:tcPr>
          <w:p w14:paraId="00BADBA1" w14:textId="77777777" w:rsidR="00871BDF" w:rsidRDefault="00871BDF">
            <w:pPr>
              <w:rPr>
                <w:rFonts w:ascii="宋体"/>
                <w:vanish/>
              </w:rPr>
            </w:pPr>
          </w:p>
        </w:tc>
      </w:tr>
      <w:tr w:rsidR="00871BDF" w14:paraId="00BADBB1" w14:textId="77777777">
        <w:tc>
          <w:tcPr>
            <w:tcW w:w="0" w:type="auto"/>
            <w:gridSpan w:val="3"/>
            <w:shd w:val="clear" w:color="auto" w:fill="FFFFFF"/>
            <w:tcMar>
              <w:top w:w="40" w:type="dxa"/>
              <w:left w:w="20" w:type="dxa"/>
              <w:bottom w:w="40" w:type="dxa"/>
              <w:right w:w="20" w:type="dxa"/>
            </w:tcMar>
          </w:tcPr>
          <w:p w14:paraId="00BADBA3" w14:textId="77777777" w:rsidR="00871BDF" w:rsidRDefault="005C5088">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00BADBA4" w14:textId="77777777" w:rsidR="00871BDF" w:rsidRDefault="005C5088">
            <w:pPr>
              <w:jc w:val="right"/>
              <w:textAlignment w:val="bottom"/>
            </w:pPr>
            <w:r>
              <w:rPr>
                <w:rFonts w:ascii="Times New Roman" w:eastAsia="宋体" w:hAnsi="Times New Roman"/>
                <w:color w:val="000000"/>
                <w:sz w:val="20"/>
                <w:szCs w:val="20"/>
              </w:rPr>
              <w:t>1,682.0 </w:t>
            </w:r>
          </w:p>
        </w:tc>
        <w:tc>
          <w:tcPr>
            <w:tcW w:w="0" w:type="auto"/>
            <w:shd w:val="clear" w:color="auto" w:fill="FFFFFF"/>
            <w:tcMar>
              <w:top w:w="40" w:type="dxa"/>
              <w:left w:w="0" w:type="dxa"/>
              <w:bottom w:w="40" w:type="dxa"/>
              <w:right w:w="20" w:type="dxa"/>
            </w:tcMar>
            <w:vAlign w:val="bottom"/>
          </w:tcPr>
          <w:p w14:paraId="00BADBA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A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A7" w14:textId="77777777" w:rsidR="00871BDF" w:rsidRDefault="005C5088">
            <w:pPr>
              <w:jc w:val="right"/>
              <w:textAlignment w:val="bottom"/>
            </w:pPr>
            <w:r>
              <w:rPr>
                <w:rFonts w:ascii="Times New Roman" w:eastAsia="宋体" w:hAnsi="Times New Roman"/>
                <w:color w:val="000000"/>
                <w:sz w:val="20"/>
                <w:szCs w:val="20"/>
              </w:rPr>
              <w:t>1,894.9 </w:t>
            </w:r>
          </w:p>
        </w:tc>
        <w:tc>
          <w:tcPr>
            <w:tcW w:w="0" w:type="auto"/>
            <w:shd w:val="clear" w:color="auto" w:fill="FFFFFF"/>
            <w:tcMar>
              <w:top w:w="40" w:type="dxa"/>
              <w:left w:w="0" w:type="dxa"/>
              <w:bottom w:w="40" w:type="dxa"/>
              <w:right w:w="20" w:type="dxa"/>
            </w:tcMar>
            <w:vAlign w:val="bottom"/>
          </w:tcPr>
          <w:p w14:paraId="00BADBA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A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AA" w14:textId="77777777" w:rsidR="00871BDF" w:rsidRDefault="005C5088">
            <w:pPr>
              <w:jc w:val="right"/>
              <w:textAlignment w:val="bottom"/>
            </w:pPr>
            <w:r>
              <w:rPr>
                <w:rFonts w:ascii="Times New Roman" w:eastAsia="宋体" w:hAnsi="Times New Roman"/>
                <w:color w:val="000000"/>
                <w:sz w:val="20"/>
                <w:szCs w:val="20"/>
              </w:rPr>
              <w:t>32.7 </w:t>
            </w:r>
          </w:p>
        </w:tc>
        <w:tc>
          <w:tcPr>
            <w:tcW w:w="0" w:type="auto"/>
            <w:shd w:val="clear" w:color="auto" w:fill="FFFFFF"/>
            <w:tcMar>
              <w:top w:w="40" w:type="dxa"/>
              <w:left w:w="0" w:type="dxa"/>
              <w:bottom w:w="40" w:type="dxa"/>
              <w:right w:w="20" w:type="dxa"/>
            </w:tcMar>
            <w:vAlign w:val="bottom"/>
          </w:tcPr>
          <w:p w14:paraId="00BADBA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A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AD" w14:textId="77777777" w:rsidR="00871BDF" w:rsidRDefault="005C5088">
            <w:pPr>
              <w:jc w:val="right"/>
              <w:textAlignment w:val="bottom"/>
            </w:pPr>
            <w:r>
              <w:rPr>
                <w:rFonts w:ascii="Times New Roman" w:eastAsia="宋体" w:hAnsi="Times New Roman"/>
                <w:color w:val="000000"/>
                <w:sz w:val="20"/>
                <w:szCs w:val="20"/>
              </w:rPr>
              <w:t>30.6 </w:t>
            </w:r>
          </w:p>
        </w:tc>
        <w:tc>
          <w:tcPr>
            <w:tcW w:w="0" w:type="auto"/>
            <w:shd w:val="clear" w:color="auto" w:fill="FFFFFF"/>
            <w:tcMar>
              <w:top w:w="40" w:type="dxa"/>
              <w:left w:w="0" w:type="dxa"/>
              <w:bottom w:w="40" w:type="dxa"/>
              <w:right w:w="20" w:type="dxa"/>
            </w:tcMar>
            <w:vAlign w:val="bottom"/>
          </w:tcPr>
          <w:p w14:paraId="00BADBAE" w14:textId="77777777" w:rsidR="00871BDF" w:rsidRDefault="00871BDF">
            <w:pPr>
              <w:jc w:val="right"/>
              <w:rPr>
                <w:rFonts w:ascii="宋体"/>
              </w:rPr>
            </w:pPr>
          </w:p>
        </w:tc>
        <w:tc>
          <w:tcPr>
            <w:tcW w:w="0" w:type="auto"/>
            <w:shd w:val="clear" w:color="auto" w:fill="auto"/>
          </w:tcPr>
          <w:p w14:paraId="00BADBAF" w14:textId="77777777" w:rsidR="00871BDF" w:rsidRDefault="00871BDF">
            <w:pPr>
              <w:rPr>
                <w:rFonts w:ascii="宋体"/>
                <w:vanish/>
              </w:rPr>
            </w:pPr>
          </w:p>
        </w:tc>
        <w:tc>
          <w:tcPr>
            <w:tcW w:w="0" w:type="auto"/>
            <w:shd w:val="clear" w:color="auto" w:fill="auto"/>
          </w:tcPr>
          <w:p w14:paraId="00BADBB0" w14:textId="77777777" w:rsidR="00871BDF" w:rsidRDefault="00871BDF">
            <w:pPr>
              <w:rPr>
                <w:rFonts w:ascii="宋体"/>
                <w:vanish/>
              </w:rPr>
            </w:pPr>
          </w:p>
        </w:tc>
      </w:tr>
      <w:tr w:rsidR="00871BDF" w14:paraId="00BADBC0" w14:textId="77777777">
        <w:tc>
          <w:tcPr>
            <w:tcW w:w="0" w:type="auto"/>
            <w:gridSpan w:val="3"/>
            <w:shd w:val="clear" w:color="auto" w:fill="D7E4BC"/>
            <w:tcMar>
              <w:top w:w="40" w:type="dxa"/>
              <w:left w:w="20" w:type="dxa"/>
              <w:bottom w:w="40" w:type="dxa"/>
              <w:right w:w="20" w:type="dxa"/>
            </w:tcMar>
          </w:tcPr>
          <w:p w14:paraId="00BADBB2" w14:textId="77777777" w:rsidR="00871BDF" w:rsidRDefault="005C5088">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00BADBB3" w14:textId="77777777" w:rsidR="00871BDF" w:rsidRDefault="005C5088">
            <w:pPr>
              <w:jc w:val="right"/>
              <w:textAlignment w:val="bottom"/>
            </w:pPr>
            <w:r>
              <w:rPr>
                <w:rFonts w:ascii="Times New Roman" w:eastAsia="宋体" w:hAnsi="Times New Roman"/>
                <w:color w:val="000000"/>
                <w:sz w:val="20"/>
                <w:szCs w:val="20"/>
              </w:rPr>
              <w:t>2,276.0 </w:t>
            </w:r>
          </w:p>
        </w:tc>
        <w:tc>
          <w:tcPr>
            <w:tcW w:w="0" w:type="auto"/>
            <w:shd w:val="clear" w:color="auto" w:fill="D7E4BC"/>
            <w:tcMar>
              <w:top w:w="40" w:type="dxa"/>
              <w:left w:w="0" w:type="dxa"/>
              <w:bottom w:w="40" w:type="dxa"/>
              <w:right w:w="20" w:type="dxa"/>
            </w:tcMar>
            <w:vAlign w:val="bottom"/>
          </w:tcPr>
          <w:p w14:paraId="00BADBB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B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BB6" w14:textId="77777777" w:rsidR="00871BDF" w:rsidRDefault="005C5088">
            <w:pPr>
              <w:jc w:val="right"/>
              <w:textAlignment w:val="bottom"/>
            </w:pPr>
            <w:r>
              <w:rPr>
                <w:rFonts w:ascii="Times New Roman" w:eastAsia="宋体" w:hAnsi="Times New Roman"/>
                <w:color w:val="000000"/>
                <w:sz w:val="20"/>
                <w:szCs w:val="20"/>
              </w:rPr>
              <w:t>2,428.5 </w:t>
            </w:r>
          </w:p>
        </w:tc>
        <w:tc>
          <w:tcPr>
            <w:tcW w:w="0" w:type="auto"/>
            <w:shd w:val="clear" w:color="auto" w:fill="D7E4BC"/>
            <w:tcMar>
              <w:top w:w="40" w:type="dxa"/>
              <w:left w:w="0" w:type="dxa"/>
              <w:bottom w:w="40" w:type="dxa"/>
              <w:right w:w="20" w:type="dxa"/>
            </w:tcMar>
            <w:vAlign w:val="bottom"/>
          </w:tcPr>
          <w:p w14:paraId="00BADBB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B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BB9" w14:textId="77777777" w:rsidR="00871BDF" w:rsidRDefault="005C5088">
            <w:pPr>
              <w:jc w:val="right"/>
              <w:textAlignment w:val="bottom"/>
            </w:pPr>
            <w:r>
              <w:rPr>
                <w:rFonts w:ascii="Times New Roman" w:eastAsia="宋体" w:hAnsi="Times New Roman"/>
                <w:color w:val="000000"/>
                <w:sz w:val="20"/>
                <w:szCs w:val="20"/>
              </w:rPr>
              <w:t>44.2 </w:t>
            </w:r>
          </w:p>
        </w:tc>
        <w:tc>
          <w:tcPr>
            <w:tcW w:w="0" w:type="auto"/>
            <w:shd w:val="clear" w:color="auto" w:fill="D7E4BC"/>
            <w:tcMar>
              <w:top w:w="40" w:type="dxa"/>
              <w:left w:w="0" w:type="dxa"/>
              <w:bottom w:w="40" w:type="dxa"/>
              <w:right w:w="20" w:type="dxa"/>
            </w:tcMar>
            <w:vAlign w:val="bottom"/>
          </w:tcPr>
          <w:p w14:paraId="00BADBB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B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BBC" w14:textId="77777777" w:rsidR="00871BDF" w:rsidRDefault="005C5088">
            <w:pPr>
              <w:jc w:val="right"/>
              <w:textAlignment w:val="bottom"/>
            </w:pPr>
            <w:r>
              <w:rPr>
                <w:rFonts w:ascii="Times New Roman" w:eastAsia="宋体" w:hAnsi="Times New Roman"/>
                <w:color w:val="000000"/>
                <w:sz w:val="20"/>
                <w:szCs w:val="20"/>
              </w:rPr>
              <w:t>39.2 </w:t>
            </w:r>
          </w:p>
        </w:tc>
        <w:tc>
          <w:tcPr>
            <w:tcW w:w="0" w:type="auto"/>
            <w:shd w:val="clear" w:color="auto" w:fill="D7E4BC"/>
            <w:tcMar>
              <w:top w:w="40" w:type="dxa"/>
              <w:left w:w="0" w:type="dxa"/>
              <w:bottom w:w="40" w:type="dxa"/>
              <w:right w:w="20" w:type="dxa"/>
            </w:tcMar>
            <w:vAlign w:val="bottom"/>
          </w:tcPr>
          <w:p w14:paraId="00BADBBD" w14:textId="77777777" w:rsidR="00871BDF" w:rsidRDefault="00871BDF">
            <w:pPr>
              <w:jc w:val="right"/>
              <w:rPr>
                <w:rFonts w:ascii="宋体"/>
              </w:rPr>
            </w:pPr>
          </w:p>
        </w:tc>
        <w:tc>
          <w:tcPr>
            <w:tcW w:w="0" w:type="auto"/>
            <w:shd w:val="clear" w:color="auto" w:fill="auto"/>
          </w:tcPr>
          <w:p w14:paraId="00BADBBE" w14:textId="77777777" w:rsidR="00871BDF" w:rsidRDefault="00871BDF">
            <w:pPr>
              <w:rPr>
                <w:rFonts w:ascii="宋体"/>
                <w:vanish/>
              </w:rPr>
            </w:pPr>
          </w:p>
        </w:tc>
        <w:tc>
          <w:tcPr>
            <w:tcW w:w="0" w:type="auto"/>
            <w:shd w:val="clear" w:color="auto" w:fill="auto"/>
          </w:tcPr>
          <w:p w14:paraId="00BADBBF" w14:textId="77777777" w:rsidR="00871BDF" w:rsidRDefault="00871BDF">
            <w:pPr>
              <w:rPr>
                <w:rFonts w:ascii="宋体"/>
                <w:vanish/>
              </w:rPr>
            </w:pPr>
          </w:p>
        </w:tc>
      </w:tr>
      <w:tr w:rsidR="00871BDF" w14:paraId="00BADBCF" w14:textId="77777777">
        <w:tc>
          <w:tcPr>
            <w:tcW w:w="0" w:type="auto"/>
            <w:gridSpan w:val="3"/>
            <w:shd w:val="clear" w:color="auto" w:fill="FFFFFF"/>
            <w:tcMar>
              <w:top w:w="40" w:type="dxa"/>
              <w:left w:w="20" w:type="dxa"/>
              <w:bottom w:w="40" w:type="dxa"/>
              <w:right w:w="20" w:type="dxa"/>
            </w:tcMar>
          </w:tcPr>
          <w:p w14:paraId="00BADBC1" w14:textId="77777777" w:rsidR="00871BDF" w:rsidRDefault="005C5088">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00BADBC2" w14:textId="77777777" w:rsidR="00871BDF" w:rsidRDefault="005C5088">
            <w:pPr>
              <w:jc w:val="right"/>
              <w:textAlignment w:val="bottom"/>
            </w:pPr>
            <w:r>
              <w:rPr>
                <w:rFonts w:ascii="Times New Roman" w:eastAsia="宋体" w:hAnsi="Times New Roman"/>
                <w:color w:val="000000"/>
                <w:sz w:val="20"/>
                <w:szCs w:val="20"/>
              </w:rPr>
              <w:t>141.3 </w:t>
            </w:r>
          </w:p>
        </w:tc>
        <w:tc>
          <w:tcPr>
            <w:tcW w:w="0" w:type="auto"/>
            <w:shd w:val="clear" w:color="auto" w:fill="FFFFFF"/>
            <w:tcMar>
              <w:top w:w="40" w:type="dxa"/>
              <w:left w:w="0" w:type="dxa"/>
              <w:bottom w:w="40" w:type="dxa"/>
              <w:right w:w="20" w:type="dxa"/>
            </w:tcMar>
            <w:vAlign w:val="bottom"/>
          </w:tcPr>
          <w:p w14:paraId="00BADBC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C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C5" w14:textId="77777777" w:rsidR="00871BDF" w:rsidRDefault="005C5088">
            <w:pPr>
              <w:jc w:val="right"/>
              <w:textAlignment w:val="bottom"/>
            </w:pPr>
            <w:r>
              <w:rPr>
                <w:rFonts w:ascii="Times New Roman" w:eastAsia="宋体" w:hAnsi="Times New Roman"/>
                <w:color w:val="000000"/>
                <w:sz w:val="20"/>
                <w:szCs w:val="20"/>
              </w:rPr>
              <w:t>116.4 </w:t>
            </w:r>
          </w:p>
        </w:tc>
        <w:tc>
          <w:tcPr>
            <w:tcW w:w="0" w:type="auto"/>
            <w:shd w:val="clear" w:color="auto" w:fill="FFFFFF"/>
            <w:tcMar>
              <w:top w:w="40" w:type="dxa"/>
              <w:left w:w="0" w:type="dxa"/>
              <w:bottom w:w="40" w:type="dxa"/>
              <w:right w:w="20" w:type="dxa"/>
            </w:tcMar>
            <w:vAlign w:val="bottom"/>
          </w:tcPr>
          <w:p w14:paraId="00BADBC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C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C8" w14:textId="77777777" w:rsidR="00871BDF" w:rsidRDefault="005C5088">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left w:w="0" w:type="dxa"/>
              <w:bottom w:w="40" w:type="dxa"/>
              <w:right w:w="20" w:type="dxa"/>
            </w:tcMar>
            <w:vAlign w:val="bottom"/>
          </w:tcPr>
          <w:p w14:paraId="00BADBC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C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CB" w14:textId="77777777" w:rsidR="00871BDF" w:rsidRDefault="005C5088">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00BADBCC" w14:textId="77777777" w:rsidR="00871BDF" w:rsidRDefault="00871BDF">
            <w:pPr>
              <w:jc w:val="right"/>
              <w:rPr>
                <w:rFonts w:ascii="宋体"/>
              </w:rPr>
            </w:pPr>
          </w:p>
        </w:tc>
        <w:tc>
          <w:tcPr>
            <w:tcW w:w="0" w:type="auto"/>
            <w:shd w:val="clear" w:color="auto" w:fill="auto"/>
          </w:tcPr>
          <w:p w14:paraId="00BADBCD" w14:textId="77777777" w:rsidR="00871BDF" w:rsidRDefault="00871BDF">
            <w:pPr>
              <w:rPr>
                <w:rFonts w:ascii="宋体"/>
                <w:vanish/>
              </w:rPr>
            </w:pPr>
          </w:p>
        </w:tc>
        <w:tc>
          <w:tcPr>
            <w:tcW w:w="0" w:type="auto"/>
            <w:shd w:val="clear" w:color="auto" w:fill="auto"/>
          </w:tcPr>
          <w:p w14:paraId="00BADBCE" w14:textId="77777777" w:rsidR="00871BDF" w:rsidRDefault="00871BDF">
            <w:pPr>
              <w:rPr>
                <w:rFonts w:ascii="宋体"/>
                <w:vanish/>
              </w:rPr>
            </w:pPr>
          </w:p>
        </w:tc>
      </w:tr>
      <w:tr w:rsidR="00871BDF" w14:paraId="00BADBDE" w14:textId="77777777">
        <w:tc>
          <w:tcPr>
            <w:tcW w:w="0" w:type="auto"/>
            <w:gridSpan w:val="3"/>
            <w:shd w:val="clear" w:color="auto" w:fill="D7E4BC"/>
            <w:tcMar>
              <w:top w:w="40" w:type="dxa"/>
              <w:left w:w="20" w:type="dxa"/>
              <w:bottom w:w="40" w:type="dxa"/>
              <w:right w:w="20" w:type="dxa"/>
            </w:tcMar>
          </w:tcPr>
          <w:p w14:paraId="00BADBD0"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0BADBD1" w14:textId="77777777" w:rsidR="00871BDF" w:rsidRDefault="005C5088">
            <w:pPr>
              <w:jc w:val="right"/>
              <w:textAlignment w:val="bottom"/>
            </w:pPr>
            <w:r>
              <w:rPr>
                <w:rFonts w:ascii="Times New Roman" w:eastAsia="宋体" w:hAnsi="Times New Roman"/>
                <w:color w:val="000000"/>
                <w:sz w:val="20"/>
                <w:szCs w:val="20"/>
              </w:rPr>
              <w:t>518.4 </w:t>
            </w:r>
          </w:p>
        </w:tc>
        <w:tc>
          <w:tcPr>
            <w:tcW w:w="0" w:type="auto"/>
            <w:shd w:val="clear" w:color="auto" w:fill="D7E4BC"/>
            <w:tcMar>
              <w:top w:w="40" w:type="dxa"/>
              <w:left w:w="0" w:type="dxa"/>
              <w:bottom w:w="40" w:type="dxa"/>
              <w:right w:w="20" w:type="dxa"/>
            </w:tcMar>
            <w:vAlign w:val="bottom"/>
          </w:tcPr>
          <w:p w14:paraId="00BADBD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D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BD4" w14:textId="77777777" w:rsidR="00871BDF" w:rsidRDefault="005C5088">
            <w:pPr>
              <w:jc w:val="right"/>
              <w:textAlignment w:val="bottom"/>
            </w:pPr>
            <w:r>
              <w:rPr>
                <w:rFonts w:ascii="Times New Roman" w:eastAsia="宋体" w:hAnsi="Times New Roman"/>
                <w:color w:val="000000"/>
                <w:sz w:val="20"/>
                <w:szCs w:val="20"/>
              </w:rPr>
              <w:t>511.5 </w:t>
            </w:r>
          </w:p>
        </w:tc>
        <w:tc>
          <w:tcPr>
            <w:tcW w:w="0" w:type="auto"/>
            <w:shd w:val="clear" w:color="auto" w:fill="D7E4BC"/>
            <w:tcMar>
              <w:top w:w="40" w:type="dxa"/>
              <w:left w:w="0" w:type="dxa"/>
              <w:bottom w:w="40" w:type="dxa"/>
              <w:right w:w="20" w:type="dxa"/>
            </w:tcMar>
            <w:vAlign w:val="bottom"/>
          </w:tcPr>
          <w:p w14:paraId="00BADBD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D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BD7" w14:textId="77777777" w:rsidR="00871BDF" w:rsidRDefault="005C5088">
            <w:pPr>
              <w:jc w:val="right"/>
              <w:textAlignment w:val="bottom"/>
            </w:pPr>
            <w:r>
              <w:rPr>
                <w:rFonts w:ascii="Times New Roman" w:eastAsia="宋体" w:hAnsi="Times New Roman"/>
                <w:color w:val="000000"/>
                <w:sz w:val="20"/>
                <w:szCs w:val="20"/>
              </w:rPr>
              <w:t>10.1 </w:t>
            </w:r>
          </w:p>
        </w:tc>
        <w:tc>
          <w:tcPr>
            <w:tcW w:w="0" w:type="auto"/>
            <w:shd w:val="clear" w:color="auto" w:fill="D7E4BC"/>
            <w:tcMar>
              <w:top w:w="40" w:type="dxa"/>
              <w:left w:w="0" w:type="dxa"/>
              <w:bottom w:w="40" w:type="dxa"/>
              <w:right w:w="20" w:type="dxa"/>
            </w:tcMar>
            <w:vAlign w:val="bottom"/>
          </w:tcPr>
          <w:p w14:paraId="00BADBD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D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BDA" w14:textId="77777777" w:rsidR="00871BDF" w:rsidRDefault="005C5088">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00BADBDB" w14:textId="77777777" w:rsidR="00871BDF" w:rsidRDefault="00871BDF">
            <w:pPr>
              <w:jc w:val="right"/>
              <w:rPr>
                <w:rFonts w:ascii="宋体"/>
              </w:rPr>
            </w:pPr>
          </w:p>
        </w:tc>
        <w:tc>
          <w:tcPr>
            <w:tcW w:w="0" w:type="auto"/>
            <w:shd w:val="clear" w:color="auto" w:fill="auto"/>
          </w:tcPr>
          <w:p w14:paraId="00BADBDC" w14:textId="77777777" w:rsidR="00871BDF" w:rsidRDefault="00871BDF">
            <w:pPr>
              <w:rPr>
                <w:rFonts w:ascii="宋体"/>
                <w:vanish/>
              </w:rPr>
            </w:pPr>
          </w:p>
        </w:tc>
        <w:tc>
          <w:tcPr>
            <w:tcW w:w="0" w:type="auto"/>
            <w:shd w:val="clear" w:color="auto" w:fill="auto"/>
          </w:tcPr>
          <w:p w14:paraId="00BADBDD" w14:textId="77777777" w:rsidR="00871BDF" w:rsidRDefault="00871BDF">
            <w:pPr>
              <w:rPr>
                <w:rFonts w:ascii="宋体"/>
                <w:vanish/>
              </w:rPr>
            </w:pPr>
          </w:p>
        </w:tc>
      </w:tr>
      <w:tr w:rsidR="00871BDF" w14:paraId="00BADBED" w14:textId="77777777">
        <w:tc>
          <w:tcPr>
            <w:tcW w:w="0" w:type="auto"/>
            <w:gridSpan w:val="3"/>
            <w:shd w:val="clear" w:color="auto" w:fill="FFFFFF"/>
            <w:tcMar>
              <w:top w:w="40" w:type="dxa"/>
              <w:left w:w="20" w:type="dxa"/>
              <w:bottom w:w="40" w:type="dxa"/>
              <w:right w:w="20" w:type="dxa"/>
            </w:tcMar>
          </w:tcPr>
          <w:p w14:paraId="00BADBDF" w14:textId="77777777" w:rsidR="00871BDF" w:rsidRDefault="005C5088">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00BADBE0" w14:textId="77777777" w:rsidR="00871BDF" w:rsidRDefault="005C5088">
            <w:pPr>
              <w:jc w:val="right"/>
              <w:textAlignment w:val="bottom"/>
            </w:pPr>
            <w:r>
              <w:rPr>
                <w:rFonts w:ascii="Times New Roman" w:eastAsia="宋体" w:hAnsi="Times New Roman"/>
                <w:color w:val="000000"/>
                <w:sz w:val="20"/>
                <w:szCs w:val="20"/>
              </w:rPr>
              <w:t>279.4 </w:t>
            </w:r>
          </w:p>
        </w:tc>
        <w:tc>
          <w:tcPr>
            <w:tcW w:w="0" w:type="auto"/>
            <w:shd w:val="clear" w:color="auto" w:fill="FFFFFF"/>
            <w:tcMar>
              <w:top w:w="40" w:type="dxa"/>
              <w:left w:w="0" w:type="dxa"/>
              <w:bottom w:w="40" w:type="dxa"/>
              <w:right w:w="20" w:type="dxa"/>
            </w:tcMar>
            <w:vAlign w:val="bottom"/>
          </w:tcPr>
          <w:p w14:paraId="00BADBE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E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E3" w14:textId="77777777" w:rsidR="00871BDF" w:rsidRDefault="005C5088">
            <w:pPr>
              <w:jc w:val="right"/>
              <w:textAlignment w:val="bottom"/>
            </w:pPr>
            <w:r>
              <w:rPr>
                <w:rFonts w:ascii="Times New Roman" w:eastAsia="宋体" w:hAnsi="Times New Roman"/>
                <w:color w:val="000000"/>
                <w:sz w:val="20"/>
                <w:szCs w:val="20"/>
              </w:rPr>
              <w:t>317.9 </w:t>
            </w:r>
          </w:p>
        </w:tc>
        <w:tc>
          <w:tcPr>
            <w:tcW w:w="0" w:type="auto"/>
            <w:shd w:val="clear" w:color="auto" w:fill="FFFFFF"/>
            <w:tcMar>
              <w:top w:w="40" w:type="dxa"/>
              <w:left w:w="0" w:type="dxa"/>
              <w:bottom w:w="40" w:type="dxa"/>
              <w:right w:w="20" w:type="dxa"/>
            </w:tcMar>
            <w:vAlign w:val="bottom"/>
          </w:tcPr>
          <w:p w14:paraId="00BADBE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E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E6" w14:textId="77777777" w:rsidR="00871BDF" w:rsidRDefault="005C5088">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00BADBE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BE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BE9" w14:textId="77777777" w:rsidR="00871BDF" w:rsidRDefault="005C5088">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bottom"/>
          </w:tcPr>
          <w:p w14:paraId="00BADBEA" w14:textId="77777777" w:rsidR="00871BDF" w:rsidRDefault="00871BDF">
            <w:pPr>
              <w:jc w:val="right"/>
              <w:rPr>
                <w:rFonts w:ascii="宋体"/>
              </w:rPr>
            </w:pPr>
          </w:p>
        </w:tc>
        <w:tc>
          <w:tcPr>
            <w:tcW w:w="0" w:type="auto"/>
            <w:shd w:val="clear" w:color="auto" w:fill="auto"/>
          </w:tcPr>
          <w:p w14:paraId="00BADBEB" w14:textId="77777777" w:rsidR="00871BDF" w:rsidRDefault="00871BDF">
            <w:pPr>
              <w:rPr>
                <w:rFonts w:ascii="宋体"/>
                <w:vanish/>
              </w:rPr>
            </w:pPr>
          </w:p>
        </w:tc>
        <w:tc>
          <w:tcPr>
            <w:tcW w:w="0" w:type="auto"/>
            <w:shd w:val="clear" w:color="auto" w:fill="auto"/>
          </w:tcPr>
          <w:p w14:paraId="00BADBEC" w14:textId="77777777" w:rsidR="00871BDF" w:rsidRDefault="00871BDF">
            <w:pPr>
              <w:rPr>
                <w:rFonts w:ascii="宋体"/>
                <w:vanish/>
              </w:rPr>
            </w:pPr>
          </w:p>
        </w:tc>
      </w:tr>
      <w:tr w:rsidR="00871BDF" w14:paraId="00BADBFC" w14:textId="77777777">
        <w:tc>
          <w:tcPr>
            <w:tcW w:w="0" w:type="auto"/>
            <w:gridSpan w:val="3"/>
            <w:shd w:val="clear" w:color="auto" w:fill="D7E4BC"/>
            <w:tcMar>
              <w:top w:w="40" w:type="dxa"/>
              <w:left w:w="20" w:type="dxa"/>
              <w:bottom w:w="40" w:type="dxa"/>
              <w:right w:w="20" w:type="dxa"/>
            </w:tcMar>
          </w:tcPr>
          <w:p w14:paraId="00BADBEE" w14:textId="77777777" w:rsidR="00871BDF" w:rsidRDefault="005C5088">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00BADBEF" w14:textId="77777777" w:rsidR="00871BDF" w:rsidRDefault="005C5088">
            <w:pPr>
              <w:jc w:val="right"/>
              <w:textAlignment w:val="bottom"/>
            </w:pPr>
            <w:r>
              <w:rPr>
                <w:rFonts w:ascii="Times New Roman" w:eastAsia="宋体" w:hAnsi="Times New Roman"/>
                <w:color w:val="000000"/>
                <w:sz w:val="20"/>
                <w:szCs w:val="20"/>
              </w:rPr>
              <w:t>(1.2)</w:t>
            </w:r>
          </w:p>
        </w:tc>
        <w:tc>
          <w:tcPr>
            <w:tcW w:w="0" w:type="auto"/>
            <w:shd w:val="clear" w:color="auto" w:fill="D7E4BC"/>
            <w:tcMar>
              <w:top w:w="40" w:type="dxa"/>
              <w:left w:w="0" w:type="dxa"/>
              <w:bottom w:w="40" w:type="dxa"/>
              <w:right w:w="20" w:type="dxa"/>
            </w:tcMar>
            <w:vAlign w:val="bottom"/>
          </w:tcPr>
          <w:p w14:paraId="00BADBF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F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BF2" w14:textId="77777777" w:rsidR="00871BDF" w:rsidRDefault="005C5088">
            <w:pPr>
              <w:jc w:val="right"/>
              <w:textAlignment w:val="bottom"/>
            </w:pPr>
            <w:r>
              <w:rPr>
                <w:rFonts w:ascii="Times New Roman" w:eastAsia="宋体" w:hAnsi="Times New Roman"/>
                <w:color w:val="000000"/>
                <w:sz w:val="20"/>
                <w:szCs w:val="20"/>
              </w:rPr>
              <w:t>59.2 </w:t>
            </w:r>
          </w:p>
        </w:tc>
        <w:tc>
          <w:tcPr>
            <w:tcW w:w="0" w:type="auto"/>
            <w:shd w:val="clear" w:color="auto" w:fill="D7E4BC"/>
            <w:tcMar>
              <w:top w:w="40" w:type="dxa"/>
              <w:left w:w="0" w:type="dxa"/>
              <w:bottom w:w="40" w:type="dxa"/>
              <w:right w:w="20" w:type="dxa"/>
            </w:tcMar>
            <w:vAlign w:val="bottom"/>
          </w:tcPr>
          <w:p w14:paraId="00BADBF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F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BF5"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DBF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BF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BF8" w14:textId="77777777" w:rsidR="00871BDF" w:rsidRDefault="005C5088">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00BADBF9" w14:textId="77777777" w:rsidR="00871BDF" w:rsidRDefault="00871BDF">
            <w:pPr>
              <w:jc w:val="right"/>
              <w:rPr>
                <w:rFonts w:ascii="宋体"/>
              </w:rPr>
            </w:pPr>
          </w:p>
        </w:tc>
        <w:tc>
          <w:tcPr>
            <w:tcW w:w="0" w:type="auto"/>
            <w:shd w:val="clear" w:color="auto" w:fill="auto"/>
          </w:tcPr>
          <w:p w14:paraId="00BADBFA" w14:textId="77777777" w:rsidR="00871BDF" w:rsidRDefault="00871BDF">
            <w:pPr>
              <w:rPr>
                <w:rFonts w:ascii="宋体"/>
                <w:vanish/>
              </w:rPr>
            </w:pPr>
          </w:p>
        </w:tc>
        <w:tc>
          <w:tcPr>
            <w:tcW w:w="0" w:type="auto"/>
            <w:shd w:val="clear" w:color="auto" w:fill="auto"/>
          </w:tcPr>
          <w:p w14:paraId="00BADBFB" w14:textId="77777777" w:rsidR="00871BDF" w:rsidRDefault="00871BDF">
            <w:pPr>
              <w:rPr>
                <w:rFonts w:ascii="宋体"/>
                <w:vanish/>
              </w:rPr>
            </w:pPr>
          </w:p>
        </w:tc>
      </w:tr>
      <w:tr w:rsidR="00871BDF" w14:paraId="00BADC0B" w14:textId="77777777">
        <w:tc>
          <w:tcPr>
            <w:tcW w:w="0" w:type="auto"/>
            <w:gridSpan w:val="3"/>
            <w:shd w:val="clear" w:color="auto" w:fill="FFFFFF"/>
            <w:tcMar>
              <w:top w:w="40" w:type="dxa"/>
              <w:left w:w="20" w:type="dxa"/>
              <w:bottom w:w="40" w:type="dxa"/>
              <w:right w:w="20" w:type="dxa"/>
            </w:tcMar>
          </w:tcPr>
          <w:p w14:paraId="00BADBFD" w14:textId="77777777" w:rsidR="00871BDF" w:rsidRDefault="005C5088">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BFE" w14:textId="77777777" w:rsidR="00871BDF" w:rsidRDefault="005C5088">
            <w:pPr>
              <w:jc w:val="right"/>
              <w:textAlignment w:val="bottom"/>
            </w:pPr>
            <w:r>
              <w:rPr>
                <w:rFonts w:ascii="Times New Roman" w:eastAsia="宋体" w:hAnsi="Times New Roman"/>
                <w:color w:val="000000"/>
                <w:sz w:val="20"/>
                <w:szCs w:val="20"/>
              </w:rPr>
              <w:t>4,895.9 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BF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00"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C01" w14:textId="77777777" w:rsidR="00871BDF" w:rsidRDefault="005C5088">
            <w:pPr>
              <w:jc w:val="right"/>
              <w:textAlignment w:val="bottom"/>
            </w:pPr>
            <w:r>
              <w:rPr>
                <w:rFonts w:ascii="Times New Roman" w:eastAsia="宋体" w:hAnsi="Times New Roman"/>
                <w:color w:val="000000"/>
                <w:sz w:val="20"/>
                <w:szCs w:val="20"/>
              </w:rPr>
              <w:t>5,328.4 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0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03"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C04" w14:textId="77777777" w:rsidR="00871BDF" w:rsidRDefault="005C5088">
            <w:pPr>
              <w:jc w:val="right"/>
              <w:textAlignment w:val="bottom"/>
            </w:pPr>
            <w:r>
              <w:rPr>
                <w:rFonts w:ascii="Times New Roman" w:eastAsia="宋体" w:hAnsi="Times New Roman"/>
                <w:color w:val="000000"/>
                <w:sz w:val="20"/>
                <w:szCs w:val="20"/>
              </w:rPr>
              <w:t>95.1 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0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06"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C07" w14:textId="77777777" w:rsidR="00871BDF" w:rsidRDefault="005C5088">
            <w:pPr>
              <w:jc w:val="right"/>
              <w:textAlignment w:val="bottom"/>
            </w:pPr>
            <w:r>
              <w:rPr>
                <w:rFonts w:ascii="Times New Roman" w:eastAsia="宋体" w:hAnsi="Times New Roman"/>
                <w:color w:val="000000"/>
                <w:sz w:val="20"/>
                <w:szCs w:val="20"/>
              </w:rPr>
              <w:t>86.1 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08" w14:textId="77777777" w:rsidR="00871BDF" w:rsidRDefault="00871BDF">
            <w:pPr>
              <w:jc w:val="right"/>
              <w:rPr>
                <w:rFonts w:ascii="宋体"/>
              </w:rPr>
            </w:pPr>
          </w:p>
        </w:tc>
        <w:tc>
          <w:tcPr>
            <w:tcW w:w="0" w:type="auto"/>
            <w:shd w:val="clear" w:color="auto" w:fill="auto"/>
          </w:tcPr>
          <w:p w14:paraId="00BADC09" w14:textId="77777777" w:rsidR="00871BDF" w:rsidRDefault="00871BDF">
            <w:pPr>
              <w:rPr>
                <w:rFonts w:ascii="宋体"/>
                <w:vanish/>
              </w:rPr>
            </w:pPr>
          </w:p>
        </w:tc>
        <w:tc>
          <w:tcPr>
            <w:tcW w:w="0" w:type="auto"/>
            <w:shd w:val="clear" w:color="auto" w:fill="auto"/>
          </w:tcPr>
          <w:p w14:paraId="00BADC0A" w14:textId="77777777" w:rsidR="00871BDF" w:rsidRDefault="00871BDF">
            <w:pPr>
              <w:rPr>
                <w:rFonts w:ascii="宋体"/>
                <w:vanish/>
              </w:rPr>
            </w:pPr>
          </w:p>
        </w:tc>
      </w:tr>
      <w:tr w:rsidR="00871BDF" w14:paraId="00BADC1A" w14:textId="77777777">
        <w:tc>
          <w:tcPr>
            <w:tcW w:w="0" w:type="auto"/>
            <w:gridSpan w:val="3"/>
            <w:shd w:val="clear" w:color="auto" w:fill="D7E4BC"/>
            <w:tcMar>
              <w:top w:w="40" w:type="dxa"/>
              <w:left w:w="20" w:type="dxa"/>
              <w:bottom w:w="40" w:type="dxa"/>
              <w:right w:w="20" w:type="dxa"/>
            </w:tcMar>
          </w:tcPr>
          <w:p w14:paraId="00BADC0C" w14:textId="77777777" w:rsidR="00871BDF" w:rsidRDefault="005C5088">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00BADC0D" w14:textId="77777777" w:rsidR="00871BDF" w:rsidRDefault="005C5088">
            <w:pPr>
              <w:jc w:val="right"/>
              <w:textAlignment w:val="bottom"/>
            </w:pPr>
            <w:r>
              <w:rPr>
                <w:rFonts w:ascii="Times New Roman" w:eastAsia="宋体" w:hAnsi="Times New Roman"/>
                <w:color w:val="000000"/>
                <w:sz w:val="20"/>
                <w:szCs w:val="20"/>
              </w:rPr>
              <w:t>102.3 </w:t>
            </w:r>
          </w:p>
        </w:tc>
        <w:tc>
          <w:tcPr>
            <w:tcW w:w="0" w:type="auto"/>
            <w:shd w:val="clear" w:color="auto" w:fill="D7E4BC"/>
            <w:tcMar>
              <w:top w:w="40" w:type="dxa"/>
              <w:left w:w="0" w:type="dxa"/>
              <w:bottom w:w="40" w:type="dxa"/>
              <w:right w:w="20" w:type="dxa"/>
            </w:tcMar>
            <w:vAlign w:val="bottom"/>
          </w:tcPr>
          <w:p w14:paraId="00BADC0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0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C10" w14:textId="77777777" w:rsidR="00871BDF" w:rsidRDefault="005C5088">
            <w:pPr>
              <w:jc w:val="right"/>
              <w:textAlignment w:val="bottom"/>
            </w:pPr>
            <w:r>
              <w:rPr>
                <w:rFonts w:ascii="Times New Roman" w:eastAsia="宋体" w:hAnsi="Times New Roman"/>
                <w:color w:val="000000"/>
                <w:sz w:val="20"/>
                <w:szCs w:val="20"/>
              </w:rPr>
              <w:t>102.4 </w:t>
            </w:r>
          </w:p>
        </w:tc>
        <w:tc>
          <w:tcPr>
            <w:tcW w:w="0" w:type="auto"/>
            <w:shd w:val="clear" w:color="auto" w:fill="D7E4BC"/>
            <w:tcMar>
              <w:top w:w="40" w:type="dxa"/>
              <w:left w:w="0" w:type="dxa"/>
              <w:bottom w:w="40" w:type="dxa"/>
              <w:right w:w="20" w:type="dxa"/>
            </w:tcMar>
            <w:vAlign w:val="bottom"/>
          </w:tcPr>
          <w:p w14:paraId="00BADC1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1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C13" w14:textId="77777777" w:rsidR="00871BDF" w:rsidRDefault="005C5088">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00BADC1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1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C16" w14:textId="77777777" w:rsidR="00871BDF" w:rsidRDefault="005C5088">
            <w:pPr>
              <w:jc w:val="right"/>
              <w:textAlignment w:val="bottom"/>
            </w:pPr>
            <w:r>
              <w:rPr>
                <w:rFonts w:ascii="Times New Roman" w:eastAsia="宋体" w:hAnsi="Times New Roman"/>
                <w:color w:val="000000"/>
                <w:sz w:val="20"/>
                <w:szCs w:val="20"/>
              </w:rPr>
              <w:t>1.7 </w:t>
            </w:r>
          </w:p>
        </w:tc>
        <w:tc>
          <w:tcPr>
            <w:tcW w:w="0" w:type="auto"/>
            <w:shd w:val="clear" w:color="auto" w:fill="D7E4BC"/>
            <w:tcMar>
              <w:top w:w="40" w:type="dxa"/>
              <w:left w:w="0" w:type="dxa"/>
              <w:bottom w:w="40" w:type="dxa"/>
              <w:right w:w="20" w:type="dxa"/>
            </w:tcMar>
            <w:vAlign w:val="bottom"/>
          </w:tcPr>
          <w:p w14:paraId="00BADC17" w14:textId="77777777" w:rsidR="00871BDF" w:rsidRDefault="00871BDF">
            <w:pPr>
              <w:jc w:val="right"/>
              <w:rPr>
                <w:rFonts w:ascii="宋体"/>
              </w:rPr>
            </w:pPr>
          </w:p>
        </w:tc>
        <w:tc>
          <w:tcPr>
            <w:tcW w:w="0" w:type="auto"/>
            <w:shd w:val="clear" w:color="auto" w:fill="auto"/>
          </w:tcPr>
          <w:p w14:paraId="00BADC18" w14:textId="77777777" w:rsidR="00871BDF" w:rsidRDefault="00871BDF">
            <w:pPr>
              <w:rPr>
                <w:rFonts w:ascii="宋体"/>
                <w:vanish/>
              </w:rPr>
            </w:pPr>
          </w:p>
        </w:tc>
        <w:tc>
          <w:tcPr>
            <w:tcW w:w="0" w:type="auto"/>
            <w:shd w:val="clear" w:color="auto" w:fill="auto"/>
          </w:tcPr>
          <w:p w14:paraId="00BADC19" w14:textId="77777777" w:rsidR="00871BDF" w:rsidRDefault="00871BDF">
            <w:pPr>
              <w:rPr>
                <w:rFonts w:ascii="宋体"/>
                <w:vanish/>
              </w:rPr>
            </w:pPr>
          </w:p>
        </w:tc>
      </w:tr>
      <w:tr w:rsidR="00871BDF" w14:paraId="00BADC2B" w14:textId="77777777">
        <w:tc>
          <w:tcPr>
            <w:tcW w:w="0" w:type="auto"/>
            <w:gridSpan w:val="3"/>
            <w:shd w:val="clear" w:color="auto" w:fill="FFFFFF"/>
            <w:tcMar>
              <w:top w:w="40" w:type="dxa"/>
              <w:left w:w="20" w:type="dxa"/>
              <w:bottom w:w="40" w:type="dxa"/>
              <w:right w:w="20" w:type="dxa"/>
            </w:tcMar>
          </w:tcPr>
          <w:p w14:paraId="00BADC1B" w14:textId="77777777" w:rsidR="00871BDF" w:rsidRDefault="005C5088">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00BADC1C"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DC1D" w14:textId="77777777" w:rsidR="00871BDF" w:rsidRDefault="005C5088">
            <w:pPr>
              <w:jc w:val="right"/>
              <w:textAlignment w:val="bottom"/>
            </w:pPr>
            <w:r>
              <w:rPr>
                <w:rFonts w:ascii="Times New Roman" w:eastAsia="宋体" w:hAnsi="Times New Roman"/>
                <w:b/>
                <w:bCs/>
                <w:color w:val="000000"/>
                <w:sz w:val="20"/>
                <w:szCs w:val="20"/>
              </w:rPr>
              <w:t>354.0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1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1F"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DC20"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DC21" w14:textId="77777777" w:rsidR="00871BDF" w:rsidRDefault="005C5088">
            <w:pPr>
              <w:jc w:val="right"/>
              <w:textAlignment w:val="bottom"/>
            </w:pPr>
            <w:r>
              <w:rPr>
                <w:rFonts w:ascii="Times New Roman" w:eastAsia="宋体" w:hAnsi="Times New Roman"/>
                <w:b/>
                <w:bCs/>
                <w:color w:val="000000"/>
                <w:sz w:val="20"/>
                <w:szCs w:val="20"/>
              </w:rPr>
              <w:t>964.7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2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23"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C24" w14:textId="77777777" w:rsidR="00871BDF" w:rsidRDefault="005C5088">
            <w:pPr>
              <w:jc w:val="right"/>
              <w:textAlignment w:val="bottom"/>
            </w:pPr>
            <w:r>
              <w:rPr>
                <w:rFonts w:ascii="Times New Roman" w:eastAsia="宋体" w:hAnsi="Times New Roman"/>
                <w:b/>
                <w:bCs/>
                <w:color w:val="000000"/>
                <w:sz w:val="20"/>
                <w:szCs w:val="20"/>
              </w:rPr>
              <w:t>6.9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25"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00BADC26"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C27" w14:textId="77777777" w:rsidR="00871BDF" w:rsidRDefault="005C5088">
            <w:pPr>
              <w:jc w:val="right"/>
              <w:textAlignment w:val="bottom"/>
            </w:pPr>
            <w:r>
              <w:rPr>
                <w:rFonts w:ascii="Times New Roman" w:eastAsia="宋体" w:hAnsi="Times New Roman"/>
                <w:b/>
                <w:bCs/>
                <w:color w:val="000000"/>
                <w:sz w:val="20"/>
                <w:szCs w:val="20"/>
              </w:rPr>
              <w:t>15.6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28"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00BADC29" w14:textId="77777777" w:rsidR="00871BDF" w:rsidRDefault="00871BDF">
            <w:pPr>
              <w:rPr>
                <w:rFonts w:ascii="宋体"/>
                <w:vanish/>
              </w:rPr>
            </w:pPr>
          </w:p>
        </w:tc>
        <w:tc>
          <w:tcPr>
            <w:tcW w:w="0" w:type="auto"/>
            <w:shd w:val="clear" w:color="auto" w:fill="auto"/>
          </w:tcPr>
          <w:p w14:paraId="00BADC2A" w14:textId="77777777" w:rsidR="00871BDF" w:rsidRDefault="00871BDF">
            <w:pPr>
              <w:rPr>
                <w:rFonts w:ascii="宋体"/>
                <w:vanish/>
              </w:rPr>
            </w:pPr>
          </w:p>
        </w:tc>
      </w:tr>
    </w:tbl>
    <w:p w14:paraId="00BADC2C" w14:textId="77777777" w:rsidR="00871BDF" w:rsidRDefault="005C5088">
      <w:pPr>
        <w:spacing w:before="120"/>
      </w:pPr>
      <w:r>
        <w:rPr>
          <w:rFonts w:ascii="Times New Roman" w:eastAsia="宋体" w:hAnsi="Times New Roman"/>
          <w:color w:val="000000"/>
          <w:sz w:val="20"/>
          <w:szCs w:val="20"/>
          <w:u w:val="single"/>
        </w:rPr>
        <w:t>Re</w:t>
      </w:r>
      <w:r>
        <w:rPr>
          <w:rFonts w:ascii="Times New Roman" w:eastAsia="宋体" w:hAnsi="Times New Roman"/>
          <w:color w:val="000000"/>
          <w:sz w:val="20"/>
          <w:szCs w:val="20"/>
          <w:u w:val="single"/>
          <w:shd w:val="clear" w:color="auto" w:fill="FFFFFF"/>
        </w:rPr>
        <w:t>venues</w:t>
      </w:r>
    </w:p>
    <w:p w14:paraId="00BADC2D" w14:textId="77777777" w:rsidR="00871BDF" w:rsidRDefault="005C5088">
      <w:pPr>
        <w:spacing w:before="120"/>
      </w:pPr>
      <w:r>
        <w:rPr>
          <w:rFonts w:ascii="Times New Roman" w:eastAsia="宋体" w:hAnsi="Times New Roman"/>
          <w:color w:val="000000"/>
          <w:sz w:val="20"/>
          <w:szCs w:val="20"/>
          <w:shd w:val="clear" w:color="auto" w:fill="FFFFFF"/>
        </w:rPr>
        <w:t>International total net revenues for fiscal 2020 decreased $1.0 billion, or 17%, primarily due to a 19% decrease in comparable store sales ($9</w:t>
      </w:r>
      <w:r>
        <w:rPr>
          <w:rFonts w:ascii="Times New Roman" w:eastAsia="宋体" w:hAnsi="Times New Roman"/>
          <w:color w:val="000000"/>
          <w:sz w:val="20"/>
          <w:szCs w:val="20"/>
          <w:shd w:val="clear" w:color="auto" w:fill="FFFFFF"/>
        </w:rPr>
        <w:t>31 million) driven by a 23% decrease in transactions, partially offset by a 5% increase in average ticket. Also contributing were lower product sales and equipment sales to and royalty revenues from licensees ($199 million) and the conversions of our retai</w:t>
      </w:r>
      <w:r>
        <w:rPr>
          <w:rFonts w:ascii="Times New Roman" w:eastAsia="宋体" w:hAnsi="Times New Roman"/>
          <w:color w:val="000000"/>
          <w:sz w:val="20"/>
          <w:szCs w:val="20"/>
          <w:shd w:val="clear" w:color="auto" w:fill="FFFFFF"/>
        </w:rPr>
        <w:t>l businesses in Thailand, France and the Netherlands to fully licensed markets during fiscal 2019 ($186 million). These decreases were partially offset by 672 net new Starbucks</w:t>
      </w:r>
      <w:r>
        <w:rPr>
          <w:rFonts w:ascii="Times New Roman" w:eastAsia="宋体" w:hAnsi="Times New Roman"/>
          <w:color w:val="000000"/>
          <w:sz w:val="13"/>
          <w:szCs w:val="13"/>
          <w:shd w:val="clear" w:color="auto" w:fill="FFFFFF"/>
        </w:rPr>
        <w:t xml:space="preserve">® </w:t>
      </w:r>
      <w:r>
        <w:rPr>
          <w:rFonts w:ascii="Times New Roman" w:eastAsia="宋体" w:hAnsi="Times New Roman"/>
          <w:color w:val="000000"/>
          <w:sz w:val="20"/>
          <w:szCs w:val="20"/>
          <w:shd w:val="clear" w:color="auto" w:fill="FFFFFF"/>
        </w:rPr>
        <w:t>company-operated stores, or an 11% increase, over the past 12 months ($282 mil</w:t>
      </w:r>
      <w:r>
        <w:rPr>
          <w:rFonts w:ascii="Times New Roman" w:eastAsia="宋体" w:hAnsi="Times New Roman"/>
          <w:color w:val="000000"/>
          <w:sz w:val="20"/>
          <w:szCs w:val="20"/>
          <w:shd w:val="clear" w:color="auto" w:fill="FFFFFF"/>
        </w:rPr>
        <w:t xml:space="preserve">lion). </w:t>
      </w:r>
    </w:p>
    <w:p w14:paraId="00BADC2E" w14:textId="77777777" w:rsidR="00871BDF" w:rsidRDefault="005C5088">
      <w:pPr>
        <w:spacing w:before="120"/>
      </w:pPr>
      <w:r>
        <w:rPr>
          <w:rFonts w:ascii="Times New Roman" w:eastAsia="宋体" w:hAnsi="Times New Roman"/>
          <w:color w:val="000000"/>
          <w:sz w:val="20"/>
          <w:szCs w:val="20"/>
          <w:u w:val="single"/>
        </w:rPr>
        <w:t>Operating Margin</w:t>
      </w:r>
    </w:p>
    <w:p w14:paraId="00BADC2F" w14:textId="77777777" w:rsidR="00871BDF" w:rsidRDefault="005C5088">
      <w:pPr>
        <w:spacing w:before="120"/>
      </w:pPr>
      <w:r>
        <w:rPr>
          <w:rFonts w:ascii="Times New Roman" w:eastAsia="宋体" w:hAnsi="Times New Roman"/>
          <w:color w:val="000000"/>
          <w:sz w:val="20"/>
          <w:szCs w:val="20"/>
        </w:rPr>
        <w:t>International operating income for fiscal 2020 decreased 63% to $354 million, compared to $965 million in fiscal 2019. Operating margin decreased 870 basis points to 6.9%, primarily driven by sales deleverage concentrated in the se</w:t>
      </w:r>
      <w:r>
        <w:rPr>
          <w:rFonts w:ascii="Times New Roman" w:eastAsia="宋体" w:hAnsi="Times New Roman"/>
          <w:color w:val="000000"/>
          <w:sz w:val="20"/>
          <w:szCs w:val="20"/>
        </w:rPr>
        <w:t>cond and third quarters of fiscal 2020 attributable to COVID-19, including continued partner wages and benefits as well as occupancy costs. Royalty relief granted to licensees during the third fiscal quarter also contributed to the decline (approximately 8</w:t>
      </w:r>
      <w:r>
        <w:rPr>
          <w:rFonts w:ascii="Times New Roman" w:eastAsia="宋体" w:hAnsi="Times New Roman"/>
          <w:color w:val="000000"/>
          <w:sz w:val="20"/>
          <w:szCs w:val="20"/>
        </w:rPr>
        <w:t>0 basis points).</w:t>
      </w:r>
    </w:p>
    <w:p w14:paraId="00BADC30" w14:textId="77777777" w:rsidR="00871BDF" w:rsidRDefault="005C5088">
      <w:pPr>
        <w:jc w:val="center"/>
      </w:pPr>
      <w:r>
        <w:rPr>
          <w:rFonts w:ascii="Times New Roman" w:eastAsia="宋体" w:hAnsi="Times New Roman"/>
          <w:color w:val="000000"/>
          <w:sz w:val="20"/>
          <w:szCs w:val="20"/>
        </w:rPr>
        <w:t>30</w:t>
      </w:r>
    </w:p>
    <w:p w14:paraId="00BADC31" w14:textId="77777777" w:rsidR="00871BDF" w:rsidRDefault="005C5088">
      <w:r>
        <w:pict w14:anchorId="00BB1483">
          <v:rect id="_x0000_i1057" style="width:415.3pt;height:1.5pt" o:hralign="center" o:hrstd="t" o:hr="t" fillcolor="#a0a0a0" stroked="f"/>
        </w:pict>
      </w:r>
    </w:p>
    <w:p w14:paraId="00BADC32" w14:textId="77777777" w:rsidR="00871BDF" w:rsidRDefault="005C5088">
      <w:hyperlink r:id="rId94" w:anchor="i54ccc64cb5384be5a4849ef1cdef4dde_7" w:history="1">
        <w:r>
          <w:rPr>
            <w:rStyle w:val="a5"/>
            <w:rFonts w:ascii="Times New Roman" w:eastAsia="宋体" w:hAnsi="Times New Roman"/>
            <w:sz w:val="20"/>
            <w:szCs w:val="20"/>
          </w:rPr>
          <w:t>Table of Contents</w:t>
        </w:r>
      </w:hyperlink>
    </w:p>
    <w:p w14:paraId="00BADC33" w14:textId="77777777" w:rsidR="00871BDF" w:rsidRDefault="00871BDF">
      <w:pPr>
        <w:spacing w:before="120"/>
      </w:pPr>
    </w:p>
    <w:p w14:paraId="00BADC34" w14:textId="77777777" w:rsidR="00871BDF" w:rsidRDefault="005C5088">
      <w:pPr>
        <w:spacing w:before="120"/>
      </w:pPr>
      <w:r>
        <w:rPr>
          <w:rFonts w:ascii="Times New Roman" w:eastAsia="宋体" w:hAnsi="Times New Roman"/>
          <w:b/>
          <w:bCs/>
          <w:i/>
          <w:iCs/>
          <w:color w:val="000000"/>
          <w:sz w:val="20"/>
          <w:szCs w:val="20"/>
        </w:rPr>
        <w:t>Channel Development</w:t>
      </w:r>
    </w:p>
    <w:tbl>
      <w:tblPr>
        <w:tblW w:w="4993" w:type="pct"/>
        <w:tblCellMar>
          <w:top w:w="15" w:type="dxa"/>
          <w:left w:w="15" w:type="dxa"/>
          <w:bottom w:w="15" w:type="dxa"/>
          <w:right w:w="15" w:type="dxa"/>
        </w:tblCellMar>
        <w:tblLook w:val="04A0" w:firstRow="1" w:lastRow="0" w:firstColumn="1" w:lastColumn="0" w:noHBand="0" w:noVBand="1"/>
      </w:tblPr>
      <w:tblGrid>
        <w:gridCol w:w="41"/>
        <w:gridCol w:w="2521"/>
        <w:gridCol w:w="40"/>
        <w:gridCol w:w="120"/>
        <w:gridCol w:w="1181"/>
        <w:gridCol w:w="36"/>
        <w:gridCol w:w="36"/>
        <w:gridCol w:w="36"/>
        <w:gridCol w:w="36"/>
        <w:gridCol w:w="120"/>
        <w:gridCol w:w="1121"/>
        <w:gridCol w:w="36"/>
        <w:gridCol w:w="36"/>
        <w:gridCol w:w="36"/>
        <w:gridCol w:w="36"/>
        <w:gridCol w:w="38"/>
        <w:gridCol w:w="1098"/>
        <w:gridCol w:w="220"/>
        <w:gridCol w:w="36"/>
        <w:gridCol w:w="36"/>
        <w:gridCol w:w="36"/>
        <w:gridCol w:w="38"/>
        <w:gridCol w:w="1098"/>
        <w:gridCol w:w="220"/>
        <w:gridCol w:w="36"/>
        <w:gridCol w:w="36"/>
      </w:tblGrid>
      <w:tr w:rsidR="00871BDF" w14:paraId="00BADC4F" w14:textId="77777777">
        <w:tc>
          <w:tcPr>
            <w:tcW w:w="50" w:type="pct"/>
            <w:shd w:val="clear" w:color="auto" w:fill="auto"/>
          </w:tcPr>
          <w:p w14:paraId="00BADC35" w14:textId="77777777" w:rsidR="00871BDF" w:rsidRDefault="00871BDF">
            <w:pPr>
              <w:rPr>
                <w:rFonts w:ascii="宋体"/>
              </w:rPr>
            </w:pPr>
          </w:p>
        </w:tc>
        <w:tc>
          <w:tcPr>
            <w:tcW w:w="1584" w:type="pct"/>
            <w:shd w:val="clear" w:color="auto" w:fill="auto"/>
          </w:tcPr>
          <w:p w14:paraId="00BADC36" w14:textId="77777777" w:rsidR="00871BDF" w:rsidRDefault="00871BDF">
            <w:pPr>
              <w:rPr>
                <w:rFonts w:ascii="宋体"/>
              </w:rPr>
            </w:pPr>
          </w:p>
        </w:tc>
        <w:tc>
          <w:tcPr>
            <w:tcW w:w="5" w:type="pct"/>
            <w:shd w:val="clear" w:color="auto" w:fill="auto"/>
          </w:tcPr>
          <w:p w14:paraId="00BADC37" w14:textId="77777777" w:rsidR="00871BDF" w:rsidRDefault="00871BDF">
            <w:pPr>
              <w:rPr>
                <w:rFonts w:ascii="宋体"/>
              </w:rPr>
            </w:pPr>
          </w:p>
        </w:tc>
        <w:tc>
          <w:tcPr>
            <w:tcW w:w="50" w:type="pct"/>
            <w:shd w:val="clear" w:color="auto" w:fill="auto"/>
          </w:tcPr>
          <w:p w14:paraId="00BADC38" w14:textId="77777777" w:rsidR="00871BDF" w:rsidRDefault="00871BDF">
            <w:pPr>
              <w:rPr>
                <w:rFonts w:ascii="宋体"/>
              </w:rPr>
            </w:pPr>
          </w:p>
        </w:tc>
        <w:tc>
          <w:tcPr>
            <w:tcW w:w="757" w:type="pct"/>
            <w:shd w:val="clear" w:color="auto" w:fill="auto"/>
          </w:tcPr>
          <w:p w14:paraId="00BADC39" w14:textId="77777777" w:rsidR="00871BDF" w:rsidRDefault="00871BDF">
            <w:pPr>
              <w:rPr>
                <w:rFonts w:ascii="宋体"/>
              </w:rPr>
            </w:pPr>
          </w:p>
        </w:tc>
        <w:tc>
          <w:tcPr>
            <w:tcW w:w="5" w:type="pct"/>
            <w:shd w:val="clear" w:color="auto" w:fill="auto"/>
          </w:tcPr>
          <w:p w14:paraId="00BADC3A" w14:textId="77777777" w:rsidR="00871BDF" w:rsidRDefault="00871BDF">
            <w:pPr>
              <w:rPr>
                <w:rFonts w:ascii="宋体"/>
              </w:rPr>
            </w:pPr>
          </w:p>
        </w:tc>
        <w:tc>
          <w:tcPr>
            <w:tcW w:w="5" w:type="pct"/>
            <w:shd w:val="clear" w:color="auto" w:fill="auto"/>
          </w:tcPr>
          <w:p w14:paraId="00BADC3B" w14:textId="77777777" w:rsidR="00871BDF" w:rsidRDefault="00871BDF">
            <w:pPr>
              <w:rPr>
                <w:rFonts w:ascii="宋体"/>
              </w:rPr>
            </w:pPr>
          </w:p>
        </w:tc>
        <w:tc>
          <w:tcPr>
            <w:tcW w:w="26" w:type="pct"/>
            <w:shd w:val="clear" w:color="auto" w:fill="auto"/>
          </w:tcPr>
          <w:p w14:paraId="00BADC3C" w14:textId="77777777" w:rsidR="00871BDF" w:rsidRDefault="00871BDF">
            <w:pPr>
              <w:rPr>
                <w:rFonts w:ascii="宋体"/>
              </w:rPr>
            </w:pPr>
          </w:p>
        </w:tc>
        <w:tc>
          <w:tcPr>
            <w:tcW w:w="5" w:type="pct"/>
            <w:shd w:val="clear" w:color="auto" w:fill="auto"/>
          </w:tcPr>
          <w:p w14:paraId="00BADC3D" w14:textId="77777777" w:rsidR="00871BDF" w:rsidRDefault="00871BDF">
            <w:pPr>
              <w:rPr>
                <w:rFonts w:ascii="宋体"/>
              </w:rPr>
            </w:pPr>
          </w:p>
        </w:tc>
        <w:tc>
          <w:tcPr>
            <w:tcW w:w="50" w:type="pct"/>
            <w:shd w:val="clear" w:color="auto" w:fill="auto"/>
          </w:tcPr>
          <w:p w14:paraId="00BADC3E" w14:textId="77777777" w:rsidR="00871BDF" w:rsidRDefault="00871BDF">
            <w:pPr>
              <w:rPr>
                <w:rFonts w:ascii="宋体"/>
              </w:rPr>
            </w:pPr>
          </w:p>
        </w:tc>
        <w:tc>
          <w:tcPr>
            <w:tcW w:w="757" w:type="pct"/>
            <w:shd w:val="clear" w:color="auto" w:fill="auto"/>
          </w:tcPr>
          <w:p w14:paraId="00BADC3F" w14:textId="77777777" w:rsidR="00871BDF" w:rsidRDefault="00871BDF">
            <w:pPr>
              <w:rPr>
                <w:rFonts w:ascii="宋体"/>
              </w:rPr>
            </w:pPr>
          </w:p>
        </w:tc>
        <w:tc>
          <w:tcPr>
            <w:tcW w:w="5" w:type="pct"/>
            <w:shd w:val="clear" w:color="auto" w:fill="auto"/>
          </w:tcPr>
          <w:p w14:paraId="00BADC40" w14:textId="77777777" w:rsidR="00871BDF" w:rsidRDefault="00871BDF">
            <w:pPr>
              <w:rPr>
                <w:rFonts w:ascii="宋体"/>
              </w:rPr>
            </w:pPr>
          </w:p>
        </w:tc>
        <w:tc>
          <w:tcPr>
            <w:tcW w:w="5" w:type="pct"/>
            <w:shd w:val="clear" w:color="auto" w:fill="auto"/>
          </w:tcPr>
          <w:p w14:paraId="00BADC41" w14:textId="77777777" w:rsidR="00871BDF" w:rsidRDefault="00871BDF">
            <w:pPr>
              <w:rPr>
                <w:rFonts w:ascii="宋体"/>
              </w:rPr>
            </w:pPr>
          </w:p>
        </w:tc>
        <w:tc>
          <w:tcPr>
            <w:tcW w:w="26" w:type="pct"/>
            <w:shd w:val="clear" w:color="auto" w:fill="auto"/>
          </w:tcPr>
          <w:p w14:paraId="00BADC42" w14:textId="77777777" w:rsidR="00871BDF" w:rsidRDefault="00871BDF">
            <w:pPr>
              <w:rPr>
                <w:rFonts w:ascii="宋体"/>
              </w:rPr>
            </w:pPr>
          </w:p>
        </w:tc>
        <w:tc>
          <w:tcPr>
            <w:tcW w:w="5" w:type="pct"/>
            <w:shd w:val="clear" w:color="auto" w:fill="auto"/>
          </w:tcPr>
          <w:p w14:paraId="00BADC43" w14:textId="77777777" w:rsidR="00871BDF" w:rsidRDefault="00871BDF">
            <w:pPr>
              <w:rPr>
                <w:rFonts w:ascii="宋体"/>
              </w:rPr>
            </w:pPr>
          </w:p>
        </w:tc>
        <w:tc>
          <w:tcPr>
            <w:tcW w:w="50" w:type="pct"/>
            <w:shd w:val="clear" w:color="auto" w:fill="auto"/>
          </w:tcPr>
          <w:p w14:paraId="00BADC44" w14:textId="77777777" w:rsidR="00871BDF" w:rsidRDefault="00871BDF">
            <w:pPr>
              <w:rPr>
                <w:rFonts w:ascii="宋体"/>
              </w:rPr>
            </w:pPr>
          </w:p>
        </w:tc>
        <w:tc>
          <w:tcPr>
            <w:tcW w:w="757" w:type="pct"/>
            <w:shd w:val="clear" w:color="auto" w:fill="auto"/>
          </w:tcPr>
          <w:p w14:paraId="00BADC45" w14:textId="77777777" w:rsidR="00871BDF" w:rsidRDefault="00871BDF">
            <w:pPr>
              <w:rPr>
                <w:rFonts w:ascii="宋体"/>
              </w:rPr>
            </w:pPr>
          </w:p>
        </w:tc>
        <w:tc>
          <w:tcPr>
            <w:tcW w:w="5" w:type="pct"/>
            <w:shd w:val="clear" w:color="auto" w:fill="auto"/>
          </w:tcPr>
          <w:p w14:paraId="00BADC46" w14:textId="77777777" w:rsidR="00871BDF" w:rsidRDefault="00871BDF">
            <w:pPr>
              <w:rPr>
                <w:rFonts w:ascii="宋体"/>
              </w:rPr>
            </w:pPr>
          </w:p>
        </w:tc>
        <w:tc>
          <w:tcPr>
            <w:tcW w:w="5" w:type="pct"/>
            <w:shd w:val="clear" w:color="auto" w:fill="auto"/>
          </w:tcPr>
          <w:p w14:paraId="00BADC47" w14:textId="77777777" w:rsidR="00871BDF" w:rsidRDefault="00871BDF">
            <w:pPr>
              <w:rPr>
                <w:rFonts w:ascii="宋体"/>
              </w:rPr>
            </w:pPr>
          </w:p>
        </w:tc>
        <w:tc>
          <w:tcPr>
            <w:tcW w:w="26" w:type="pct"/>
            <w:shd w:val="clear" w:color="auto" w:fill="auto"/>
          </w:tcPr>
          <w:p w14:paraId="00BADC48" w14:textId="77777777" w:rsidR="00871BDF" w:rsidRDefault="00871BDF">
            <w:pPr>
              <w:rPr>
                <w:rFonts w:ascii="宋体"/>
              </w:rPr>
            </w:pPr>
          </w:p>
        </w:tc>
        <w:tc>
          <w:tcPr>
            <w:tcW w:w="5" w:type="pct"/>
            <w:shd w:val="clear" w:color="auto" w:fill="auto"/>
          </w:tcPr>
          <w:p w14:paraId="00BADC49" w14:textId="77777777" w:rsidR="00871BDF" w:rsidRDefault="00871BDF">
            <w:pPr>
              <w:rPr>
                <w:rFonts w:ascii="宋体"/>
              </w:rPr>
            </w:pPr>
          </w:p>
        </w:tc>
        <w:tc>
          <w:tcPr>
            <w:tcW w:w="50" w:type="pct"/>
            <w:shd w:val="clear" w:color="auto" w:fill="auto"/>
          </w:tcPr>
          <w:p w14:paraId="00BADC4A" w14:textId="77777777" w:rsidR="00871BDF" w:rsidRDefault="00871BDF">
            <w:pPr>
              <w:rPr>
                <w:rFonts w:ascii="宋体"/>
              </w:rPr>
            </w:pPr>
          </w:p>
        </w:tc>
        <w:tc>
          <w:tcPr>
            <w:tcW w:w="757" w:type="pct"/>
            <w:shd w:val="clear" w:color="auto" w:fill="auto"/>
          </w:tcPr>
          <w:p w14:paraId="00BADC4B" w14:textId="77777777" w:rsidR="00871BDF" w:rsidRDefault="00871BDF">
            <w:pPr>
              <w:rPr>
                <w:rFonts w:ascii="宋体"/>
              </w:rPr>
            </w:pPr>
          </w:p>
        </w:tc>
        <w:tc>
          <w:tcPr>
            <w:tcW w:w="5" w:type="pct"/>
            <w:shd w:val="clear" w:color="auto" w:fill="auto"/>
          </w:tcPr>
          <w:p w14:paraId="00BADC4C" w14:textId="77777777" w:rsidR="00871BDF" w:rsidRDefault="00871BDF">
            <w:pPr>
              <w:rPr>
                <w:rFonts w:ascii="宋体"/>
              </w:rPr>
            </w:pPr>
          </w:p>
        </w:tc>
        <w:tc>
          <w:tcPr>
            <w:tcW w:w="0" w:type="auto"/>
            <w:shd w:val="clear" w:color="auto" w:fill="auto"/>
          </w:tcPr>
          <w:p w14:paraId="00BADC4D" w14:textId="77777777" w:rsidR="00871BDF" w:rsidRDefault="00871BDF">
            <w:pPr>
              <w:rPr>
                <w:rFonts w:ascii="宋体"/>
                <w:vanish/>
              </w:rPr>
            </w:pPr>
          </w:p>
        </w:tc>
        <w:tc>
          <w:tcPr>
            <w:tcW w:w="0" w:type="auto"/>
            <w:shd w:val="clear" w:color="auto" w:fill="auto"/>
          </w:tcPr>
          <w:p w14:paraId="00BADC4E" w14:textId="77777777" w:rsidR="00871BDF" w:rsidRDefault="00871BDF">
            <w:pPr>
              <w:rPr>
                <w:rFonts w:ascii="宋体"/>
                <w:vanish/>
              </w:rPr>
            </w:pPr>
          </w:p>
        </w:tc>
      </w:tr>
      <w:tr w:rsidR="00871BDF" w14:paraId="00BADC5A" w14:textId="77777777">
        <w:tc>
          <w:tcPr>
            <w:tcW w:w="0" w:type="auto"/>
            <w:gridSpan w:val="3"/>
            <w:shd w:val="clear" w:color="auto" w:fill="auto"/>
            <w:tcMar>
              <w:top w:w="40" w:type="dxa"/>
              <w:left w:w="20" w:type="dxa"/>
              <w:bottom w:w="40" w:type="dxa"/>
              <w:right w:w="20" w:type="dxa"/>
            </w:tcMar>
            <w:vAlign w:val="bottom"/>
          </w:tcPr>
          <w:p w14:paraId="00BADC50"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DC51"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DC52"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C53"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DC54"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C55"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DC56" w14:textId="77777777" w:rsidR="00871BDF" w:rsidRDefault="00871BDF">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0BADC57"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shd w:val="clear" w:color="auto" w:fill="auto"/>
          </w:tcPr>
          <w:p w14:paraId="00BADC58" w14:textId="77777777" w:rsidR="00871BDF" w:rsidRDefault="00871BDF">
            <w:pPr>
              <w:rPr>
                <w:rFonts w:ascii="宋体"/>
                <w:vanish/>
              </w:rPr>
            </w:pPr>
          </w:p>
        </w:tc>
        <w:tc>
          <w:tcPr>
            <w:tcW w:w="0" w:type="auto"/>
            <w:shd w:val="clear" w:color="auto" w:fill="auto"/>
          </w:tcPr>
          <w:p w14:paraId="00BADC59" w14:textId="77777777" w:rsidR="00871BDF" w:rsidRDefault="00871BDF">
            <w:pPr>
              <w:rPr>
                <w:rFonts w:ascii="宋体"/>
                <w:vanish/>
              </w:rPr>
            </w:pPr>
          </w:p>
        </w:tc>
      </w:tr>
      <w:tr w:rsidR="00871BDF" w14:paraId="00BADC63" w14:textId="77777777">
        <w:tc>
          <w:tcPr>
            <w:tcW w:w="0" w:type="auto"/>
            <w:gridSpan w:val="3"/>
            <w:shd w:val="clear" w:color="auto" w:fill="FFFFFF"/>
            <w:tcMar>
              <w:top w:w="0" w:type="dxa"/>
              <w:left w:w="20" w:type="dxa"/>
              <w:bottom w:w="0" w:type="dxa"/>
              <w:right w:w="20" w:type="dxa"/>
            </w:tcMar>
          </w:tcPr>
          <w:p w14:paraId="00BADC5B" w14:textId="77777777" w:rsidR="00871BDF" w:rsidRDefault="00871B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0BADC5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C5D" w14:textId="77777777" w:rsidR="00871BDF" w:rsidRDefault="00871B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0BADC5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C5F" w14:textId="77777777" w:rsidR="00871BDF" w:rsidRDefault="00871BDF">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00BADC60" w14:textId="77777777" w:rsidR="00871BDF" w:rsidRDefault="005C5088">
            <w:pPr>
              <w:jc w:val="center"/>
              <w:textAlignment w:val="bottom"/>
            </w:pPr>
            <w:r>
              <w:rPr>
                <w:rFonts w:ascii="Times New Roman" w:eastAsia="宋体" w:hAnsi="Times New Roman"/>
                <w:b/>
                <w:bCs/>
                <w:color w:val="000000"/>
                <w:sz w:val="16"/>
                <w:szCs w:val="16"/>
              </w:rPr>
              <w:t xml:space="preserve">As a % of Channel Development </w:t>
            </w:r>
            <w:r>
              <w:rPr>
                <w:rFonts w:ascii="Times New Roman" w:eastAsia="宋体" w:hAnsi="Times New Roman"/>
                <w:b/>
                <w:bCs/>
                <w:color w:val="000000"/>
                <w:sz w:val="16"/>
                <w:szCs w:val="16"/>
              </w:rPr>
              <w:br/>
              <w:t>Total Net Revenues</w:t>
            </w:r>
          </w:p>
        </w:tc>
        <w:tc>
          <w:tcPr>
            <w:tcW w:w="0" w:type="auto"/>
            <w:shd w:val="clear" w:color="auto" w:fill="auto"/>
          </w:tcPr>
          <w:p w14:paraId="00BADC61" w14:textId="77777777" w:rsidR="00871BDF" w:rsidRDefault="00871BDF">
            <w:pPr>
              <w:rPr>
                <w:rFonts w:ascii="宋体"/>
                <w:vanish/>
              </w:rPr>
            </w:pPr>
          </w:p>
        </w:tc>
        <w:tc>
          <w:tcPr>
            <w:tcW w:w="0" w:type="auto"/>
            <w:shd w:val="clear" w:color="auto" w:fill="auto"/>
          </w:tcPr>
          <w:p w14:paraId="00BADC62" w14:textId="77777777" w:rsidR="00871BDF" w:rsidRDefault="00871BDF">
            <w:pPr>
              <w:rPr>
                <w:rFonts w:ascii="宋体"/>
                <w:vanish/>
              </w:rPr>
            </w:pPr>
          </w:p>
        </w:tc>
      </w:tr>
      <w:tr w:rsidR="00871BDF" w14:paraId="00BADC72" w14:textId="77777777">
        <w:tc>
          <w:tcPr>
            <w:tcW w:w="0" w:type="auto"/>
            <w:gridSpan w:val="3"/>
            <w:shd w:val="clear" w:color="auto" w:fill="D7E4BC"/>
            <w:tcMar>
              <w:top w:w="40" w:type="dxa"/>
              <w:left w:w="20" w:type="dxa"/>
              <w:bottom w:w="40" w:type="dxa"/>
              <w:right w:w="20" w:type="dxa"/>
            </w:tcMar>
          </w:tcPr>
          <w:p w14:paraId="00BADC64" w14:textId="77777777" w:rsidR="00871BDF" w:rsidRDefault="005C5088">
            <w:pPr>
              <w:textAlignment w:val="top"/>
            </w:pPr>
            <w:r>
              <w:rPr>
                <w:rFonts w:ascii="Times New Roman" w:eastAsia="宋体" w:hAnsi="Times New Roman"/>
                <w:color w:val="000000"/>
                <w:sz w:val="20"/>
                <w:szCs w:val="20"/>
              </w:rPr>
              <w:t>Net revenues</w:t>
            </w:r>
          </w:p>
        </w:tc>
        <w:tc>
          <w:tcPr>
            <w:tcW w:w="0" w:type="auto"/>
            <w:shd w:val="clear" w:color="auto" w:fill="D7E4BC"/>
            <w:tcMar>
              <w:top w:w="40" w:type="dxa"/>
              <w:left w:w="20" w:type="dxa"/>
              <w:bottom w:w="40" w:type="dxa"/>
              <w:right w:w="0" w:type="dxa"/>
            </w:tcMar>
            <w:vAlign w:val="bottom"/>
          </w:tcPr>
          <w:p w14:paraId="00BADC65"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DC66" w14:textId="77777777" w:rsidR="00871BDF" w:rsidRDefault="005C5088">
            <w:pPr>
              <w:jc w:val="right"/>
              <w:textAlignment w:val="bottom"/>
            </w:pPr>
            <w:r>
              <w:rPr>
                <w:rFonts w:ascii="Times New Roman" w:eastAsia="宋体" w:hAnsi="Times New Roman"/>
                <w:color w:val="000000"/>
                <w:sz w:val="20"/>
                <w:szCs w:val="20"/>
              </w:rPr>
              <w:t>1,925.0 </w:t>
            </w:r>
          </w:p>
        </w:tc>
        <w:tc>
          <w:tcPr>
            <w:tcW w:w="0" w:type="auto"/>
            <w:shd w:val="clear" w:color="auto" w:fill="D7E4BC"/>
            <w:tcMar>
              <w:top w:w="40" w:type="dxa"/>
              <w:left w:w="0" w:type="dxa"/>
              <w:bottom w:w="40" w:type="dxa"/>
              <w:right w:w="20" w:type="dxa"/>
            </w:tcMar>
            <w:vAlign w:val="bottom"/>
          </w:tcPr>
          <w:p w14:paraId="00BADC6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68"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DC69"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DC6A" w14:textId="77777777" w:rsidR="00871BDF" w:rsidRDefault="005C5088">
            <w:pPr>
              <w:jc w:val="right"/>
              <w:textAlignment w:val="bottom"/>
            </w:pPr>
            <w:r>
              <w:rPr>
                <w:rFonts w:ascii="Times New Roman" w:eastAsia="宋体" w:hAnsi="Times New Roman"/>
                <w:color w:val="000000"/>
                <w:sz w:val="20"/>
                <w:szCs w:val="20"/>
              </w:rPr>
              <w:t>1,992.6 </w:t>
            </w:r>
          </w:p>
        </w:tc>
        <w:tc>
          <w:tcPr>
            <w:tcW w:w="0" w:type="auto"/>
            <w:shd w:val="clear" w:color="auto" w:fill="D7E4BC"/>
            <w:tcMar>
              <w:top w:w="40" w:type="dxa"/>
              <w:left w:w="0" w:type="dxa"/>
              <w:bottom w:w="40" w:type="dxa"/>
              <w:right w:w="20" w:type="dxa"/>
            </w:tcMar>
            <w:vAlign w:val="bottom"/>
          </w:tcPr>
          <w:p w14:paraId="00BADC6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6C"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C6D"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C6E"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C6F" w14:textId="77777777" w:rsidR="00871BDF" w:rsidRDefault="00871BDF">
            <w:pPr>
              <w:rPr>
                <w:rFonts w:ascii="宋体"/>
              </w:rPr>
            </w:pPr>
          </w:p>
        </w:tc>
        <w:tc>
          <w:tcPr>
            <w:tcW w:w="0" w:type="auto"/>
            <w:shd w:val="clear" w:color="auto" w:fill="auto"/>
          </w:tcPr>
          <w:p w14:paraId="00BADC70" w14:textId="77777777" w:rsidR="00871BDF" w:rsidRDefault="00871BDF">
            <w:pPr>
              <w:rPr>
                <w:rFonts w:ascii="宋体"/>
                <w:vanish/>
              </w:rPr>
            </w:pPr>
          </w:p>
        </w:tc>
        <w:tc>
          <w:tcPr>
            <w:tcW w:w="0" w:type="auto"/>
            <w:shd w:val="clear" w:color="auto" w:fill="auto"/>
          </w:tcPr>
          <w:p w14:paraId="00BADC71" w14:textId="77777777" w:rsidR="00871BDF" w:rsidRDefault="00871BDF">
            <w:pPr>
              <w:rPr>
                <w:rFonts w:ascii="宋体"/>
                <w:vanish/>
              </w:rPr>
            </w:pPr>
          </w:p>
        </w:tc>
      </w:tr>
      <w:tr w:rsidR="00871BDF" w14:paraId="00BADC81" w14:textId="77777777">
        <w:tc>
          <w:tcPr>
            <w:tcW w:w="0" w:type="auto"/>
            <w:gridSpan w:val="3"/>
            <w:shd w:val="clear" w:color="auto" w:fill="FFFFFF"/>
            <w:tcMar>
              <w:top w:w="40" w:type="dxa"/>
              <w:left w:w="20" w:type="dxa"/>
              <w:bottom w:w="40" w:type="dxa"/>
              <w:right w:w="20" w:type="dxa"/>
            </w:tcMar>
          </w:tcPr>
          <w:p w14:paraId="00BADC73" w14:textId="77777777" w:rsidR="00871BDF" w:rsidRDefault="005C5088">
            <w:pPr>
              <w:textAlignment w:val="top"/>
            </w:pPr>
            <w:r>
              <w:rPr>
                <w:rFonts w:ascii="Times New Roman" w:eastAsia="宋体" w:hAnsi="Times New Roman"/>
                <w:color w:val="000000"/>
                <w:sz w:val="20"/>
                <w:szCs w:val="20"/>
              </w:rPr>
              <w:t>P</w:t>
            </w:r>
            <w:r>
              <w:rPr>
                <w:rFonts w:ascii="Times New Roman" w:eastAsia="宋体" w:hAnsi="Times New Roman"/>
                <w:color w:val="000000"/>
                <w:sz w:val="20"/>
                <w:szCs w:val="20"/>
              </w:rPr>
              <w:t>roduct and distribution costs</w:t>
            </w:r>
          </w:p>
        </w:tc>
        <w:tc>
          <w:tcPr>
            <w:tcW w:w="0" w:type="auto"/>
            <w:gridSpan w:val="2"/>
            <w:shd w:val="clear" w:color="auto" w:fill="FFFFFF"/>
            <w:tcMar>
              <w:top w:w="40" w:type="dxa"/>
              <w:left w:w="20" w:type="dxa"/>
              <w:bottom w:w="40" w:type="dxa"/>
              <w:right w:w="0" w:type="dxa"/>
            </w:tcMar>
            <w:vAlign w:val="bottom"/>
          </w:tcPr>
          <w:p w14:paraId="00BADC74" w14:textId="77777777" w:rsidR="00871BDF" w:rsidRDefault="005C5088">
            <w:pPr>
              <w:jc w:val="right"/>
              <w:textAlignment w:val="bottom"/>
            </w:pPr>
            <w:r>
              <w:rPr>
                <w:rFonts w:ascii="Times New Roman" w:eastAsia="宋体" w:hAnsi="Times New Roman"/>
                <w:color w:val="000000"/>
                <w:sz w:val="20"/>
                <w:szCs w:val="20"/>
              </w:rPr>
              <w:t>1,338.1 </w:t>
            </w:r>
          </w:p>
        </w:tc>
        <w:tc>
          <w:tcPr>
            <w:tcW w:w="0" w:type="auto"/>
            <w:shd w:val="clear" w:color="auto" w:fill="FFFFFF"/>
            <w:tcMar>
              <w:top w:w="40" w:type="dxa"/>
              <w:left w:w="0" w:type="dxa"/>
              <w:bottom w:w="40" w:type="dxa"/>
              <w:right w:w="20" w:type="dxa"/>
            </w:tcMar>
            <w:vAlign w:val="bottom"/>
          </w:tcPr>
          <w:p w14:paraId="00BADC7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7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C77" w14:textId="77777777" w:rsidR="00871BDF" w:rsidRDefault="005C5088">
            <w:pPr>
              <w:jc w:val="right"/>
              <w:textAlignment w:val="bottom"/>
            </w:pPr>
            <w:r>
              <w:rPr>
                <w:rFonts w:ascii="Times New Roman" w:eastAsia="宋体" w:hAnsi="Times New Roman"/>
                <w:color w:val="000000"/>
                <w:sz w:val="20"/>
                <w:szCs w:val="20"/>
              </w:rPr>
              <w:t>1,390.0 </w:t>
            </w:r>
          </w:p>
        </w:tc>
        <w:tc>
          <w:tcPr>
            <w:tcW w:w="0" w:type="auto"/>
            <w:shd w:val="clear" w:color="auto" w:fill="FFFFFF"/>
            <w:tcMar>
              <w:top w:w="40" w:type="dxa"/>
              <w:left w:w="0" w:type="dxa"/>
              <w:bottom w:w="40" w:type="dxa"/>
              <w:right w:w="20" w:type="dxa"/>
            </w:tcMar>
            <w:vAlign w:val="bottom"/>
          </w:tcPr>
          <w:p w14:paraId="00BADC7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7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C7A" w14:textId="77777777" w:rsidR="00871BDF" w:rsidRDefault="005C5088">
            <w:pPr>
              <w:jc w:val="right"/>
              <w:textAlignment w:val="bottom"/>
            </w:pPr>
            <w:r>
              <w:rPr>
                <w:rFonts w:ascii="Times New Roman" w:eastAsia="宋体" w:hAnsi="Times New Roman"/>
                <w:color w:val="000000"/>
                <w:sz w:val="20"/>
                <w:szCs w:val="20"/>
              </w:rPr>
              <w:t>69.5 </w:t>
            </w:r>
          </w:p>
        </w:tc>
        <w:tc>
          <w:tcPr>
            <w:tcW w:w="0" w:type="auto"/>
            <w:shd w:val="clear" w:color="auto" w:fill="FFFFFF"/>
            <w:tcMar>
              <w:top w:w="40" w:type="dxa"/>
              <w:left w:w="0" w:type="dxa"/>
              <w:bottom w:w="40" w:type="dxa"/>
              <w:right w:w="20" w:type="dxa"/>
            </w:tcMar>
            <w:vAlign w:val="bottom"/>
          </w:tcPr>
          <w:p w14:paraId="00BADC7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7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C7D" w14:textId="77777777" w:rsidR="00871BDF" w:rsidRDefault="005C5088">
            <w:pPr>
              <w:jc w:val="right"/>
              <w:textAlignment w:val="bottom"/>
            </w:pPr>
            <w:r>
              <w:rPr>
                <w:rFonts w:ascii="Times New Roman" w:eastAsia="宋体" w:hAnsi="Times New Roman"/>
                <w:color w:val="000000"/>
                <w:sz w:val="20"/>
                <w:szCs w:val="20"/>
              </w:rPr>
              <w:t>69.8 </w:t>
            </w:r>
          </w:p>
        </w:tc>
        <w:tc>
          <w:tcPr>
            <w:tcW w:w="0" w:type="auto"/>
            <w:shd w:val="clear" w:color="auto" w:fill="FFFFFF"/>
            <w:tcMar>
              <w:top w:w="40" w:type="dxa"/>
              <w:left w:w="0" w:type="dxa"/>
              <w:bottom w:w="40" w:type="dxa"/>
              <w:right w:w="20" w:type="dxa"/>
            </w:tcMar>
            <w:vAlign w:val="bottom"/>
          </w:tcPr>
          <w:p w14:paraId="00BADC7E" w14:textId="77777777" w:rsidR="00871BDF" w:rsidRDefault="00871BDF">
            <w:pPr>
              <w:jc w:val="right"/>
              <w:rPr>
                <w:rFonts w:ascii="宋体"/>
              </w:rPr>
            </w:pPr>
          </w:p>
        </w:tc>
        <w:tc>
          <w:tcPr>
            <w:tcW w:w="0" w:type="auto"/>
            <w:shd w:val="clear" w:color="auto" w:fill="auto"/>
          </w:tcPr>
          <w:p w14:paraId="00BADC7F" w14:textId="77777777" w:rsidR="00871BDF" w:rsidRDefault="00871BDF">
            <w:pPr>
              <w:rPr>
                <w:rFonts w:ascii="宋体"/>
                <w:vanish/>
              </w:rPr>
            </w:pPr>
          </w:p>
        </w:tc>
        <w:tc>
          <w:tcPr>
            <w:tcW w:w="0" w:type="auto"/>
            <w:shd w:val="clear" w:color="auto" w:fill="auto"/>
          </w:tcPr>
          <w:p w14:paraId="00BADC80" w14:textId="77777777" w:rsidR="00871BDF" w:rsidRDefault="00871BDF">
            <w:pPr>
              <w:rPr>
                <w:rFonts w:ascii="宋体"/>
                <w:vanish/>
              </w:rPr>
            </w:pPr>
          </w:p>
        </w:tc>
      </w:tr>
      <w:tr w:rsidR="00871BDF" w14:paraId="00BADC90" w14:textId="77777777">
        <w:tc>
          <w:tcPr>
            <w:tcW w:w="0" w:type="auto"/>
            <w:gridSpan w:val="3"/>
            <w:shd w:val="clear" w:color="auto" w:fill="D7E4BC"/>
            <w:tcMar>
              <w:top w:w="40" w:type="dxa"/>
              <w:left w:w="20" w:type="dxa"/>
              <w:bottom w:w="40" w:type="dxa"/>
              <w:right w:w="20" w:type="dxa"/>
            </w:tcMar>
          </w:tcPr>
          <w:p w14:paraId="00BADC82" w14:textId="77777777" w:rsidR="00871BDF" w:rsidRDefault="005C5088">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00BADC83" w14:textId="77777777" w:rsidR="00871BDF" w:rsidRDefault="005C5088">
            <w:pPr>
              <w:jc w:val="right"/>
              <w:textAlignment w:val="bottom"/>
            </w:pPr>
            <w:r>
              <w:rPr>
                <w:rFonts w:ascii="Times New Roman" w:eastAsia="宋体" w:hAnsi="Times New Roman"/>
                <w:color w:val="000000"/>
                <w:sz w:val="20"/>
                <w:szCs w:val="20"/>
              </w:rPr>
              <w:t>108.2 </w:t>
            </w:r>
          </w:p>
        </w:tc>
        <w:tc>
          <w:tcPr>
            <w:tcW w:w="0" w:type="auto"/>
            <w:shd w:val="clear" w:color="auto" w:fill="D7E4BC"/>
            <w:tcMar>
              <w:top w:w="40" w:type="dxa"/>
              <w:left w:w="0" w:type="dxa"/>
              <w:bottom w:w="40" w:type="dxa"/>
              <w:right w:w="20" w:type="dxa"/>
            </w:tcMar>
            <w:vAlign w:val="bottom"/>
          </w:tcPr>
          <w:p w14:paraId="00BADC8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8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C86" w14:textId="77777777" w:rsidR="00871BDF" w:rsidRDefault="005C5088">
            <w:pPr>
              <w:jc w:val="right"/>
              <w:textAlignment w:val="bottom"/>
            </w:pPr>
            <w:r>
              <w:rPr>
                <w:rFonts w:ascii="Times New Roman" w:eastAsia="宋体" w:hAnsi="Times New Roman"/>
                <w:color w:val="000000"/>
                <w:sz w:val="20"/>
                <w:szCs w:val="20"/>
              </w:rPr>
              <w:t>76.2 </w:t>
            </w:r>
          </w:p>
        </w:tc>
        <w:tc>
          <w:tcPr>
            <w:tcW w:w="0" w:type="auto"/>
            <w:shd w:val="clear" w:color="auto" w:fill="D7E4BC"/>
            <w:tcMar>
              <w:top w:w="40" w:type="dxa"/>
              <w:left w:w="0" w:type="dxa"/>
              <w:bottom w:w="40" w:type="dxa"/>
              <w:right w:w="20" w:type="dxa"/>
            </w:tcMar>
            <w:vAlign w:val="bottom"/>
          </w:tcPr>
          <w:p w14:paraId="00BADC8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8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C89" w14:textId="77777777" w:rsidR="00871BDF" w:rsidRDefault="005C5088">
            <w:pPr>
              <w:jc w:val="right"/>
              <w:textAlignment w:val="bottom"/>
            </w:pPr>
            <w:r>
              <w:rPr>
                <w:rFonts w:ascii="Times New Roman" w:eastAsia="宋体" w:hAnsi="Times New Roman"/>
                <w:color w:val="000000"/>
                <w:sz w:val="20"/>
                <w:szCs w:val="20"/>
              </w:rPr>
              <w:t>5.6 </w:t>
            </w:r>
          </w:p>
        </w:tc>
        <w:tc>
          <w:tcPr>
            <w:tcW w:w="0" w:type="auto"/>
            <w:shd w:val="clear" w:color="auto" w:fill="D7E4BC"/>
            <w:tcMar>
              <w:top w:w="40" w:type="dxa"/>
              <w:left w:w="0" w:type="dxa"/>
              <w:bottom w:w="40" w:type="dxa"/>
              <w:right w:w="20" w:type="dxa"/>
            </w:tcMar>
            <w:vAlign w:val="bottom"/>
          </w:tcPr>
          <w:p w14:paraId="00BADC8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8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C8C" w14:textId="77777777" w:rsidR="00871BDF" w:rsidRDefault="005C5088">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00BADC8D" w14:textId="77777777" w:rsidR="00871BDF" w:rsidRDefault="00871BDF">
            <w:pPr>
              <w:jc w:val="right"/>
              <w:rPr>
                <w:rFonts w:ascii="宋体"/>
              </w:rPr>
            </w:pPr>
          </w:p>
        </w:tc>
        <w:tc>
          <w:tcPr>
            <w:tcW w:w="0" w:type="auto"/>
            <w:shd w:val="clear" w:color="auto" w:fill="auto"/>
          </w:tcPr>
          <w:p w14:paraId="00BADC8E" w14:textId="77777777" w:rsidR="00871BDF" w:rsidRDefault="00871BDF">
            <w:pPr>
              <w:rPr>
                <w:rFonts w:ascii="宋体"/>
                <w:vanish/>
              </w:rPr>
            </w:pPr>
          </w:p>
        </w:tc>
        <w:tc>
          <w:tcPr>
            <w:tcW w:w="0" w:type="auto"/>
            <w:shd w:val="clear" w:color="auto" w:fill="auto"/>
          </w:tcPr>
          <w:p w14:paraId="00BADC8F" w14:textId="77777777" w:rsidR="00871BDF" w:rsidRDefault="00871BDF">
            <w:pPr>
              <w:rPr>
                <w:rFonts w:ascii="宋体"/>
                <w:vanish/>
              </w:rPr>
            </w:pPr>
          </w:p>
        </w:tc>
      </w:tr>
      <w:tr w:rsidR="00871BDF" w14:paraId="00BADC9F" w14:textId="77777777">
        <w:tc>
          <w:tcPr>
            <w:tcW w:w="0" w:type="auto"/>
            <w:gridSpan w:val="3"/>
            <w:shd w:val="clear" w:color="auto" w:fill="FFFFFF"/>
            <w:tcMar>
              <w:top w:w="40" w:type="dxa"/>
              <w:left w:w="20" w:type="dxa"/>
              <w:bottom w:w="40" w:type="dxa"/>
              <w:right w:w="20" w:type="dxa"/>
            </w:tcMar>
          </w:tcPr>
          <w:p w14:paraId="00BADC91"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00BADC92" w14:textId="77777777" w:rsidR="00871BDF" w:rsidRDefault="005C5088">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00BADC9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9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C95" w14:textId="77777777" w:rsidR="00871BDF" w:rsidRDefault="005C5088">
            <w:pPr>
              <w:jc w:val="right"/>
              <w:textAlignment w:val="bottom"/>
            </w:pPr>
            <w:r>
              <w:rPr>
                <w:rFonts w:ascii="Times New Roman" w:eastAsia="宋体" w:hAnsi="Times New Roman"/>
                <w:color w:val="000000"/>
                <w:sz w:val="20"/>
                <w:szCs w:val="20"/>
              </w:rPr>
              <w:t>13.0 </w:t>
            </w:r>
          </w:p>
        </w:tc>
        <w:tc>
          <w:tcPr>
            <w:tcW w:w="0" w:type="auto"/>
            <w:shd w:val="clear" w:color="auto" w:fill="FFFFFF"/>
            <w:tcMar>
              <w:top w:w="40" w:type="dxa"/>
              <w:left w:w="0" w:type="dxa"/>
              <w:bottom w:w="40" w:type="dxa"/>
              <w:right w:w="20" w:type="dxa"/>
            </w:tcMar>
            <w:vAlign w:val="bottom"/>
          </w:tcPr>
          <w:p w14:paraId="00BADC9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9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C98" w14:textId="77777777" w:rsidR="00871BDF" w:rsidRDefault="005C5088">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0BADC9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9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C9B" w14:textId="77777777" w:rsidR="00871BDF" w:rsidRDefault="005C5088">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00BADC9C" w14:textId="77777777" w:rsidR="00871BDF" w:rsidRDefault="00871BDF">
            <w:pPr>
              <w:jc w:val="right"/>
              <w:rPr>
                <w:rFonts w:ascii="宋体"/>
              </w:rPr>
            </w:pPr>
          </w:p>
        </w:tc>
        <w:tc>
          <w:tcPr>
            <w:tcW w:w="0" w:type="auto"/>
            <w:shd w:val="clear" w:color="auto" w:fill="auto"/>
          </w:tcPr>
          <w:p w14:paraId="00BADC9D" w14:textId="77777777" w:rsidR="00871BDF" w:rsidRDefault="00871BDF">
            <w:pPr>
              <w:rPr>
                <w:rFonts w:ascii="宋体"/>
                <w:vanish/>
              </w:rPr>
            </w:pPr>
          </w:p>
        </w:tc>
        <w:tc>
          <w:tcPr>
            <w:tcW w:w="0" w:type="auto"/>
            <w:shd w:val="clear" w:color="auto" w:fill="auto"/>
          </w:tcPr>
          <w:p w14:paraId="00BADC9E" w14:textId="77777777" w:rsidR="00871BDF" w:rsidRDefault="00871BDF">
            <w:pPr>
              <w:rPr>
                <w:rFonts w:ascii="宋体"/>
                <w:vanish/>
              </w:rPr>
            </w:pPr>
          </w:p>
        </w:tc>
      </w:tr>
      <w:tr w:rsidR="00871BDF" w14:paraId="00BADCAE" w14:textId="77777777">
        <w:tc>
          <w:tcPr>
            <w:tcW w:w="0" w:type="auto"/>
            <w:gridSpan w:val="3"/>
            <w:shd w:val="clear" w:color="auto" w:fill="D7E4BC"/>
            <w:tcMar>
              <w:top w:w="40" w:type="dxa"/>
              <w:left w:w="20" w:type="dxa"/>
              <w:bottom w:w="40" w:type="dxa"/>
              <w:right w:w="20" w:type="dxa"/>
            </w:tcMar>
          </w:tcPr>
          <w:p w14:paraId="00BADCA0" w14:textId="77777777" w:rsidR="00871BDF" w:rsidRDefault="005C5088">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00BADCA1" w14:textId="77777777" w:rsidR="00871BDF" w:rsidRDefault="005C5088">
            <w:pPr>
              <w:jc w:val="right"/>
              <w:textAlignment w:val="bottom"/>
            </w:pPr>
            <w:r>
              <w:rPr>
                <w:rFonts w:ascii="Times New Roman" w:eastAsia="宋体" w:hAnsi="Times New Roman"/>
                <w:color w:val="000000"/>
                <w:sz w:val="20"/>
                <w:szCs w:val="20"/>
              </w:rPr>
              <w:t>10.5 </w:t>
            </w:r>
          </w:p>
        </w:tc>
        <w:tc>
          <w:tcPr>
            <w:tcW w:w="0" w:type="auto"/>
            <w:shd w:val="clear" w:color="auto" w:fill="D7E4BC"/>
            <w:tcMar>
              <w:top w:w="40" w:type="dxa"/>
              <w:left w:w="0" w:type="dxa"/>
              <w:bottom w:w="40" w:type="dxa"/>
              <w:right w:w="20" w:type="dxa"/>
            </w:tcMar>
            <w:vAlign w:val="bottom"/>
          </w:tcPr>
          <w:p w14:paraId="00BADCA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A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CA4" w14:textId="77777777" w:rsidR="00871BDF" w:rsidRDefault="005C5088">
            <w:pPr>
              <w:jc w:val="right"/>
              <w:textAlignment w:val="bottom"/>
            </w:pPr>
            <w:r>
              <w:rPr>
                <w:rFonts w:ascii="Times New Roman" w:eastAsia="宋体" w:hAnsi="Times New Roman"/>
                <w:color w:val="000000"/>
                <w:sz w:val="20"/>
                <w:szCs w:val="20"/>
              </w:rPr>
              <w:t>11.5 </w:t>
            </w:r>
          </w:p>
        </w:tc>
        <w:tc>
          <w:tcPr>
            <w:tcW w:w="0" w:type="auto"/>
            <w:shd w:val="clear" w:color="auto" w:fill="D7E4BC"/>
            <w:tcMar>
              <w:top w:w="40" w:type="dxa"/>
              <w:left w:w="0" w:type="dxa"/>
              <w:bottom w:w="40" w:type="dxa"/>
              <w:right w:w="20" w:type="dxa"/>
            </w:tcMar>
            <w:vAlign w:val="bottom"/>
          </w:tcPr>
          <w:p w14:paraId="00BADCA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A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CA7" w14:textId="77777777" w:rsidR="00871BDF" w:rsidRDefault="005C5088">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00BADCA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A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CAA" w14:textId="77777777" w:rsidR="00871BDF" w:rsidRDefault="005C5088">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00BADCAB" w14:textId="77777777" w:rsidR="00871BDF" w:rsidRDefault="00871BDF">
            <w:pPr>
              <w:jc w:val="right"/>
              <w:rPr>
                <w:rFonts w:ascii="宋体"/>
              </w:rPr>
            </w:pPr>
          </w:p>
        </w:tc>
        <w:tc>
          <w:tcPr>
            <w:tcW w:w="0" w:type="auto"/>
            <w:shd w:val="clear" w:color="auto" w:fill="auto"/>
          </w:tcPr>
          <w:p w14:paraId="00BADCAC" w14:textId="77777777" w:rsidR="00871BDF" w:rsidRDefault="00871BDF">
            <w:pPr>
              <w:rPr>
                <w:rFonts w:ascii="宋体"/>
                <w:vanish/>
              </w:rPr>
            </w:pPr>
          </w:p>
        </w:tc>
        <w:tc>
          <w:tcPr>
            <w:tcW w:w="0" w:type="auto"/>
            <w:shd w:val="clear" w:color="auto" w:fill="auto"/>
          </w:tcPr>
          <w:p w14:paraId="00BADCAD" w14:textId="77777777" w:rsidR="00871BDF" w:rsidRDefault="00871BDF">
            <w:pPr>
              <w:rPr>
                <w:rFonts w:ascii="宋体"/>
                <w:vanish/>
              </w:rPr>
            </w:pPr>
          </w:p>
        </w:tc>
      </w:tr>
      <w:tr w:rsidR="00871BDF" w14:paraId="00BADCBD" w14:textId="77777777">
        <w:tc>
          <w:tcPr>
            <w:tcW w:w="0" w:type="auto"/>
            <w:gridSpan w:val="3"/>
            <w:shd w:val="clear" w:color="auto" w:fill="FFFFFF"/>
            <w:tcMar>
              <w:top w:w="40" w:type="dxa"/>
              <w:left w:w="20" w:type="dxa"/>
              <w:bottom w:w="40" w:type="dxa"/>
              <w:right w:w="20" w:type="dxa"/>
            </w:tcMar>
          </w:tcPr>
          <w:p w14:paraId="00BADCAF" w14:textId="77777777" w:rsidR="00871BDF" w:rsidRDefault="005C5088">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CB0" w14:textId="77777777" w:rsidR="00871BDF" w:rsidRDefault="005C5088">
            <w:pPr>
              <w:jc w:val="right"/>
              <w:textAlignment w:val="bottom"/>
            </w:pPr>
            <w:r>
              <w:rPr>
                <w:rFonts w:ascii="Times New Roman" w:eastAsia="宋体" w:hAnsi="Times New Roman"/>
                <w:color w:val="000000"/>
                <w:sz w:val="20"/>
                <w:szCs w:val="20"/>
              </w:rPr>
              <w:t>1,458.0 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B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B2"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CB3" w14:textId="77777777" w:rsidR="00871BDF" w:rsidRDefault="005C5088">
            <w:pPr>
              <w:jc w:val="right"/>
              <w:textAlignment w:val="bottom"/>
            </w:pPr>
            <w:r>
              <w:rPr>
                <w:rFonts w:ascii="Times New Roman" w:eastAsia="宋体" w:hAnsi="Times New Roman"/>
                <w:color w:val="000000"/>
                <w:sz w:val="20"/>
                <w:szCs w:val="20"/>
              </w:rPr>
              <w:t>1,490.7 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B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B5"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CB6" w14:textId="77777777" w:rsidR="00871BDF" w:rsidRDefault="005C5088">
            <w:pPr>
              <w:jc w:val="right"/>
              <w:textAlignment w:val="bottom"/>
            </w:pPr>
            <w:r>
              <w:rPr>
                <w:rFonts w:ascii="Times New Roman" w:eastAsia="宋体" w:hAnsi="Times New Roman"/>
                <w:color w:val="000000"/>
                <w:sz w:val="20"/>
                <w:szCs w:val="20"/>
              </w:rPr>
              <w:t>75.7 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B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B8"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CB9" w14:textId="77777777" w:rsidR="00871BDF" w:rsidRDefault="005C5088">
            <w:pPr>
              <w:jc w:val="right"/>
              <w:textAlignment w:val="bottom"/>
            </w:pPr>
            <w:r>
              <w:rPr>
                <w:rFonts w:ascii="Times New Roman" w:eastAsia="宋体" w:hAnsi="Times New Roman"/>
                <w:color w:val="000000"/>
                <w:sz w:val="20"/>
                <w:szCs w:val="20"/>
              </w:rPr>
              <w:t>74.8 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BA" w14:textId="77777777" w:rsidR="00871BDF" w:rsidRDefault="00871BDF">
            <w:pPr>
              <w:jc w:val="right"/>
              <w:rPr>
                <w:rFonts w:ascii="宋体"/>
              </w:rPr>
            </w:pPr>
          </w:p>
        </w:tc>
        <w:tc>
          <w:tcPr>
            <w:tcW w:w="0" w:type="auto"/>
            <w:shd w:val="clear" w:color="auto" w:fill="auto"/>
          </w:tcPr>
          <w:p w14:paraId="00BADCBB" w14:textId="77777777" w:rsidR="00871BDF" w:rsidRDefault="00871BDF">
            <w:pPr>
              <w:rPr>
                <w:rFonts w:ascii="宋体"/>
                <w:vanish/>
              </w:rPr>
            </w:pPr>
          </w:p>
        </w:tc>
        <w:tc>
          <w:tcPr>
            <w:tcW w:w="0" w:type="auto"/>
            <w:shd w:val="clear" w:color="auto" w:fill="auto"/>
          </w:tcPr>
          <w:p w14:paraId="00BADCBC" w14:textId="77777777" w:rsidR="00871BDF" w:rsidRDefault="00871BDF">
            <w:pPr>
              <w:rPr>
                <w:rFonts w:ascii="宋体"/>
                <w:vanish/>
              </w:rPr>
            </w:pPr>
          </w:p>
        </w:tc>
      </w:tr>
      <w:tr w:rsidR="00871BDF" w14:paraId="00BADCCC" w14:textId="77777777">
        <w:tc>
          <w:tcPr>
            <w:tcW w:w="0" w:type="auto"/>
            <w:gridSpan w:val="3"/>
            <w:shd w:val="clear" w:color="auto" w:fill="D7E4BC"/>
            <w:tcMar>
              <w:top w:w="40" w:type="dxa"/>
              <w:left w:w="20" w:type="dxa"/>
              <w:bottom w:w="40" w:type="dxa"/>
              <w:right w:w="20" w:type="dxa"/>
            </w:tcMar>
          </w:tcPr>
          <w:p w14:paraId="00BADCBE" w14:textId="77777777" w:rsidR="00871BDF" w:rsidRDefault="005C5088">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00BADCBF" w14:textId="77777777" w:rsidR="00871BDF" w:rsidRDefault="005C5088">
            <w:pPr>
              <w:jc w:val="right"/>
              <w:textAlignment w:val="bottom"/>
            </w:pPr>
            <w:r>
              <w:rPr>
                <w:rFonts w:ascii="Times New Roman" w:eastAsia="宋体" w:hAnsi="Times New Roman"/>
                <w:color w:val="000000"/>
                <w:sz w:val="20"/>
                <w:szCs w:val="20"/>
              </w:rPr>
              <w:t>220.2 </w:t>
            </w:r>
          </w:p>
        </w:tc>
        <w:tc>
          <w:tcPr>
            <w:tcW w:w="0" w:type="auto"/>
            <w:shd w:val="clear" w:color="auto" w:fill="D7E4BC"/>
            <w:tcMar>
              <w:top w:w="40" w:type="dxa"/>
              <w:left w:w="0" w:type="dxa"/>
              <w:bottom w:w="40" w:type="dxa"/>
              <w:right w:w="20" w:type="dxa"/>
            </w:tcMar>
            <w:vAlign w:val="bottom"/>
          </w:tcPr>
          <w:p w14:paraId="00BADCC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C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CC2" w14:textId="77777777" w:rsidR="00871BDF" w:rsidRDefault="005C5088">
            <w:pPr>
              <w:jc w:val="right"/>
              <w:textAlignment w:val="bottom"/>
            </w:pPr>
            <w:r>
              <w:rPr>
                <w:rFonts w:ascii="Times New Roman" w:eastAsia="宋体" w:hAnsi="Times New Roman"/>
                <w:color w:val="000000"/>
                <w:sz w:val="20"/>
                <w:szCs w:val="20"/>
              </w:rPr>
              <w:t>195.6 </w:t>
            </w:r>
          </w:p>
        </w:tc>
        <w:tc>
          <w:tcPr>
            <w:tcW w:w="0" w:type="auto"/>
            <w:shd w:val="clear" w:color="auto" w:fill="D7E4BC"/>
            <w:tcMar>
              <w:top w:w="40" w:type="dxa"/>
              <w:left w:w="0" w:type="dxa"/>
              <w:bottom w:w="40" w:type="dxa"/>
              <w:right w:w="20" w:type="dxa"/>
            </w:tcMar>
            <w:vAlign w:val="bottom"/>
          </w:tcPr>
          <w:p w14:paraId="00BADCC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C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CC5" w14:textId="77777777" w:rsidR="00871BDF" w:rsidRDefault="005C5088">
            <w:pPr>
              <w:jc w:val="right"/>
              <w:textAlignment w:val="bottom"/>
            </w:pPr>
            <w:r>
              <w:rPr>
                <w:rFonts w:ascii="Times New Roman" w:eastAsia="宋体" w:hAnsi="Times New Roman"/>
                <w:color w:val="000000"/>
                <w:sz w:val="20"/>
                <w:szCs w:val="20"/>
              </w:rPr>
              <w:t>11.4 </w:t>
            </w:r>
          </w:p>
        </w:tc>
        <w:tc>
          <w:tcPr>
            <w:tcW w:w="0" w:type="auto"/>
            <w:shd w:val="clear" w:color="auto" w:fill="D7E4BC"/>
            <w:tcMar>
              <w:top w:w="40" w:type="dxa"/>
              <w:left w:w="0" w:type="dxa"/>
              <w:bottom w:w="40" w:type="dxa"/>
              <w:right w:w="20" w:type="dxa"/>
            </w:tcMar>
            <w:vAlign w:val="bottom"/>
          </w:tcPr>
          <w:p w14:paraId="00BADCC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CC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CC8" w14:textId="77777777" w:rsidR="00871BDF" w:rsidRDefault="005C5088">
            <w:pPr>
              <w:jc w:val="right"/>
              <w:textAlignment w:val="bottom"/>
            </w:pPr>
            <w:r>
              <w:rPr>
                <w:rFonts w:ascii="Times New Roman" w:eastAsia="宋体" w:hAnsi="Times New Roman"/>
                <w:color w:val="000000"/>
                <w:sz w:val="20"/>
                <w:szCs w:val="20"/>
              </w:rPr>
              <w:t>9.8 </w:t>
            </w:r>
          </w:p>
        </w:tc>
        <w:tc>
          <w:tcPr>
            <w:tcW w:w="0" w:type="auto"/>
            <w:shd w:val="clear" w:color="auto" w:fill="D7E4BC"/>
            <w:tcMar>
              <w:top w:w="40" w:type="dxa"/>
              <w:left w:w="0" w:type="dxa"/>
              <w:bottom w:w="40" w:type="dxa"/>
              <w:right w:w="20" w:type="dxa"/>
            </w:tcMar>
            <w:vAlign w:val="bottom"/>
          </w:tcPr>
          <w:p w14:paraId="00BADCC9" w14:textId="77777777" w:rsidR="00871BDF" w:rsidRDefault="00871BDF">
            <w:pPr>
              <w:jc w:val="right"/>
              <w:rPr>
                <w:rFonts w:ascii="宋体"/>
              </w:rPr>
            </w:pPr>
          </w:p>
        </w:tc>
        <w:tc>
          <w:tcPr>
            <w:tcW w:w="0" w:type="auto"/>
            <w:shd w:val="clear" w:color="auto" w:fill="auto"/>
          </w:tcPr>
          <w:p w14:paraId="00BADCCA" w14:textId="77777777" w:rsidR="00871BDF" w:rsidRDefault="00871BDF">
            <w:pPr>
              <w:rPr>
                <w:rFonts w:ascii="宋体"/>
                <w:vanish/>
              </w:rPr>
            </w:pPr>
          </w:p>
        </w:tc>
        <w:tc>
          <w:tcPr>
            <w:tcW w:w="0" w:type="auto"/>
            <w:shd w:val="clear" w:color="auto" w:fill="auto"/>
          </w:tcPr>
          <w:p w14:paraId="00BADCCB" w14:textId="77777777" w:rsidR="00871BDF" w:rsidRDefault="00871BDF">
            <w:pPr>
              <w:rPr>
                <w:rFonts w:ascii="宋体"/>
                <w:vanish/>
              </w:rPr>
            </w:pPr>
          </w:p>
        </w:tc>
      </w:tr>
      <w:tr w:rsidR="00871BDF" w14:paraId="00BADCDD" w14:textId="77777777">
        <w:tc>
          <w:tcPr>
            <w:tcW w:w="0" w:type="auto"/>
            <w:gridSpan w:val="3"/>
            <w:shd w:val="clear" w:color="auto" w:fill="FFFFFF"/>
            <w:tcMar>
              <w:top w:w="40" w:type="dxa"/>
              <w:left w:w="20" w:type="dxa"/>
              <w:bottom w:w="40" w:type="dxa"/>
              <w:right w:w="20" w:type="dxa"/>
            </w:tcMar>
          </w:tcPr>
          <w:p w14:paraId="00BADCCD" w14:textId="77777777" w:rsidR="00871BDF" w:rsidRDefault="005C5088">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00BADCCE"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DCCF" w14:textId="77777777" w:rsidR="00871BDF" w:rsidRDefault="005C5088">
            <w:pPr>
              <w:jc w:val="right"/>
              <w:textAlignment w:val="bottom"/>
            </w:pPr>
            <w:r>
              <w:rPr>
                <w:rFonts w:ascii="Times New Roman" w:eastAsia="宋体" w:hAnsi="Times New Roman"/>
                <w:b/>
                <w:bCs/>
                <w:color w:val="000000"/>
                <w:sz w:val="20"/>
                <w:szCs w:val="20"/>
              </w:rPr>
              <w:t>687.2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D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D1"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DCD2"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DCD3" w14:textId="77777777" w:rsidR="00871BDF" w:rsidRDefault="005C5088">
            <w:pPr>
              <w:jc w:val="right"/>
              <w:textAlignment w:val="bottom"/>
            </w:pPr>
            <w:r>
              <w:rPr>
                <w:rFonts w:ascii="Times New Roman" w:eastAsia="宋体" w:hAnsi="Times New Roman"/>
                <w:b/>
                <w:bCs/>
                <w:color w:val="000000"/>
                <w:sz w:val="20"/>
                <w:szCs w:val="20"/>
              </w:rPr>
              <w:t>697.5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D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CD5"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CD6" w14:textId="77777777" w:rsidR="00871BDF" w:rsidRDefault="005C5088">
            <w:pPr>
              <w:jc w:val="right"/>
              <w:textAlignment w:val="bottom"/>
            </w:pPr>
            <w:r>
              <w:rPr>
                <w:rFonts w:ascii="Times New Roman" w:eastAsia="宋体" w:hAnsi="Times New Roman"/>
                <w:b/>
                <w:bCs/>
                <w:color w:val="000000"/>
                <w:sz w:val="20"/>
                <w:szCs w:val="20"/>
              </w:rPr>
              <w:t>35.7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D7"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00BADCD8"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CD9" w14:textId="77777777" w:rsidR="00871BDF" w:rsidRDefault="005C5088">
            <w:pPr>
              <w:jc w:val="right"/>
              <w:textAlignment w:val="bottom"/>
            </w:pPr>
            <w:r>
              <w:rPr>
                <w:rFonts w:ascii="Times New Roman" w:eastAsia="宋体" w:hAnsi="Times New Roman"/>
                <w:b/>
                <w:bCs/>
                <w:color w:val="000000"/>
                <w:sz w:val="20"/>
                <w:szCs w:val="20"/>
              </w:rPr>
              <w:t>35.0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CDA"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00BADCDB" w14:textId="77777777" w:rsidR="00871BDF" w:rsidRDefault="00871BDF">
            <w:pPr>
              <w:rPr>
                <w:rFonts w:ascii="宋体"/>
                <w:vanish/>
              </w:rPr>
            </w:pPr>
          </w:p>
        </w:tc>
        <w:tc>
          <w:tcPr>
            <w:tcW w:w="0" w:type="auto"/>
            <w:shd w:val="clear" w:color="auto" w:fill="auto"/>
          </w:tcPr>
          <w:p w14:paraId="00BADCDC" w14:textId="77777777" w:rsidR="00871BDF" w:rsidRDefault="00871BDF">
            <w:pPr>
              <w:rPr>
                <w:rFonts w:ascii="宋体"/>
                <w:vanish/>
              </w:rPr>
            </w:pPr>
          </w:p>
        </w:tc>
      </w:tr>
    </w:tbl>
    <w:p w14:paraId="00BADCDE" w14:textId="77777777" w:rsidR="00871BDF" w:rsidRDefault="005C5088">
      <w:pPr>
        <w:spacing w:before="120"/>
      </w:pPr>
      <w:r>
        <w:rPr>
          <w:rFonts w:ascii="Times New Roman" w:eastAsia="宋体" w:hAnsi="Times New Roman"/>
          <w:color w:val="000000"/>
          <w:sz w:val="20"/>
          <w:szCs w:val="20"/>
          <w:u w:val="single"/>
        </w:rPr>
        <w:t>Revenues</w:t>
      </w:r>
    </w:p>
    <w:p w14:paraId="00BADCDF" w14:textId="77777777" w:rsidR="00871BDF" w:rsidRDefault="005C5088">
      <w:pPr>
        <w:spacing w:before="120"/>
      </w:pPr>
      <w:r>
        <w:rPr>
          <w:rFonts w:ascii="Times New Roman" w:eastAsia="宋体" w:hAnsi="Times New Roman"/>
          <w:color w:val="000000"/>
          <w:sz w:val="20"/>
          <w:szCs w:val="20"/>
          <w:shd w:val="clear" w:color="auto" w:fill="FFFFFF"/>
        </w:rPr>
        <w:t>Channel Development total net revenues for fiscal 2020 decreased $68 million, or 3% compared to fiscal 2019, primarily due to the lapping of h</w:t>
      </w:r>
      <w:r>
        <w:rPr>
          <w:rFonts w:ascii="Times New Roman" w:eastAsia="宋体" w:hAnsi="Times New Roman"/>
          <w:color w:val="000000"/>
          <w:sz w:val="20"/>
          <w:szCs w:val="20"/>
          <w:shd w:val="clear" w:color="auto" w:fill="FFFFFF"/>
        </w:rPr>
        <w:t>igher transition activities related to the Global Coffee Alliance ($115 million) and product sales to Unilever as a result of the sale and transition of the Tazo brand ($34 million). These were partially offset by the expansion of the Global Coffee A</w:t>
      </w:r>
      <w:r>
        <w:rPr>
          <w:rFonts w:ascii="Times New Roman" w:eastAsia="宋体" w:hAnsi="Times New Roman"/>
          <w:color w:val="000000"/>
          <w:sz w:val="20"/>
          <w:szCs w:val="20"/>
        </w:rPr>
        <w:t>llianc</w:t>
      </w:r>
      <w:r>
        <w:rPr>
          <w:rFonts w:ascii="Times New Roman" w:eastAsia="宋体" w:hAnsi="Times New Roman"/>
          <w:color w:val="000000"/>
          <w:sz w:val="20"/>
          <w:szCs w:val="20"/>
        </w:rPr>
        <w:t xml:space="preserve">e ($70 million), as at-home coffee consumption grew while the Foodservice business experienced softening due to COVID-19. </w:t>
      </w:r>
    </w:p>
    <w:p w14:paraId="00BADCE0" w14:textId="77777777" w:rsidR="00871BDF" w:rsidRDefault="005C5088">
      <w:pPr>
        <w:spacing w:before="120"/>
      </w:pPr>
      <w:r>
        <w:rPr>
          <w:rFonts w:ascii="Times New Roman" w:eastAsia="宋体" w:hAnsi="Times New Roman"/>
          <w:color w:val="000000"/>
          <w:sz w:val="20"/>
          <w:szCs w:val="20"/>
          <w:u w:val="single"/>
          <w:shd w:val="clear" w:color="auto" w:fill="FFFFFF"/>
        </w:rPr>
        <w:t>Operating Margin</w:t>
      </w:r>
    </w:p>
    <w:p w14:paraId="00BADCE1" w14:textId="77777777" w:rsidR="00871BDF" w:rsidRDefault="005C5088">
      <w:pPr>
        <w:spacing w:before="120"/>
      </w:pPr>
      <w:r>
        <w:rPr>
          <w:rFonts w:ascii="Times New Roman" w:eastAsia="宋体" w:hAnsi="Times New Roman"/>
          <w:color w:val="000000"/>
          <w:sz w:val="20"/>
          <w:szCs w:val="20"/>
        </w:rPr>
        <w:t xml:space="preserve">Channel Development operating income for fiscal 2020 decreased 1% to $687 million, compared to $698 million in </w:t>
      </w:r>
      <w:r>
        <w:rPr>
          <w:rFonts w:ascii="Times New Roman" w:eastAsia="宋体" w:hAnsi="Times New Roman"/>
          <w:color w:val="000000"/>
          <w:sz w:val="20"/>
          <w:szCs w:val="20"/>
        </w:rPr>
        <w:t>fiscal 2019. Operating margin increased 70 basis points to 35.7%, primarily due to the transfer of certain single-serve products to Nestlé as part of the Global Coffee Alliance (approximately 150 basis points), strong performance from our North American Co</w:t>
      </w:r>
      <w:r>
        <w:rPr>
          <w:rFonts w:ascii="Times New Roman" w:eastAsia="宋体" w:hAnsi="Times New Roman"/>
          <w:color w:val="000000"/>
          <w:sz w:val="20"/>
          <w:szCs w:val="20"/>
        </w:rPr>
        <w:t>ffee Partnership joint venture (approximately 80 basis points) and lapping the correction of amortization expense (approximately 60 basis points) in the prior year, partially offset by certain transition items related to the Global Coffee Alliance (approxi</w:t>
      </w:r>
      <w:r>
        <w:rPr>
          <w:rFonts w:ascii="Times New Roman" w:eastAsia="宋体" w:hAnsi="Times New Roman"/>
          <w:color w:val="000000"/>
          <w:sz w:val="20"/>
          <w:szCs w:val="20"/>
        </w:rPr>
        <w:t>mately 190 basis points).</w:t>
      </w:r>
    </w:p>
    <w:p w14:paraId="00BADCE2" w14:textId="77777777" w:rsidR="00871BDF" w:rsidRDefault="005C5088">
      <w:pPr>
        <w:jc w:val="center"/>
      </w:pPr>
      <w:r>
        <w:rPr>
          <w:rFonts w:ascii="Times New Roman" w:eastAsia="宋体" w:hAnsi="Times New Roman"/>
          <w:color w:val="000000"/>
          <w:sz w:val="20"/>
          <w:szCs w:val="20"/>
        </w:rPr>
        <w:t>31</w:t>
      </w:r>
    </w:p>
    <w:p w14:paraId="00BADCE3" w14:textId="77777777" w:rsidR="00871BDF" w:rsidRDefault="005C5088">
      <w:r>
        <w:pict w14:anchorId="00BB1484">
          <v:rect id="_x0000_i1058" style="width:415.3pt;height:1.5pt" o:hralign="center" o:hrstd="t" o:hr="t" fillcolor="#a0a0a0" stroked="f"/>
        </w:pict>
      </w:r>
    </w:p>
    <w:p w14:paraId="00BADCE4" w14:textId="77777777" w:rsidR="00871BDF" w:rsidRDefault="005C5088">
      <w:hyperlink r:id="rId95" w:anchor="i54ccc64cb5384be5a4849ef1cdef4dde_7" w:history="1">
        <w:r>
          <w:rPr>
            <w:rStyle w:val="a5"/>
            <w:rFonts w:ascii="Times New Roman" w:eastAsia="宋体" w:hAnsi="Times New Roman"/>
            <w:sz w:val="20"/>
            <w:szCs w:val="20"/>
          </w:rPr>
          <w:t>Table of Contents</w:t>
        </w:r>
      </w:hyperlink>
    </w:p>
    <w:p w14:paraId="00BADCE5" w14:textId="77777777" w:rsidR="00871BDF" w:rsidRDefault="005C5088">
      <w:pPr>
        <w:spacing w:before="120"/>
      </w:pPr>
      <w:r>
        <w:rPr>
          <w:rFonts w:ascii="Times New Roman" w:eastAsia="宋体" w:hAnsi="Times New Roman"/>
          <w:b/>
          <w:bCs/>
          <w:i/>
          <w:iCs/>
          <w:color w:val="000000"/>
          <w:sz w:val="20"/>
          <w:szCs w:val="20"/>
        </w:rPr>
        <w:t>Corporate and Other</w:t>
      </w:r>
    </w:p>
    <w:tbl>
      <w:tblPr>
        <w:tblW w:w="4993" w:type="pct"/>
        <w:tblCellMar>
          <w:top w:w="15" w:type="dxa"/>
          <w:left w:w="15" w:type="dxa"/>
          <w:bottom w:w="15" w:type="dxa"/>
          <w:right w:w="15" w:type="dxa"/>
        </w:tblCellMar>
        <w:tblLook w:val="04A0" w:firstRow="1" w:lastRow="0" w:firstColumn="1" w:lastColumn="0" w:noHBand="0" w:noVBand="1"/>
      </w:tblPr>
      <w:tblGrid>
        <w:gridCol w:w="41"/>
        <w:gridCol w:w="3976"/>
        <w:gridCol w:w="40"/>
        <w:gridCol w:w="120"/>
        <w:gridCol w:w="1200"/>
        <w:gridCol w:w="36"/>
        <w:gridCol w:w="36"/>
        <w:gridCol w:w="36"/>
        <w:gridCol w:w="36"/>
        <w:gridCol w:w="120"/>
        <w:gridCol w:w="1147"/>
        <w:gridCol w:w="36"/>
        <w:gridCol w:w="36"/>
        <w:gridCol w:w="36"/>
        <w:gridCol w:w="36"/>
        <w:gridCol w:w="37"/>
        <w:gridCol w:w="1135"/>
        <w:gridCol w:w="220"/>
      </w:tblGrid>
      <w:tr w:rsidR="00871BDF" w14:paraId="00BADCF8" w14:textId="77777777">
        <w:tc>
          <w:tcPr>
            <w:tcW w:w="50" w:type="pct"/>
            <w:shd w:val="clear" w:color="auto" w:fill="auto"/>
          </w:tcPr>
          <w:p w14:paraId="00BADCE6" w14:textId="77777777" w:rsidR="00871BDF" w:rsidRDefault="00871BDF">
            <w:pPr>
              <w:rPr>
                <w:rFonts w:ascii="宋体"/>
              </w:rPr>
            </w:pPr>
          </w:p>
        </w:tc>
        <w:tc>
          <w:tcPr>
            <w:tcW w:w="2434" w:type="pct"/>
            <w:shd w:val="clear" w:color="auto" w:fill="auto"/>
          </w:tcPr>
          <w:p w14:paraId="00BADCE7" w14:textId="77777777" w:rsidR="00871BDF" w:rsidRDefault="00871BDF">
            <w:pPr>
              <w:rPr>
                <w:rFonts w:ascii="宋体"/>
              </w:rPr>
            </w:pPr>
          </w:p>
        </w:tc>
        <w:tc>
          <w:tcPr>
            <w:tcW w:w="5" w:type="pct"/>
            <w:shd w:val="clear" w:color="auto" w:fill="auto"/>
          </w:tcPr>
          <w:p w14:paraId="00BADCE8" w14:textId="77777777" w:rsidR="00871BDF" w:rsidRDefault="00871BDF">
            <w:pPr>
              <w:rPr>
                <w:rFonts w:ascii="宋体"/>
              </w:rPr>
            </w:pPr>
          </w:p>
        </w:tc>
        <w:tc>
          <w:tcPr>
            <w:tcW w:w="50" w:type="pct"/>
            <w:shd w:val="clear" w:color="auto" w:fill="auto"/>
          </w:tcPr>
          <w:p w14:paraId="00BADCE9" w14:textId="77777777" w:rsidR="00871BDF" w:rsidRDefault="00871BDF">
            <w:pPr>
              <w:rPr>
                <w:rFonts w:ascii="宋体"/>
              </w:rPr>
            </w:pPr>
          </w:p>
        </w:tc>
        <w:tc>
          <w:tcPr>
            <w:tcW w:w="757" w:type="pct"/>
            <w:shd w:val="clear" w:color="auto" w:fill="auto"/>
          </w:tcPr>
          <w:p w14:paraId="00BADCEA" w14:textId="77777777" w:rsidR="00871BDF" w:rsidRDefault="00871BDF">
            <w:pPr>
              <w:rPr>
                <w:rFonts w:ascii="宋体"/>
              </w:rPr>
            </w:pPr>
          </w:p>
        </w:tc>
        <w:tc>
          <w:tcPr>
            <w:tcW w:w="5" w:type="pct"/>
            <w:shd w:val="clear" w:color="auto" w:fill="auto"/>
          </w:tcPr>
          <w:p w14:paraId="00BADCEB" w14:textId="77777777" w:rsidR="00871BDF" w:rsidRDefault="00871BDF">
            <w:pPr>
              <w:rPr>
                <w:rFonts w:ascii="宋体"/>
              </w:rPr>
            </w:pPr>
          </w:p>
        </w:tc>
        <w:tc>
          <w:tcPr>
            <w:tcW w:w="5" w:type="pct"/>
            <w:shd w:val="clear" w:color="auto" w:fill="auto"/>
          </w:tcPr>
          <w:p w14:paraId="00BADCEC" w14:textId="77777777" w:rsidR="00871BDF" w:rsidRDefault="00871BDF">
            <w:pPr>
              <w:rPr>
                <w:rFonts w:ascii="宋体"/>
              </w:rPr>
            </w:pPr>
          </w:p>
        </w:tc>
        <w:tc>
          <w:tcPr>
            <w:tcW w:w="26" w:type="pct"/>
            <w:shd w:val="clear" w:color="auto" w:fill="auto"/>
          </w:tcPr>
          <w:p w14:paraId="00BADCED" w14:textId="77777777" w:rsidR="00871BDF" w:rsidRDefault="00871BDF">
            <w:pPr>
              <w:rPr>
                <w:rFonts w:ascii="宋体"/>
              </w:rPr>
            </w:pPr>
          </w:p>
        </w:tc>
        <w:tc>
          <w:tcPr>
            <w:tcW w:w="5" w:type="pct"/>
            <w:shd w:val="clear" w:color="auto" w:fill="auto"/>
          </w:tcPr>
          <w:p w14:paraId="00BADCEE" w14:textId="77777777" w:rsidR="00871BDF" w:rsidRDefault="00871BDF">
            <w:pPr>
              <w:rPr>
                <w:rFonts w:ascii="宋体"/>
              </w:rPr>
            </w:pPr>
          </w:p>
        </w:tc>
        <w:tc>
          <w:tcPr>
            <w:tcW w:w="50" w:type="pct"/>
            <w:shd w:val="clear" w:color="auto" w:fill="auto"/>
          </w:tcPr>
          <w:p w14:paraId="00BADCEF" w14:textId="77777777" w:rsidR="00871BDF" w:rsidRDefault="00871BDF">
            <w:pPr>
              <w:rPr>
                <w:rFonts w:ascii="宋体"/>
              </w:rPr>
            </w:pPr>
          </w:p>
        </w:tc>
        <w:tc>
          <w:tcPr>
            <w:tcW w:w="757" w:type="pct"/>
            <w:shd w:val="clear" w:color="auto" w:fill="auto"/>
          </w:tcPr>
          <w:p w14:paraId="00BADCF0" w14:textId="77777777" w:rsidR="00871BDF" w:rsidRDefault="00871BDF">
            <w:pPr>
              <w:rPr>
                <w:rFonts w:ascii="宋体"/>
              </w:rPr>
            </w:pPr>
          </w:p>
        </w:tc>
        <w:tc>
          <w:tcPr>
            <w:tcW w:w="5" w:type="pct"/>
            <w:shd w:val="clear" w:color="auto" w:fill="auto"/>
          </w:tcPr>
          <w:p w14:paraId="00BADCF1" w14:textId="77777777" w:rsidR="00871BDF" w:rsidRDefault="00871BDF">
            <w:pPr>
              <w:rPr>
                <w:rFonts w:ascii="宋体"/>
              </w:rPr>
            </w:pPr>
          </w:p>
        </w:tc>
        <w:tc>
          <w:tcPr>
            <w:tcW w:w="5" w:type="pct"/>
            <w:shd w:val="clear" w:color="auto" w:fill="auto"/>
          </w:tcPr>
          <w:p w14:paraId="00BADCF2" w14:textId="77777777" w:rsidR="00871BDF" w:rsidRDefault="00871BDF">
            <w:pPr>
              <w:rPr>
                <w:rFonts w:ascii="宋体"/>
              </w:rPr>
            </w:pPr>
          </w:p>
        </w:tc>
        <w:tc>
          <w:tcPr>
            <w:tcW w:w="26" w:type="pct"/>
            <w:shd w:val="clear" w:color="auto" w:fill="auto"/>
          </w:tcPr>
          <w:p w14:paraId="00BADCF3" w14:textId="77777777" w:rsidR="00871BDF" w:rsidRDefault="00871BDF">
            <w:pPr>
              <w:rPr>
                <w:rFonts w:ascii="宋体"/>
              </w:rPr>
            </w:pPr>
          </w:p>
        </w:tc>
        <w:tc>
          <w:tcPr>
            <w:tcW w:w="5" w:type="pct"/>
            <w:shd w:val="clear" w:color="auto" w:fill="auto"/>
          </w:tcPr>
          <w:p w14:paraId="00BADCF4" w14:textId="77777777" w:rsidR="00871BDF" w:rsidRDefault="00871BDF">
            <w:pPr>
              <w:rPr>
                <w:rFonts w:ascii="宋体"/>
              </w:rPr>
            </w:pPr>
          </w:p>
        </w:tc>
        <w:tc>
          <w:tcPr>
            <w:tcW w:w="50" w:type="pct"/>
            <w:shd w:val="clear" w:color="auto" w:fill="auto"/>
          </w:tcPr>
          <w:p w14:paraId="00BADCF5" w14:textId="77777777" w:rsidR="00871BDF" w:rsidRDefault="00871BDF">
            <w:pPr>
              <w:rPr>
                <w:rFonts w:ascii="宋体"/>
              </w:rPr>
            </w:pPr>
          </w:p>
        </w:tc>
        <w:tc>
          <w:tcPr>
            <w:tcW w:w="757" w:type="pct"/>
            <w:shd w:val="clear" w:color="auto" w:fill="auto"/>
          </w:tcPr>
          <w:p w14:paraId="00BADCF6" w14:textId="77777777" w:rsidR="00871BDF" w:rsidRDefault="00871BDF">
            <w:pPr>
              <w:rPr>
                <w:rFonts w:ascii="宋体"/>
              </w:rPr>
            </w:pPr>
          </w:p>
        </w:tc>
        <w:tc>
          <w:tcPr>
            <w:tcW w:w="5" w:type="pct"/>
            <w:shd w:val="clear" w:color="auto" w:fill="auto"/>
          </w:tcPr>
          <w:p w14:paraId="00BADCF7" w14:textId="77777777" w:rsidR="00871BDF" w:rsidRDefault="00871BDF">
            <w:pPr>
              <w:rPr>
                <w:rFonts w:ascii="宋体"/>
              </w:rPr>
            </w:pPr>
          </w:p>
        </w:tc>
      </w:tr>
      <w:tr w:rsidR="00871BDF" w14:paraId="00BADCFF" w14:textId="77777777">
        <w:tc>
          <w:tcPr>
            <w:tcW w:w="0" w:type="auto"/>
            <w:gridSpan w:val="3"/>
            <w:shd w:val="clear" w:color="auto" w:fill="auto"/>
            <w:tcMar>
              <w:top w:w="40" w:type="dxa"/>
              <w:left w:w="20" w:type="dxa"/>
              <w:bottom w:w="40" w:type="dxa"/>
              <w:right w:w="20" w:type="dxa"/>
            </w:tcMar>
            <w:vAlign w:val="bottom"/>
          </w:tcPr>
          <w:p w14:paraId="00BADCF9" w14:textId="77777777" w:rsidR="00871BDF" w:rsidRDefault="005C5088">
            <w:pPr>
              <w:textAlignment w:val="bottom"/>
            </w:pPr>
            <w:r>
              <w:rPr>
                <w:rFonts w:ascii="Times New Roman" w:eastAsia="宋体" w:hAnsi="Times New Roman"/>
                <w:b/>
                <w:bCs/>
                <w:color w:val="000000"/>
                <w:sz w:val="16"/>
                <w:szCs w:val="16"/>
                <w:u w:val="single"/>
              </w:rPr>
              <w:t xml:space="preserve">Fiscal Year </w:t>
            </w:r>
            <w:r>
              <w:rPr>
                <w:rFonts w:ascii="Times New Roman" w:eastAsia="宋体" w:hAnsi="Times New Roman"/>
                <w:b/>
                <w:bCs/>
                <w:color w:val="000000"/>
                <w:sz w:val="16"/>
                <w:szCs w:val="16"/>
                <w:u w:val="single"/>
              </w:rPr>
              <w:t>Ended</w:t>
            </w:r>
          </w:p>
        </w:tc>
        <w:tc>
          <w:tcPr>
            <w:tcW w:w="0" w:type="auto"/>
            <w:gridSpan w:val="3"/>
            <w:shd w:val="clear" w:color="auto" w:fill="00704A"/>
            <w:tcMar>
              <w:top w:w="40" w:type="dxa"/>
              <w:left w:w="20" w:type="dxa"/>
              <w:bottom w:w="40" w:type="dxa"/>
              <w:right w:w="20" w:type="dxa"/>
            </w:tcMar>
            <w:vAlign w:val="bottom"/>
          </w:tcPr>
          <w:p w14:paraId="00BADCFA"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DCFB"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CFC"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DCFD"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CFE" w14:textId="77777777" w:rsidR="00871BDF" w:rsidRDefault="005C5088">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r>
      <w:tr w:rsidR="00871BDF" w14:paraId="00BADD06" w14:textId="77777777">
        <w:tc>
          <w:tcPr>
            <w:tcW w:w="0" w:type="auto"/>
            <w:gridSpan w:val="3"/>
            <w:shd w:val="clear" w:color="auto" w:fill="D7E4BC"/>
            <w:tcMar>
              <w:top w:w="40" w:type="dxa"/>
              <w:left w:w="20" w:type="dxa"/>
              <w:bottom w:w="40" w:type="dxa"/>
              <w:right w:w="20" w:type="dxa"/>
            </w:tcMar>
          </w:tcPr>
          <w:p w14:paraId="00BADD00" w14:textId="77777777" w:rsidR="00871BDF" w:rsidRDefault="005C5088">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tcPr>
          <w:p w14:paraId="00BADD0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D0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D0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D0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D05" w14:textId="77777777" w:rsidR="00871BDF" w:rsidRDefault="00871BDF">
            <w:pPr>
              <w:rPr>
                <w:rFonts w:ascii="宋体"/>
              </w:rPr>
            </w:pPr>
          </w:p>
        </w:tc>
      </w:tr>
      <w:tr w:rsidR="00871BDF" w14:paraId="00BADD0D" w14:textId="77777777">
        <w:trPr>
          <w:hidden/>
        </w:trPr>
        <w:tc>
          <w:tcPr>
            <w:tcW w:w="0" w:type="auto"/>
            <w:gridSpan w:val="3"/>
            <w:shd w:val="clear" w:color="auto" w:fill="auto"/>
          </w:tcPr>
          <w:p w14:paraId="00BADD07" w14:textId="77777777" w:rsidR="00871BDF" w:rsidRDefault="00871BDF">
            <w:pPr>
              <w:rPr>
                <w:rFonts w:ascii="宋体"/>
                <w:vanish/>
              </w:rPr>
            </w:pPr>
          </w:p>
        </w:tc>
        <w:tc>
          <w:tcPr>
            <w:tcW w:w="0" w:type="auto"/>
            <w:gridSpan w:val="3"/>
            <w:shd w:val="clear" w:color="auto" w:fill="auto"/>
          </w:tcPr>
          <w:p w14:paraId="00BADD08" w14:textId="77777777" w:rsidR="00871BDF" w:rsidRDefault="00871BDF">
            <w:pPr>
              <w:rPr>
                <w:rFonts w:ascii="宋体"/>
                <w:vanish/>
              </w:rPr>
            </w:pPr>
          </w:p>
        </w:tc>
        <w:tc>
          <w:tcPr>
            <w:tcW w:w="0" w:type="auto"/>
            <w:gridSpan w:val="3"/>
            <w:shd w:val="clear" w:color="auto" w:fill="auto"/>
          </w:tcPr>
          <w:p w14:paraId="00BADD09" w14:textId="77777777" w:rsidR="00871BDF" w:rsidRDefault="00871BDF">
            <w:pPr>
              <w:rPr>
                <w:rFonts w:ascii="宋体"/>
                <w:vanish/>
              </w:rPr>
            </w:pPr>
          </w:p>
        </w:tc>
        <w:tc>
          <w:tcPr>
            <w:tcW w:w="0" w:type="auto"/>
            <w:gridSpan w:val="3"/>
            <w:shd w:val="clear" w:color="auto" w:fill="auto"/>
          </w:tcPr>
          <w:p w14:paraId="00BADD0A" w14:textId="77777777" w:rsidR="00871BDF" w:rsidRDefault="00871BDF">
            <w:pPr>
              <w:rPr>
                <w:rFonts w:ascii="宋体"/>
                <w:vanish/>
              </w:rPr>
            </w:pPr>
          </w:p>
        </w:tc>
        <w:tc>
          <w:tcPr>
            <w:tcW w:w="0" w:type="auto"/>
            <w:gridSpan w:val="3"/>
            <w:shd w:val="clear" w:color="auto" w:fill="auto"/>
          </w:tcPr>
          <w:p w14:paraId="00BADD0B" w14:textId="77777777" w:rsidR="00871BDF" w:rsidRDefault="00871BDF">
            <w:pPr>
              <w:rPr>
                <w:rFonts w:ascii="宋体"/>
                <w:vanish/>
              </w:rPr>
            </w:pPr>
          </w:p>
        </w:tc>
        <w:tc>
          <w:tcPr>
            <w:tcW w:w="0" w:type="auto"/>
            <w:gridSpan w:val="3"/>
            <w:shd w:val="clear" w:color="auto" w:fill="auto"/>
          </w:tcPr>
          <w:p w14:paraId="00BADD0C" w14:textId="77777777" w:rsidR="00871BDF" w:rsidRDefault="00871BDF">
            <w:pPr>
              <w:rPr>
                <w:rFonts w:ascii="宋体"/>
                <w:vanish/>
              </w:rPr>
            </w:pPr>
          </w:p>
        </w:tc>
      </w:tr>
      <w:tr w:rsidR="00871BDF" w14:paraId="00BADD14" w14:textId="77777777">
        <w:trPr>
          <w:hidden/>
        </w:trPr>
        <w:tc>
          <w:tcPr>
            <w:tcW w:w="0" w:type="auto"/>
            <w:gridSpan w:val="3"/>
            <w:shd w:val="clear" w:color="auto" w:fill="auto"/>
          </w:tcPr>
          <w:p w14:paraId="00BADD0E" w14:textId="77777777" w:rsidR="00871BDF" w:rsidRDefault="00871BDF">
            <w:pPr>
              <w:rPr>
                <w:rFonts w:ascii="宋体"/>
                <w:vanish/>
              </w:rPr>
            </w:pPr>
          </w:p>
        </w:tc>
        <w:tc>
          <w:tcPr>
            <w:tcW w:w="0" w:type="auto"/>
            <w:gridSpan w:val="3"/>
            <w:shd w:val="clear" w:color="auto" w:fill="auto"/>
          </w:tcPr>
          <w:p w14:paraId="00BADD0F" w14:textId="77777777" w:rsidR="00871BDF" w:rsidRDefault="00871BDF">
            <w:pPr>
              <w:rPr>
                <w:rFonts w:ascii="宋体"/>
                <w:vanish/>
              </w:rPr>
            </w:pPr>
          </w:p>
        </w:tc>
        <w:tc>
          <w:tcPr>
            <w:tcW w:w="0" w:type="auto"/>
            <w:gridSpan w:val="3"/>
            <w:shd w:val="clear" w:color="auto" w:fill="auto"/>
          </w:tcPr>
          <w:p w14:paraId="00BADD10" w14:textId="77777777" w:rsidR="00871BDF" w:rsidRDefault="00871BDF">
            <w:pPr>
              <w:rPr>
                <w:rFonts w:ascii="宋体"/>
                <w:vanish/>
              </w:rPr>
            </w:pPr>
          </w:p>
        </w:tc>
        <w:tc>
          <w:tcPr>
            <w:tcW w:w="0" w:type="auto"/>
            <w:gridSpan w:val="3"/>
            <w:shd w:val="clear" w:color="auto" w:fill="auto"/>
          </w:tcPr>
          <w:p w14:paraId="00BADD11" w14:textId="77777777" w:rsidR="00871BDF" w:rsidRDefault="00871BDF">
            <w:pPr>
              <w:rPr>
                <w:rFonts w:ascii="宋体"/>
                <w:vanish/>
              </w:rPr>
            </w:pPr>
          </w:p>
        </w:tc>
        <w:tc>
          <w:tcPr>
            <w:tcW w:w="0" w:type="auto"/>
            <w:gridSpan w:val="3"/>
            <w:shd w:val="clear" w:color="auto" w:fill="auto"/>
          </w:tcPr>
          <w:p w14:paraId="00BADD12" w14:textId="77777777" w:rsidR="00871BDF" w:rsidRDefault="00871BDF">
            <w:pPr>
              <w:rPr>
                <w:rFonts w:ascii="宋体"/>
                <w:vanish/>
              </w:rPr>
            </w:pPr>
          </w:p>
        </w:tc>
        <w:tc>
          <w:tcPr>
            <w:tcW w:w="0" w:type="auto"/>
            <w:gridSpan w:val="3"/>
            <w:shd w:val="clear" w:color="auto" w:fill="auto"/>
          </w:tcPr>
          <w:p w14:paraId="00BADD13" w14:textId="77777777" w:rsidR="00871BDF" w:rsidRDefault="00871BDF">
            <w:pPr>
              <w:rPr>
                <w:rFonts w:ascii="宋体"/>
                <w:vanish/>
              </w:rPr>
            </w:pPr>
          </w:p>
        </w:tc>
      </w:tr>
      <w:tr w:rsidR="00871BDF" w14:paraId="00BADD20" w14:textId="77777777">
        <w:tc>
          <w:tcPr>
            <w:tcW w:w="0" w:type="auto"/>
            <w:gridSpan w:val="3"/>
            <w:shd w:val="clear" w:color="auto" w:fill="FFFFFF"/>
            <w:tcMar>
              <w:top w:w="40" w:type="dxa"/>
              <w:left w:w="155" w:type="dxa"/>
              <w:bottom w:w="40" w:type="dxa"/>
              <w:right w:w="20" w:type="dxa"/>
            </w:tcMar>
          </w:tcPr>
          <w:p w14:paraId="00BADD15" w14:textId="77777777" w:rsidR="00871BDF" w:rsidRDefault="005C5088">
            <w:pPr>
              <w:textAlignment w:val="top"/>
            </w:pPr>
            <w:r>
              <w:rPr>
                <w:rFonts w:ascii="Times New Roman" w:eastAsia="宋体" w:hAnsi="Times New Roman"/>
                <w:color w:val="000000"/>
                <w:sz w:val="20"/>
                <w:szCs w:val="20"/>
              </w:rPr>
              <w:t xml:space="preserve">Other </w:t>
            </w:r>
          </w:p>
        </w:tc>
        <w:tc>
          <w:tcPr>
            <w:tcW w:w="0" w:type="auto"/>
            <w:shd w:val="clear" w:color="auto" w:fill="FFFFFF"/>
            <w:tcMar>
              <w:top w:w="40" w:type="dxa"/>
              <w:left w:w="20" w:type="dxa"/>
              <w:bottom w:w="40" w:type="dxa"/>
              <w:right w:w="0" w:type="dxa"/>
            </w:tcMar>
            <w:vAlign w:val="bottom"/>
          </w:tcPr>
          <w:p w14:paraId="00BADD16"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D17" w14:textId="77777777" w:rsidR="00871BDF" w:rsidRDefault="005C5088">
            <w:pPr>
              <w:jc w:val="right"/>
              <w:textAlignment w:val="bottom"/>
            </w:pPr>
            <w:r>
              <w:rPr>
                <w:rFonts w:ascii="Times New Roman" w:eastAsia="宋体" w:hAnsi="Times New Roman"/>
                <w:color w:val="000000"/>
                <w:sz w:val="20"/>
                <w:szCs w:val="20"/>
              </w:rPr>
              <w:t>66.2 </w:t>
            </w:r>
          </w:p>
        </w:tc>
        <w:tc>
          <w:tcPr>
            <w:tcW w:w="0" w:type="auto"/>
            <w:shd w:val="clear" w:color="auto" w:fill="FFFFFF"/>
            <w:tcMar>
              <w:top w:w="40" w:type="dxa"/>
              <w:left w:w="0" w:type="dxa"/>
              <w:bottom w:w="40" w:type="dxa"/>
              <w:right w:w="20" w:type="dxa"/>
            </w:tcMar>
            <w:vAlign w:val="bottom"/>
          </w:tcPr>
          <w:p w14:paraId="00BADD1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19"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DD1A"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D1B" w14:textId="77777777" w:rsidR="00871BDF" w:rsidRDefault="005C5088">
            <w:pPr>
              <w:jc w:val="right"/>
              <w:textAlignment w:val="bottom"/>
            </w:pPr>
            <w:r>
              <w:rPr>
                <w:rFonts w:ascii="Times New Roman" w:eastAsia="宋体" w:hAnsi="Times New Roman"/>
                <w:color w:val="000000"/>
                <w:sz w:val="20"/>
                <w:szCs w:val="20"/>
              </w:rPr>
              <w:t>66.3 </w:t>
            </w:r>
          </w:p>
        </w:tc>
        <w:tc>
          <w:tcPr>
            <w:tcW w:w="0" w:type="auto"/>
            <w:shd w:val="clear" w:color="auto" w:fill="FFFFFF"/>
            <w:tcMar>
              <w:top w:w="40" w:type="dxa"/>
              <w:left w:w="0" w:type="dxa"/>
              <w:bottom w:w="40" w:type="dxa"/>
              <w:right w:w="20" w:type="dxa"/>
            </w:tcMar>
            <w:vAlign w:val="bottom"/>
          </w:tcPr>
          <w:p w14:paraId="00BADD1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1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D1E" w14:textId="77777777" w:rsidR="00871BDF" w:rsidRDefault="005C5088">
            <w:pPr>
              <w:jc w:val="right"/>
              <w:textAlignment w:val="bottom"/>
            </w:pPr>
            <w:r>
              <w:rPr>
                <w:rFonts w:ascii="Times New Roman" w:eastAsia="宋体" w:hAnsi="Times New Roman"/>
                <w:color w:val="000000"/>
                <w:sz w:val="20"/>
                <w:szCs w:val="20"/>
              </w:rPr>
              <w:t>(0.2)</w:t>
            </w:r>
          </w:p>
        </w:tc>
        <w:tc>
          <w:tcPr>
            <w:tcW w:w="0" w:type="auto"/>
            <w:shd w:val="clear" w:color="auto" w:fill="FFFFFF"/>
            <w:tcMar>
              <w:top w:w="40" w:type="dxa"/>
              <w:left w:w="0" w:type="dxa"/>
              <w:bottom w:w="40" w:type="dxa"/>
              <w:right w:w="20" w:type="dxa"/>
            </w:tcMar>
            <w:vAlign w:val="bottom"/>
          </w:tcPr>
          <w:p w14:paraId="00BADD1F"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DD2A" w14:textId="77777777">
        <w:tc>
          <w:tcPr>
            <w:tcW w:w="0" w:type="auto"/>
            <w:gridSpan w:val="3"/>
            <w:shd w:val="clear" w:color="auto" w:fill="D7E4BC"/>
            <w:tcMar>
              <w:top w:w="40" w:type="dxa"/>
              <w:left w:w="20" w:type="dxa"/>
              <w:bottom w:w="40" w:type="dxa"/>
              <w:right w:w="20" w:type="dxa"/>
            </w:tcMar>
          </w:tcPr>
          <w:p w14:paraId="00BADD21" w14:textId="77777777" w:rsidR="00871BDF" w:rsidRDefault="005C5088">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D22" w14:textId="77777777" w:rsidR="00871BDF" w:rsidRDefault="005C5088">
            <w:pPr>
              <w:jc w:val="right"/>
              <w:textAlignment w:val="bottom"/>
            </w:pPr>
            <w:r>
              <w:rPr>
                <w:rFonts w:ascii="Times New Roman" w:eastAsia="宋体" w:hAnsi="Times New Roman"/>
                <w:b/>
                <w:bCs/>
                <w:color w:val="000000"/>
                <w:sz w:val="20"/>
                <w:szCs w:val="20"/>
              </w:rPr>
              <w:t>66.2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D2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24"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D25" w14:textId="77777777" w:rsidR="00871BDF" w:rsidRDefault="005C5088">
            <w:pPr>
              <w:jc w:val="right"/>
              <w:textAlignment w:val="bottom"/>
            </w:pPr>
            <w:r>
              <w:rPr>
                <w:rFonts w:ascii="Times New Roman" w:eastAsia="宋体" w:hAnsi="Times New Roman"/>
                <w:b/>
                <w:bCs/>
                <w:color w:val="000000"/>
                <w:sz w:val="20"/>
                <w:szCs w:val="20"/>
              </w:rPr>
              <w:t>66.3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D2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27"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D28" w14:textId="77777777" w:rsidR="00871BDF" w:rsidRDefault="005C5088">
            <w:pPr>
              <w:jc w:val="right"/>
              <w:textAlignment w:val="bottom"/>
            </w:pPr>
            <w:r>
              <w:rPr>
                <w:rFonts w:ascii="Times New Roman" w:eastAsia="宋体" w:hAnsi="Times New Roman"/>
                <w:b/>
                <w:bCs/>
                <w:color w:val="000000"/>
                <w:sz w:val="20"/>
                <w:szCs w:val="20"/>
              </w:rPr>
              <w:t>(0.2)</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D29" w14:textId="77777777" w:rsidR="00871BDF" w:rsidRDefault="00871BDF">
            <w:pPr>
              <w:jc w:val="right"/>
              <w:rPr>
                <w:rFonts w:ascii="宋体"/>
              </w:rPr>
            </w:pPr>
          </w:p>
        </w:tc>
      </w:tr>
      <w:tr w:rsidR="00871BDF" w14:paraId="00BADD34" w14:textId="77777777">
        <w:tc>
          <w:tcPr>
            <w:tcW w:w="0" w:type="auto"/>
            <w:gridSpan w:val="3"/>
            <w:shd w:val="clear" w:color="auto" w:fill="FFFFFF"/>
            <w:tcMar>
              <w:top w:w="40" w:type="dxa"/>
              <w:left w:w="20" w:type="dxa"/>
              <w:bottom w:w="40" w:type="dxa"/>
              <w:right w:w="20" w:type="dxa"/>
            </w:tcMar>
          </w:tcPr>
          <w:p w14:paraId="00BADD2B" w14:textId="77777777" w:rsidR="00871BDF" w:rsidRDefault="005C5088">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00BADD2C" w14:textId="77777777" w:rsidR="00871BDF" w:rsidRDefault="005C5088">
            <w:pPr>
              <w:jc w:val="right"/>
              <w:textAlignment w:val="bottom"/>
            </w:pPr>
            <w:r>
              <w:rPr>
                <w:rFonts w:ascii="Times New Roman" w:eastAsia="宋体" w:hAnsi="Times New Roman"/>
                <w:color w:val="000000"/>
                <w:sz w:val="20"/>
                <w:szCs w:val="20"/>
              </w:rPr>
              <w:t>63.3 </w:t>
            </w:r>
          </w:p>
        </w:tc>
        <w:tc>
          <w:tcPr>
            <w:tcW w:w="0" w:type="auto"/>
            <w:shd w:val="clear" w:color="auto" w:fill="FFFFFF"/>
            <w:tcMar>
              <w:top w:w="40" w:type="dxa"/>
              <w:left w:w="0" w:type="dxa"/>
              <w:bottom w:w="40" w:type="dxa"/>
              <w:right w:w="20" w:type="dxa"/>
            </w:tcMar>
            <w:vAlign w:val="bottom"/>
          </w:tcPr>
          <w:p w14:paraId="00BADD2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2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D2F" w14:textId="77777777" w:rsidR="00871BDF" w:rsidRDefault="005C5088">
            <w:pPr>
              <w:jc w:val="right"/>
              <w:textAlignment w:val="bottom"/>
            </w:pPr>
            <w:r>
              <w:rPr>
                <w:rFonts w:ascii="Times New Roman" w:eastAsia="宋体" w:hAnsi="Times New Roman"/>
                <w:color w:val="000000"/>
                <w:sz w:val="20"/>
                <w:szCs w:val="20"/>
              </w:rPr>
              <w:t>67.3 </w:t>
            </w:r>
          </w:p>
        </w:tc>
        <w:tc>
          <w:tcPr>
            <w:tcW w:w="0" w:type="auto"/>
            <w:shd w:val="clear" w:color="auto" w:fill="FFFFFF"/>
            <w:tcMar>
              <w:top w:w="40" w:type="dxa"/>
              <w:left w:w="0" w:type="dxa"/>
              <w:bottom w:w="40" w:type="dxa"/>
              <w:right w:w="20" w:type="dxa"/>
            </w:tcMar>
            <w:vAlign w:val="bottom"/>
          </w:tcPr>
          <w:p w14:paraId="00BADD3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3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D32" w14:textId="77777777" w:rsidR="00871BDF" w:rsidRDefault="005C5088">
            <w:pPr>
              <w:jc w:val="right"/>
              <w:textAlignment w:val="bottom"/>
            </w:pPr>
            <w:r>
              <w:rPr>
                <w:rFonts w:ascii="Times New Roman" w:eastAsia="宋体" w:hAnsi="Times New Roman"/>
                <w:color w:val="000000"/>
                <w:sz w:val="20"/>
                <w:szCs w:val="20"/>
              </w:rPr>
              <w:t>(5.9)</w:t>
            </w:r>
          </w:p>
        </w:tc>
        <w:tc>
          <w:tcPr>
            <w:tcW w:w="0" w:type="auto"/>
            <w:shd w:val="clear" w:color="auto" w:fill="FFFFFF"/>
            <w:tcMar>
              <w:top w:w="40" w:type="dxa"/>
              <w:left w:w="0" w:type="dxa"/>
              <w:bottom w:w="40" w:type="dxa"/>
              <w:right w:w="20" w:type="dxa"/>
            </w:tcMar>
            <w:vAlign w:val="bottom"/>
          </w:tcPr>
          <w:p w14:paraId="00BADD33" w14:textId="77777777" w:rsidR="00871BDF" w:rsidRDefault="00871BDF">
            <w:pPr>
              <w:jc w:val="right"/>
              <w:rPr>
                <w:rFonts w:ascii="宋体"/>
              </w:rPr>
            </w:pPr>
          </w:p>
        </w:tc>
      </w:tr>
      <w:tr w:rsidR="00871BDF" w14:paraId="00BADD3D" w14:textId="77777777">
        <w:tc>
          <w:tcPr>
            <w:tcW w:w="0" w:type="auto"/>
            <w:gridSpan w:val="3"/>
            <w:shd w:val="clear" w:color="auto" w:fill="D7E4BC"/>
            <w:tcMar>
              <w:top w:w="40" w:type="dxa"/>
              <w:left w:w="20" w:type="dxa"/>
              <w:bottom w:w="40" w:type="dxa"/>
              <w:right w:w="20" w:type="dxa"/>
            </w:tcMar>
          </w:tcPr>
          <w:p w14:paraId="00BADD35" w14:textId="77777777" w:rsidR="00871BDF" w:rsidRDefault="005C5088">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00BADD36"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DD3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3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D39" w14:textId="77777777" w:rsidR="00871BDF" w:rsidRDefault="005C5088">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00BADD3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3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DD3C" w14:textId="77777777" w:rsidR="00871BDF" w:rsidRDefault="005C5088">
            <w:pPr>
              <w:jc w:val="right"/>
              <w:textAlignment w:val="bottom"/>
            </w:pPr>
            <w:r>
              <w:rPr>
                <w:rFonts w:ascii="Times New Roman" w:eastAsia="宋体" w:hAnsi="Times New Roman"/>
                <w:color w:val="000000"/>
                <w:sz w:val="20"/>
                <w:szCs w:val="20"/>
              </w:rPr>
              <w:t>nm</w:t>
            </w:r>
          </w:p>
        </w:tc>
      </w:tr>
      <w:tr w:rsidR="00871BDF" w14:paraId="00BADD47" w14:textId="77777777">
        <w:tc>
          <w:tcPr>
            <w:tcW w:w="0" w:type="auto"/>
            <w:gridSpan w:val="3"/>
            <w:shd w:val="clear" w:color="auto" w:fill="FFFFFF"/>
            <w:tcMar>
              <w:top w:w="40" w:type="dxa"/>
              <w:left w:w="20" w:type="dxa"/>
              <w:bottom w:w="40" w:type="dxa"/>
              <w:right w:w="20" w:type="dxa"/>
            </w:tcMar>
          </w:tcPr>
          <w:p w14:paraId="00BADD3E" w14:textId="77777777" w:rsidR="00871BDF" w:rsidRDefault="005C5088">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00BADD3F" w14:textId="77777777" w:rsidR="00871BDF" w:rsidRDefault="005C5088">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00BADD4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4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D42" w14:textId="77777777" w:rsidR="00871BDF" w:rsidRDefault="005C5088">
            <w:pPr>
              <w:jc w:val="right"/>
              <w:textAlignment w:val="bottom"/>
            </w:pPr>
            <w:r>
              <w:rPr>
                <w:rFonts w:ascii="Times New Roman" w:eastAsia="宋体" w:hAnsi="Times New Roman"/>
                <w:color w:val="000000"/>
                <w:sz w:val="20"/>
                <w:szCs w:val="20"/>
              </w:rPr>
              <w:t>18.6 </w:t>
            </w:r>
          </w:p>
        </w:tc>
        <w:tc>
          <w:tcPr>
            <w:tcW w:w="0" w:type="auto"/>
            <w:shd w:val="clear" w:color="auto" w:fill="FFFFFF"/>
            <w:tcMar>
              <w:top w:w="40" w:type="dxa"/>
              <w:left w:w="0" w:type="dxa"/>
              <w:bottom w:w="40" w:type="dxa"/>
              <w:right w:w="20" w:type="dxa"/>
            </w:tcMar>
            <w:vAlign w:val="bottom"/>
          </w:tcPr>
          <w:p w14:paraId="00BADD4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4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D45" w14:textId="77777777" w:rsidR="00871BDF" w:rsidRDefault="005C5088">
            <w:pPr>
              <w:jc w:val="right"/>
              <w:textAlignment w:val="bottom"/>
            </w:pPr>
            <w:r>
              <w:rPr>
                <w:rFonts w:ascii="Times New Roman" w:eastAsia="宋体" w:hAnsi="Times New Roman"/>
                <w:color w:val="000000"/>
                <w:sz w:val="20"/>
                <w:szCs w:val="20"/>
              </w:rPr>
              <w:t>(24.7)</w:t>
            </w:r>
          </w:p>
        </w:tc>
        <w:tc>
          <w:tcPr>
            <w:tcW w:w="0" w:type="auto"/>
            <w:shd w:val="clear" w:color="auto" w:fill="FFFFFF"/>
            <w:tcMar>
              <w:top w:w="40" w:type="dxa"/>
              <w:left w:w="0" w:type="dxa"/>
              <w:bottom w:w="40" w:type="dxa"/>
              <w:right w:w="20" w:type="dxa"/>
            </w:tcMar>
            <w:vAlign w:val="bottom"/>
          </w:tcPr>
          <w:p w14:paraId="00BADD46" w14:textId="77777777" w:rsidR="00871BDF" w:rsidRDefault="00871BDF">
            <w:pPr>
              <w:jc w:val="right"/>
              <w:rPr>
                <w:rFonts w:ascii="宋体"/>
              </w:rPr>
            </w:pPr>
          </w:p>
        </w:tc>
      </w:tr>
      <w:tr w:rsidR="00871BDF" w14:paraId="00BADD51" w14:textId="77777777">
        <w:tc>
          <w:tcPr>
            <w:tcW w:w="0" w:type="auto"/>
            <w:gridSpan w:val="3"/>
            <w:shd w:val="clear" w:color="auto" w:fill="D7E4BC"/>
            <w:tcMar>
              <w:top w:w="40" w:type="dxa"/>
              <w:left w:w="20" w:type="dxa"/>
              <w:bottom w:w="40" w:type="dxa"/>
              <w:right w:w="20" w:type="dxa"/>
            </w:tcMar>
          </w:tcPr>
          <w:p w14:paraId="00BADD48"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0BADD49" w14:textId="77777777" w:rsidR="00871BDF" w:rsidRDefault="005C5088">
            <w:pPr>
              <w:jc w:val="right"/>
              <w:textAlignment w:val="bottom"/>
            </w:pPr>
            <w:r>
              <w:rPr>
                <w:rFonts w:ascii="Times New Roman" w:eastAsia="宋体" w:hAnsi="Times New Roman"/>
                <w:color w:val="000000"/>
                <w:sz w:val="20"/>
                <w:szCs w:val="20"/>
              </w:rPr>
              <w:t>149.7 </w:t>
            </w:r>
          </w:p>
        </w:tc>
        <w:tc>
          <w:tcPr>
            <w:tcW w:w="0" w:type="auto"/>
            <w:shd w:val="clear" w:color="auto" w:fill="D7E4BC"/>
            <w:tcMar>
              <w:top w:w="40" w:type="dxa"/>
              <w:left w:w="0" w:type="dxa"/>
              <w:bottom w:w="40" w:type="dxa"/>
              <w:right w:w="20" w:type="dxa"/>
            </w:tcMar>
            <w:vAlign w:val="bottom"/>
          </w:tcPr>
          <w:p w14:paraId="00BADD4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4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D4C" w14:textId="77777777" w:rsidR="00871BDF" w:rsidRDefault="005C5088">
            <w:pPr>
              <w:jc w:val="right"/>
              <w:textAlignment w:val="bottom"/>
            </w:pPr>
            <w:r>
              <w:rPr>
                <w:rFonts w:ascii="Times New Roman" w:eastAsia="宋体" w:hAnsi="Times New Roman"/>
                <w:color w:val="000000"/>
                <w:sz w:val="20"/>
                <w:szCs w:val="20"/>
              </w:rPr>
              <w:t>156.7 </w:t>
            </w:r>
          </w:p>
        </w:tc>
        <w:tc>
          <w:tcPr>
            <w:tcW w:w="0" w:type="auto"/>
            <w:shd w:val="clear" w:color="auto" w:fill="D7E4BC"/>
            <w:tcMar>
              <w:top w:w="40" w:type="dxa"/>
              <w:left w:w="0" w:type="dxa"/>
              <w:bottom w:w="40" w:type="dxa"/>
              <w:right w:w="20" w:type="dxa"/>
            </w:tcMar>
            <w:vAlign w:val="bottom"/>
          </w:tcPr>
          <w:p w14:paraId="00BADD4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4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D4F" w14:textId="77777777" w:rsidR="00871BDF" w:rsidRDefault="005C5088">
            <w:pPr>
              <w:jc w:val="right"/>
              <w:textAlignment w:val="bottom"/>
            </w:pPr>
            <w:r>
              <w:rPr>
                <w:rFonts w:ascii="Times New Roman" w:eastAsia="宋体" w:hAnsi="Times New Roman"/>
                <w:color w:val="000000"/>
                <w:sz w:val="20"/>
                <w:szCs w:val="20"/>
              </w:rPr>
              <w:t>(4.5)</w:t>
            </w:r>
          </w:p>
        </w:tc>
        <w:tc>
          <w:tcPr>
            <w:tcW w:w="0" w:type="auto"/>
            <w:shd w:val="clear" w:color="auto" w:fill="D7E4BC"/>
            <w:tcMar>
              <w:top w:w="40" w:type="dxa"/>
              <w:left w:w="0" w:type="dxa"/>
              <w:bottom w:w="40" w:type="dxa"/>
              <w:right w:w="20" w:type="dxa"/>
            </w:tcMar>
            <w:vAlign w:val="bottom"/>
          </w:tcPr>
          <w:p w14:paraId="00BADD50" w14:textId="77777777" w:rsidR="00871BDF" w:rsidRDefault="00871BDF">
            <w:pPr>
              <w:jc w:val="right"/>
              <w:rPr>
                <w:rFonts w:ascii="宋体"/>
              </w:rPr>
            </w:pPr>
          </w:p>
        </w:tc>
      </w:tr>
      <w:tr w:rsidR="00871BDF" w14:paraId="00BADD5B" w14:textId="77777777">
        <w:tc>
          <w:tcPr>
            <w:tcW w:w="0" w:type="auto"/>
            <w:gridSpan w:val="3"/>
            <w:shd w:val="clear" w:color="auto" w:fill="FFFFFF"/>
            <w:tcMar>
              <w:top w:w="40" w:type="dxa"/>
              <w:left w:w="20" w:type="dxa"/>
              <w:bottom w:w="40" w:type="dxa"/>
              <w:right w:w="20" w:type="dxa"/>
            </w:tcMar>
          </w:tcPr>
          <w:p w14:paraId="00BADD52" w14:textId="77777777" w:rsidR="00871BDF" w:rsidRDefault="005C5088">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00BADD53" w14:textId="77777777" w:rsidR="00871BDF" w:rsidRDefault="005C5088">
            <w:pPr>
              <w:jc w:val="right"/>
              <w:textAlignment w:val="bottom"/>
            </w:pPr>
            <w:r>
              <w:rPr>
                <w:rFonts w:ascii="Times New Roman" w:eastAsia="宋体" w:hAnsi="Times New Roman"/>
                <w:color w:val="000000"/>
                <w:sz w:val="20"/>
                <w:szCs w:val="20"/>
              </w:rPr>
              <w:t>1,121.7 </w:t>
            </w:r>
          </w:p>
        </w:tc>
        <w:tc>
          <w:tcPr>
            <w:tcW w:w="0" w:type="auto"/>
            <w:shd w:val="clear" w:color="auto" w:fill="FFFFFF"/>
            <w:tcMar>
              <w:top w:w="40" w:type="dxa"/>
              <w:left w:w="0" w:type="dxa"/>
              <w:bottom w:w="40" w:type="dxa"/>
              <w:right w:w="20" w:type="dxa"/>
            </w:tcMar>
            <w:vAlign w:val="bottom"/>
          </w:tcPr>
          <w:p w14:paraId="00BADD5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5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D56" w14:textId="77777777" w:rsidR="00871BDF" w:rsidRDefault="005C5088">
            <w:pPr>
              <w:jc w:val="right"/>
              <w:textAlignment w:val="bottom"/>
            </w:pPr>
            <w:r>
              <w:rPr>
                <w:rFonts w:ascii="Times New Roman" w:eastAsia="宋体" w:hAnsi="Times New Roman"/>
                <w:color w:val="000000"/>
                <w:sz w:val="20"/>
                <w:szCs w:val="20"/>
              </w:rPr>
              <w:t>1,170.8 </w:t>
            </w:r>
          </w:p>
        </w:tc>
        <w:tc>
          <w:tcPr>
            <w:tcW w:w="0" w:type="auto"/>
            <w:shd w:val="clear" w:color="auto" w:fill="FFFFFF"/>
            <w:tcMar>
              <w:top w:w="40" w:type="dxa"/>
              <w:left w:w="0" w:type="dxa"/>
              <w:bottom w:w="40" w:type="dxa"/>
              <w:right w:w="20" w:type="dxa"/>
            </w:tcMar>
            <w:vAlign w:val="bottom"/>
          </w:tcPr>
          <w:p w14:paraId="00BADD5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5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D59" w14:textId="77777777" w:rsidR="00871BDF" w:rsidRDefault="005C5088">
            <w:pPr>
              <w:jc w:val="right"/>
              <w:textAlignment w:val="bottom"/>
            </w:pPr>
            <w:r>
              <w:rPr>
                <w:rFonts w:ascii="Times New Roman" w:eastAsia="宋体" w:hAnsi="Times New Roman"/>
                <w:color w:val="000000"/>
                <w:sz w:val="20"/>
                <w:szCs w:val="20"/>
              </w:rPr>
              <w:t>(4.2)</w:t>
            </w:r>
          </w:p>
        </w:tc>
        <w:tc>
          <w:tcPr>
            <w:tcW w:w="0" w:type="auto"/>
            <w:shd w:val="clear" w:color="auto" w:fill="FFFFFF"/>
            <w:tcMar>
              <w:top w:w="40" w:type="dxa"/>
              <w:left w:w="0" w:type="dxa"/>
              <w:bottom w:w="40" w:type="dxa"/>
              <w:right w:w="20" w:type="dxa"/>
            </w:tcMar>
            <w:vAlign w:val="bottom"/>
          </w:tcPr>
          <w:p w14:paraId="00BADD5A" w14:textId="77777777" w:rsidR="00871BDF" w:rsidRDefault="00871BDF">
            <w:pPr>
              <w:jc w:val="right"/>
              <w:rPr>
                <w:rFonts w:ascii="宋体"/>
              </w:rPr>
            </w:pPr>
          </w:p>
        </w:tc>
      </w:tr>
      <w:tr w:rsidR="00871BDF" w14:paraId="00BADD65" w14:textId="77777777">
        <w:tc>
          <w:tcPr>
            <w:tcW w:w="0" w:type="auto"/>
            <w:gridSpan w:val="3"/>
            <w:shd w:val="clear" w:color="auto" w:fill="D7E4BC"/>
            <w:tcMar>
              <w:top w:w="40" w:type="dxa"/>
              <w:left w:w="20" w:type="dxa"/>
              <w:bottom w:w="40" w:type="dxa"/>
              <w:right w:w="20" w:type="dxa"/>
            </w:tcMar>
          </w:tcPr>
          <w:p w14:paraId="00BADD5C" w14:textId="77777777" w:rsidR="00871BDF" w:rsidRDefault="005C5088">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00BADD5D" w14:textId="77777777" w:rsidR="00871BDF" w:rsidRDefault="005C5088">
            <w:pPr>
              <w:jc w:val="right"/>
              <w:textAlignment w:val="bottom"/>
            </w:pPr>
            <w:r>
              <w:rPr>
                <w:rFonts w:ascii="Times New Roman" w:eastAsia="宋体" w:hAnsi="Times New Roman"/>
                <w:color w:val="000000"/>
                <w:sz w:val="20"/>
                <w:szCs w:val="20"/>
              </w:rPr>
              <w:t>22.3 </w:t>
            </w:r>
          </w:p>
        </w:tc>
        <w:tc>
          <w:tcPr>
            <w:tcW w:w="0" w:type="auto"/>
            <w:shd w:val="clear" w:color="auto" w:fill="D7E4BC"/>
            <w:tcMar>
              <w:top w:w="40" w:type="dxa"/>
              <w:left w:w="0" w:type="dxa"/>
              <w:bottom w:w="40" w:type="dxa"/>
              <w:right w:w="20" w:type="dxa"/>
            </w:tcMar>
            <w:vAlign w:val="bottom"/>
          </w:tcPr>
          <w:p w14:paraId="00BADD5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5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D60" w14:textId="77777777" w:rsidR="00871BDF" w:rsidRDefault="005C5088">
            <w:pPr>
              <w:jc w:val="right"/>
              <w:textAlignment w:val="bottom"/>
            </w:pPr>
            <w:r>
              <w:rPr>
                <w:rFonts w:ascii="Times New Roman" w:eastAsia="宋体" w:hAnsi="Times New Roman"/>
                <w:color w:val="000000"/>
                <w:sz w:val="20"/>
                <w:szCs w:val="20"/>
              </w:rPr>
              <w:t>19.7 </w:t>
            </w:r>
          </w:p>
        </w:tc>
        <w:tc>
          <w:tcPr>
            <w:tcW w:w="0" w:type="auto"/>
            <w:shd w:val="clear" w:color="auto" w:fill="D7E4BC"/>
            <w:tcMar>
              <w:top w:w="40" w:type="dxa"/>
              <w:left w:w="0" w:type="dxa"/>
              <w:bottom w:w="40" w:type="dxa"/>
              <w:right w:w="20" w:type="dxa"/>
            </w:tcMar>
            <w:vAlign w:val="bottom"/>
          </w:tcPr>
          <w:p w14:paraId="00BADD6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6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D63" w14:textId="77777777" w:rsidR="00871BDF" w:rsidRDefault="005C5088">
            <w:pPr>
              <w:jc w:val="right"/>
              <w:textAlignment w:val="bottom"/>
            </w:pPr>
            <w:r>
              <w:rPr>
                <w:rFonts w:ascii="Times New Roman" w:eastAsia="宋体" w:hAnsi="Times New Roman"/>
                <w:color w:val="000000"/>
                <w:sz w:val="20"/>
                <w:szCs w:val="20"/>
              </w:rPr>
              <w:t>13.2 </w:t>
            </w:r>
          </w:p>
        </w:tc>
        <w:tc>
          <w:tcPr>
            <w:tcW w:w="0" w:type="auto"/>
            <w:shd w:val="clear" w:color="auto" w:fill="D7E4BC"/>
            <w:tcMar>
              <w:top w:w="40" w:type="dxa"/>
              <w:left w:w="0" w:type="dxa"/>
              <w:bottom w:w="40" w:type="dxa"/>
              <w:right w:w="20" w:type="dxa"/>
            </w:tcMar>
            <w:vAlign w:val="bottom"/>
          </w:tcPr>
          <w:p w14:paraId="00BADD64" w14:textId="77777777" w:rsidR="00871BDF" w:rsidRDefault="00871BDF">
            <w:pPr>
              <w:jc w:val="right"/>
              <w:rPr>
                <w:rFonts w:ascii="宋体"/>
              </w:rPr>
            </w:pPr>
          </w:p>
        </w:tc>
      </w:tr>
      <w:tr w:rsidR="00871BDF" w14:paraId="00BADD6F" w14:textId="77777777">
        <w:tc>
          <w:tcPr>
            <w:tcW w:w="0" w:type="auto"/>
            <w:gridSpan w:val="3"/>
            <w:shd w:val="clear" w:color="auto" w:fill="FFFFFF"/>
            <w:tcMar>
              <w:top w:w="40" w:type="dxa"/>
              <w:left w:w="20" w:type="dxa"/>
              <w:bottom w:w="40" w:type="dxa"/>
              <w:right w:w="20" w:type="dxa"/>
            </w:tcMar>
          </w:tcPr>
          <w:p w14:paraId="00BADD66" w14:textId="77777777" w:rsidR="00871BDF" w:rsidRDefault="005C5088">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D67" w14:textId="77777777" w:rsidR="00871BDF" w:rsidRDefault="005C5088">
            <w:pPr>
              <w:jc w:val="right"/>
              <w:textAlignment w:val="bottom"/>
            </w:pPr>
            <w:r>
              <w:rPr>
                <w:rFonts w:ascii="Times New Roman" w:eastAsia="宋体" w:hAnsi="Times New Roman"/>
                <w:color w:val="000000"/>
                <w:sz w:val="20"/>
                <w:szCs w:val="20"/>
              </w:rPr>
              <w:t>1,371.0 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D6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69"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D6A" w14:textId="77777777" w:rsidR="00871BDF" w:rsidRDefault="005C5088">
            <w:pPr>
              <w:jc w:val="right"/>
              <w:textAlignment w:val="bottom"/>
            </w:pPr>
            <w:r>
              <w:rPr>
                <w:rFonts w:ascii="Times New Roman" w:eastAsia="宋体" w:hAnsi="Times New Roman"/>
                <w:color w:val="000000"/>
                <w:sz w:val="20"/>
                <w:szCs w:val="20"/>
              </w:rPr>
              <w:t>1,433.4 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D6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6C"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D6D" w14:textId="77777777" w:rsidR="00871BDF" w:rsidRDefault="005C5088">
            <w:pPr>
              <w:jc w:val="right"/>
              <w:textAlignment w:val="bottom"/>
            </w:pPr>
            <w:r>
              <w:rPr>
                <w:rFonts w:ascii="Times New Roman" w:eastAsia="宋体" w:hAnsi="Times New Roman"/>
                <w:color w:val="000000"/>
                <w:sz w:val="20"/>
                <w:szCs w:val="20"/>
              </w:rPr>
              <w:t>(4.4)</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D6E" w14:textId="77777777" w:rsidR="00871BDF" w:rsidRDefault="00871BDF">
            <w:pPr>
              <w:jc w:val="right"/>
              <w:rPr>
                <w:rFonts w:ascii="宋体"/>
              </w:rPr>
            </w:pPr>
          </w:p>
        </w:tc>
      </w:tr>
      <w:tr w:rsidR="00871BDF" w14:paraId="00BADD76" w14:textId="77777777">
        <w:trPr>
          <w:hidden/>
        </w:trPr>
        <w:tc>
          <w:tcPr>
            <w:tcW w:w="0" w:type="auto"/>
            <w:gridSpan w:val="3"/>
            <w:shd w:val="clear" w:color="auto" w:fill="auto"/>
          </w:tcPr>
          <w:p w14:paraId="00BADD70" w14:textId="77777777" w:rsidR="00871BDF" w:rsidRDefault="00871BDF">
            <w:pPr>
              <w:rPr>
                <w:rFonts w:ascii="宋体"/>
                <w:vanish/>
              </w:rPr>
            </w:pPr>
          </w:p>
        </w:tc>
        <w:tc>
          <w:tcPr>
            <w:tcW w:w="0" w:type="auto"/>
            <w:gridSpan w:val="3"/>
            <w:shd w:val="clear" w:color="auto" w:fill="auto"/>
          </w:tcPr>
          <w:p w14:paraId="00BADD71" w14:textId="77777777" w:rsidR="00871BDF" w:rsidRDefault="00871BDF">
            <w:pPr>
              <w:rPr>
                <w:rFonts w:ascii="宋体"/>
                <w:vanish/>
              </w:rPr>
            </w:pPr>
          </w:p>
        </w:tc>
        <w:tc>
          <w:tcPr>
            <w:tcW w:w="0" w:type="auto"/>
            <w:gridSpan w:val="3"/>
            <w:shd w:val="clear" w:color="auto" w:fill="auto"/>
          </w:tcPr>
          <w:p w14:paraId="00BADD72" w14:textId="77777777" w:rsidR="00871BDF" w:rsidRDefault="00871BDF">
            <w:pPr>
              <w:rPr>
                <w:rFonts w:ascii="宋体"/>
                <w:vanish/>
              </w:rPr>
            </w:pPr>
          </w:p>
        </w:tc>
        <w:tc>
          <w:tcPr>
            <w:tcW w:w="0" w:type="auto"/>
            <w:gridSpan w:val="3"/>
            <w:shd w:val="clear" w:color="auto" w:fill="auto"/>
          </w:tcPr>
          <w:p w14:paraId="00BADD73" w14:textId="77777777" w:rsidR="00871BDF" w:rsidRDefault="00871BDF">
            <w:pPr>
              <w:rPr>
                <w:rFonts w:ascii="宋体"/>
                <w:vanish/>
              </w:rPr>
            </w:pPr>
          </w:p>
        </w:tc>
        <w:tc>
          <w:tcPr>
            <w:tcW w:w="0" w:type="auto"/>
            <w:gridSpan w:val="3"/>
            <w:shd w:val="clear" w:color="auto" w:fill="auto"/>
          </w:tcPr>
          <w:p w14:paraId="00BADD74" w14:textId="77777777" w:rsidR="00871BDF" w:rsidRDefault="00871BDF">
            <w:pPr>
              <w:rPr>
                <w:rFonts w:ascii="宋体"/>
                <w:vanish/>
              </w:rPr>
            </w:pPr>
          </w:p>
        </w:tc>
        <w:tc>
          <w:tcPr>
            <w:tcW w:w="0" w:type="auto"/>
            <w:gridSpan w:val="3"/>
            <w:shd w:val="clear" w:color="auto" w:fill="auto"/>
          </w:tcPr>
          <w:p w14:paraId="00BADD75" w14:textId="77777777" w:rsidR="00871BDF" w:rsidRDefault="00871BDF">
            <w:pPr>
              <w:rPr>
                <w:rFonts w:ascii="宋体"/>
                <w:vanish/>
              </w:rPr>
            </w:pPr>
          </w:p>
        </w:tc>
      </w:tr>
      <w:tr w:rsidR="00871BDF" w14:paraId="00BADD82" w14:textId="77777777">
        <w:tc>
          <w:tcPr>
            <w:tcW w:w="0" w:type="auto"/>
            <w:gridSpan w:val="3"/>
            <w:shd w:val="clear" w:color="auto" w:fill="D7E4BC"/>
            <w:tcMar>
              <w:top w:w="40" w:type="dxa"/>
              <w:left w:w="20" w:type="dxa"/>
              <w:bottom w:w="40" w:type="dxa"/>
              <w:right w:w="20" w:type="dxa"/>
            </w:tcMar>
          </w:tcPr>
          <w:p w14:paraId="00BADD77" w14:textId="77777777" w:rsidR="00871BDF" w:rsidRDefault="005C5088">
            <w:pPr>
              <w:textAlignment w:val="top"/>
            </w:pPr>
            <w:r>
              <w:rPr>
                <w:rFonts w:ascii="Times New Roman" w:eastAsia="宋体" w:hAnsi="Times New Roman"/>
                <w:b/>
                <w:bCs/>
                <w:color w:val="000000"/>
                <w:sz w:val="20"/>
                <w:szCs w:val="20"/>
              </w:rPr>
              <w:t>Operating loss</w:t>
            </w:r>
          </w:p>
        </w:tc>
        <w:tc>
          <w:tcPr>
            <w:tcW w:w="0" w:type="auto"/>
            <w:shd w:val="clear" w:color="auto" w:fill="D7E4BC"/>
            <w:tcMar>
              <w:top w:w="40" w:type="dxa"/>
              <w:left w:w="20" w:type="dxa"/>
              <w:bottom w:w="40" w:type="dxa"/>
              <w:right w:w="0" w:type="dxa"/>
            </w:tcMar>
            <w:vAlign w:val="bottom"/>
          </w:tcPr>
          <w:p w14:paraId="00BADD78" w14:textId="77777777" w:rsidR="00871BDF" w:rsidRDefault="005C5088">
            <w:pPr>
              <w:textAlignment w:val="bottom"/>
            </w:pPr>
            <w:r>
              <w:rPr>
                <w:rFonts w:ascii="Times New Roman" w:eastAsia="宋体" w:hAnsi="Times New Roman"/>
                <w:b/>
                <w:bCs/>
                <w:color w:val="000000"/>
                <w:sz w:val="20"/>
                <w:szCs w:val="20"/>
              </w:rPr>
              <w:t>$</w:t>
            </w:r>
          </w:p>
        </w:tc>
        <w:tc>
          <w:tcPr>
            <w:tcW w:w="0" w:type="auto"/>
            <w:shd w:val="clear" w:color="auto" w:fill="D7E4BC"/>
            <w:tcMar>
              <w:top w:w="40" w:type="dxa"/>
              <w:left w:w="0" w:type="dxa"/>
              <w:bottom w:w="40" w:type="dxa"/>
              <w:right w:w="0" w:type="dxa"/>
            </w:tcMar>
            <w:vAlign w:val="bottom"/>
          </w:tcPr>
          <w:p w14:paraId="00BADD79" w14:textId="77777777" w:rsidR="00871BDF" w:rsidRDefault="005C5088">
            <w:pPr>
              <w:jc w:val="right"/>
              <w:textAlignment w:val="bottom"/>
            </w:pPr>
            <w:r>
              <w:rPr>
                <w:rFonts w:ascii="Times New Roman" w:eastAsia="宋体" w:hAnsi="Times New Roman"/>
                <w:b/>
                <w:bCs/>
                <w:color w:val="000000"/>
                <w:sz w:val="20"/>
                <w:szCs w:val="20"/>
              </w:rPr>
              <w:t>(1,304.8)</w:t>
            </w:r>
          </w:p>
        </w:tc>
        <w:tc>
          <w:tcPr>
            <w:tcW w:w="0" w:type="auto"/>
            <w:shd w:val="clear" w:color="auto" w:fill="D7E4BC"/>
            <w:tcMar>
              <w:top w:w="40" w:type="dxa"/>
              <w:left w:w="0" w:type="dxa"/>
              <w:bottom w:w="40" w:type="dxa"/>
              <w:right w:w="20" w:type="dxa"/>
            </w:tcMar>
            <w:vAlign w:val="bottom"/>
          </w:tcPr>
          <w:p w14:paraId="00BADD7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7B"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DD7C" w14:textId="77777777" w:rsidR="00871BDF" w:rsidRDefault="005C5088">
            <w:pPr>
              <w:textAlignment w:val="bottom"/>
            </w:pPr>
            <w:r>
              <w:rPr>
                <w:rFonts w:ascii="Times New Roman" w:eastAsia="宋体" w:hAnsi="Times New Roman"/>
                <w:b/>
                <w:bCs/>
                <w:color w:val="000000"/>
                <w:sz w:val="20"/>
                <w:szCs w:val="20"/>
              </w:rPr>
              <w:t>$</w:t>
            </w:r>
          </w:p>
        </w:tc>
        <w:tc>
          <w:tcPr>
            <w:tcW w:w="0" w:type="auto"/>
            <w:shd w:val="clear" w:color="auto" w:fill="D7E4BC"/>
            <w:tcMar>
              <w:top w:w="40" w:type="dxa"/>
              <w:left w:w="0" w:type="dxa"/>
              <w:bottom w:w="40" w:type="dxa"/>
              <w:right w:w="0" w:type="dxa"/>
            </w:tcMar>
            <w:vAlign w:val="bottom"/>
          </w:tcPr>
          <w:p w14:paraId="00BADD7D" w14:textId="77777777" w:rsidR="00871BDF" w:rsidRDefault="005C5088">
            <w:pPr>
              <w:jc w:val="right"/>
              <w:textAlignment w:val="bottom"/>
            </w:pPr>
            <w:r>
              <w:rPr>
                <w:rFonts w:ascii="Times New Roman" w:eastAsia="宋体" w:hAnsi="Times New Roman"/>
                <w:b/>
                <w:bCs/>
                <w:color w:val="000000"/>
                <w:sz w:val="20"/>
                <w:szCs w:val="20"/>
              </w:rPr>
              <w:t>(1,367.1)</w:t>
            </w:r>
          </w:p>
        </w:tc>
        <w:tc>
          <w:tcPr>
            <w:tcW w:w="0" w:type="auto"/>
            <w:shd w:val="clear" w:color="auto" w:fill="D7E4BC"/>
            <w:tcMar>
              <w:top w:w="40" w:type="dxa"/>
              <w:left w:w="0" w:type="dxa"/>
              <w:bottom w:w="40" w:type="dxa"/>
              <w:right w:w="20" w:type="dxa"/>
            </w:tcMar>
            <w:vAlign w:val="bottom"/>
          </w:tcPr>
          <w:p w14:paraId="00BADD7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7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D80" w14:textId="77777777" w:rsidR="00871BDF" w:rsidRDefault="005C5088">
            <w:pPr>
              <w:jc w:val="right"/>
              <w:textAlignment w:val="bottom"/>
            </w:pPr>
            <w:r>
              <w:rPr>
                <w:rFonts w:ascii="Times New Roman" w:eastAsia="宋体" w:hAnsi="Times New Roman"/>
                <w:b/>
                <w:bCs/>
                <w:color w:val="000000"/>
                <w:sz w:val="20"/>
                <w:szCs w:val="20"/>
              </w:rPr>
              <w:t>(4.6)</w:t>
            </w:r>
          </w:p>
        </w:tc>
        <w:tc>
          <w:tcPr>
            <w:tcW w:w="0" w:type="auto"/>
            <w:shd w:val="clear" w:color="auto" w:fill="D7E4BC"/>
            <w:tcMar>
              <w:top w:w="40" w:type="dxa"/>
              <w:left w:w="0" w:type="dxa"/>
              <w:bottom w:w="40" w:type="dxa"/>
              <w:right w:w="20" w:type="dxa"/>
            </w:tcMar>
            <w:vAlign w:val="bottom"/>
          </w:tcPr>
          <w:p w14:paraId="00BADD81" w14:textId="77777777" w:rsidR="00871BDF" w:rsidRDefault="005C5088">
            <w:pPr>
              <w:jc w:val="right"/>
              <w:textAlignment w:val="bottom"/>
            </w:pPr>
            <w:r>
              <w:rPr>
                <w:rFonts w:ascii="Times New Roman" w:eastAsia="宋体" w:hAnsi="Times New Roman"/>
                <w:b/>
                <w:bCs/>
                <w:color w:val="000000"/>
                <w:sz w:val="20"/>
                <w:szCs w:val="20"/>
              </w:rPr>
              <w:t>%</w:t>
            </w:r>
          </w:p>
        </w:tc>
      </w:tr>
    </w:tbl>
    <w:p w14:paraId="00BADD83" w14:textId="77777777" w:rsidR="00871BDF" w:rsidRDefault="005C5088">
      <w:pPr>
        <w:spacing w:before="120"/>
      </w:pPr>
      <w:r>
        <w:rPr>
          <w:rFonts w:ascii="Times New Roman" w:eastAsia="宋体" w:hAnsi="Times New Roman"/>
          <w:color w:val="000000"/>
          <w:sz w:val="20"/>
          <w:szCs w:val="20"/>
        </w:rPr>
        <w:t>Corporate and Other primarily consists of our unallocated corporate expenses and Evolution Fresh. Unallocated corporate expenses include corporate administrative functions that support the operating segments but are not specifically attributable to or man</w:t>
      </w:r>
      <w:r>
        <w:rPr>
          <w:rFonts w:ascii="Times New Roman" w:eastAsia="宋体" w:hAnsi="Times New Roman"/>
          <w:color w:val="000000"/>
          <w:sz w:val="20"/>
          <w:szCs w:val="20"/>
        </w:rPr>
        <w:t>aged by any segment and are not included in the reported financial results of the operating segments.</w:t>
      </w:r>
    </w:p>
    <w:p w14:paraId="00BADD84" w14:textId="77777777" w:rsidR="00871BDF" w:rsidRDefault="005C5088">
      <w:pPr>
        <w:spacing w:before="120"/>
      </w:pPr>
      <w:r>
        <w:rPr>
          <w:rFonts w:ascii="Times New Roman" w:eastAsia="宋体" w:hAnsi="Times New Roman"/>
          <w:color w:val="000000"/>
          <w:sz w:val="20"/>
          <w:szCs w:val="20"/>
        </w:rPr>
        <w:t xml:space="preserve">Corporate and Other operating loss decreased to $1.3 billion for fiscal 2020, or 5%, compared to $1.4 billion in fiscal 2019. This decrease was primarily </w:t>
      </w:r>
      <w:r>
        <w:rPr>
          <w:rFonts w:ascii="Times New Roman" w:eastAsia="宋体" w:hAnsi="Times New Roman"/>
          <w:color w:val="000000"/>
          <w:sz w:val="20"/>
          <w:szCs w:val="20"/>
        </w:rPr>
        <w:t>driven by lower performance-based compensation and lapping of the 2018 U.S stock award granted in fiscal 2018, which was funded by savings from the Tax Act and vested in fiscal 2019, partially offset by incremental strategic investments in technology.</w:t>
      </w:r>
    </w:p>
    <w:p w14:paraId="00BADD85" w14:textId="77777777" w:rsidR="00871BDF" w:rsidRDefault="005C5088">
      <w:pPr>
        <w:spacing w:before="120"/>
      </w:pPr>
      <w:r>
        <w:rPr>
          <w:rFonts w:ascii="Times New Roman" w:eastAsia="宋体" w:hAnsi="Times New Roman"/>
          <w:b/>
          <w:bCs/>
          <w:color w:val="000000"/>
          <w:sz w:val="20"/>
          <w:szCs w:val="20"/>
        </w:rPr>
        <w:t>RESU</w:t>
      </w:r>
      <w:r>
        <w:rPr>
          <w:rFonts w:ascii="Times New Roman" w:eastAsia="宋体" w:hAnsi="Times New Roman"/>
          <w:b/>
          <w:bCs/>
          <w:color w:val="000000"/>
          <w:sz w:val="20"/>
          <w:szCs w:val="20"/>
        </w:rPr>
        <w:t xml:space="preserve">LTS OF OPERATIONS — FISCAL 2019 COMPARED TO FISCAL 2018 </w:t>
      </w:r>
    </w:p>
    <w:p w14:paraId="00BADD86" w14:textId="77777777" w:rsidR="00871BDF" w:rsidRDefault="005C5088">
      <w:pPr>
        <w:spacing w:before="120"/>
      </w:pPr>
      <w:r>
        <w:rPr>
          <w:rFonts w:ascii="Times New Roman" w:eastAsia="宋体" w:hAnsi="Times New Roman"/>
          <w:b/>
          <w:bCs/>
          <w:color w:val="000000"/>
          <w:sz w:val="20"/>
          <w:szCs w:val="20"/>
        </w:rPr>
        <w:t xml:space="preserve">Consolidated results of operations </w:t>
      </w:r>
      <w:r>
        <w:rPr>
          <w:rFonts w:ascii="Times New Roman" w:eastAsia="宋体" w:hAnsi="Times New Roman"/>
          <w:b/>
          <w:bCs/>
          <w:i/>
          <w:iCs/>
          <w:color w:val="000000"/>
          <w:sz w:val="20"/>
          <w:szCs w:val="20"/>
        </w:rPr>
        <w:t>(in millions)</w:t>
      </w:r>
      <w:r>
        <w:rPr>
          <w:rFonts w:ascii="Times New Roman" w:eastAsia="宋体" w:hAnsi="Times New Roman"/>
          <w:b/>
          <w:bCs/>
          <w:color w:val="000000"/>
          <w:sz w:val="20"/>
          <w:szCs w:val="20"/>
        </w:rPr>
        <w:t>:</w:t>
      </w:r>
    </w:p>
    <w:p w14:paraId="00BADD87" w14:textId="77777777" w:rsidR="00871BDF" w:rsidRDefault="005C5088">
      <w:pPr>
        <w:spacing w:before="120"/>
      </w:pPr>
      <w:r>
        <w:rPr>
          <w:rFonts w:ascii="Times New Roman" w:eastAsia="宋体" w:hAnsi="Times New Roman"/>
          <w:color w:val="000000"/>
          <w:sz w:val="20"/>
          <w:szCs w:val="20"/>
          <w:u w:val="single"/>
        </w:rPr>
        <w:t>Revenues</w:t>
      </w:r>
    </w:p>
    <w:tbl>
      <w:tblPr>
        <w:tblW w:w="4993" w:type="pct"/>
        <w:tblCellMar>
          <w:top w:w="15" w:type="dxa"/>
          <w:left w:w="15" w:type="dxa"/>
          <w:bottom w:w="15" w:type="dxa"/>
          <w:right w:w="15" w:type="dxa"/>
        </w:tblCellMar>
        <w:tblLook w:val="04A0" w:firstRow="1" w:lastRow="0" w:firstColumn="1" w:lastColumn="0" w:noHBand="0" w:noVBand="1"/>
      </w:tblPr>
      <w:tblGrid>
        <w:gridCol w:w="39"/>
        <w:gridCol w:w="3978"/>
        <w:gridCol w:w="37"/>
        <w:gridCol w:w="120"/>
        <w:gridCol w:w="1200"/>
        <w:gridCol w:w="36"/>
        <w:gridCol w:w="36"/>
        <w:gridCol w:w="36"/>
        <w:gridCol w:w="36"/>
        <w:gridCol w:w="120"/>
        <w:gridCol w:w="1149"/>
        <w:gridCol w:w="36"/>
        <w:gridCol w:w="36"/>
        <w:gridCol w:w="36"/>
        <w:gridCol w:w="36"/>
        <w:gridCol w:w="37"/>
        <w:gridCol w:w="1136"/>
        <w:gridCol w:w="220"/>
      </w:tblGrid>
      <w:tr w:rsidR="00871BDF" w14:paraId="00BADD9A" w14:textId="77777777">
        <w:tc>
          <w:tcPr>
            <w:tcW w:w="50" w:type="pct"/>
            <w:shd w:val="clear" w:color="auto" w:fill="auto"/>
          </w:tcPr>
          <w:p w14:paraId="00BADD88" w14:textId="77777777" w:rsidR="00871BDF" w:rsidRDefault="00871BDF">
            <w:pPr>
              <w:rPr>
                <w:rFonts w:ascii="宋体"/>
              </w:rPr>
            </w:pPr>
          </w:p>
        </w:tc>
        <w:tc>
          <w:tcPr>
            <w:tcW w:w="2434" w:type="pct"/>
            <w:shd w:val="clear" w:color="auto" w:fill="auto"/>
          </w:tcPr>
          <w:p w14:paraId="00BADD89" w14:textId="77777777" w:rsidR="00871BDF" w:rsidRDefault="00871BDF">
            <w:pPr>
              <w:rPr>
                <w:rFonts w:ascii="宋体"/>
              </w:rPr>
            </w:pPr>
          </w:p>
        </w:tc>
        <w:tc>
          <w:tcPr>
            <w:tcW w:w="5" w:type="pct"/>
            <w:shd w:val="clear" w:color="auto" w:fill="auto"/>
          </w:tcPr>
          <w:p w14:paraId="00BADD8A" w14:textId="77777777" w:rsidR="00871BDF" w:rsidRDefault="00871BDF">
            <w:pPr>
              <w:rPr>
                <w:rFonts w:ascii="宋体"/>
              </w:rPr>
            </w:pPr>
          </w:p>
        </w:tc>
        <w:tc>
          <w:tcPr>
            <w:tcW w:w="50" w:type="pct"/>
            <w:shd w:val="clear" w:color="auto" w:fill="auto"/>
          </w:tcPr>
          <w:p w14:paraId="00BADD8B" w14:textId="77777777" w:rsidR="00871BDF" w:rsidRDefault="00871BDF">
            <w:pPr>
              <w:rPr>
                <w:rFonts w:ascii="宋体"/>
              </w:rPr>
            </w:pPr>
          </w:p>
        </w:tc>
        <w:tc>
          <w:tcPr>
            <w:tcW w:w="757" w:type="pct"/>
            <w:shd w:val="clear" w:color="auto" w:fill="auto"/>
          </w:tcPr>
          <w:p w14:paraId="00BADD8C" w14:textId="77777777" w:rsidR="00871BDF" w:rsidRDefault="00871BDF">
            <w:pPr>
              <w:rPr>
                <w:rFonts w:ascii="宋体"/>
              </w:rPr>
            </w:pPr>
          </w:p>
        </w:tc>
        <w:tc>
          <w:tcPr>
            <w:tcW w:w="5" w:type="pct"/>
            <w:shd w:val="clear" w:color="auto" w:fill="auto"/>
          </w:tcPr>
          <w:p w14:paraId="00BADD8D" w14:textId="77777777" w:rsidR="00871BDF" w:rsidRDefault="00871BDF">
            <w:pPr>
              <w:rPr>
                <w:rFonts w:ascii="宋体"/>
              </w:rPr>
            </w:pPr>
          </w:p>
        </w:tc>
        <w:tc>
          <w:tcPr>
            <w:tcW w:w="5" w:type="pct"/>
            <w:shd w:val="clear" w:color="auto" w:fill="auto"/>
          </w:tcPr>
          <w:p w14:paraId="00BADD8E" w14:textId="77777777" w:rsidR="00871BDF" w:rsidRDefault="00871BDF">
            <w:pPr>
              <w:rPr>
                <w:rFonts w:ascii="宋体"/>
              </w:rPr>
            </w:pPr>
          </w:p>
        </w:tc>
        <w:tc>
          <w:tcPr>
            <w:tcW w:w="26" w:type="pct"/>
            <w:shd w:val="clear" w:color="auto" w:fill="auto"/>
          </w:tcPr>
          <w:p w14:paraId="00BADD8F" w14:textId="77777777" w:rsidR="00871BDF" w:rsidRDefault="00871BDF">
            <w:pPr>
              <w:rPr>
                <w:rFonts w:ascii="宋体"/>
              </w:rPr>
            </w:pPr>
          </w:p>
        </w:tc>
        <w:tc>
          <w:tcPr>
            <w:tcW w:w="5" w:type="pct"/>
            <w:shd w:val="clear" w:color="auto" w:fill="auto"/>
          </w:tcPr>
          <w:p w14:paraId="00BADD90" w14:textId="77777777" w:rsidR="00871BDF" w:rsidRDefault="00871BDF">
            <w:pPr>
              <w:rPr>
                <w:rFonts w:ascii="宋体"/>
              </w:rPr>
            </w:pPr>
          </w:p>
        </w:tc>
        <w:tc>
          <w:tcPr>
            <w:tcW w:w="50" w:type="pct"/>
            <w:shd w:val="clear" w:color="auto" w:fill="auto"/>
          </w:tcPr>
          <w:p w14:paraId="00BADD91" w14:textId="77777777" w:rsidR="00871BDF" w:rsidRDefault="00871BDF">
            <w:pPr>
              <w:rPr>
                <w:rFonts w:ascii="宋体"/>
              </w:rPr>
            </w:pPr>
          </w:p>
        </w:tc>
        <w:tc>
          <w:tcPr>
            <w:tcW w:w="757" w:type="pct"/>
            <w:shd w:val="clear" w:color="auto" w:fill="auto"/>
          </w:tcPr>
          <w:p w14:paraId="00BADD92" w14:textId="77777777" w:rsidR="00871BDF" w:rsidRDefault="00871BDF">
            <w:pPr>
              <w:rPr>
                <w:rFonts w:ascii="宋体"/>
              </w:rPr>
            </w:pPr>
          </w:p>
        </w:tc>
        <w:tc>
          <w:tcPr>
            <w:tcW w:w="5" w:type="pct"/>
            <w:shd w:val="clear" w:color="auto" w:fill="auto"/>
          </w:tcPr>
          <w:p w14:paraId="00BADD93" w14:textId="77777777" w:rsidR="00871BDF" w:rsidRDefault="00871BDF">
            <w:pPr>
              <w:rPr>
                <w:rFonts w:ascii="宋体"/>
              </w:rPr>
            </w:pPr>
          </w:p>
        </w:tc>
        <w:tc>
          <w:tcPr>
            <w:tcW w:w="5" w:type="pct"/>
            <w:shd w:val="clear" w:color="auto" w:fill="auto"/>
          </w:tcPr>
          <w:p w14:paraId="00BADD94" w14:textId="77777777" w:rsidR="00871BDF" w:rsidRDefault="00871BDF">
            <w:pPr>
              <w:rPr>
                <w:rFonts w:ascii="宋体"/>
              </w:rPr>
            </w:pPr>
          </w:p>
        </w:tc>
        <w:tc>
          <w:tcPr>
            <w:tcW w:w="26" w:type="pct"/>
            <w:shd w:val="clear" w:color="auto" w:fill="auto"/>
          </w:tcPr>
          <w:p w14:paraId="00BADD95" w14:textId="77777777" w:rsidR="00871BDF" w:rsidRDefault="00871BDF">
            <w:pPr>
              <w:rPr>
                <w:rFonts w:ascii="宋体"/>
              </w:rPr>
            </w:pPr>
          </w:p>
        </w:tc>
        <w:tc>
          <w:tcPr>
            <w:tcW w:w="5" w:type="pct"/>
            <w:shd w:val="clear" w:color="auto" w:fill="auto"/>
          </w:tcPr>
          <w:p w14:paraId="00BADD96" w14:textId="77777777" w:rsidR="00871BDF" w:rsidRDefault="00871BDF">
            <w:pPr>
              <w:rPr>
                <w:rFonts w:ascii="宋体"/>
              </w:rPr>
            </w:pPr>
          </w:p>
        </w:tc>
        <w:tc>
          <w:tcPr>
            <w:tcW w:w="50" w:type="pct"/>
            <w:shd w:val="clear" w:color="auto" w:fill="auto"/>
          </w:tcPr>
          <w:p w14:paraId="00BADD97" w14:textId="77777777" w:rsidR="00871BDF" w:rsidRDefault="00871BDF">
            <w:pPr>
              <w:rPr>
                <w:rFonts w:ascii="宋体"/>
              </w:rPr>
            </w:pPr>
          </w:p>
        </w:tc>
        <w:tc>
          <w:tcPr>
            <w:tcW w:w="757" w:type="pct"/>
            <w:shd w:val="clear" w:color="auto" w:fill="auto"/>
          </w:tcPr>
          <w:p w14:paraId="00BADD98" w14:textId="77777777" w:rsidR="00871BDF" w:rsidRDefault="00871BDF">
            <w:pPr>
              <w:rPr>
                <w:rFonts w:ascii="宋体"/>
              </w:rPr>
            </w:pPr>
          </w:p>
        </w:tc>
        <w:tc>
          <w:tcPr>
            <w:tcW w:w="5" w:type="pct"/>
            <w:shd w:val="clear" w:color="auto" w:fill="auto"/>
          </w:tcPr>
          <w:p w14:paraId="00BADD99" w14:textId="77777777" w:rsidR="00871BDF" w:rsidRDefault="00871BDF">
            <w:pPr>
              <w:rPr>
                <w:rFonts w:ascii="宋体"/>
              </w:rPr>
            </w:pPr>
          </w:p>
        </w:tc>
      </w:tr>
      <w:tr w:rsidR="00871BDF" w14:paraId="00BADDA1" w14:textId="77777777">
        <w:tc>
          <w:tcPr>
            <w:tcW w:w="0" w:type="auto"/>
            <w:gridSpan w:val="3"/>
            <w:shd w:val="clear" w:color="auto" w:fill="auto"/>
            <w:tcMar>
              <w:top w:w="40" w:type="dxa"/>
              <w:left w:w="20" w:type="dxa"/>
              <w:bottom w:w="40" w:type="dxa"/>
              <w:right w:w="20" w:type="dxa"/>
            </w:tcMar>
            <w:vAlign w:val="bottom"/>
          </w:tcPr>
          <w:p w14:paraId="00BADD9B"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DD9C"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DD9D"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D9E"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c>
          <w:tcPr>
            <w:tcW w:w="0" w:type="auto"/>
            <w:gridSpan w:val="3"/>
            <w:shd w:val="clear" w:color="auto" w:fill="auto"/>
            <w:tcMar>
              <w:top w:w="0" w:type="dxa"/>
              <w:left w:w="20" w:type="dxa"/>
              <w:bottom w:w="0" w:type="dxa"/>
              <w:right w:w="20" w:type="dxa"/>
            </w:tcMar>
          </w:tcPr>
          <w:p w14:paraId="00BADD9F"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DA0" w14:textId="77777777" w:rsidR="00871BDF" w:rsidRDefault="005C5088">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r>
      <w:tr w:rsidR="00871BDF" w14:paraId="00BADDA8" w14:textId="77777777">
        <w:tc>
          <w:tcPr>
            <w:tcW w:w="0" w:type="auto"/>
            <w:gridSpan w:val="3"/>
            <w:shd w:val="clear" w:color="auto" w:fill="FFFFFF"/>
            <w:tcMar>
              <w:top w:w="40" w:type="dxa"/>
              <w:left w:w="20" w:type="dxa"/>
              <w:bottom w:w="40" w:type="dxa"/>
              <w:right w:w="20" w:type="dxa"/>
            </w:tcMar>
          </w:tcPr>
          <w:p w14:paraId="00BADDA2" w14:textId="77777777" w:rsidR="00871BDF" w:rsidRDefault="005C5088">
            <w:pPr>
              <w:textAlignment w:val="top"/>
            </w:pPr>
            <w:r>
              <w:rPr>
                <w:rFonts w:ascii="Times New Roman" w:eastAsia="宋体" w:hAnsi="Times New Roman"/>
                <w:color w:val="000000"/>
                <w:sz w:val="20"/>
                <w:szCs w:val="20"/>
              </w:rPr>
              <w:t>Net revenues:</w:t>
            </w:r>
          </w:p>
        </w:tc>
        <w:tc>
          <w:tcPr>
            <w:tcW w:w="0" w:type="auto"/>
            <w:gridSpan w:val="3"/>
            <w:shd w:val="clear" w:color="auto" w:fill="FFFFFF"/>
            <w:tcMar>
              <w:top w:w="0" w:type="dxa"/>
              <w:left w:w="20" w:type="dxa"/>
              <w:bottom w:w="0" w:type="dxa"/>
              <w:right w:w="20" w:type="dxa"/>
            </w:tcMar>
          </w:tcPr>
          <w:p w14:paraId="00BADDA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DA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DA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DA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DA7" w14:textId="77777777" w:rsidR="00871BDF" w:rsidRDefault="00871BDF">
            <w:pPr>
              <w:rPr>
                <w:rFonts w:ascii="宋体"/>
              </w:rPr>
            </w:pPr>
          </w:p>
        </w:tc>
      </w:tr>
      <w:tr w:rsidR="00871BDF" w14:paraId="00BADDB4" w14:textId="77777777">
        <w:tc>
          <w:tcPr>
            <w:tcW w:w="0" w:type="auto"/>
            <w:gridSpan w:val="3"/>
            <w:shd w:val="clear" w:color="auto" w:fill="D7E4BC"/>
            <w:tcMar>
              <w:top w:w="40" w:type="dxa"/>
              <w:left w:w="155" w:type="dxa"/>
              <w:bottom w:w="40" w:type="dxa"/>
              <w:right w:w="20" w:type="dxa"/>
            </w:tcMar>
          </w:tcPr>
          <w:p w14:paraId="00BADDA9" w14:textId="77777777" w:rsidR="00871BDF" w:rsidRDefault="005C5088">
            <w:pPr>
              <w:textAlignment w:val="top"/>
            </w:pPr>
            <w:r>
              <w:rPr>
                <w:rFonts w:ascii="Times New Roman" w:eastAsia="宋体" w:hAnsi="Times New Roman"/>
                <w:color w:val="000000"/>
                <w:sz w:val="20"/>
                <w:szCs w:val="20"/>
              </w:rPr>
              <w:t>Company-operated stores</w:t>
            </w:r>
          </w:p>
        </w:tc>
        <w:tc>
          <w:tcPr>
            <w:tcW w:w="0" w:type="auto"/>
            <w:shd w:val="clear" w:color="auto" w:fill="D7E4BC"/>
            <w:tcMar>
              <w:top w:w="40" w:type="dxa"/>
              <w:left w:w="20" w:type="dxa"/>
              <w:bottom w:w="40" w:type="dxa"/>
              <w:right w:w="0" w:type="dxa"/>
            </w:tcMar>
            <w:vAlign w:val="bottom"/>
          </w:tcPr>
          <w:p w14:paraId="00BADDAA"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DDAB" w14:textId="77777777" w:rsidR="00871BDF" w:rsidRDefault="005C5088">
            <w:pPr>
              <w:jc w:val="right"/>
              <w:textAlignment w:val="bottom"/>
            </w:pPr>
            <w:r>
              <w:rPr>
                <w:rFonts w:ascii="Times New Roman" w:eastAsia="宋体" w:hAnsi="Times New Roman"/>
                <w:color w:val="000000"/>
                <w:sz w:val="20"/>
                <w:szCs w:val="20"/>
              </w:rPr>
              <w:t>21,544.4 </w:t>
            </w:r>
          </w:p>
        </w:tc>
        <w:tc>
          <w:tcPr>
            <w:tcW w:w="0" w:type="auto"/>
            <w:shd w:val="clear" w:color="auto" w:fill="D7E4BC"/>
            <w:tcMar>
              <w:top w:w="40" w:type="dxa"/>
              <w:left w:w="0" w:type="dxa"/>
              <w:bottom w:w="40" w:type="dxa"/>
              <w:right w:w="20" w:type="dxa"/>
            </w:tcMar>
            <w:vAlign w:val="bottom"/>
          </w:tcPr>
          <w:p w14:paraId="00BADDA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AD"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DDAE"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DDAF" w14:textId="77777777" w:rsidR="00871BDF" w:rsidRDefault="005C5088">
            <w:pPr>
              <w:jc w:val="right"/>
              <w:textAlignment w:val="bottom"/>
            </w:pPr>
            <w:r>
              <w:rPr>
                <w:rFonts w:ascii="Times New Roman" w:eastAsia="宋体" w:hAnsi="Times New Roman"/>
                <w:color w:val="000000"/>
                <w:sz w:val="20"/>
                <w:szCs w:val="20"/>
              </w:rPr>
              <w:t>19,690.3 </w:t>
            </w:r>
          </w:p>
        </w:tc>
        <w:tc>
          <w:tcPr>
            <w:tcW w:w="0" w:type="auto"/>
            <w:shd w:val="clear" w:color="auto" w:fill="D7E4BC"/>
            <w:tcMar>
              <w:top w:w="40" w:type="dxa"/>
              <w:left w:w="0" w:type="dxa"/>
              <w:bottom w:w="40" w:type="dxa"/>
              <w:right w:w="20" w:type="dxa"/>
            </w:tcMar>
            <w:vAlign w:val="bottom"/>
          </w:tcPr>
          <w:p w14:paraId="00BADDB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B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DB2" w14:textId="77777777" w:rsidR="00871BDF" w:rsidRDefault="005C5088">
            <w:pPr>
              <w:jc w:val="right"/>
              <w:textAlignment w:val="bottom"/>
            </w:pPr>
            <w:r>
              <w:rPr>
                <w:rFonts w:ascii="Times New Roman" w:eastAsia="宋体" w:hAnsi="Times New Roman"/>
                <w:color w:val="000000"/>
                <w:sz w:val="20"/>
                <w:szCs w:val="20"/>
              </w:rPr>
              <w:t>9.4 </w:t>
            </w:r>
          </w:p>
        </w:tc>
        <w:tc>
          <w:tcPr>
            <w:tcW w:w="0" w:type="auto"/>
            <w:shd w:val="clear" w:color="auto" w:fill="D7E4BC"/>
            <w:tcMar>
              <w:top w:w="40" w:type="dxa"/>
              <w:left w:w="0" w:type="dxa"/>
              <w:bottom w:w="40" w:type="dxa"/>
              <w:right w:w="20" w:type="dxa"/>
            </w:tcMar>
            <w:vAlign w:val="bottom"/>
          </w:tcPr>
          <w:p w14:paraId="00BADDB3"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DDBE" w14:textId="77777777">
        <w:tc>
          <w:tcPr>
            <w:tcW w:w="0" w:type="auto"/>
            <w:gridSpan w:val="3"/>
            <w:shd w:val="clear" w:color="auto" w:fill="FFFFFF"/>
            <w:tcMar>
              <w:top w:w="40" w:type="dxa"/>
              <w:left w:w="155" w:type="dxa"/>
              <w:bottom w:w="40" w:type="dxa"/>
              <w:right w:w="20" w:type="dxa"/>
            </w:tcMar>
          </w:tcPr>
          <w:p w14:paraId="00BADDB5" w14:textId="77777777" w:rsidR="00871BDF" w:rsidRDefault="005C5088">
            <w:pPr>
              <w:textAlignment w:val="top"/>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00BADDB6" w14:textId="77777777" w:rsidR="00871BDF" w:rsidRDefault="005C5088">
            <w:pPr>
              <w:jc w:val="right"/>
              <w:textAlignment w:val="bottom"/>
            </w:pPr>
            <w:r>
              <w:rPr>
                <w:rFonts w:ascii="Times New Roman" w:eastAsia="宋体" w:hAnsi="Times New Roman"/>
                <w:color w:val="000000"/>
                <w:sz w:val="20"/>
                <w:szCs w:val="20"/>
              </w:rPr>
              <w:t>2,875.0 </w:t>
            </w:r>
          </w:p>
        </w:tc>
        <w:tc>
          <w:tcPr>
            <w:tcW w:w="0" w:type="auto"/>
            <w:shd w:val="clear" w:color="auto" w:fill="FFFFFF"/>
            <w:tcMar>
              <w:top w:w="40" w:type="dxa"/>
              <w:left w:w="0" w:type="dxa"/>
              <w:bottom w:w="40" w:type="dxa"/>
              <w:right w:w="20" w:type="dxa"/>
            </w:tcMar>
            <w:vAlign w:val="bottom"/>
          </w:tcPr>
          <w:p w14:paraId="00BADDB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B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DB9" w14:textId="77777777" w:rsidR="00871BDF" w:rsidRDefault="005C5088">
            <w:pPr>
              <w:jc w:val="right"/>
              <w:textAlignment w:val="bottom"/>
            </w:pPr>
            <w:r>
              <w:rPr>
                <w:rFonts w:ascii="Times New Roman" w:eastAsia="宋体" w:hAnsi="Times New Roman"/>
                <w:color w:val="000000"/>
                <w:sz w:val="20"/>
                <w:szCs w:val="20"/>
              </w:rPr>
              <w:t>2,652.2 </w:t>
            </w:r>
          </w:p>
        </w:tc>
        <w:tc>
          <w:tcPr>
            <w:tcW w:w="0" w:type="auto"/>
            <w:shd w:val="clear" w:color="auto" w:fill="FFFFFF"/>
            <w:tcMar>
              <w:top w:w="40" w:type="dxa"/>
              <w:left w:w="0" w:type="dxa"/>
              <w:bottom w:w="40" w:type="dxa"/>
              <w:right w:w="20" w:type="dxa"/>
            </w:tcMar>
            <w:vAlign w:val="bottom"/>
          </w:tcPr>
          <w:p w14:paraId="00BADDB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B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DBC" w14:textId="77777777" w:rsidR="00871BDF" w:rsidRDefault="005C5088">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bottom"/>
          </w:tcPr>
          <w:p w14:paraId="00BADDBD" w14:textId="77777777" w:rsidR="00871BDF" w:rsidRDefault="00871BDF">
            <w:pPr>
              <w:jc w:val="right"/>
              <w:rPr>
                <w:rFonts w:ascii="宋体"/>
              </w:rPr>
            </w:pPr>
          </w:p>
        </w:tc>
      </w:tr>
      <w:tr w:rsidR="00871BDF" w14:paraId="00BADDC8" w14:textId="77777777">
        <w:tc>
          <w:tcPr>
            <w:tcW w:w="0" w:type="auto"/>
            <w:gridSpan w:val="3"/>
            <w:shd w:val="clear" w:color="auto" w:fill="D7E4BC"/>
            <w:tcMar>
              <w:top w:w="40" w:type="dxa"/>
              <w:left w:w="155" w:type="dxa"/>
              <w:bottom w:w="40" w:type="dxa"/>
              <w:right w:w="20" w:type="dxa"/>
            </w:tcMar>
          </w:tcPr>
          <w:p w14:paraId="00BADDBF" w14:textId="77777777" w:rsidR="00871BDF" w:rsidRDefault="005C5088">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00BADDC0" w14:textId="77777777" w:rsidR="00871BDF" w:rsidRDefault="005C5088">
            <w:pPr>
              <w:jc w:val="right"/>
              <w:textAlignment w:val="bottom"/>
            </w:pPr>
            <w:r>
              <w:rPr>
                <w:rFonts w:ascii="Times New Roman" w:eastAsia="宋体" w:hAnsi="Times New Roman"/>
                <w:color w:val="000000"/>
                <w:sz w:val="20"/>
                <w:szCs w:val="20"/>
              </w:rPr>
              <w:t>2,089.2 </w:t>
            </w:r>
          </w:p>
        </w:tc>
        <w:tc>
          <w:tcPr>
            <w:tcW w:w="0" w:type="auto"/>
            <w:shd w:val="clear" w:color="auto" w:fill="D7E4BC"/>
            <w:tcMar>
              <w:top w:w="40" w:type="dxa"/>
              <w:left w:w="0" w:type="dxa"/>
              <w:bottom w:w="40" w:type="dxa"/>
              <w:right w:w="20" w:type="dxa"/>
            </w:tcMar>
            <w:vAlign w:val="bottom"/>
          </w:tcPr>
          <w:p w14:paraId="00BADDC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C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DC3" w14:textId="77777777" w:rsidR="00871BDF" w:rsidRDefault="005C5088">
            <w:pPr>
              <w:jc w:val="right"/>
              <w:textAlignment w:val="bottom"/>
            </w:pPr>
            <w:r>
              <w:rPr>
                <w:rFonts w:ascii="Times New Roman" w:eastAsia="宋体" w:hAnsi="Times New Roman"/>
                <w:color w:val="000000"/>
                <w:sz w:val="20"/>
                <w:szCs w:val="20"/>
              </w:rPr>
              <w:t>2,377.0 </w:t>
            </w:r>
          </w:p>
        </w:tc>
        <w:tc>
          <w:tcPr>
            <w:tcW w:w="0" w:type="auto"/>
            <w:shd w:val="clear" w:color="auto" w:fill="D7E4BC"/>
            <w:tcMar>
              <w:top w:w="40" w:type="dxa"/>
              <w:left w:w="0" w:type="dxa"/>
              <w:bottom w:w="40" w:type="dxa"/>
              <w:right w:w="20" w:type="dxa"/>
            </w:tcMar>
            <w:vAlign w:val="bottom"/>
          </w:tcPr>
          <w:p w14:paraId="00BADDC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DC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DC6" w14:textId="77777777" w:rsidR="00871BDF" w:rsidRDefault="005C5088">
            <w:pPr>
              <w:jc w:val="right"/>
              <w:textAlignment w:val="bottom"/>
            </w:pPr>
            <w:r>
              <w:rPr>
                <w:rFonts w:ascii="Times New Roman" w:eastAsia="宋体" w:hAnsi="Times New Roman"/>
                <w:color w:val="000000"/>
                <w:sz w:val="20"/>
                <w:szCs w:val="20"/>
              </w:rPr>
              <w:t>(12.1)</w:t>
            </w:r>
          </w:p>
        </w:tc>
        <w:tc>
          <w:tcPr>
            <w:tcW w:w="0" w:type="auto"/>
            <w:shd w:val="clear" w:color="auto" w:fill="D7E4BC"/>
            <w:tcMar>
              <w:top w:w="40" w:type="dxa"/>
              <w:left w:w="0" w:type="dxa"/>
              <w:bottom w:w="40" w:type="dxa"/>
              <w:right w:w="20" w:type="dxa"/>
            </w:tcMar>
            <w:vAlign w:val="bottom"/>
          </w:tcPr>
          <w:p w14:paraId="00BADDC7" w14:textId="77777777" w:rsidR="00871BDF" w:rsidRDefault="00871BDF">
            <w:pPr>
              <w:jc w:val="right"/>
              <w:rPr>
                <w:rFonts w:ascii="宋体"/>
              </w:rPr>
            </w:pPr>
          </w:p>
        </w:tc>
      </w:tr>
      <w:tr w:rsidR="00871BDF" w14:paraId="00BADDD4" w14:textId="77777777">
        <w:tc>
          <w:tcPr>
            <w:tcW w:w="0" w:type="auto"/>
            <w:gridSpan w:val="3"/>
            <w:shd w:val="clear" w:color="auto" w:fill="FFFFFF"/>
            <w:tcMar>
              <w:top w:w="40" w:type="dxa"/>
              <w:left w:w="20" w:type="dxa"/>
              <w:bottom w:w="40" w:type="dxa"/>
              <w:right w:w="20" w:type="dxa"/>
            </w:tcMar>
          </w:tcPr>
          <w:p w14:paraId="00BADDC9" w14:textId="77777777" w:rsidR="00871BDF" w:rsidRDefault="005C5088">
            <w:pPr>
              <w:textAlignment w:val="top"/>
            </w:pPr>
            <w:r>
              <w:rPr>
                <w:rFonts w:ascii="Times New Roman" w:eastAsia="宋体" w:hAnsi="Times New Roman"/>
                <w:b/>
                <w:bCs/>
                <w:color w:val="000000"/>
                <w:sz w:val="20"/>
                <w:szCs w:val="20"/>
              </w:rPr>
              <w:t>Total net revenues</w:t>
            </w:r>
          </w:p>
        </w:tc>
        <w:tc>
          <w:tcPr>
            <w:tcW w:w="0" w:type="auto"/>
            <w:tcBorders>
              <w:top w:val="single" w:sz="8" w:space="0" w:color="000000"/>
            </w:tcBorders>
            <w:shd w:val="clear" w:color="auto" w:fill="FFFFFF"/>
            <w:tcMar>
              <w:top w:w="40" w:type="dxa"/>
              <w:left w:w="20" w:type="dxa"/>
              <w:bottom w:w="40" w:type="dxa"/>
              <w:right w:w="0" w:type="dxa"/>
            </w:tcMar>
            <w:vAlign w:val="bottom"/>
          </w:tcPr>
          <w:p w14:paraId="00BADDCA"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DDCB" w14:textId="77777777" w:rsidR="00871BDF" w:rsidRDefault="005C5088">
            <w:pPr>
              <w:jc w:val="right"/>
              <w:textAlignment w:val="bottom"/>
            </w:pPr>
            <w:r>
              <w:rPr>
                <w:rFonts w:ascii="Times New Roman" w:eastAsia="宋体" w:hAnsi="Times New Roman"/>
                <w:b/>
                <w:bCs/>
                <w:color w:val="000000"/>
                <w:sz w:val="20"/>
                <w:szCs w:val="20"/>
              </w:rPr>
              <w:t>26,508.6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DC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CD"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DDCE"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DDCF" w14:textId="77777777" w:rsidR="00871BDF" w:rsidRDefault="005C5088">
            <w:pPr>
              <w:jc w:val="right"/>
              <w:textAlignment w:val="bottom"/>
            </w:pPr>
            <w:r>
              <w:rPr>
                <w:rFonts w:ascii="Times New Roman" w:eastAsia="宋体" w:hAnsi="Times New Roman"/>
                <w:b/>
                <w:bCs/>
                <w:color w:val="000000"/>
                <w:sz w:val="20"/>
                <w:szCs w:val="20"/>
              </w:rPr>
              <w:t>24,719.5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DD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DD1"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DD2" w14:textId="77777777" w:rsidR="00871BDF" w:rsidRDefault="005C5088">
            <w:pPr>
              <w:jc w:val="right"/>
              <w:textAlignment w:val="bottom"/>
            </w:pPr>
            <w:r>
              <w:rPr>
                <w:rFonts w:ascii="Times New Roman" w:eastAsia="宋体" w:hAnsi="Times New Roman"/>
                <w:b/>
                <w:bCs/>
                <w:color w:val="000000"/>
                <w:sz w:val="20"/>
                <w:szCs w:val="20"/>
              </w:rPr>
              <w:t>7.2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DD3" w14:textId="77777777" w:rsidR="00871BDF" w:rsidRDefault="005C5088">
            <w:pPr>
              <w:jc w:val="right"/>
              <w:textAlignment w:val="bottom"/>
            </w:pPr>
            <w:r>
              <w:rPr>
                <w:rFonts w:ascii="Times New Roman" w:eastAsia="宋体" w:hAnsi="Times New Roman"/>
                <w:b/>
                <w:bCs/>
                <w:color w:val="000000"/>
                <w:sz w:val="20"/>
                <w:szCs w:val="20"/>
              </w:rPr>
              <w:t>%</w:t>
            </w:r>
          </w:p>
        </w:tc>
      </w:tr>
    </w:tbl>
    <w:p w14:paraId="00BADDD5" w14:textId="77777777" w:rsidR="00871BDF" w:rsidRDefault="005C5088">
      <w:pPr>
        <w:spacing w:before="120"/>
      </w:pPr>
      <w:r>
        <w:rPr>
          <w:rFonts w:ascii="Times New Roman" w:eastAsia="宋体" w:hAnsi="Times New Roman"/>
          <w:color w:val="000000"/>
          <w:sz w:val="20"/>
          <w:szCs w:val="20"/>
        </w:rPr>
        <w:t>Total net revenues increased $1.8 billion, or 7%, over fiscal 2018, primarily driven by higher revenues from company-operated stores ($1.9 billion). The growth in company-operated store revenues was driven by incremental revenues from</w:t>
      </w:r>
      <w:r>
        <w:rPr>
          <w:rFonts w:ascii="Times New Roman" w:eastAsia="宋体" w:hAnsi="Times New Roman"/>
          <w:color w:val="000000"/>
          <w:sz w:val="20"/>
          <w:szCs w:val="20"/>
        </w:rPr>
        <w:t xml:space="preserve"> 947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company-operated store openings over the past 12 months ($957 million) and a 5% increase in comparable store sales ($879 million), attributable to a 3% increase in average ticket and a 2% increase in comparable transactions. These i</w:t>
      </w:r>
      <w:r>
        <w:rPr>
          <w:rFonts w:ascii="Times New Roman" w:eastAsia="宋体" w:hAnsi="Times New Roman"/>
          <w:color w:val="000000"/>
          <w:sz w:val="20"/>
          <w:szCs w:val="20"/>
        </w:rPr>
        <w:t>ncreases were partially offset by unfavorable foreign currency translation ($189 million) and the conversion of our Thailand, France and the Netherlands retail businesses to fully licensed markets during fiscal 2019 ($161 million).</w:t>
      </w:r>
    </w:p>
    <w:p w14:paraId="00BADDD6" w14:textId="77777777" w:rsidR="00871BDF" w:rsidRDefault="005C5088">
      <w:pPr>
        <w:spacing w:before="120"/>
      </w:pPr>
      <w:r>
        <w:rPr>
          <w:rFonts w:ascii="Times New Roman" w:eastAsia="宋体" w:hAnsi="Times New Roman"/>
          <w:color w:val="000000"/>
          <w:sz w:val="20"/>
          <w:szCs w:val="20"/>
        </w:rPr>
        <w:t>Licensed store revenue g</w:t>
      </w:r>
      <w:r>
        <w:rPr>
          <w:rFonts w:ascii="Times New Roman" w:eastAsia="宋体" w:hAnsi="Times New Roman"/>
          <w:color w:val="000000"/>
          <w:sz w:val="20"/>
          <w:szCs w:val="20"/>
        </w:rPr>
        <w:t>rowth also contributed to the increase in total net revenues ($223 million), primarily due to higher product and equipment sales to and royalty revenues from our licensees ($228 million), largely due to the opening of 992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licensed stores</w:t>
      </w:r>
      <w:r>
        <w:rPr>
          <w:rFonts w:ascii="Times New Roman" w:eastAsia="宋体" w:hAnsi="Times New Roman"/>
          <w:color w:val="000000"/>
          <w:sz w:val="20"/>
          <w:szCs w:val="20"/>
        </w:rPr>
        <w:t xml:space="preserve"> over the past 12 months, and the conversion of our Thailand, France and the Netherlands retail businesses to fully licensed markets ($35 million), partially offset by unfavorable foreign currency translation ($41 million).</w:t>
      </w:r>
    </w:p>
    <w:p w14:paraId="00BADDD7" w14:textId="77777777" w:rsidR="00871BDF" w:rsidRDefault="005C5088">
      <w:pPr>
        <w:spacing w:before="120"/>
      </w:pPr>
      <w:r>
        <w:rPr>
          <w:rFonts w:ascii="Times New Roman" w:eastAsia="宋体" w:hAnsi="Times New Roman"/>
          <w:color w:val="000000"/>
          <w:sz w:val="20"/>
          <w:szCs w:val="20"/>
        </w:rPr>
        <w:t>Other revenues decreased $288 mi</w:t>
      </w:r>
      <w:r>
        <w:rPr>
          <w:rFonts w:ascii="Times New Roman" w:eastAsia="宋体" w:hAnsi="Times New Roman"/>
          <w:color w:val="000000"/>
          <w:sz w:val="20"/>
          <w:szCs w:val="20"/>
        </w:rPr>
        <w:t>llion, primarily driven by the licensing of our CPG and Foodservice businesses to Nestlé. Partially offsetting this decrease was growth in product revenue, primarily premium single-serve products, in connection with the Global Coffee Alliance.</w:t>
      </w:r>
    </w:p>
    <w:p w14:paraId="00BADDD8" w14:textId="77777777" w:rsidR="00871BDF" w:rsidRDefault="005C5088">
      <w:pPr>
        <w:jc w:val="center"/>
      </w:pPr>
      <w:r>
        <w:rPr>
          <w:rFonts w:ascii="Times New Roman" w:eastAsia="宋体" w:hAnsi="Times New Roman"/>
          <w:color w:val="000000"/>
          <w:sz w:val="20"/>
          <w:szCs w:val="20"/>
        </w:rPr>
        <w:t>32</w:t>
      </w:r>
    </w:p>
    <w:p w14:paraId="00BADDD9" w14:textId="77777777" w:rsidR="00871BDF" w:rsidRDefault="005C5088">
      <w:r>
        <w:pict w14:anchorId="00BB1485">
          <v:rect id="_x0000_i1059" style="width:415.3pt;height:1.5pt" o:hralign="center" o:hrstd="t" o:hr="t" fillcolor="#a0a0a0" stroked="f"/>
        </w:pict>
      </w:r>
    </w:p>
    <w:p w14:paraId="00BADDDA" w14:textId="77777777" w:rsidR="00871BDF" w:rsidRDefault="005C5088">
      <w:hyperlink r:id="rId96" w:anchor="i54ccc64cb5384be5a4849ef1cdef4dde_7" w:history="1">
        <w:r>
          <w:rPr>
            <w:rStyle w:val="a5"/>
            <w:rFonts w:ascii="Times New Roman" w:eastAsia="宋体" w:hAnsi="Times New Roman"/>
            <w:sz w:val="20"/>
            <w:szCs w:val="20"/>
          </w:rPr>
          <w:t>Table of Contents</w:t>
        </w:r>
      </w:hyperlink>
    </w:p>
    <w:p w14:paraId="00BADDDB" w14:textId="77777777" w:rsidR="00871BDF" w:rsidRDefault="005C5088">
      <w:r>
        <w:rPr>
          <w:rFonts w:ascii="Times New Roman" w:eastAsia="宋体" w:hAnsi="Times New Roman"/>
          <w:color w:val="000000"/>
          <w:sz w:val="20"/>
          <w:szCs w:val="20"/>
          <w:u w:val="single"/>
        </w:rPr>
        <w:t>Operating Expenses</w:t>
      </w:r>
    </w:p>
    <w:tbl>
      <w:tblPr>
        <w:tblW w:w="4993" w:type="pct"/>
        <w:tblCellMar>
          <w:top w:w="15" w:type="dxa"/>
          <w:left w:w="15" w:type="dxa"/>
          <w:bottom w:w="15" w:type="dxa"/>
          <w:right w:w="15" w:type="dxa"/>
        </w:tblCellMar>
        <w:tblLook w:val="04A0" w:firstRow="1" w:lastRow="0" w:firstColumn="1" w:lastColumn="0" w:noHBand="0" w:noVBand="1"/>
      </w:tblPr>
      <w:tblGrid>
        <w:gridCol w:w="41"/>
        <w:gridCol w:w="2544"/>
        <w:gridCol w:w="40"/>
        <w:gridCol w:w="120"/>
        <w:gridCol w:w="1194"/>
        <w:gridCol w:w="36"/>
        <w:gridCol w:w="36"/>
        <w:gridCol w:w="36"/>
        <w:gridCol w:w="36"/>
        <w:gridCol w:w="120"/>
        <w:gridCol w:w="1133"/>
        <w:gridCol w:w="36"/>
        <w:gridCol w:w="36"/>
        <w:gridCol w:w="36"/>
        <w:gridCol w:w="36"/>
        <w:gridCol w:w="38"/>
        <w:gridCol w:w="1110"/>
        <w:gridCol w:w="220"/>
        <w:gridCol w:w="36"/>
        <w:gridCol w:w="36"/>
        <w:gridCol w:w="36"/>
        <w:gridCol w:w="38"/>
        <w:gridCol w:w="1110"/>
        <w:gridCol w:w="220"/>
      </w:tblGrid>
      <w:tr w:rsidR="00871BDF" w14:paraId="00BADDF4" w14:textId="77777777">
        <w:tc>
          <w:tcPr>
            <w:tcW w:w="50" w:type="pct"/>
            <w:shd w:val="clear" w:color="auto" w:fill="auto"/>
          </w:tcPr>
          <w:p w14:paraId="00BADDDC" w14:textId="77777777" w:rsidR="00871BDF" w:rsidRDefault="00871BDF">
            <w:pPr>
              <w:rPr>
                <w:rFonts w:ascii="宋体"/>
              </w:rPr>
            </w:pPr>
          </w:p>
        </w:tc>
        <w:tc>
          <w:tcPr>
            <w:tcW w:w="1584" w:type="pct"/>
            <w:shd w:val="clear" w:color="auto" w:fill="auto"/>
          </w:tcPr>
          <w:p w14:paraId="00BADDDD" w14:textId="77777777" w:rsidR="00871BDF" w:rsidRDefault="00871BDF">
            <w:pPr>
              <w:rPr>
                <w:rFonts w:ascii="宋体"/>
              </w:rPr>
            </w:pPr>
          </w:p>
        </w:tc>
        <w:tc>
          <w:tcPr>
            <w:tcW w:w="5" w:type="pct"/>
            <w:shd w:val="clear" w:color="auto" w:fill="auto"/>
          </w:tcPr>
          <w:p w14:paraId="00BADDDE" w14:textId="77777777" w:rsidR="00871BDF" w:rsidRDefault="00871BDF">
            <w:pPr>
              <w:rPr>
                <w:rFonts w:ascii="宋体"/>
              </w:rPr>
            </w:pPr>
          </w:p>
        </w:tc>
        <w:tc>
          <w:tcPr>
            <w:tcW w:w="50" w:type="pct"/>
            <w:shd w:val="clear" w:color="auto" w:fill="auto"/>
          </w:tcPr>
          <w:p w14:paraId="00BADDDF" w14:textId="77777777" w:rsidR="00871BDF" w:rsidRDefault="00871BDF">
            <w:pPr>
              <w:rPr>
                <w:rFonts w:ascii="宋体"/>
              </w:rPr>
            </w:pPr>
          </w:p>
        </w:tc>
        <w:tc>
          <w:tcPr>
            <w:tcW w:w="757" w:type="pct"/>
            <w:shd w:val="clear" w:color="auto" w:fill="auto"/>
          </w:tcPr>
          <w:p w14:paraId="00BADDE0" w14:textId="77777777" w:rsidR="00871BDF" w:rsidRDefault="00871BDF">
            <w:pPr>
              <w:rPr>
                <w:rFonts w:ascii="宋体"/>
              </w:rPr>
            </w:pPr>
          </w:p>
        </w:tc>
        <w:tc>
          <w:tcPr>
            <w:tcW w:w="5" w:type="pct"/>
            <w:shd w:val="clear" w:color="auto" w:fill="auto"/>
          </w:tcPr>
          <w:p w14:paraId="00BADDE1" w14:textId="77777777" w:rsidR="00871BDF" w:rsidRDefault="00871BDF">
            <w:pPr>
              <w:rPr>
                <w:rFonts w:ascii="宋体"/>
              </w:rPr>
            </w:pPr>
          </w:p>
        </w:tc>
        <w:tc>
          <w:tcPr>
            <w:tcW w:w="5" w:type="pct"/>
            <w:shd w:val="clear" w:color="auto" w:fill="auto"/>
          </w:tcPr>
          <w:p w14:paraId="00BADDE2" w14:textId="77777777" w:rsidR="00871BDF" w:rsidRDefault="00871BDF">
            <w:pPr>
              <w:rPr>
                <w:rFonts w:ascii="宋体"/>
              </w:rPr>
            </w:pPr>
          </w:p>
        </w:tc>
        <w:tc>
          <w:tcPr>
            <w:tcW w:w="26" w:type="pct"/>
            <w:shd w:val="clear" w:color="auto" w:fill="auto"/>
          </w:tcPr>
          <w:p w14:paraId="00BADDE3" w14:textId="77777777" w:rsidR="00871BDF" w:rsidRDefault="00871BDF">
            <w:pPr>
              <w:rPr>
                <w:rFonts w:ascii="宋体"/>
              </w:rPr>
            </w:pPr>
          </w:p>
        </w:tc>
        <w:tc>
          <w:tcPr>
            <w:tcW w:w="5" w:type="pct"/>
            <w:shd w:val="clear" w:color="auto" w:fill="auto"/>
          </w:tcPr>
          <w:p w14:paraId="00BADDE4" w14:textId="77777777" w:rsidR="00871BDF" w:rsidRDefault="00871BDF">
            <w:pPr>
              <w:rPr>
                <w:rFonts w:ascii="宋体"/>
              </w:rPr>
            </w:pPr>
          </w:p>
        </w:tc>
        <w:tc>
          <w:tcPr>
            <w:tcW w:w="50" w:type="pct"/>
            <w:shd w:val="clear" w:color="auto" w:fill="auto"/>
          </w:tcPr>
          <w:p w14:paraId="00BADDE5" w14:textId="77777777" w:rsidR="00871BDF" w:rsidRDefault="00871BDF">
            <w:pPr>
              <w:rPr>
                <w:rFonts w:ascii="宋体"/>
              </w:rPr>
            </w:pPr>
          </w:p>
        </w:tc>
        <w:tc>
          <w:tcPr>
            <w:tcW w:w="757" w:type="pct"/>
            <w:shd w:val="clear" w:color="auto" w:fill="auto"/>
          </w:tcPr>
          <w:p w14:paraId="00BADDE6" w14:textId="77777777" w:rsidR="00871BDF" w:rsidRDefault="00871BDF">
            <w:pPr>
              <w:rPr>
                <w:rFonts w:ascii="宋体"/>
              </w:rPr>
            </w:pPr>
          </w:p>
        </w:tc>
        <w:tc>
          <w:tcPr>
            <w:tcW w:w="5" w:type="pct"/>
            <w:shd w:val="clear" w:color="auto" w:fill="auto"/>
          </w:tcPr>
          <w:p w14:paraId="00BADDE7" w14:textId="77777777" w:rsidR="00871BDF" w:rsidRDefault="00871BDF">
            <w:pPr>
              <w:rPr>
                <w:rFonts w:ascii="宋体"/>
              </w:rPr>
            </w:pPr>
          </w:p>
        </w:tc>
        <w:tc>
          <w:tcPr>
            <w:tcW w:w="5" w:type="pct"/>
            <w:shd w:val="clear" w:color="auto" w:fill="auto"/>
          </w:tcPr>
          <w:p w14:paraId="00BADDE8" w14:textId="77777777" w:rsidR="00871BDF" w:rsidRDefault="00871BDF">
            <w:pPr>
              <w:rPr>
                <w:rFonts w:ascii="宋体"/>
              </w:rPr>
            </w:pPr>
          </w:p>
        </w:tc>
        <w:tc>
          <w:tcPr>
            <w:tcW w:w="26" w:type="pct"/>
            <w:shd w:val="clear" w:color="auto" w:fill="auto"/>
          </w:tcPr>
          <w:p w14:paraId="00BADDE9" w14:textId="77777777" w:rsidR="00871BDF" w:rsidRDefault="00871BDF">
            <w:pPr>
              <w:rPr>
                <w:rFonts w:ascii="宋体"/>
              </w:rPr>
            </w:pPr>
          </w:p>
        </w:tc>
        <w:tc>
          <w:tcPr>
            <w:tcW w:w="5" w:type="pct"/>
            <w:shd w:val="clear" w:color="auto" w:fill="auto"/>
          </w:tcPr>
          <w:p w14:paraId="00BADDEA" w14:textId="77777777" w:rsidR="00871BDF" w:rsidRDefault="00871BDF">
            <w:pPr>
              <w:rPr>
                <w:rFonts w:ascii="宋体"/>
              </w:rPr>
            </w:pPr>
          </w:p>
        </w:tc>
        <w:tc>
          <w:tcPr>
            <w:tcW w:w="50" w:type="pct"/>
            <w:shd w:val="clear" w:color="auto" w:fill="auto"/>
          </w:tcPr>
          <w:p w14:paraId="00BADDEB" w14:textId="77777777" w:rsidR="00871BDF" w:rsidRDefault="00871BDF">
            <w:pPr>
              <w:rPr>
                <w:rFonts w:ascii="宋体"/>
              </w:rPr>
            </w:pPr>
          </w:p>
        </w:tc>
        <w:tc>
          <w:tcPr>
            <w:tcW w:w="757" w:type="pct"/>
            <w:shd w:val="clear" w:color="auto" w:fill="auto"/>
          </w:tcPr>
          <w:p w14:paraId="00BADDEC" w14:textId="77777777" w:rsidR="00871BDF" w:rsidRDefault="00871BDF">
            <w:pPr>
              <w:rPr>
                <w:rFonts w:ascii="宋体"/>
              </w:rPr>
            </w:pPr>
          </w:p>
        </w:tc>
        <w:tc>
          <w:tcPr>
            <w:tcW w:w="5" w:type="pct"/>
            <w:shd w:val="clear" w:color="auto" w:fill="auto"/>
          </w:tcPr>
          <w:p w14:paraId="00BADDED" w14:textId="77777777" w:rsidR="00871BDF" w:rsidRDefault="00871BDF">
            <w:pPr>
              <w:rPr>
                <w:rFonts w:ascii="宋体"/>
              </w:rPr>
            </w:pPr>
          </w:p>
        </w:tc>
        <w:tc>
          <w:tcPr>
            <w:tcW w:w="5" w:type="pct"/>
            <w:shd w:val="clear" w:color="auto" w:fill="auto"/>
          </w:tcPr>
          <w:p w14:paraId="00BADDEE" w14:textId="77777777" w:rsidR="00871BDF" w:rsidRDefault="00871BDF">
            <w:pPr>
              <w:rPr>
                <w:rFonts w:ascii="宋体"/>
              </w:rPr>
            </w:pPr>
          </w:p>
        </w:tc>
        <w:tc>
          <w:tcPr>
            <w:tcW w:w="26" w:type="pct"/>
            <w:shd w:val="clear" w:color="auto" w:fill="auto"/>
          </w:tcPr>
          <w:p w14:paraId="00BADDEF" w14:textId="77777777" w:rsidR="00871BDF" w:rsidRDefault="00871BDF">
            <w:pPr>
              <w:rPr>
                <w:rFonts w:ascii="宋体"/>
              </w:rPr>
            </w:pPr>
          </w:p>
        </w:tc>
        <w:tc>
          <w:tcPr>
            <w:tcW w:w="5" w:type="pct"/>
            <w:shd w:val="clear" w:color="auto" w:fill="auto"/>
          </w:tcPr>
          <w:p w14:paraId="00BADDF0" w14:textId="77777777" w:rsidR="00871BDF" w:rsidRDefault="00871BDF">
            <w:pPr>
              <w:rPr>
                <w:rFonts w:ascii="宋体"/>
              </w:rPr>
            </w:pPr>
          </w:p>
        </w:tc>
        <w:tc>
          <w:tcPr>
            <w:tcW w:w="50" w:type="pct"/>
            <w:shd w:val="clear" w:color="auto" w:fill="auto"/>
          </w:tcPr>
          <w:p w14:paraId="00BADDF1" w14:textId="77777777" w:rsidR="00871BDF" w:rsidRDefault="00871BDF">
            <w:pPr>
              <w:rPr>
                <w:rFonts w:ascii="宋体"/>
              </w:rPr>
            </w:pPr>
          </w:p>
        </w:tc>
        <w:tc>
          <w:tcPr>
            <w:tcW w:w="757" w:type="pct"/>
            <w:shd w:val="clear" w:color="auto" w:fill="auto"/>
          </w:tcPr>
          <w:p w14:paraId="00BADDF2" w14:textId="77777777" w:rsidR="00871BDF" w:rsidRDefault="00871BDF">
            <w:pPr>
              <w:rPr>
                <w:rFonts w:ascii="宋体"/>
              </w:rPr>
            </w:pPr>
          </w:p>
        </w:tc>
        <w:tc>
          <w:tcPr>
            <w:tcW w:w="5" w:type="pct"/>
            <w:shd w:val="clear" w:color="auto" w:fill="auto"/>
          </w:tcPr>
          <w:p w14:paraId="00BADDF3" w14:textId="77777777" w:rsidR="00871BDF" w:rsidRDefault="00871BDF">
            <w:pPr>
              <w:rPr>
                <w:rFonts w:ascii="宋体"/>
              </w:rPr>
            </w:pPr>
          </w:p>
        </w:tc>
      </w:tr>
      <w:tr w:rsidR="00871BDF" w14:paraId="00BADDFD" w14:textId="77777777">
        <w:tc>
          <w:tcPr>
            <w:tcW w:w="0" w:type="auto"/>
            <w:gridSpan w:val="3"/>
            <w:shd w:val="clear" w:color="auto" w:fill="auto"/>
            <w:tcMar>
              <w:top w:w="40" w:type="dxa"/>
              <w:left w:w="20" w:type="dxa"/>
              <w:bottom w:w="40" w:type="dxa"/>
              <w:right w:w="20" w:type="dxa"/>
            </w:tcMar>
            <w:vAlign w:val="bottom"/>
          </w:tcPr>
          <w:p w14:paraId="00BADDF5"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DDF6"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DDF7"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DF8"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c>
          <w:tcPr>
            <w:tcW w:w="0" w:type="auto"/>
            <w:gridSpan w:val="3"/>
            <w:shd w:val="clear" w:color="auto" w:fill="auto"/>
            <w:tcMar>
              <w:top w:w="0" w:type="dxa"/>
              <w:left w:w="20" w:type="dxa"/>
              <w:bottom w:w="0" w:type="dxa"/>
              <w:right w:w="20" w:type="dxa"/>
            </w:tcMar>
          </w:tcPr>
          <w:p w14:paraId="00BADDF9"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DFA"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tcBorders>
              <w:bottom w:val="single" w:sz="8" w:space="0" w:color="000000"/>
            </w:tcBorders>
            <w:shd w:val="clear" w:color="auto" w:fill="auto"/>
            <w:tcMar>
              <w:top w:w="0" w:type="dxa"/>
              <w:left w:w="20" w:type="dxa"/>
              <w:bottom w:w="0" w:type="dxa"/>
              <w:right w:w="20" w:type="dxa"/>
            </w:tcMar>
          </w:tcPr>
          <w:p w14:paraId="00BADDFB" w14:textId="77777777" w:rsidR="00871BDF" w:rsidRDefault="00871BDF">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0BADDFC"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r>
      <w:tr w:rsidR="00871BDF" w14:paraId="00BADE05" w14:textId="77777777">
        <w:tc>
          <w:tcPr>
            <w:tcW w:w="0" w:type="auto"/>
            <w:gridSpan w:val="3"/>
            <w:shd w:val="clear" w:color="auto" w:fill="auto"/>
            <w:tcMar>
              <w:top w:w="0" w:type="dxa"/>
              <w:left w:w="20" w:type="dxa"/>
              <w:bottom w:w="0" w:type="dxa"/>
              <w:right w:w="20" w:type="dxa"/>
            </w:tcMar>
          </w:tcPr>
          <w:p w14:paraId="00BADDFE"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DDFF"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DE00"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DE01"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DE02" w14:textId="77777777" w:rsidR="00871BDF" w:rsidRDefault="00871BD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0BADE03" w14:textId="77777777" w:rsidR="00871BDF" w:rsidRDefault="005C5088">
            <w:pPr>
              <w:jc w:val="center"/>
              <w:textAlignment w:val="bottom"/>
            </w:pPr>
            <w:r>
              <w:rPr>
                <w:rFonts w:ascii="Times New Roman" w:eastAsia="宋体" w:hAnsi="Times New Roman"/>
                <w:b/>
                <w:bCs/>
                <w:color w:val="000000"/>
                <w:sz w:val="16"/>
                <w:szCs w:val="16"/>
              </w:rPr>
              <w:t>As a % of Total</w:t>
            </w:r>
          </w:p>
          <w:p w14:paraId="00BADE04" w14:textId="77777777" w:rsidR="00871BDF" w:rsidRDefault="005C5088">
            <w:pPr>
              <w:jc w:val="center"/>
              <w:textAlignment w:val="bottom"/>
            </w:pPr>
            <w:r>
              <w:rPr>
                <w:rFonts w:ascii="Times New Roman" w:eastAsia="宋体" w:hAnsi="Times New Roman"/>
                <w:b/>
                <w:bCs/>
                <w:color w:val="000000"/>
                <w:sz w:val="16"/>
                <w:szCs w:val="16"/>
              </w:rPr>
              <w:t>Net Revenues</w:t>
            </w:r>
          </w:p>
        </w:tc>
      </w:tr>
      <w:tr w:rsidR="00871BDF" w14:paraId="00BADE14" w14:textId="77777777">
        <w:tc>
          <w:tcPr>
            <w:tcW w:w="0" w:type="auto"/>
            <w:gridSpan w:val="3"/>
            <w:shd w:val="clear" w:color="auto" w:fill="D7E4BC"/>
            <w:tcMar>
              <w:top w:w="40" w:type="dxa"/>
              <w:left w:w="20" w:type="dxa"/>
              <w:bottom w:w="40" w:type="dxa"/>
              <w:right w:w="20" w:type="dxa"/>
            </w:tcMar>
          </w:tcPr>
          <w:p w14:paraId="00BADE06" w14:textId="77777777" w:rsidR="00871BDF" w:rsidRDefault="005C5088">
            <w:pPr>
              <w:textAlignment w:val="top"/>
            </w:pPr>
            <w:r>
              <w:rPr>
                <w:rFonts w:ascii="Times New Roman" w:eastAsia="宋体" w:hAnsi="Times New Roman"/>
                <w:color w:val="000000"/>
                <w:sz w:val="20"/>
                <w:szCs w:val="20"/>
              </w:rPr>
              <w:t>Product and distribution costs</w:t>
            </w:r>
          </w:p>
        </w:tc>
        <w:tc>
          <w:tcPr>
            <w:tcW w:w="0" w:type="auto"/>
            <w:shd w:val="clear" w:color="auto" w:fill="D7E4BC"/>
            <w:tcMar>
              <w:top w:w="40" w:type="dxa"/>
              <w:left w:w="20" w:type="dxa"/>
              <w:bottom w:w="40" w:type="dxa"/>
              <w:right w:w="0" w:type="dxa"/>
            </w:tcMar>
            <w:vAlign w:val="bottom"/>
          </w:tcPr>
          <w:p w14:paraId="00BADE0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DE08" w14:textId="77777777" w:rsidR="00871BDF" w:rsidRDefault="005C5088">
            <w:pPr>
              <w:jc w:val="right"/>
              <w:textAlignment w:val="bottom"/>
            </w:pPr>
            <w:r>
              <w:rPr>
                <w:rFonts w:ascii="Times New Roman" w:eastAsia="宋体" w:hAnsi="Times New Roman"/>
                <w:color w:val="000000"/>
                <w:sz w:val="20"/>
                <w:szCs w:val="20"/>
              </w:rPr>
              <w:t>8,526.9 </w:t>
            </w:r>
          </w:p>
        </w:tc>
        <w:tc>
          <w:tcPr>
            <w:tcW w:w="0" w:type="auto"/>
            <w:shd w:val="clear" w:color="auto" w:fill="D7E4BC"/>
            <w:tcMar>
              <w:top w:w="40" w:type="dxa"/>
              <w:left w:w="0" w:type="dxa"/>
              <w:bottom w:w="40" w:type="dxa"/>
              <w:right w:w="20" w:type="dxa"/>
            </w:tcMar>
            <w:vAlign w:val="bottom"/>
          </w:tcPr>
          <w:p w14:paraId="00BADE0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0A"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DE0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DE0C" w14:textId="77777777" w:rsidR="00871BDF" w:rsidRDefault="005C5088">
            <w:pPr>
              <w:jc w:val="right"/>
              <w:textAlignment w:val="bottom"/>
            </w:pPr>
            <w:r>
              <w:rPr>
                <w:rFonts w:ascii="Times New Roman" w:eastAsia="宋体" w:hAnsi="Times New Roman"/>
                <w:color w:val="000000"/>
                <w:sz w:val="20"/>
                <w:szCs w:val="20"/>
              </w:rPr>
              <w:t>7,930.7 </w:t>
            </w:r>
          </w:p>
        </w:tc>
        <w:tc>
          <w:tcPr>
            <w:tcW w:w="0" w:type="auto"/>
            <w:shd w:val="clear" w:color="auto" w:fill="D7E4BC"/>
            <w:tcMar>
              <w:top w:w="40" w:type="dxa"/>
              <w:left w:w="0" w:type="dxa"/>
              <w:bottom w:w="40" w:type="dxa"/>
              <w:right w:w="20" w:type="dxa"/>
            </w:tcMar>
            <w:vAlign w:val="bottom"/>
          </w:tcPr>
          <w:p w14:paraId="00BADE0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0E"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E0F" w14:textId="77777777" w:rsidR="00871BDF" w:rsidRDefault="005C5088">
            <w:pPr>
              <w:jc w:val="right"/>
              <w:textAlignment w:val="bottom"/>
            </w:pPr>
            <w:r>
              <w:rPr>
                <w:rFonts w:ascii="Times New Roman" w:eastAsia="宋体" w:hAnsi="Times New Roman"/>
                <w:color w:val="000000"/>
                <w:sz w:val="20"/>
                <w:szCs w:val="20"/>
              </w:rPr>
              <w:t>32.2 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E10"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tcPr>
          <w:p w14:paraId="00BADE11"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E12" w14:textId="77777777" w:rsidR="00871BDF" w:rsidRDefault="005C5088">
            <w:pPr>
              <w:jc w:val="right"/>
              <w:textAlignment w:val="bottom"/>
            </w:pPr>
            <w:r>
              <w:rPr>
                <w:rFonts w:ascii="Times New Roman" w:eastAsia="宋体" w:hAnsi="Times New Roman"/>
                <w:color w:val="000000"/>
                <w:sz w:val="20"/>
                <w:szCs w:val="20"/>
              </w:rPr>
              <w:t>32.1 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E13"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DE21" w14:textId="77777777">
        <w:tc>
          <w:tcPr>
            <w:tcW w:w="0" w:type="auto"/>
            <w:gridSpan w:val="3"/>
            <w:shd w:val="clear" w:color="auto" w:fill="FFFFFF"/>
            <w:tcMar>
              <w:top w:w="40" w:type="dxa"/>
              <w:left w:w="20" w:type="dxa"/>
              <w:bottom w:w="40" w:type="dxa"/>
              <w:right w:w="20" w:type="dxa"/>
            </w:tcMar>
          </w:tcPr>
          <w:p w14:paraId="00BADE15" w14:textId="77777777" w:rsidR="00871BDF" w:rsidRDefault="005C5088">
            <w:pPr>
              <w:textAlignment w:val="top"/>
            </w:pPr>
            <w:r>
              <w:rPr>
                <w:rFonts w:ascii="Times New Roman" w:eastAsia="宋体" w:hAnsi="Times New Roman"/>
                <w:color w:val="000000"/>
                <w:sz w:val="20"/>
                <w:szCs w:val="20"/>
              </w:rPr>
              <w:t>Store operating expenses</w:t>
            </w:r>
          </w:p>
        </w:tc>
        <w:tc>
          <w:tcPr>
            <w:tcW w:w="0" w:type="auto"/>
            <w:gridSpan w:val="2"/>
            <w:shd w:val="clear" w:color="auto" w:fill="FFFFFF"/>
            <w:tcMar>
              <w:top w:w="40" w:type="dxa"/>
              <w:left w:w="20" w:type="dxa"/>
              <w:bottom w:w="40" w:type="dxa"/>
              <w:right w:w="0" w:type="dxa"/>
            </w:tcMar>
            <w:vAlign w:val="bottom"/>
          </w:tcPr>
          <w:p w14:paraId="00BADE16" w14:textId="77777777" w:rsidR="00871BDF" w:rsidRDefault="005C5088">
            <w:pPr>
              <w:jc w:val="right"/>
              <w:textAlignment w:val="bottom"/>
            </w:pPr>
            <w:r>
              <w:rPr>
                <w:rFonts w:ascii="Times New Roman" w:eastAsia="宋体" w:hAnsi="Times New Roman"/>
                <w:color w:val="000000"/>
                <w:sz w:val="20"/>
                <w:szCs w:val="20"/>
              </w:rPr>
              <w:t>10,493.6 </w:t>
            </w:r>
          </w:p>
        </w:tc>
        <w:tc>
          <w:tcPr>
            <w:tcW w:w="0" w:type="auto"/>
            <w:shd w:val="clear" w:color="auto" w:fill="FFFFFF"/>
            <w:tcMar>
              <w:top w:w="40" w:type="dxa"/>
              <w:left w:w="0" w:type="dxa"/>
              <w:bottom w:w="40" w:type="dxa"/>
              <w:right w:w="20" w:type="dxa"/>
            </w:tcMar>
            <w:vAlign w:val="bottom"/>
          </w:tcPr>
          <w:p w14:paraId="00BADE1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1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19" w14:textId="77777777" w:rsidR="00871BDF" w:rsidRDefault="005C5088">
            <w:pPr>
              <w:jc w:val="right"/>
              <w:textAlignment w:val="bottom"/>
            </w:pPr>
            <w:r>
              <w:rPr>
                <w:rFonts w:ascii="Times New Roman" w:eastAsia="宋体" w:hAnsi="Times New Roman"/>
                <w:color w:val="000000"/>
                <w:sz w:val="20"/>
                <w:szCs w:val="20"/>
              </w:rPr>
              <w:t>9,472.2 </w:t>
            </w:r>
          </w:p>
        </w:tc>
        <w:tc>
          <w:tcPr>
            <w:tcW w:w="0" w:type="auto"/>
            <w:shd w:val="clear" w:color="auto" w:fill="FFFFFF"/>
            <w:tcMar>
              <w:top w:w="40" w:type="dxa"/>
              <w:left w:w="0" w:type="dxa"/>
              <w:bottom w:w="40" w:type="dxa"/>
              <w:right w:w="20" w:type="dxa"/>
            </w:tcMar>
            <w:vAlign w:val="bottom"/>
          </w:tcPr>
          <w:p w14:paraId="00BADE1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1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1C" w14:textId="77777777" w:rsidR="00871BDF" w:rsidRDefault="005C5088">
            <w:pPr>
              <w:jc w:val="right"/>
              <w:textAlignment w:val="bottom"/>
            </w:pPr>
            <w:r>
              <w:rPr>
                <w:rFonts w:ascii="Times New Roman" w:eastAsia="宋体" w:hAnsi="Times New Roman"/>
                <w:color w:val="000000"/>
                <w:sz w:val="20"/>
                <w:szCs w:val="20"/>
              </w:rPr>
              <w:t>39.6 </w:t>
            </w:r>
          </w:p>
        </w:tc>
        <w:tc>
          <w:tcPr>
            <w:tcW w:w="0" w:type="auto"/>
            <w:shd w:val="clear" w:color="auto" w:fill="FFFFFF"/>
            <w:tcMar>
              <w:top w:w="40" w:type="dxa"/>
              <w:left w:w="0" w:type="dxa"/>
              <w:bottom w:w="40" w:type="dxa"/>
              <w:right w:w="20" w:type="dxa"/>
            </w:tcMar>
            <w:vAlign w:val="bottom"/>
          </w:tcPr>
          <w:p w14:paraId="00BADE1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1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1F" w14:textId="77777777" w:rsidR="00871BDF" w:rsidRDefault="005C5088">
            <w:pPr>
              <w:jc w:val="right"/>
              <w:textAlignment w:val="bottom"/>
            </w:pPr>
            <w:r>
              <w:rPr>
                <w:rFonts w:ascii="Times New Roman" w:eastAsia="宋体" w:hAnsi="Times New Roman"/>
                <w:color w:val="000000"/>
                <w:sz w:val="20"/>
                <w:szCs w:val="20"/>
              </w:rPr>
              <w:t>38.3 </w:t>
            </w:r>
          </w:p>
        </w:tc>
        <w:tc>
          <w:tcPr>
            <w:tcW w:w="0" w:type="auto"/>
            <w:shd w:val="clear" w:color="auto" w:fill="FFFFFF"/>
            <w:tcMar>
              <w:top w:w="40" w:type="dxa"/>
              <w:left w:w="0" w:type="dxa"/>
              <w:bottom w:w="40" w:type="dxa"/>
              <w:right w:w="20" w:type="dxa"/>
            </w:tcMar>
            <w:vAlign w:val="bottom"/>
          </w:tcPr>
          <w:p w14:paraId="00BADE20" w14:textId="77777777" w:rsidR="00871BDF" w:rsidRDefault="00871BDF">
            <w:pPr>
              <w:jc w:val="right"/>
              <w:rPr>
                <w:rFonts w:ascii="宋体"/>
              </w:rPr>
            </w:pPr>
          </w:p>
        </w:tc>
      </w:tr>
      <w:tr w:rsidR="00871BDF" w14:paraId="00BADE2E" w14:textId="77777777">
        <w:tc>
          <w:tcPr>
            <w:tcW w:w="0" w:type="auto"/>
            <w:gridSpan w:val="3"/>
            <w:shd w:val="clear" w:color="auto" w:fill="D7E4BC"/>
            <w:tcMar>
              <w:top w:w="40" w:type="dxa"/>
              <w:left w:w="20" w:type="dxa"/>
              <w:bottom w:w="40" w:type="dxa"/>
              <w:right w:w="20" w:type="dxa"/>
            </w:tcMar>
          </w:tcPr>
          <w:p w14:paraId="00BADE22" w14:textId="77777777" w:rsidR="00871BDF" w:rsidRDefault="005C5088">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00BADE23" w14:textId="77777777" w:rsidR="00871BDF" w:rsidRDefault="005C5088">
            <w:pPr>
              <w:jc w:val="right"/>
              <w:textAlignment w:val="bottom"/>
            </w:pPr>
            <w:r>
              <w:rPr>
                <w:rFonts w:ascii="Times New Roman" w:eastAsia="宋体" w:hAnsi="Times New Roman"/>
                <w:color w:val="000000"/>
                <w:sz w:val="20"/>
                <w:szCs w:val="20"/>
              </w:rPr>
              <w:t>371.0 </w:t>
            </w:r>
          </w:p>
        </w:tc>
        <w:tc>
          <w:tcPr>
            <w:tcW w:w="0" w:type="auto"/>
            <w:shd w:val="clear" w:color="auto" w:fill="D7E4BC"/>
            <w:tcMar>
              <w:top w:w="40" w:type="dxa"/>
              <w:left w:w="0" w:type="dxa"/>
              <w:bottom w:w="40" w:type="dxa"/>
              <w:right w:w="20" w:type="dxa"/>
            </w:tcMar>
            <w:vAlign w:val="bottom"/>
          </w:tcPr>
          <w:p w14:paraId="00BADE2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2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E26" w14:textId="77777777" w:rsidR="00871BDF" w:rsidRDefault="005C5088">
            <w:pPr>
              <w:jc w:val="right"/>
              <w:textAlignment w:val="bottom"/>
            </w:pPr>
            <w:r>
              <w:rPr>
                <w:rFonts w:ascii="Times New Roman" w:eastAsia="宋体" w:hAnsi="Times New Roman"/>
                <w:color w:val="000000"/>
                <w:sz w:val="20"/>
                <w:szCs w:val="20"/>
              </w:rPr>
              <w:t>554.9 </w:t>
            </w:r>
          </w:p>
        </w:tc>
        <w:tc>
          <w:tcPr>
            <w:tcW w:w="0" w:type="auto"/>
            <w:shd w:val="clear" w:color="auto" w:fill="D7E4BC"/>
            <w:tcMar>
              <w:top w:w="40" w:type="dxa"/>
              <w:left w:w="0" w:type="dxa"/>
              <w:bottom w:w="40" w:type="dxa"/>
              <w:right w:w="20" w:type="dxa"/>
            </w:tcMar>
            <w:vAlign w:val="bottom"/>
          </w:tcPr>
          <w:p w14:paraId="00BADE2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2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E29" w14:textId="77777777" w:rsidR="00871BDF" w:rsidRDefault="005C5088">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00BADE2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2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E2C" w14:textId="77777777" w:rsidR="00871BDF" w:rsidRDefault="005C5088">
            <w:pPr>
              <w:jc w:val="right"/>
              <w:textAlignment w:val="bottom"/>
            </w:pPr>
            <w:r>
              <w:rPr>
                <w:rFonts w:ascii="Times New Roman" w:eastAsia="宋体" w:hAnsi="Times New Roman"/>
                <w:color w:val="000000"/>
                <w:sz w:val="20"/>
                <w:szCs w:val="20"/>
              </w:rPr>
              <w:t>2.2 </w:t>
            </w:r>
          </w:p>
        </w:tc>
        <w:tc>
          <w:tcPr>
            <w:tcW w:w="0" w:type="auto"/>
            <w:shd w:val="clear" w:color="auto" w:fill="D7E4BC"/>
            <w:tcMar>
              <w:top w:w="40" w:type="dxa"/>
              <w:left w:w="0" w:type="dxa"/>
              <w:bottom w:w="40" w:type="dxa"/>
              <w:right w:w="20" w:type="dxa"/>
            </w:tcMar>
            <w:vAlign w:val="bottom"/>
          </w:tcPr>
          <w:p w14:paraId="00BADE2D" w14:textId="77777777" w:rsidR="00871BDF" w:rsidRDefault="00871BDF">
            <w:pPr>
              <w:jc w:val="right"/>
              <w:rPr>
                <w:rFonts w:ascii="宋体"/>
              </w:rPr>
            </w:pPr>
          </w:p>
        </w:tc>
      </w:tr>
      <w:tr w:rsidR="00871BDF" w14:paraId="00BADE3B" w14:textId="77777777">
        <w:tc>
          <w:tcPr>
            <w:tcW w:w="0" w:type="auto"/>
            <w:gridSpan w:val="3"/>
            <w:shd w:val="clear" w:color="auto" w:fill="FFFFFF"/>
            <w:tcMar>
              <w:top w:w="40" w:type="dxa"/>
              <w:left w:w="20" w:type="dxa"/>
              <w:bottom w:w="40" w:type="dxa"/>
              <w:right w:w="20" w:type="dxa"/>
            </w:tcMar>
          </w:tcPr>
          <w:p w14:paraId="00BADE2F"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00BADE30" w14:textId="77777777" w:rsidR="00871BDF" w:rsidRDefault="005C5088">
            <w:pPr>
              <w:jc w:val="right"/>
              <w:textAlignment w:val="bottom"/>
            </w:pPr>
            <w:r>
              <w:rPr>
                <w:rFonts w:ascii="Times New Roman" w:eastAsia="宋体" w:hAnsi="Times New Roman"/>
                <w:color w:val="000000"/>
                <w:sz w:val="20"/>
                <w:szCs w:val="20"/>
              </w:rPr>
              <w:t>1,377.3 </w:t>
            </w:r>
          </w:p>
        </w:tc>
        <w:tc>
          <w:tcPr>
            <w:tcW w:w="0" w:type="auto"/>
            <w:shd w:val="clear" w:color="auto" w:fill="FFFFFF"/>
            <w:tcMar>
              <w:top w:w="40" w:type="dxa"/>
              <w:left w:w="0" w:type="dxa"/>
              <w:bottom w:w="40" w:type="dxa"/>
              <w:right w:w="20" w:type="dxa"/>
            </w:tcMar>
            <w:vAlign w:val="bottom"/>
          </w:tcPr>
          <w:p w14:paraId="00BADE3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3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33" w14:textId="77777777" w:rsidR="00871BDF" w:rsidRDefault="005C5088">
            <w:pPr>
              <w:jc w:val="right"/>
              <w:textAlignment w:val="bottom"/>
            </w:pPr>
            <w:r>
              <w:rPr>
                <w:rFonts w:ascii="Times New Roman" w:eastAsia="宋体" w:hAnsi="Times New Roman"/>
                <w:color w:val="000000"/>
                <w:sz w:val="20"/>
                <w:szCs w:val="20"/>
              </w:rPr>
              <w:t>1,247.0 </w:t>
            </w:r>
          </w:p>
        </w:tc>
        <w:tc>
          <w:tcPr>
            <w:tcW w:w="0" w:type="auto"/>
            <w:shd w:val="clear" w:color="auto" w:fill="FFFFFF"/>
            <w:tcMar>
              <w:top w:w="40" w:type="dxa"/>
              <w:left w:w="0" w:type="dxa"/>
              <w:bottom w:w="40" w:type="dxa"/>
              <w:right w:w="20" w:type="dxa"/>
            </w:tcMar>
            <w:vAlign w:val="bottom"/>
          </w:tcPr>
          <w:p w14:paraId="00BADE3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3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36" w14:textId="77777777" w:rsidR="00871BDF" w:rsidRDefault="005C5088">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00BADE3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3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39" w14:textId="77777777" w:rsidR="00871BDF" w:rsidRDefault="005C5088">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00BADE3A" w14:textId="77777777" w:rsidR="00871BDF" w:rsidRDefault="00871BDF">
            <w:pPr>
              <w:jc w:val="right"/>
              <w:rPr>
                <w:rFonts w:ascii="宋体"/>
              </w:rPr>
            </w:pPr>
          </w:p>
        </w:tc>
      </w:tr>
      <w:tr w:rsidR="00871BDF" w14:paraId="00BADE48" w14:textId="77777777">
        <w:tc>
          <w:tcPr>
            <w:tcW w:w="0" w:type="auto"/>
            <w:gridSpan w:val="3"/>
            <w:shd w:val="clear" w:color="auto" w:fill="D7E4BC"/>
            <w:tcMar>
              <w:top w:w="40" w:type="dxa"/>
              <w:left w:w="20" w:type="dxa"/>
              <w:bottom w:w="40" w:type="dxa"/>
              <w:right w:w="20" w:type="dxa"/>
            </w:tcMar>
          </w:tcPr>
          <w:p w14:paraId="00BADE3C" w14:textId="77777777" w:rsidR="00871BDF" w:rsidRDefault="005C5088">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00BADE3D" w14:textId="77777777" w:rsidR="00871BDF" w:rsidRDefault="005C5088">
            <w:pPr>
              <w:jc w:val="right"/>
              <w:textAlignment w:val="bottom"/>
            </w:pPr>
            <w:r>
              <w:rPr>
                <w:rFonts w:ascii="Times New Roman" w:eastAsia="宋体" w:hAnsi="Times New Roman"/>
                <w:color w:val="000000"/>
                <w:sz w:val="20"/>
                <w:szCs w:val="20"/>
              </w:rPr>
              <w:t>1,824.1 </w:t>
            </w:r>
          </w:p>
        </w:tc>
        <w:tc>
          <w:tcPr>
            <w:tcW w:w="0" w:type="auto"/>
            <w:shd w:val="clear" w:color="auto" w:fill="D7E4BC"/>
            <w:tcMar>
              <w:top w:w="40" w:type="dxa"/>
              <w:left w:w="0" w:type="dxa"/>
              <w:bottom w:w="40" w:type="dxa"/>
              <w:right w:w="20" w:type="dxa"/>
            </w:tcMar>
            <w:vAlign w:val="bottom"/>
          </w:tcPr>
          <w:p w14:paraId="00BADE3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3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E40" w14:textId="77777777" w:rsidR="00871BDF" w:rsidRDefault="005C5088">
            <w:pPr>
              <w:jc w:val="right"/>
              <w:textAlignment w:val="bottom"/>
            </w:pPr>
            <w:r>
              <w:rPr>
                <w:rFonts w:ascii="Times New Roman" w:eastAsia="宋体" w:hAnsi="Times New Roman"/>
                <w:color w:val="000000"/>
                <w:sz w:val="20"/>
                <w:szCs w:val="20"/>
              </w:rPr>
              <w:t>1,708.2 </w:t>
            </w:r>
          </w:p>
        </w:tc>
        <w:tc>
          <w:tcPr>
            <w:tcW w:w="0" w:type="auto"/>
            <w:shd w:val="clear" w:color="auto" w:fill="D7E4BC"/>
            <w:tcMar>
              <w:top w:w="40" w:type="dxa"/>
              <w:left w:w="0" w:type="dxa"/>
              <w:bottom w:w="40" w:type="dxa"/>
              <w:right w:w="20" w:type="dxa"/>
            </w:tcMar>
            <w:vAlign w:val="bottom"/>
          </w:tcPr>
          <w:p w14:paraId="00BADE4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4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E43" w14:textId="77777777" w:rsidR="00871BDF" w:rsidRDefault="005C5088">
            <w:pPr>
              <w:jc w:val="right"/>
              <w:textAlignment w:val="bottom"/>
            </w:pPr>
            <w:r>
              <w:rPr>
                <w:rFonts w:ascii="Times New Roman" w:eastAsia="宋体" w:hAnsi="Times New Roman"/>
                <w:color w:val="000000"/>
                <w:sz w:val="20"/>
                <w:szCs w:val="20"/>
              </w:rPr>
              <w:t>6.9 </w:t>
            </w:r>
          </w:p>
        </w:tc>
        <w:tc>
          <w:tcPr>
            <w:tcW w:w="0" w:type="auto"/>
            <w:shd w:val="clear" w:color="auto" w:fill="D7E4BC"/>
            <w:tcMar>
              <w:top w:w="40" w:type="dxa"/>
              <w:left w:w="0" w:type="dxa"/>
              <w:bottom w:w="40" w:type="dxa"/>
              <w:right w:w="20" w:type="dxa"/>
            </w:tcMar>
            <w:vAlign w:val="bottom"/>
          </w:tcPr>
          <w:p w14:paraId="00BADE4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4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E46" w14:textId="77777777" w:rsidR="00871BDF" w:rsidRDefault="005C5088">
            <w:pPr>
              <w:jc w:val="right"/>
              <w:textAlignment w:val="bottom"/>
            </w:pPr>
            <w:r>
              <w:rPr>
                <w:rFonts w:ascii="Times New Roman" w:eastAsia="宋体" w:hAnsi="Times New Roman"/>
                <w:color w:val="000000"/>
                <w:sz w:val="20"/>
                <w:szCs w:val="20"/>
              </w:rPr>
              <w:t>6.9 </w:t>
            </w:r>
          </w:p>
        </w:tc>
        <w:tc>
          <w:tcPr>
            <w:tcW w:w="0" w:type="auto"/>
            <w:shd w:val="clear" w:color="auto" w:fill="D7E4BC"/>
            <w:tcMar>
              <w:top w:w="40" w:type="dxa"/>
              <w:left w:w="0" w:type="dxa"/>
              <w:bottom w:w="40" w:type="dxa"/>
              <w:right w:w="20" w:type="dxa"/>
            </w:tcMar>
            <w:vAlign w:val="bottom"/>
          </w:tcPr>
          <w:p w14:paraId="00BADE47" w14:textId="77777777" w:rsidR="00871BDF" w:rsidRDefault="00871BDF">
            <w:pPr>
              <w:jc w:val="right"/>
              <w:rPr>
                <w:rFonts w:ascii="宋体"/>
              </w:rPr>
            </w:pPr>
          </w:p>
        </w:tc>
      </w:tr>
      <w:tr w:rsidR="00871BDF" w14:paraId="00BADE55" w14:textId="77777777">
        <w:tc>
          <w:tcPr>
            <w:tcW w:w="0" w:type="auto"/>
            <w:gridSpan w:val="3"/>
            <w:shd w:val="clear" w:color="auto" w:fill="FFFFFF"/>
            <w:tcMar>
              <w:top w:w="40" w:type="dxa"/>
              <w:left w:w="20" w:type="dxa"/>
              <w:bottom w:w="40" w:type="dxa"/>
              <w:right w:w="20" w:type="dxa"/>
            </w:tcMar>
          </w:tcPr>
          <w:p w14:paraId="00BADE49" w14:textId="77777777" w:rsidR="00871BDF" w:rsidRDefault="005C5088">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00BADE4A" w14:textId="77777777" w:rsidR="00871BDF" w:rsidRDefault="005C5088">
            <w:pPr>
              <w:jc w:val="right"/>
              <w:textAlignment w:val="bottom"/>
            </w:pPr>
            <w:r>
              <w:rPr>
                <w:rFonts w:ascii="Times New Roman" w:eastAsia="宋体" w:hAnsi="Times New Roman"/>
                <w:color w:val="000000"/>
                <w:sz w:val="20"/>
                <w:szCs w:val="20"/>
              </w:rPr>
              <w:t>135.8 </w:t>
            </w:r>
          </w:p>
        </w:tc>
        <w:tc>
          <w:tcPr>
            <w:tcW w:w="0" w:type="auto"/>
            <w:shd w:val="clear" w:color="auto" w:fill="FFFFFF"/>
            <w:tcMar>
              <w:top w:w="40" w:type="dxa"/>
              <w:left w:w="0" w:type="dxa"/>
              <w:bottom w:w="40" w:type="dxa"/>
              <w:right w:w="20" w:type="dxa"/>
            </w:tcMar>
            <w:vAlign w:val="bottom"/>
          </w:tcPr>
          <w:p w14:paraId="00BADE4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4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4D" w14:textId="77777777" w:rsidR="00871BDF" w:rsidRDefault="005C5088">
            <w:pPr>
              <w:jc w:val="right"/>
              <w:textAlignment w:val="bottom"/>
            </w:pPr>
            <w:r>
              <w:rPr>
                <w:rFonts w:ascii="Times New Roman" w:eastAsia="宋体" w:hAnsi="Times New Roman"/>
                <w:color w:val="000000"/>
                <w:sz w:val="20"/>
                <w:szCs w:val="20"/>
              </w:rPr>
              <w:t>224.4 </w:t>
            </w:r>
          </w:p>
        </w:tc>
        <w:tc>
          <w:tcPr>
            <w:tcW w:w="0" w:type="auto"/>
            <w:shd w:val="clear" w:color="auto" w:fill="FFFFFF"/>
            <w:tcMar>
              <w:top w:w="40" w:type="dxa"/>
              <w:left w:w="0" w:type="dxa"/>
              <w:bottom w:w="40" w:type="dxa"/>
              <w:right w:w="20" w:type="dxa"/>
            </w:tcMar>
            <w:vAlign w:val="bottom"/>
          </w:tcPr>
          <w:p w14:paraId="00BADE4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4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50" w14:textId="77777777" w:rsidR="00871BDF" w:rsidRDefault="005C5088">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00BADE5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5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53" w14:textId="77777777" w:rsidR="00871BDF" w:rsidRDefault="005C5088">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00BADE54" w14:textId="77777777" w:rsidR="00871BDF" w:rsidRDefault="00871BDF">
            <w:pPr>
              <w:jc w:val="right"/>
              <w:rPr>
                <w:rFonts w:ascii="宋体"/>
              </w:rPr>
            </w:pPr>
          </w:p>
        </w:tc>
      </w:tr>
      <w:tr w:rsidR="00871BDF" w14:paraId="00BADE5E" w14:textId="77777777">
        <w:trPr>
          <w:hidden/>
        </w:trPr>
        <w:tc>
          <w:tcPr>
            <w:tcW w:w="0" w:type="auto"/>
            <w:gridSpan w:val="3"/>
            <w:shd w:val="clear" w:color="auto" w:fill="auto"/>
          </w:tcPr>
          <w:p w14:paraId="00BADE56" w14:textId="77777777" w:rsidR="00871BDF" w:rsidRDefault="00871BDF">
            <w:pPr>
              <w:rPr>
                <w:rFonts w:ascii="宋体"/>
                <w:vanish/>
              </w:rPr>
            </w:pPr>
          </w:p>
        </w:tc>
        <w:tc>
          <w:tcPr>
            <w:tcW w:w="0" w:type="auto"/>
            <w:gridSpan w:val="3"/>
            <w:shd w:val="clear" w:color="auto" w:fill="auto"/>
          </w:tcPr>
          <w:p w14:paraId="00BADE57" w14:textId="77777777" w:rsidR="00871BDF" w:rsidRDefault="00871BDF">
            <w:pPr>
              <w:rPr>
                <w:rFonts w:ascii="宋体"/>
                <w:vanish/>
              </w:rPr>
            </w:pPr>
          </w:p>
        </w:tc>
        <w:tc>
          <w:tcPr>
            <w:tcW w:w="0" w:type="auto"/>
            <w:gridSpan w:val="3"/>
            <w:shd w:val="clear" w:color="auto" w:fill="auto"/>
          </w:tcPr>
          <w:p w14:paraId="00BADE58" w14:textId="77777777" w:rsidR="00871BDF" w:rsidRDefault="00871BDF">
            <w:pPr>
              <w:rPr>
                <w:rFonts w:ascii="宋体"/>
                <w:vanish/>
              </w:rPr>
            </w:pPr>
          </w:p>
        </w:tc>
        <w:tc>
          <w:tcPr>
            <w:tcW w:w="0" w:type="auto"/>
            <w:gridSpan w:val="3"/>
            <w:shd w:val="clear" w:color="auto" w:fill="auto"/>
          </w:tcPr>
          <w:p w14:paraId="00BADE59" w14:textId="77777777" w:rsidR="00871BDF" w:rsidRDefault="00871BDF">
            <w:pPr>
              <w:rPr>
                <w:rFonts w:ascii="宋体"/>
                <w:vanish/>
              </w:rPr>
            </w:pPr>
          </w:p>
        </w:tc>
        <w:tc>
          <w:tcPr>
            <w:tcW w:w="0" w:type="auto"/>
            <w:gridSpan w:val="3"/>
            <w:shd w:val="clear" w:color="auto" w:fill="auto"/>
          </w:tcPr>
          <w:p w14:paraId="00BADE5A" w14:textId="77777777" w:rsidR="00871BDF" w:rsidRDefault="00871BDF">
            <w:pPr>
              <w:rPr>
                <w:rFonts w:ascii="宋体"/>
                <w:vanish/>
              </w:rPr>
            </w:pPr>
          </w:p>
        </w:tc>
        <w:tc>
          <w:tcPr>
            <w:tcW w:w="0" w:type="auto"/>
            <w:gridSpan w:val="3"/>
            <w:shd w:val="clear" w:color="auto" w:fill="auto"/>
          </w:tcPr>
          <w:p w14:paraId="00BADE5B" w14:textId="77777777" w:rsidR="00871BDF" w:rsidRDefault="00871BDF">
            <w:pPr>
              <w:rPr>
                <w:rFonts w:ascii="宋体"/>
                <w:vanish/>
              </w:rPr>
            </w:pPr>
          </w:p>
        </w:tc>
        <w:tc>
          <w:tcPr>
            <w:tcW w:w="0" w:type="auto"/>
            <w:gridSpan w:val="3"/>
            <w:shd w:val="clear" w:color="auto" w:fill="auto"/>
          </w:tcPr>
          <w:p w14:paraId="00BADE5C" w14:textId="77777777" w:rsidR="00871BDF" w:rsidRDefault="00871BDF">
            <w:pPr>
              <w:rPr>
                <w:rFonts w:ascii="宋体"/>
                <w:vanish/>
              </w:rPr>
            </w:pPr>
          </w:p>
        </w:tc>
        <w:tc>
          <w:tcPr>
            <w:tcW w:w="0" w:type="auto"/>
            <w:gridSpan w:val="3"/>
            <w:shd w:val="clear" w:color="auto" w:fill="auto"/>
          </w:tcPr>
          <w:p w14:paraId="00BADE5D" w14:textId="77777777" w:rsidR="00871BDF" w:rsidRDefault="00871BDF">
            <w:pPr>
              <w:rPr>
                <w:rFonts w:ascii="宋体"/>
                <w:vanish/>
              </w:rPr>
            </w:pPr>
          </w:p>
        </w:tc>
      </w:tr>
      <w:tr w:rsidR="00871BDF" w14:paraId="00BADE6B" w14:textId="77777777">
        <w:tc>
          <w:tcPr>
            <w:tcW w:w="0" w:type="auto"/>
            <w:gridSpan w:val="3"/>
            <w:shd w:val="clear" w:color="auto" w:fill="D7E4BC"/>
            <w:tcMar>
              <w:top w:w="40" w:type="dxa"/>
              <w:left w:w="20" w:type="dxa"/>
              <w:bottom w:w="40" w:type="dxa"/>
              <w:right w:w="20" w:type="dxa"/>
            </w:tcMar>
          </w:tcPr>
          <w:p w14:paraId="00BADE5F" w14:textId="77777777" w:rsidR="00871BDF" w:rsidRDefault="005C5088">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E60" w14:textId="77777777" w:rsidR="00871BDF" w:rsidRDefault="005C5088">
            <w:pPr>
              <w:jc w:val="right"/>
              <w:textAlignment w:val="bottom"/>
            </w:pPr>
            <w:r>
              <w:rPr>
                <w:rFonts w:ascii="Times New Roman" w:eastAsia="宋体" w:hAnsi="Times New Roman"/>
                <w:color w:val="000000"/>
                <w:sz w:val="20"/>
                <w:szCs w:val="20"/>
              </w:rPr>
              <w:t>22,728.7 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E6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62"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E63" w14:textId="77777777" w:rsidR="00871BDF" w:rsidRDefault="005C5088">
            <w:pPr>
              <w:jc w:val="right"/>
              <w:textAlignment w:val="bottom"/>
            </w:pPr>
            <w:r>
              <w:rPr>
                <w:rFonts w:ascii="Times New Roman" w:eastAsia="宋体" w:hAnsi="Times New Roman"/>
                <w:color w:val="000000"/>
                <w:sz w:val="20"/>
                <w:szCs w:val="20"/>
              </w:rPr>
              <w:t>21,137.4 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E6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65"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E66" w14:textId="77777777" w:rsidR="00871BDF" w:rsidRDefault="005C5088">
            <w:pPr>
              <w:jc w:val="right"/>
              <w:textAlignment w:val="bottom"/>
            </w:pPr>
            <w:r>
              <w:rPr>
                <w:rFonts w:ascii="Times New Roman" w:eastAsia="宋体" w:hAnsi="Times New Roman"/>
                <w:color w:val="000000"/>
                <w:sz w:val="20"/>
                <w:szCs w:val="20"/>
              </w:rPr>
              <w:t>85.7 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E6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68"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E69" w14:textId="77777777" w:rsidR="00871BDF" w:rsidRDefault="005C5088">
            <w:pPr>
              <w:jc w:val="right"/>
              <w:textAlignment w:val="bottom"/>
            </w:pPr>
            <w:r>
              <w:rPr>
                <w:rFonts w:ascii="Times New Roman" w:eastAsia="宋体" w:hAnsi="Times New Roman"/>
                <w:color w:val="000000"/>
                <w:sz w:val="20"/>
                <w:szCs w:val="20"/>
              </w:rPr>
              <w:t>85.5 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E6A" w14:textId="77777777" w:rsidR="00871BDF" w:rsidRDefault="00871BDF">
            <w:pPr>
              <w:jc w:val="right"/>
              <w:rPr>
                <w:rFonts w:ascii="宋体"/>
              </w:rPr>
            </w:pPr>
          </w:p>
        </w:tc>
      </w:tr>
      <w:tr w:rsidR="00871BDF" w14:paraId="00BADE78" w14:textId="77777777">
        <w:tc>
          <w:tcPr>
            <w:tcW w:w="0" w:type="auto"/>
            <w:gridSpan w:val="3"/>
            <w:shd w:val="clear" w:color="auto" w:fill="FFFFFF"/>
            <w:tcMar>
              <w:top w:w="40" w:type="dxa"/>
              <w:left w:w="20" w:type="dxa"/>
              <w:bottom w:w="40" w:type="dxa"/>
              <w:right w:w="20" w:type="dxa"/>
            </w:tcMar>
          </w:tcPr>
          <w:p w14:paraId="00BADE6C" w14:textId="77777777" w:rsidR="00871BDF" w:rsidRDefault="005C5088">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00BADE6D" w14:textId="77777777" w:rsidR="00871BDF" w:rsidRDefault="005C5088">
            <w:pPr>
              <w:jc w:val="right"/>
              <w:textAlignment w:val="bottom"/>
            </w:pPr>
            <w:r>
              <w:rPr>
                <w:rFonts w:ascii="Times New Roman" w:eastAsia="宋体" w:hAnsi="Times New Roman"/>
                <w:color w:val="000000"/>
                <w:sz w:val="20"/>
                <w:szCs w:val="20"/>
              </w:rPr>
              <w:t>298.0 </w:t>
            </w:r>
          </w:p>
        </w:tc>
        <w:tc>
          <w:tcPr>
            <w:tcW w:w="0" w:type="auto"/>
            <w:shd w:val="clear" w:color="auto" w:fill="FFFFFF"/>
            <w:tcMar>
              <w:top w:w="40" w:type="dxa"/>
              <w:left w:w="0" w:type="dxa"/>
              <w:bottom w:w="40" w:type="dxa"/>
              <w:right w:w="20" w:type="dxa"/>
            </w:tcMar>
            <w:vAlign w:val="bottom"/>
          </w:tcPr>
          <w:p w14:paraId="00BADE6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6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70" w14:textId="77777777" w:rsidR="00871BDF" w:rsidRDefault="005C5088">
            <w:pPr>
              <w:jc w:val="right"/>
              <w:textAlignment w:val="bottom"/>
            </w:pPr>
            <w:r>
              <w:rPr>
                <w:rFonts w:ascii="Times New Roman" w:eastAsia="宋体" w:hAnsi="Times New Roman"/>
                <w:color w:val="000000"/>
                <w:sz w:val="20"/>
                <w:szCs w:val="20"/>
              </w:rPr>
              <w:t>301.2 </w:t>
            </w:r>
          </w:p>
        </w:tc>
        <w:tc>
          <w:tcPr>
            <w:tcW w:w="0" w:type="auto"/>
            <w:shd w:val="clear" w:color="auto" w:fill="FFFFFF"/>
            <w:tcMar>
              <w:top w:w="40" w:type="dxa"/>
              <w:left w:w="0" w:type="dxa"/>
              <w:bottom w:w="40" w:type="dxa"/>
              <w:right w:w="20" w:type="dxa"/>
            </w:tcMar>
            <w:vAlign w:val="bottom"/>
          </w:tcPr>
          <w:p w14:paraId="00BADE7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7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73" w14:textId="77777777" w:rsidR="00871BDF" w:rsidRDefault="005C5088">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0BADE7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7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76" w14:textId="77777777" w:rsidR="00871BDF" w:rsidRDefault="005C5088">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00BADE77" w14:textId="77777777" w:rsidR="00871BDF" w:rsidRDefault="00871BDF">
            <w:pPr>
              <w:jc w:val="right"/>
              <w:rPr>
                <w:rFonts w:ascii="宋体"/>
              </w:rPr>
            </w:pPr>
          </w:p>
        </w:tc>
      </w:tr>
      <w:tr w:rsidR="00871BDF" w14:paraId="00BADE87" w14:textId="77777777">
        <w:tc>
          <w:tcPr>
            <w:tcW w:w="0" w:type="auto"/>
            <w:gridSpan w:val="3"/>
            <w:shd w:val="clear" w:color="auto" w:fill="D7E4BC"/>
            <w:tcMar>
              <w:top w:w="40" w:type="dxa"/>
              <w:left w:w="380" w:type="dxa"/>
              <w:bottom w:w="40" w:type="dxa"/>
              <w:right w:w="20" w:type="dxa"/>
            </w:tcMar>
          </w:tcPr>
          <w:p w14:paraId="00BADE79" w14:textId="77777777" w:rsidR="00871BDF" w:rsidRDefault="005C5088">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DE7A"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DE7B" w14:textId="77777777" w:rsidR="00871BDF" w:rsidRDefault="005C5088">
            <w:pPr>
              <w:jc w:val="right"/>
              <w:textAlignment w:val="bottom"/>
            </w:pPr>
            <w:r>
              <w:rPr>
                <w:rFonts w:ascii="Times New Roman" w:eastAsia="宋体" w:hAnsi="Times New Roman"/>
                <w:b/>
                <w:bCs/>
                <w:color w:val="000000"/>
                <w:sz w:val="20"/>
                <w:szCs w:val="20"/>
              </w:rPr>
              <w:t>4,077.9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E7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7D"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DE7E"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DE7F" w14:textId="77777777" w:rsidR="00871BDF" w:rsidRDefault="005C5088">
            <w:pPr>
              <w:jc w:val="right"/>
              <w:textAlignment w:val="bottom"/>
            </w:pPr>
            <w:r>
              <w:rPr>
                <w:rFonts w:ascii="Times New Roman" w:eastAsia="宋体" w:hAnsi="Times New Roman"/>
                <w:b/>
                <w:bCs/>
                <w:color w:val="000000"/>
                <w:sz w:val="20"/>
                <w:szCs w:val="20"/>
              </w:rPr>
              <w:t>3,883.3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E8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81"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E82" w14:textId="77777777" w:rsidR="00871BDF" w:rsidRDefault="005C5088">
            <w:pPr>
              <w:jc w:val="right"/>
              <w:textAlignment w:val="bottom"/>
            </w:pPr>
            <w:r>
              <w:rPr>
                <w:rFonts w:ascii="Times New Roman" w:eastAsia="宋体" w:hAnsi="Times New Roman"/>
                <w:b/>
                <w:bCs/>
                <w:color w:val="000000"/>
                <w:sz w:val="20"/>
                <w:szCs w:val="20"/>
              </w:rPr>
              <w:t>15.4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E83"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00BADE84"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E85" w14:textId="77777777" w:rsidR="00871BDF" w:rsidRDefault="005C5088">
            <w:pPr>
              <w:jc w:val="right"/>
              <w:textAlignment w:val="bottom"/>
            </w:pPr>
            <w:r>
              <w:rPr>
                <w:rFonts w:ascii="Times New Roman" w:eastAsia="宋体" w:hAnsi="Times New Roman"/>
                <w:b/>
                <w:bCs/>
                <w:color w:val="000000"/>
                <w:sz w:val="20"/>
                <w:szCs w:val="20"/>
              </w:rPr>
              <w:t>15.7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E86" w14:textId="77777777" w:rsidR="00871BDF" w:rsidRDefault="005C5088">
            <w:pPr>
              <w:jc w:val="right"/>
              <w:textAlignment w:val="bottom"/>
            </w:pPr>
            <w:r>
              <w:rPr>
                <w:rFonts w:ascii="Times New Roman" w:eastAsia="宋体" w:hAnsi="Times New Roman"/>
                <w:b/>
                <w:bCs/>
                <w:color w:val="000000"/>
                <w:sz w:val="20"/>
                <w:szCs w:val="20"/>
              </w:rPr>
              <w:t>%</w:t>
            </w:r>
          </w:p>
        </w:tc>
      </w:tr>
      <w:tr w:rsidR="00871BDF" w14:paraId="00BADE92" w14:textId="77777777">
        <w:tc>
          <w:tcPr>
            <w:tcW w:w="0" w:type="auto"/>
            <w:gridSpan w:val="3"/>
            <w:shd w:val="clear" w:color="auto" w:fill="FFFFFF"/>
            <w:tcMar>
              <w:top w:w="40" w:type="dxa"/>
              <w:left w:w="20" w:type="dxa"/>
              <w:bottom w:w="40" w:type="dxa"/>
              <w:right w:w="20" w:type="dxa"/>
            </w:tcMar>
          </w:tcPr>
          <w:p w14:paraId="00BADE88" w14:textId="77777777" w:rsidR="00871BDF" w:rsidRDefault="005C5088">
            <w:pPr>
              <w:textAlignment w:val="top"/>
            </w:pPr>
            <w:r>
              <w:rPr>
                <w:rFonts w:ascii="Times New Roman" w:eastAsia="宋体" w:hAnsi="Times New Roman"/>
                <w:color w:val="000000"/>
                <w:sz w:val="20"/>
                <w:szCs w:val="20"/>
              </w:rPr>
              <w:t>Store operating expenses as a % of related revenues</w:t>
            </w:r>
          </w:p>
        </w:tc>
        <w:tc>
          <w:tcPr>
            <w:tcW w:w="0" w:type="auto"/>
            <w:gridSpan w:val="3"/>
            <w:shd w:val="clear" w:color="auto" w:fill="FFFFFF"/>
            <w:tcMar>
              <w:top w:w="0" w:type="dxa"/>
              <w:left w:w="20" w:type="dxa"/>
              <w:bottom w:w="0" w:type="dxa"/>
              <w:right w:w="20" w:type="dxa"/>
            </w:tcMar>
          </w:tcPr>
          <w:p w14:paraId="00BADE8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E8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E8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DE8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8D" w14:textId="77777777" w:rsidR="00871BDF" w:rsidRDefault="005C5088">
            <w:pPr>
              <w:jc w:val="right"/>
              <w:textAlignment w:val="bottom"/>
            </w:pPr>
            <w:r>
              <w:rPr>
                <w:rFonts w:ascii="Times New Roman" w:eastAsia="宋体" w:hAnsi="Times New Roman"/>
                <w:color w:val="000000"/>
                <w:sz w:val="20"/>
                <w:szCs w:val="20"/>
              </w:rPr>
              <w:t>48.7 </w:t>
            </w:r>
          </w:p>
        </w:tc>
        <w:tc>
          <w:tcPr>
            <w:tcW w:w="0" w:type="auto"/>
            <w:shd w:val="clear" w:color="auto" w:fill="FFFFFF"/>
            <w:tcMar>
              <w:top w:w="40" w:type="dxa"/>
              <w:left w:w="0" w:type="dxa"/>
              <w:bottom w:w="40" w:type="dxa"/>
              <w:right w:w="20" w:type="dxa"/>
            </w:tcMar>
            <w:vAlign w:val="bottom"/>
          </w:tcPr>
          <w:p w14:paraId="00BADE8E"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E8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90" w14:textId="77777777" w:rsidR="00871BDF" w:rsidRDefault="005C5088">
            <w:pPr>
              <w:jc w:val="right"/>
              <w:textAlignment w:val="bottom"/>
            </w:pPr>
            <w:r>
              <w:rPr>
                <w:rFonts w:ascii="Times New Roman" w:eastAsia="宋体" w:hAnsi="Times New Roman"/>
                <w:color w:val="000000"/>
                <w:sz w:val="20"/>
                <w:szCs w:val="20"/>
              </w:rPr>
              <w:t>48.1 </w:t>
            </w:r>
          </w:p>
        </w:tc>
        <w:tc>
          <w:tcPr>
            <w:tcW w:w="0" w:type="auto"/>
            <w:shd w:val="clear" w:color="auto" w:fill="FFFFFF"/>
            <w:tcMar>
              <w:top w:w="40" w:type="dxa"/>
              <w:left w:w="0" w:type="dxa"/>
              <w:bottom w:w="40" w:type="dxa"/>
              <w:right w:w="20" w:type="dxa"/>
            </w:tcMar>
            <w:vAlign w:val="bottom"/>
          </w:tcPr>
          <w:p w14:paraId="00BADE91" w14:textId="77777777" w:rsidR="00871BDF" w:rsidRDefault="005C5088">
            <w:pPr>
              <w:jc w:val="right"/>
              <w:textAlignment w:val="bottom"/>
            </w:pPr>
            <w:r>
              <w:rPr>
                <w:rFonts w:ascii="Times New Roman" w:eastAsia="宋体" w:hAnsi="Times New Roman"/>
                <w:color w:val="000000"/>
                <w:sz w:val="20"/>
                <w:szCs w:val="20"/>
              </w:rPr>
              <w:t>%</w:t>
            </w:r>
          </w:p>
        </w:tc>
      </w:tr>
    </w:tbl>
    <w:p w14:paraId="00BADE93" w14:textId="77777777" w:rsidR="00871BDF" w:rsidRDefault="005C5088">
      <w:pPr>
        <w:spacing w:before="120"/>
      </w:pPr>
      <w:r>
        <w:rPr>
          <w:rFonts w:ascii="Times New Roman" w:eastAsia="宋体" w:hAnsi="Times New Roman"/>
          <w:color w:val="000000"/>
          <w:sz w:val="20"/>
          <w:szCs w:val="20"/>
        </w:rPr>
        <w:t xml:space="preserve">Product and distribution costs as a percentage of total net revenues </w:t>
      </w:r>
      <w:r>
        <w:rPr>
          <w:rFonts w:ascii="Times New Roman" w:eastAsia="宋体" w:hAnsi="Times New Roman"/>
          <w:color w:val="000000"/>
          <w:sz w:val="20"/>
          <w:szCs w:val="20"/>
        </w:rPr>
        <w:t>increased 10 basis points, primarily due to licensing our CPG and Foodservice businesses to Nestlé (approximately 80 basis points), partially offset by cost savings initiatives (approximately 70 basis points) and leverage on product and distribution costs,</w:t>
      </w:r>
      <w:r>
        <w:rPr>
          <w:rFonts w:ascii="Times New Roman" w:eastAsia="宋体" w:hAnsi="Times New Roman"/>
          <w:color w:val="000000"/>
          <w:sz w:val="20"/>
          <w:szCs w:val="20"/>
        </w:rPr>
        <w:t xml:space="preserve"> largely driven by price increases.</w:t>
      </w:r>
    </w:p>
    <w:p w14:paraId="00BADE94" w14:textId="77777777" w:rsidR="00871BDF" w:rsidRDefault="005C5088">
      <w:pPr>
        <w:spacing w:before="120"/>
      </w:pPr>
      <w:r>
        <w:rPr>
          <w:rFonts w:ascii="Times New Roman" w:eastAsia="宋体" w:hAnsi="Times New Roman"/>
          <w:color w:val="000000"/>
          <w:sz w:val="20"/>
          <w:szCs w:val="20"/>
        </w:rPr>
        <w:t>Store operating expenses as a percentage of total net revenues increased 130 basis points. Store operating expenses as a percentage of company-operated store revenues increased 60 basis points, primarily driven by invest</w:t>
      </w:r>
      <w:r>
        <w:rPr>
          <w:rFonts w:ascii="Times New Roman" w:eastAsia="宋体" w:hAnsi="Times New Roman"/>
          <w:color w:val="000000"/>
          <w:sz w:val="20"/>
          <w:szCs w:val="20"/>
        </w:rPr>
        <w:t>ments in our store partners that are funded by savings from the Tax Act and growth in wages and benefits (approximately 120 basis points), largely in the Americas segment, partially offset by sales leverage driven by price increases and the impact of the a</w:t>
      </w:r>
      <w:r>
        <w:rPr>
          <w:rFonts w:ascii="Times New Roman" w:eastAsia="宋体" w:hAnsi="Times New Roman"/>
          <w:color w:val="000000"/>
          <w:sz w:val="20"/>
          <w:szCs w:val="20"/>
        </w:rPr>
        <w:t>doption of new revenue recognition guidance on stored value card breakage.</w:t>
      </w:r>
    </w:p>
    <w:p w14:paraId="00BADE95" w14:textId="77777777" w:rsidR="00871BDF" w:rsidRDefault="005C5088">
      <w:pPr>
        <w:spacing w:before="120"/>
      </w:pPr>
      <w:r>
        <w:rPr>
          <w:rFonts w:ascii="Times New Roman" w:eastAsia="宋体" w:hAnsi="Times New Roman"/>
          <w:color w:val="000000"/>
          <w:sz w:val="20"/>
          <w:szCs w:val="20"/>
        </w:rPr>
        <w:t>Other operating expenses decreased $184 million, primarily due to cost savings related to licensing our CPG and Foodservice businesses to Nestlé ($176 million) and lapping prior yea</w:t>
      </w:r>
      <w:r>
        <w:rPr>
          <w:rFonts w:ascii="Times New Roman" w:eastAsia="宋体" w:hAnsi="Times New Roman"/>
          <w:color w:val="000000"/>
          <w:sz w:val="20"/>
          <w:szCs w:val="20"/>
        </w:rPr>
        <w:t>r costs associated with the establishment of the Global Coffee Alliance ($34 million), including business taxes associated with the up-front prepaid royalty from Nestlé and headcount-related costs, primarily relating to employee bonus and retention costs.</w:t>
      </w:r>
    </w:p>
    <w:p w14:paraId="00BADE96" w14:textId="77777777" w:rsidR="00871BDF" w:rsidRDefault="005C5088">
      <w:pPr>
        <w:spacing w:before="120"/>
      </w:pPr>
      <w:r>
        <w:rPr>
          <w:rFonts w:ascii="Times New Roman" w:eastAsia="宋体" w:hAnsi="Times New Roman"/>
          <w:color w:val="000000"/>
          <w:sz w:val="20"/>
          <w:szCs w:val="20"/>
        </w:rPr>
        <w:t>Depreciation and amortization expenses as a percentage of total net revenues increased 20 basis points, primarily due to the impact of our ownership change in East China (approximately 20 basis points).</w:t>
      </w:r>
    </w:p>
    <w:p w14:paraId="00BADE97" w14:textId="77777777" w:rsidR="00871BDF" w:rsidRDefault="005C5088">
      <w:pPr>
        <w:spacing w:before="120"/>
      </w:pPr>
      <w:r>
        <w:rPr>
          <w:rFonts w:ascii="Times New Roman" w:eastAsia="宋体" w:hAnsi="Times New Roman"/>
          <w:color w:val="000000"/>
          <w:sz w:val="20"/>
          <w:szCs w:val="20"/>
        </w:rPr>
        <w:t xml:space="preserve">General and administrative expenses </w:t>
      </w:r>
      <w:r>
        <w:rPr>
          <w:rFonts w:ascii="Times New Roman" w:eastAsia="宋体" w:hAnsi="Times New Roman"/>
          <w:color w:val="000000"/>
          <w:sz w:val="20"/>
          <w:szCs w:val="20"/>
        </w:rPr>
        <w:t>increased $116 million, primarily driven by higher performance-based compensation ($89 million) and the 2019 Starbucks Leadership Experience in Chicago, heavily concentrated in our fiscal fourth quarter ($52 million).</w:t>
      </w:r>
    </w:p>
    <w:p w14:paraId="00BADE98" w14:textId="77777777" w:rsidR="00871BDF" w:rsidRDefault="005C5088">
      <w:pPr>
        <w:spacing w:before="120"/>
      </w:pPr>
      <w:r>
        <w:rPr>
          <w:rFonts w:ascii="Times New Roman" w:eastAsia="宋体" w:hAnsi="Times New Roman"/>
          <w:color w:val="000000"/>
          <w:sz w:val="20"/>
          <w:szCs w:val="20"/>
        </w:rPr>
        <w:t xml:space="preserve">Restructuring and impairment expenses </w:t>
      </w:r>
      <w:r>
        <w:rPr>
          <w:rFonts w:ascii="Times New Roman" w:eastAsia="宋体" w:hAnsi="Times New Roman"/>
          <w:color w:val="000000"/>
          <w:sz w:val="20"/>
          <w:szCs w:val="20"/>
        </w:rPr>
        <w:t>decreased $89 million, primarily due to lower restructuring and impairment costs related to Teavana</w:t>
      </w:r>
      <w:r>
        <w:rPr>
          <w:rFonts w:ascii="Times New Roman" w:eastAsia="宋体" w:hAnsi="Times New Roman"/>
          <w:color w:val="000000"/>
          <w:sz w:val="13"/>
          <w:szCs w:val="13"/>
        </w:rPr>
        <w:t>TM/MC</w:t>
      </w:r>
      <w:r>
        <w:rPr>
          <w:rFonts w:ascii="Times New Roman" w:eastAsia="宋体" w:hAnsi="Times New Roman"/>
          <w:color w:val="000000"/>
          <w:sz w:val="20"/>
          <w:szCs w:val="20"/>
        </w:rPr>
        <w:t xml:space="preserve"> retail store closures ($128 million) and lower impairments related to our Switzerland retail market ($27 million), partially offset by higher exit costs associated with the closure of certain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company-operated stores ($32 million) and severance </w:t>
      </w:r>
      <w:r>
        <w:rPr>
          <w:rFonts w:ascii="Times New Roman" w:eastAsia="宋体" w:hAnsi="Times New Roman"/>
          <w:color w:val="000000"/>
          <w:sz w:val="20"/>
          <w:szCs w:val="20"/>
        </w:rPr>
        <w:t>costs ($25 million).</w:t>
      </w:r>
    </w:p>
    <w:p w14:paraId="00BADE99" w14:textId="77777777" w:rsidR="00871BDF" w:rsidRDefault="005C5088">
      <w:pPr>
        <w:spacing w:before="120"/>
      </w:pPr>
      <w:r>
        <w:rPr>
          <w:rFonts w:ascii="Times New Roman" w:eastAsia="宋体" w:hAnsi="Times New Roman"/>
          <w:color w:val="000000"/>
          <w:sz w:val="20"/>
          <w:szCs w:val="20"/>
        </w:rPr>
        <w:t>Income from equity investees decreased $3 million, primarily due to the impact of our ownership changes in East China. This decrease was partially offset by improved comparable store sales from our joint venture in South Korea and high</w:t>
      </w:r>
      <w:r>
        <w:rPr>
          <w:rFonts w:ascii="Times New Roman" w:eastAsia="宋体" w:hAnsi="Times New Roman"/>
          <w:color w:val="000000"/>
          <w:sz w:val="20"/>
          <w:szCs w:val="20"/>
        </w:rPr>
        <w:t>er income from our North American Coffee Partnership joint venture.</w:t>
      </w:r>
    </w:p>
    <w:p w14:paraId="00BADE9A" w14:textId="77777777" w:rsidR="00871BDF" w:rsidRDefault="005C5088">
      <w:pPr>
        <w:spacing w:before="120"/>
      </w:pPr>
      <w:r>
        <w:rPr>
          <w:rFonts w:ascii="Times New Roman" w:eastAsia="宋体" w:hAnsi="Times New Roman"/>
          <w:color w:val="000000"/>
          <w:sz w:val="20"/>
          <w:szCs w:val="20"/>
        </w:rPr>
        <w:t>The combination of these changes resulted in an overall decrease in operating margin of 30 basis points in fiscal 2019 when compared to fiscal 2018.</w:t>
      </w:r>
    </w:p>
    <w:p w14:paraId="00BADE9B" w14:textId="77777777" w:rsidR="00871BDF" w:rsidRDefault="005C5088">
      <w:pPr>
        <w:jc w:val="center"/>
      </w:pPr>
      <w:r>
        <w:rPr>
          <w:rFonts w:ascii="Times New Roman" w:eastAsia="宋体" w:hAnsi="Times New Roman"/>
          <w:color w:val="000000"/>
          <w:sz w:val="20"/>
          <w:szCs w:val="20"/>
        </w:rPr>
        <w:t>33</w:t>
      </w:r>
    </w:p>
    <w:p w14:paraId="00BADE9C" w14:textId="77777777" w:rsidR="00871BDF" w:rsidRDefault="005C5088">
      <w:r>
        <w:pict w14:anchorId="00BB1486">
          <v:rect id="_x0000_i1060" style="width:415.3pt;height:1.5pt" o:hralign="center" o:hrstd="t" o:hr="t" fillcolor="#a0a0a0" stroked="f"/>
        </w:pict>
      </w:r>
    </w:p>
    <w:p w14:paraId="00BADE9D" w14:textId="77777777" w:rsidR="00871BDF" w:rsidRDefault="005C5088">
      <w:hyperlink r:id="rId97" w:anchor="i54ccc64cb5384be5a4849ef1cdef4dde_7" w:history="1">
        <w:r>
          <w:rPr>
            <w:rStyle w:val="a5"/>
            <w:rFonts w:ascii="Times New Roman" w:eastAsia="宋体" w:hAnsi="Times New Roman"/>
            <w:sz w:val="20"/>
            <w:szCs w:val="20"/>
          </w:rPr>
          <w:t>Table of Contents</w:t>
        </w:r>
      </w:hyperlink>
    </w:p>
    <w:p w14:paraId="00BADE9E" w14:textId="77777777" w:rsidR="00871BDF" w:rsidRDefault="005C5088">
      <w:pPr>
        <w:spacing w:before="120"/>
      </w:pPr>
      <w:r>
        <w:rPr>
          <w:rFonts w:ascii="Times New Roman" w:eastAsia="宋体" w:hAnsi="Times New Roman"/>
          <w:color w:val="000000"/>
          <w:sz w:val="20"/>
          <w:szCs w:val="20"/>
          <w:u w:val="single"/>
        </w:rPr>
        <w:t>Other Income and Expenses</w:t>
      </w:r>
    </w:p>
    <w:tbl>
      <w:tblPr>
        <w:tblW w:w="4993" w:type="pct"/>
        <w:tblCellMar>
          <w:top w:w="15" w:type="dxa"/>
          <w:left w:w="15" w:type="dxa"/>
          <w:bottom w:w="15" w:type="dxa"/>
          <w:right w:w="15" w:type="dxa"/>
        </w:tblCellMar>
        <w:tblLook w:val="04A0" w:firstRow="1" w:lastRow="0" w:firstColumn="1" w:lastColumn="0" w:noHBand="0" w:noVBand="1"/>
      </w:tblPr>
      <w:tblGrid>
        <w:gridCol w:w="49"/>
        <w:gridCol w:w="2536"/>
        <w:gridCol w:w="40"/>
        <w:gridCol w:w="120"/>
        <w:gridCol w:w="1194"/>
        <w:gridCol w:w="36"/>
        <w:gridCol w:w="36"/>
        <w:gridCol w:w="36"/>
        <w:gridCol w:w="36"/>
        <w:gridCol w:w="120"/>
        <w:gridCol w:w="1133"/>
        <w:gridCol w:w="36"/>
        <w:gridCol w:w="36"/>
        <w:gridCol w:w="36"/>
        <w:gridCol w:w="36"/>
        <w:gridCol w:w="38"/>
        <w:gridCol w:w="1110"/>
        <w:gridCol w:w="220"/>
        <w:gridCol w:w="36"/>
        <w:gridCol w:w="36"/>
        <w:gridCol w:w="36"/>
        <w:gridCol w:w="38"/>
        <w:gridCol w:w="1110"/>
        <w:gridCol w:w="220"/>
      </w:tblGrid>
      <w:tr w:rsidR="00871BDF" w14:paraId="00BADEB7" w14:textId="77777777">
        <w:tc>
          <w:tcPr>
            <w:tcW w:w="50" w:type="pct"/>
            <w:shd w:val="clear" w:color="auto" w:fill="auto"/>
          </w:tcPr>
          <w:p w14:paraId="00BADE9F" w14:textId="77777777" w:rsidR="00871BDF" w:rsidRDefault="00871BDF">
            <w:pPr>
              <w:rPr>
                <w:rFonts w:ascii="宋体"/>
              </w:rPr>
            </w:pPr>
          </w:p>
        </w:tc>
        <w:tc>
          <w:tcPr>
            <w:tcW w:w="1584" w:type="pct"/>
            <w:shd w:val="clear" w:color="auto" w:fill="auto"/>
          </w:tcPr>
          <w:p w14:paraId="00BADEA0" w14:textId="77777777" w:rsidR="00871BDF" w:rsidRDefault="00871BDF">
            <w:pPr>
              <w:rPr>
                <w:rFonts w:ascii="宋体"/>
              </w:rPr>
            </w:pPr>
          </w:p>
        </w:tc>
        <w:tc>
          <w:tcPr>
            <w:tcW w:w="5" w:type="pct"/>
            <w:shd w:val="clear" w:color="auto" w:fill="auto"/>
          </w:tcPr>
          <w:p w14:paraId="00BADEA1" w14:textId="77777777" w:rsidR="00871BDF" w:rsidRDefault="00871BDF">
            <w:pPr>
              <w:rPr>
                <w:rFonts w:ascii="宋体"/>
              </w:rPr>
            </w:pPr>
          </w:p>
        </w:tc>
        <w:tc>
          <w:tcPr>
            <w:tcW w:w="50" w:type="pct"/>
            <w:shd w:val="clear" w:color="auto" w:fill="auto"/>
          </w:tcPr>
          <w:p w14:paraId="00BADEA2" w14:textId="77777777" w:rsidR="00871BDF" w:rsidRDefault="00871BDF">
            <w:pPr>
              <w:rPr>
                <w:rFonts w:ascii="宋体"/>
              </w:rPr>
            </w:pPr>
          </w:p>
        </w:tc>
        <w:tc>
          <w:tcPr>
            <w:tcW w:w="757" w:type="pct"/>
            <w:shd w:val="clear" w:color="auto" w:fill="auto"/>
          </w:tcPr>
          <w:p w14:paraId="00BADEA3" w14:textId="77777777" w:rsidR="00871BDF" w:rsidRDefault="00871BDF">
            <w:pPr>
              <w:rPr>
                <w:rFonts w:ascii="宋体"/>
              </w:rPr>
            </w:pPr>
          </w:p>
        </w:tc>
        <w:tc>
          <w:tcPr>
            <w:tcW w:w="5" w:type="pct"/>
            <w:shd w:val="clear" w:color="auto" w:fill="auto"/>
          </w:tcPr>
          <w:p w14:paraId="00BADEA4" w14:textId="77777777" w:rsidR="00871BDF" w:rsidRDefault="00871BDF">
            <w:pPr>
              <w:rPr>
                <w:rFonts w:ascii="宋体"/>
              </w:rPr>
            </w:pPr>
          </w:p>
        </w:tc>
        <w:tc>
          <w:tcPr>
            <w:tcW w:w="5" w:type="pct"/>
            <w:shd w:val="clear" w:color="auto" w:fill="auto"/>
          </w:tcPr>
          <w:p w14:paraId="00BADEA5" w14:textId="77777777" w:rsidR="00871BDF" w:rsidRDefault="00871BDF">
            <w:pPr>
              <w:rPr>
                <w:rFonts w:ascii="宋体"/>
              </w:rPr>
            </w:pPr>
          </w:p>
        </w:tc>
        <w:tc>
          <w:tcPr>
            <w:tcW w:w="26" w:type="pct"/>
            <w:shd w:val="clear" w:color="auto" w:fill="auto"/>
          </w:tcPr>
          <w:p w14:paraId="00BADEA6" w14:textId="77777777" w:rsidR="00871BDF" w:rsidRDefault="00871BDF">
            <w:pPr>
              <w:rPr>
                <w:rFonts w:ascii="宋体"/>
              </w:rPr>
            </w:pPr>
          </w:p>
        </w:tc>
        <w:tc>
          <w:tcPr>
            <w:tcW w:w="5" w:type="pct"/>
            <w:shd w:val="clear" w:color="auto" w:fill="auto"/>
          </w:tcPr>
          <w:p w14:paraId="00BADEA7" w14:textId="77777777" w:rsidR="00871BDF" w:rsidRDefault="00871BDF">
            <w:pPr>
              <w:rPr>
                <w:rFonts w:ascii="宋体"/>
              </w:rPr>
            </w:pPr>
          </w:p>
        </w:tc>
        <w:tc>
          <w:tcPr>
            <w:tcW w:w="50" w:type="pct"/>
            <w:shd w:val="clear" w:color="auto" w:fill="auto"/>
          </w:tcPr>
          <w:p w14:paraId="00BADEA8" w14:textId="77777777" w:rsidR="00871BDF" w:rsidRDefault="00871BDF">
            <w:pPr>
              <w:rPr>
                <w:rFonts w:ascii="宋体"/>
              </w:rPr>
            </w:pPr>
          </w:p>
        </w:tc>
        <w:tc>
          <w:tcPr>
            <w:tcW w:w="757" w:type="pct"/>
            <w:shd w:val="clear" w:color="auto" w:fill="auto"/>
          </w:tcPr>
          <w:p w14:paraId="00BADEA9" w14:textId="77777777" w:rsidR="00871BDF" w:rsidRDefault="00871BDF">
            <w:pPr>
              <w:rPr>
                <w:rFonts w:ascii="宋体"/>
              </w:rPr>
            </w:pPr>
          </w:p>
        </w:tc>
        <w:tc>
          <w:tcPr>
            <w:tcW w:w="5" w:type="pct"/>
            <w:shd w:val="clear" w:color="auto" w:fill="auto"/>
          </w:tcPr>
          <w:p w14:paraId="00BADEAA" w14:textId="77777777" w:rsidR="00871BDF" w:rsidRDefault="00871BDF">
            <w:pPr>
              <w:rPr>
                <w:rFonts w:ascii="宋体"/>
              </w:rPr>
            </w:pPr>
          </w:p>
        </w:tc>
        <w:tc>
          <w:tcPr>
            <w:tcW w:w="5" w:type="pct"/>
            <w:shd w:val="clear" w:color="auto" w:fill="auto"/>
          </w:tcPr>
          <w:p w14:paraId="00BADEAB" w14:textId="77777777" w:rsidR="00871BDF" w:rsidRDefault="00871BDF">
            <w:pPr>
              <w:rPr>
                <w:rFonts w:ascii="宋体"/>
              </w:rPr>
            </w:pPr>
          </w:p>
        </w:tc>
        <w:tc>
          <w:tcPr>
            <w:tcW w:w="26" w:type="pct"/>
            <w:shd w:val="clear" w:color="auto" w:fill="auto"/>
          </w:tcPr>
          <w:p w14:paraId="00BADEAC" w14:textId="77777777" w:rsidR="00871BDF" w:rsidRDefault="00871BDF">
            <w:pPr>
              <w:rPr>
                <w:rFonts w:ascii="宋体"/>
              </w:rPr>
            </w:pPr>
          </w:p>
        </w:tc>
        <w:tc>
          <w:tcPr>
            <w:tcW w:w="5" w:type="pct"/>
            <w:shd w:val="clear" w:color="auto" w:fill="auto"/>
          </w:tcPr>
          <w:p w14:paraId="00BADEAD" w14:textId="77777777" w:rsidR="00871BDF" w:rsidRDefault="00871BDF">
            <w:pPr>
              <w:rPr>
                <w:rFonts w:ascii="宋体"/>
              </w:rPr>
            </w:pPr>
          </w:p>
        </w:tc>
        <w:tc>
          <w:tcPr>
            <w:tcW w:w="50" w:type="pct"/>
            <w:shd w:val="clear" w:color="auto" w:fill="auto"/>
          </w:tcPr>
          <w:p w14:paraId="00BADEAE" w14:textId="77777777" w:rsidR="00871BDF" w:rsidRDefault="00871BDF">
            <w:pPr>
              <w:rPr>
                <w:rFonts w:ascii="宋体"/>
              </w:rPr>
            </w:pPr>
          </w:p>
        </w:tc>
        <w:tc>
          <w:tcPr>
            <w:tcW w:w="757" w:type="pct"/>
            <w:shd w:val="clear" w:color="auto" w:fill="auto"/>
          </w:tcPr>
          <w:p w14:paraId="00BADEAF" w14:textId="77777777" w:rsidR="00871BDF" w:rsidRDefault="00871BDF">
            <w:pPr>
              <w:rPr>
                <w:rFonts w:ascii="宋体"/>
              </w:rPr>
            </w:pPr>
          </w:p>
        </w:tc>
        <w:tc>
          <w:tcPr>
            <w:tcW w:w="5" w:type="pct"/>
            <w:shd w:val="clear" w:color="auto" w:fill="auto"/>
          </w:tcPr>
          <w:p w14:paraId="00BADEB0" w14:textId="77777777" w:rsidR="00871BDF" w:rsidRDefault="00871BDF">
            <w:pPr>
              <w:rPr>
                <w:rFonts w:ascii="宋体"/>
              </w:rPr>
            </w:pPr>
          </w:p>
        </w:tc>
        <w:tc>
          <w:tcPr>
            <w:tcW w:w="5" w:type="pct"/>
            <w:shd w:val="clear" w:color="auto" w:fill="auto"/>
          </w:tcPr>
          <w:p w14:paraId="00BADEB1" w14:textId="77777777" w:rsidR="00871BDF" w:rsidRDefault="00871BDF">
            <w:pPr>
              <w:rPr>
                <w:rFonts w:ascii="宋体"/>
              </w:rPr>
            </w:pPr>
          </w:p>
        </w:tc>
        <w:tc>
          <w:tcPr>
            <w:tcW w:w="26" w:type="pct"/>
            <w:shd w:val="clear" w:color="auto" w:fill="auto"/>
          </w:tcPr>
          <w:p w14:paraId="00BADEB2" w14:textId="77777777" w:rsidR="00871BDF" w:rsidRDefault="00871BDF">
            <w:pPr>
              <w:rPr>
                <w:rFonts w:ascii="宋体"/>
              </w:rPr>
            </w:pPr>
          </w:p>
        </w:tc>
        <w:tc>
          <w:tcPr>
            <w:tcW w:w="5" w:type="pct"/>
            <w:shd w:val="clear" w:color="auto" w:fill="auto"/>
          </w:tcPr>
          <w:p w14:paraId="00BADEB3" w14:textId="77777777" w:rsidR="00871BDF" w:rsidRDefault="00871BDF">
            <w:pPr>
              <w:rPr>
                <w:rFonts w:ascii="宋体"/>
              </w:rPr>
            </w:pPr>
          </w:p>
        </w:tc>
        <w:tc>
          <w:tcPr>
            <w:tcW w:w="50" w:type="pct"/>
            <w:shd w:val="clear" w:color="auto" w:fill="auto"/>
          </w:tcPr>
          <w:p w14:paraId="00BADEB4" w14:textId="77777777" w:rsidR="00871BDF" w:rsidRDefault="00871BDF">
            <w:pPr>
              <w:rPr>
                <w:rFonts w:ascii="宋体"/>
              </w:rPr>
            </w:pPr>
          </w:p>
        </w:tc>
        <w:tc>
          <w:tcPr>
            <w:tcW w:w="757" w:type="pct"/>
            <w:shd w:val="clear" w:color="auto" w:fill="auto"/>
          </w:tcPr>
          <w:p w14:paraId="00BADEB5" w14:textId="77777777" w:rsidR="00871BDF" w:rsidRDefault="00871BDF">
            <w:pPr>
              <w:rPr>
                <w:rFonts w:ascii="宋体"/>
              </w:rPr>
            </w:pPr>
          </w:p>
        </w:tc>
        <w:tc>
          <w:tcPr>
            <w:tcW w:w="5" w:type="pct"/>
            <w:shd w:val="clear" w:color="auto" w:fill="auto"/>
          </w:tcPr>
          <w:p w14:paraId="00BADEB6" w14:textId="77777777" w:rsidR="00871BDF" w:rsidRDefault="00871BDF">
            <w:pPr>
              <w:rPr>
                <w:rFonts w:ascii="宋体"/>
              </w:rPr>
            </w:pPr>
          </w:p>
        </w:tc>
      </w:tr>
      <w:tr w:rsidR="00871BDF" w14:paraId="00BADEC0" w14:textId="77777777">
        <w:tc>
          <w:tcPr>
            <w:tcW w:w="0" w:type="auto"/>
            <w:gridSpan w:val="3"/>
            <w:shd w:val="clear" w:color="auto" w:fill="auto"/>
            <w:tcMar>
              <w:top w:w="40" w:type="dxa"/>
              <w:left w:w="20" w:type="dxa"/>
              <w:bottom w:w="40" w:type="dxa"/>
              <w:right w:w="20" w:type="dxa"/>
            </w:tcMar>
            <w:vAlign w:val="bottom"/>
          </w:tcPr>
          <w:p w14:paraId="00BADEB8"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DEB9"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DEB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EBB"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c>
          <w:tcPr>
            <w:tcW w:w="0" w:type="auto"/>
            <w:gridSpan w:val="3"/>
            <w:shd w:val="clear" w:color="auto" w:fill="auto"/>
            <w:tcMar>
              <w:top w:w="0" w:type="dxa"/>
              <w:left w:w="20" w:type="dxa"/>
              <w:bottom w:w="0" w:type="dxa"/>
              <w:right w:w="20" w:type="dxa"/>
            </w:tcMar>
          </w:tcPr>
          <w:p w14:paraId="00BADEB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EBD"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tcBorders>
              <w:bottom w:val="single" w:sz="8" w:space="0" w:color="000000"/>
            </w:tcBorders>
            <w:shd w:val="clear" w:color="auto" w:fill="auto"/>
            <w:tcMar>
              <w:top w:w="0" w:type="dxa"/>
              <w:left w:w="20" w:type="dxa"/>
              <w:bottom w:w="0" w:type="dxa"/>
              <w:right w:w="20" w:type="dxa"/>
            </w:tcMar>
          </w:tcPr>
          <w:p w14:paraId="00BADEBE" w14:textId="77777777" w:rsidR="00871BDF" w:rsidRDefault="00871BDF">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0BADEBF"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r>
      <w:tr w:rsidR="00871BDF" w14:paraId="00BADEC8" w14:textId="77777777">
        <w:tc>
          <w:tcPr>
            <w:tcW w:w="0" w:type="auto"/>
            <w:gridSpan w:val="3"/>
            <w:shd w:val="clear" w:color="auto" w:fill="auto"/>
            <w:tcMar>
              <w:top w:w="40" w:type="dxa"/>
              <w:left w:w="20" w:type="dxa"/>
              <w:bottom w:w="40" w:type="dxa"/>
              <w:right w:w="20" w:type="dxa"/>
            </w:tcMar>
            <w:vAlign w:val="bottom"/>
          </w:tcPr>
          <w:p w14:paraId="00BADEC1"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0BADEC2"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ADEC3"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ADEC4"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ADEC5" w14:textId="77777777" w:rsidR="00871BDF" w:rsidRDefault="00871BD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0BADEC6" w14:textId="77777777" w:rsidR="00871BDF" w:rsidRDefault="005C5088">
            <w:pPr>
              <w:jc w:val="center"/>
              <w:textAlignment w:val="bottom"/>
            </w:pPr>
            <w:r>
              <w:rPr>
                <w:rFonts w:ascii="Times New Roman" w:eastAsia="宋体" w:hAnsi="Times New Roman"/>
                <w:b/>
                <w:bCs/>
                <w:color w:val="000000"/>
                <w:sz w:val="16"/>
                <w:szCs w:val="16"/>
              </w:rPr>
              <w:t>As a % of Total</w:t>
            </w:r>
          </w:p>
          <w:p w14:paraId="00BADEC7" w14:textId="77777777" w:rsidR="00871BDF" w:rsidRDefault="005C5088">
            <w:pPr>
              <w:jc w:val="center"/>
              <w:textAlignment w:val="bottom"/>
            </w:pPr>
            <w:r>
              <w:rPr>
                <w:rFonts w:ascii="Times New Roman" w:eastAsia="宋体" w:hAnsi="Times New Roman"/>
                <w:b/>
                <w:bCs/>
                <w:color w:val="000000"/>
                <w:sz w:val="16"/>
                <w:szCs w:val="16"/>
              </w:rPr>
              <w:t>Net Revenues</w:t>
            </w:r>
          </w:p>
        </w:tc>
      </w:tr>
      <w:tr w:rsidR="00871BDF" w14:paraId="00BADED7" w14:textId="77777777">
        <w:tc>
          <w:tcPr>
            <w:tcW w:w="0" w:type="auto"/>
            <w:gridSpan w:val="3"/>
            <w:shd w:val="clear" w:color="auto" w:fill="D7E4BC"/>
            <w:tcMar>
              <w:top w:w="40" w:type="dxa"/>
              <w:left w:w="20" w:type="dxa"/>
              <w:bottom w:w="40" w:type="dxa"/>
              <w:right w:w="20" w:type="dxa"/>
            </w:tcMar>
          </w:tcPr>
          <w:p w14:paraId="00BADEC9" w14:textId="77777777" w:rsidR="00871BDF" w:rsidRDefault="005C5088">
            <w:pPr>
              <w:textAlignment w:val="top"/>
            </w:pPr>
            <w:r>
              <w:rPr>
                <w:rFonts w:ascii="Times New Roman" w:eastAsia="宋体" w:hAnsi="Times New Roman"/>
                <w:color w:val="000000"/>
                <w:sz w:val="20"/>
                <w:szCs w:val="20"/>
              </w:rPr>
              <w:t>Operating income</w:t>
            </w:r>
          </w:p>
        </w:tc>
        <w:tc>
          <w:tcPr>
            <w:tcW w:w="0" w:type="auto"/>
            <w:shd w:val="clear" w:color="auto" w:fill="D7E4BC"/>
            <w:tcMar>
              <w:top w:w="40" w:type="dxa"/>
              <w:left w:w="20" w:type="dxa"/>
              <w:bottom w:w="40" w:type="dxa"/>
              <w:right w:w="0" w:type="dxa"/>
            </w:tcMar>
            <w:vAlign w:val="bottom"/>
          </w:tcPr>
          <w:p w14:paraId="00BADECA"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DECB" w14:textId="77777777" w:rsidR="00871BDF" w:rsidRDefault="005C5088">
            <w:pPr>
              <w:jc w:val="right"/>
              <w:textAlignment w:val="bottom"/>
            </w:pPr>
            <w:r>
              <w:rPr>
                <w:rFonts w:ascii="Times New Roman" w:eastAsia="宋体" w:hAnsi="Times New Roman"/>
                <w:color w:val="000000"/>
                <w:sz w:val="20"/>
                <w:szCs w:val="20"/>
              </w:rPr>
              <w:t>4,077.9 </w:t>
            </w:r>
          </w:p>
        </w:tc>
        <w:tc>
          <w:tcPr>
            <w:tcW w:w="0" w:type="auto"/>
            <w:shd w:val="clear" w:color="auto" w:fill="D7E4BC"/>
            <w:tcMar>
              <w:top w:w="40" w:type="dxa"/>
              <w:left w:w="0" w:type="dxa"/>
              <w:bottom w:w="40" w:type="dxa"/>
              <w:right w:w="20" w:type="dxa"/>
            </w:tcMar>
            <w:vAlign w:val="bottom"/>
          </w:tcPr>
          <w:p w14:paraId="00BADEC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CD"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DECE"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DECF" w14:textId="77777777" w:rsidR="00871BDF" w:rsidRDefault="005C5088">
            <w:pPr>
              <w:jc w:val="right"/>
              <w:textAlignment w:val="bottom"/>
            </w:pPr>
            <w:r>
              <w:rPr>
                <w:rFonts w:ascii="Times New Roman" w:eastAsia="宋体" w:hAnsi="Times New Roman"/>
                <w:color w:val="000000"/>
                <w:sz w:val="20"/>
                <w:szCs w:val="20"/>
              </w:rPr>
              <w:t>3,883.3 </w:t>
            </w:r>
          </w:p>
        </w:tc>
        <w:tc>
          <w:tcPr>
            <w:tcW w:w="0" w:type="auto"/>
            <w:shd w:val="clear" w:color="auto" w:fill="D7E4BC"/>
            <w:tcMar>
              <w:top w:w="40" w:type="dxa"/>
              <w:left w:w="0" w:type="dxa"/>
              <w:bottom w:w="40" w:type="dxa"/>
              <w:right w:w="20" w:type="dxa"/>
            </w:tcMar>
            <w:vAlign w:val="bottom"/>
          </w:tcPr>
          <w:p w14:paraId="00BADED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D1"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ED2" w14:textId="77777777" w:rsidR="00871BDF" w:rsidRDefault="005C5088">
            <w:pPr>
              <w:jc w:val="right"/>
              <w:textAlignment w:val="bottom"/>
            </w:pPr>
            <w:r>
              <w:rPr>
                <w:rFonts w:ascii="Times New Roman" w:eastAsia="宋体" w:hAnsi="Times New Roman"/>
                <w:color w:val="000000"/>
                <w:sz w:val="20"/>
                <w:szCs w:val="20"/>
              </w:rPr>
              <w:t>15.4 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ED3"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tcPr>
          <w:p w14:paraId="00BADED4"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ED5" w14:textId="77777777" w:rsidR="00871BDF" w:rsidRDefault="005C5088">
            <w:pPr>
              <w:jc w:val="right"/>
              <w:textAlignment w:val="bottom"/>
            </w:pPr>
            <w:r>
              <w:rPr>
                <w:rFonts w:ascii="Times New Roman" w:eastAsia="宋体" w:hAnsi="Times New Roman"/>
                <w:color w:val="000000"/>
                <w:sz w:val="20"/>
                <w:szCs w:val="20"/>
              </w:rPr>
              <w:t>15.7 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ED6"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DEE4" w14:textId="77777777">
        <w:tc>
          <w:tcPr>
            <w:tcW w:w="0" w:type="auto"/>
            <w:gridSpan w:val="3"/>
            <w:shd w:val="clear" w:color="auto" w:fill="FFFFFF"/>
            <w:tcMar>
              <w:top w:w="40" w:type="dxa"/>
              <w:left w:w="20" w:type="dxa"/>
              <w:bottom w:w="40" w:type="dxa"/>
              <w:right w:w="20" w:type="dxa"/>
            </w:tcMar>
          </w:tcPr>
          <w:p w14:paraId="00BADED8" w14:textId="77777777" w:rsidR="00871BDF" w:rsidRDefault="005C5088">
            <w:pPr>
              <w:textAlignment w:val="top"/>
            </w:pPr>
            <w:r>
              <w:rPr>
                <w:rFonts w:ascii="Times New Roman" w:eastAsia="宋体" w:hAnsi="Times New Roman"/>
                <w:color w:val="000000"/>
                <w:sz w:val="20"/>
                <w:szCs w:val="20"/>
              </w:rPr>
              <w:t>Gain resulting from acquisition of joint venture</w:t>
            </w:r>
          </w:p>
        </w:tc>
        <w:tc>
          <w:tcPr>
            <w:tcW w:w="0" w:type="auto"/>
            <w:gridSpan w:val="2"/>
            <w:shd w:val="clear" w:color="auto" w:fill="FFFFFF"/>
            <w:tcMar>
              <w:top w:w="40" w:type="dxa"/>
              <w:left w:w="20" w:type="dxa"/>
              <w:bottom w:w="40" w:type="dxa"/>
              <w:right w:w="0" w:type="dxa"/>
            </w:tcMar>
            <w:vAlign w:val="bottom"/>
          </w:tcPr>
          <w:p w14:paraId="00BADED9"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DED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D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DC" w14:textId="77777777" w:rsidR="00871BDF" w:rsidRDefault="005C5088">
            <w:pPr>
              <w:jc w:val="right"/>
              <w:textAlignment w:val="bottom"/>
            </w:pPr>
            <w:r>
              <w:rPr>
                <w:rFonts w:ascii="Times New Roman" w:eastAsia="宋体" w:hAnsi="Times New Roman"/>
                <w:color w:val="000000"/>
                <w:sz w:val="20"/>
                <w:szCs w:val="20"/>
              </w:rPr>
              <w:t>1,376.4 </w:t>
            </w:r>
          </w:p>
        </w:tc>
        <w:tc>
          <w:tcPr>
            <w:tcW w:w="0" w:type="auto"/>
            <w:shd w:val="clear" w:color="auto" w:fill="FFFFFF"/>
            <w:tcMar>
              <w:top w:w="40" w:type="dxa"/>
              <w:left w:w="0" w:type="dxa"/>
              <w:bottom w:w="40" w:type="dxa"/>
              <w:right w:w="20" w:type="dxa"/>
            </w:tcMar>
            <w:vAlign w:val="bottom"/>
          </w:tcPr>
          <w:p w14:paraId="00BADED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D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DF"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DEE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E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E2" w14:textId="77777777" w:rsidR="00871BDF" w:rsidRDefault="005C5088">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00BADEE3" w14:textId="77777777" w:rsidR="00871BDF" w:rsidRDefault="00871BDF">
            <w:pPr>
              <w:jc w:val="right"/>
              <w:rPr>
                <w:rFonts w:ascii="宋体"/>
              </w:rPr>
            </w:pPr>
          </w:p>
        </w:tc>
      </w:tr>
      <w:tr w:rsidR="00871BDF" w14:paraId="00BADEF1" w14:textId="77777777">
        <w:tc>
          <w:tcPr>
            <w:tcW w:w="0" w:type="auto"/>
            <w:gridSpan w:val="3"/>
            <w:shd w:val="clear" w:color="auto" w:fill="D7E4BC"/>
            <w:tcMar>
              <w:top w:w="40" w:type="dxa"/>
              <w:left w:w="20" w:type="dxa"/>
              <w:bottom w:w="40" w:type="dxa"/>
              <w:right w:w="20" w:type="dxa"/>
            </w:tcMar>
          </w:tcPr>
          <w:p w14:paraId="00BADEE5" w14:textId="77777777" w:rsidR="00871BDF" w:rsidRDefault="005C5088">
            <w:pPr>
              <w:textAlignment w:val="top"/>
            </w:pPr>
            <w:r>
              <w:rPr>
                <w:rFonts w:ascii="Times New Roman" w:eastAsia="宋体" w:hAnsi="Times New Roman"/>
                <w:color w:val="000000"/>
                <w:sz w:val="20"/>
                <w:szCs w:val="20"/>
              </w:rPr>
              <w:t>Net gain resulting from divestiture of certain operations</w:t>
            </w:r>
          </w:p>
        </w:tc>
        <w:tc>
          <w:tcPr>
            <w:tcW w:w="0" w:type="auto"/>
            <w:gridSpan w:val="2"/>
            <w:shd w:val="clear" w:color="auto" w:fill="D7E4BC"/>
            <w:tcMar>
              <w:top w:w="40" w:type="dxa"/>
              <w:left w:w="20" w:type="dxa"/>
              <w:bottom w:w="40" w:type="dxa"/>
              <w:right w:w="0" w:type="dxa"/>
            </w:tcMar>
            <w:vAlign w:val="bottom"/>
          </w:tcPr>
          <w:p w14:paraId="00BADEE6" w14:textId="77777777" w:rsidR="00871BDF" w:rsidRDefault="005C5088">
            <w:pPr>
              <w:jc w:val="right"/>
              <w:textAlignment w:val="bottom"/>
            </w:pPr>
            <w:r>
              <w:rPr>
                <w:rFonts w:ascii="Times New Roman" w:eastAsia="宋体" w:hAnsi="Times New Roman"/>
                <w:color w:val="000000"/>
                <w:sz w:val="20"/>
                <w:szCs w:val="20"/>
              </w:rPr>
              <w:t>622.8 </w:t>
            </w:r>
          </w:p>
        </w:tc>
        <w:tc>
          <w:tcPr>
            <w:tcW w:w="0" w:type="auto"/>
            <w:shd w:val="clear" w:color="auto" w:fill="D7E4BC"/>
            <w:tcMar>
              <w:top w:w="40" w:type="dxa"/>
              <w:left w:w="0" w:type="dxa"/>
              <w:bottom w:w="40" w:type="dxa"/>
              <w:right w:w="20" w:type="dxa"/>
            </w:tcMar>
            <w:vAlign w:val="bottom"/>
          </w:tcPr>
          <w:p w14:paraId="00BADEE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E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EE9" w14:textId="77777777" w:rsidR="00871BDF" w:rsidRDefault="005C5088">
            <w:pPr>
              <w:jc w:val="right"/>
              <w:textAlignment w:val="bottom"/>
            </w:pPr>
            <w:r>
              <w:rPr>
                <w:rFonts w:ascii="Times New Roman" w:eastAsia="宋体" w:hAnsi="Times New Roman"/>
                <w:color w:val="000000"/>
                <w:sz w:val="20"/>
                <w:szCs w:val="20"/>
              </w:rPr>
              <w:t>499.2 </w:t>
            </w:r>
          </w:p>
        </w:tc>
        <w:tc>
          <w:tcPr>
            <w:tcW w:w="0" w:type="auto"/>
            <w:shd w:val="clear" w:color="auto" w:fill="D7E4BC"/>
            <w:tcMar>
              <w:top w:w="40" w:type="dxa"/>
              <w:left w:w="0" w:type="dxa"/>
              <w:bottom w:w="40" w:type="dxa"/>
              <w:right w:w="20" w:type="dxa"/>
            </w:tcMar>
            <w:vAlign w:val="bottom"/>
          </w:tcPr>
          <w:p w14:paraId="00BADEE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E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EEC" w14:textId="77777777" w:rsidR="00871BDF" w:rsidRDefault="005C5088">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00BADEE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EE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EEF" w14:textId="77777777" w:rsidR="00871BDF" w:rsidRDefault="005C5088">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00BADEF0" w14:textId="77777777" w:rsidR="00871BDF" w:rsidRDefault="00871BDF">
            <w:pPr>
              <w:jc w:val="right"/>
              <w:rPr>
                <w:rFonts w:ascii="宋体"/>
              </w:rPr>
            </w:pPr>
          </w:p>
        </w:tc>
      </w:tr>
      <w:tr w:rsidR="00871BDF" w14:paraId="00BADEFA" w14:textId="77777777">
        <w:trPr>
          <w:hidden/>
        </w:trPr>
        <w:tc>
          <w:tcPr>
            <w:tcW w:w="0" w:type="auto"/>
            <w:gridSpan w:val="3"/>
            <w:shd w:val="clear" w:color="auto" w:fill="auto"/>
          </w:tcPr>
          <w:p w14:paraId="00BADEF2" w14:textId="77777777" w:rsidR="00871BDF" w:rsidRDefault="00871BDF">
            <w:pPr>
              <w:rPr>
                <w:rFonts w:ascii="宋体"/>
                <w:vanish/>
              </w:rPr>
            </w:pPr>
          </w:p>
        </w:tc>
        <w:tc>
          <w:tcPr>
            <w:tcW w:w="0" w:type="auto"/>
            <w:gridSpan w:val="3"/>
            <w:shd w:val="clear" w:color="auto" w:fill="auto"/>
          </w:tcPr>
          <w:p w14:paraId="00BADEF3" w14:textId="77777777" w:rsidR="00871BDF" w:rsidRDefault="00871BDF">
            <w:pPr>
              <w:rPr>
                <w:rFonts w:ascii="宋体"/>
                <w:vanish/>
              </w:rPr>
            </w:pPr>
          </w:p>
        </w:tc>
        <w:tc>
          <w:tcPr>
            <w:tcW w:w="0" w:type="auto"/>
            <w:gridSpan w:val="3"/>
            <w:shd w:val="clear" w:color="auto" w:fill="auto"/>
          </w:tcPr>
          <w:p w14:paraId="00BADEF4" w14:textId="77777777" w:rsidR="00871BDF" w:rsidRDefault="00871BDF">
            <w:pPr>
              <w:rPr>
                <w:rFonts w:ascii="宋体"/>
                <w:vanish/>
              </w:rPr>
            </w:pPr>
          </w:p>
        </w:tc>
        <w:tc>
          <w:tcPr>
            <w:tcW w:w="0" w:type="auto"/>
            <w:gridSpan w:val="3"/>
            <w:shd w:val="clear" w:color="auto" w:fill="auto"/>
          </w:tcPr>
          <w:p w14:paraId="00BADEF5" w14:textId="77777777" w:rsidR="00871BDF" w:rsidRDefault="00871BDF">
            <w:pPr>
              <w:rPr>
                <w:rFonts w:ascii="宋体"/>
                <w:vanish/>
              </w:rPr>
            </w:pPr>
          </w:p>
        </w:tc>
        <w:tc>
          <w:tcPr>
            <w:tcW w:w="0" w:type="auto"/>
            <w:gridSpan w:val="3"/>
            <w:shd w:val="clear" w:color="auto" w:fill="auto"/>
          </w:tcPr>
          <w:p w14:paraId="00BADEF6" w14:textId="77777777" w:rsidR="00871BDF" w:rsidRDefault="00871BDF">
            <w:pPr>
              <w:rPr>
                <w:rFonts w:ascii="宋体"/>
                <w:vanish/>
              </w:rPr>
            </w:pPr>
          </w:p>
        </w:tc>
        <w:tc>
          <w:tcPr>
            <w:tcW w:w="0" w:type="auto"/>
            <w:gridSpan w:val="3"/>
            <w:shd w:val="clear" w:color="auto" w:fill="auto"/>
          </w:tcPr>
          <w:p w14:paraId="00BADEF7" w14:textId="77777777" w:rsidR="00871BDF" w:rsidRDefault="00871BDF">
            <w:pPr>
              <w:rPr>
                <w:rFonts w:ascii="宋体"/>
                <w:vanish/>
              </w:rPr>
            </w:pPr>
          </w:p>
        </w:tc>
        <w:tc>
          <w:tcPr>
            <w:tcW w:w="0" w:type="auto"/>
            <w:gridSpan w:val="3"/>
            <w:shd w:val="clear" w:color="auto" w:fill="auto"/>
          </w:tcPr>
          <w:p w14:paraId="00BADEF8" w14:textId="77777777" w:rsidR="00871BDF" w:rsidRDefault="00871BDF">
            <w:pPr>
              <w:rPr>
                <w:rFonts w:ascii="宋体"/>
                <w:vanish/>
              </w:rPr>
            </w:pPr>
          </w:p>
        </w:tc>
        <w:tc>
          <w:tcPr>
            <w:tcW w:w="0" w:type="auto"/>
            <w:gridSpan w:val="3"/>
            <w:shd w:val="clear" w:color="auto" w:fill="auto"/>
          </w:tcPr>
          <w:p w14:paraId="00BADEF9" w14:textId="77777777" w:rsidR="00871BDF" w:rsidRDefault="00871BDF">
            <w:pPr>
              <w:rPr>
                <w:rFonts w:ascii="宋体"/>
                <w:vanish/>
              </w:rPr>
            </w:pPr>
          </w:p>
        </w:tc>
      </w:tr>
      <w:tr w:rsidR="00871BDF" w14:paraId="00BADF07" w14:textId="77777777">
        <w:tc>
          <w:tcPr>
            <w:tcW w:w="0" w:type="auto"/>
            <w:gridSpan w:val="3"/>
            <w:shd w:val="clear" w:color="auto" w:fill="FFFFFF"/>
            <w:tcMar>
              <w:top w:w="40" w:type="dxa"/>
              <w:left w:w="20" w:type="dxa"/>
              <w:bottom w:w="40" w:type="dxa"/>
              <w:right w:w="20" w:type="dxa"/>
            </w:tcMar>
          </w:tcPr>
          <w:p w14:paraId="00BADEFB" w14:textId="77777777" w:rsidR="00871BDF" w:rsidRDefault="005C5088">
            <w:pPr>
              <w:textAlignment w:val="top"/>
            </w:pPr>
            <w:r>
              <w:rPr>
                <w:rFonts w:ascii="Times New Roman" w:eastAsia="宋体" w:hAnsi="Times New Roman"/>
                <w:color w:val="000000"/>
                <w:sz w:val="20"/>
                <w:szCs w:val="20"/>
              </w:rPr>
              <w:t>Interest income and other, net</w:t>
            </w:r>
          </w:p>
        </w:tc>
        <w:tc>
          <w:tcPr>
            <w:tcW w:w="0" w:type="auto"/>
            <w:gridSpan w:val="2"/>
            <w:shd w:val="clear" w:color="auto" w:fill="FFFFFF"/>
            <w:tcMar>
              <w:top w:w="40" w:type="dxa"/>
              <w:left w:w="20" w:type="dxa"/>
              <w:bottom w:w="40" w:type="dxa"/>
              <w:right w:w="0" w:type="dxa"/>
            </w:tcMar>
            <w:vAlign w:val="bottom"/>
          </w:tcPr>
          <w:p w14:paraId="00BADEFC" w14:textId="77777777" w:rsidR="00871BDF" w:rsidRDefault="005C5088">
            <w:pPr>
              <w:jc w:val="right"/>
              <w:textAlignment w:val="bottom"/>
            </w:pPr>
            <w:r>
              <w:rPr>
                <w:rFonts w:ascii="Times New Roman" w:eastAsia="宋体" w:hAnsi="Times New Roman"/>
                <w:color w:val="000000"/>
                <w:sz w:val="20"/>
                <w:szCs w:val="20"/>
              </w:rPr>
              <w:t>96.5 </w:t>
            </w:r>
          </w:p>
        </w:tc>
        <w:tc>
          <w:tcPr>
            <w:tcW w:w="0" w:type="auto"/>
            <w:shd w:val="clear" w:color="auto" w:fill="FFFFFF"/>
            <w:tcMar>
              <w:top w:w="40" w:type="dxa"/>
              <w:left w:w="0" w:type="dxa"/>
              <w:bottom w:w="40" w:type="dxa"/>
              <w:right w:w="20" w:type="dxa"/>
            </w:tcMar>
            <w:vAlign w:val="bottom"/>
          </w:tcPr>
          <w:p w14:paraId="00BADEF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EF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EFF" w14:textId="77777777" w:rsidR="00871BDF" w:rsidRDefault="005C5088">
            <w:pPr>
              <w:jc w:val="right"/>
              <w:textAlignment w:val="bottom"/>
            </w:pPr>
            <w:r>
              <w:rPr>
                <w:rFonts w:ascii="Times New Roman" w:eastAsia="宋体" w:hAnsi="Times New Roman"/>
                <w:color w:val="000000"/>
                <w:sz w:val="20"/>
                <w:szCs w:val="20"/>
              </w:rPr>
              <w:t>191.4 </w:t>
            </w:r>
          </w:p>
        </w:tc>
        <w:tc>
          <w:tcPr>
            <w:tcW w:w="0" w:type="auto"/>
            <w:shd w:val="clear" w:color="auto" w:fill="FFFFFF"/>
            <w:tcMar>
              <w:top w:w="40" w:type="dxa"/>
              <w:left w:w="0" w:type="dxa"/>
              <w:bottom w:w="40" w:type="dxa"/>
              <w:right w:w="20" w:type="dxa"/>
            </w:tcMar>
            <w:vAlign w:val="bottom"/>
          </w:tcPr>
          <w:p w14:paraId="00BADF0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0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F02" w14:textId="77777777" w:rsidR="00871BDF" w:rsidRDefault="005C5088">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00BADF0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0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F05" w14:textId="77777777" w:rsidR="00871BDF" w:rsidRDefault="005C5088">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00BADF06" w14:textId="77777777" w:rsidR="00871BDF" w:rsidRDefault="00871BDF">
            <w:pPr>
              <w:jc w:val="right"/>
              <w:rPr>
                <w:rFonts w:ascii="宋体"/>
              </w:rPr>
            </w:pPr>
          </w:p>
        </w:tc>
      </w:tr>
      <w:tr w:rsidR="00871BDF" w14:paraId="00BADF14" w14:textId="77777777">
        <w:tc>
          <w:tcPr>
            <w:tcW w:w="0" w:type="auto"/>
            <w:gridSpan w:val="3"/>
            <w:shd w:val="clear" w:color="auto" w:fill="D7E4BC"/>
            <w:tcMar>
              <w:top w:w="40" w:type="dxa"/>
              <w:left w:w="20" w:type="dxa"/>
              <w:bottom w:w="40" w:type="dxa"/>
              <w:right w:w="20" w:type="dxa"/>
            </w:tcMar>
          </w:tcPr>
          <w:p w14:paraId="00BADF08" w14:textId="77777777" w:rsidR="00871BDF" w:rsidRDefault="005C5088">
            <w:pPr>
              <w:textAlignment w:val="top"/>
            </w:pPr>
            <w:r>
              <w:rPr>
                <w:rFonts w:ascii="Times New Roman" w:eastAsia="宋体" w:hAnsi="Times New Roman"/>
                <w:color w:val="000000"/>
                <w:sz w:val="20"/>
                <w:szCs w:val="20"/>
              </w:rPr>
              <w:t>Interest expense</w:t>
            </w:r>
          </w:p>
        </w:tc>
        <w:tc>
          <w:tcPr>
            <w:tcW w:w="0" w:type="auto"/>
            <w:gridSpan w:val="2"/>
            <w:shd w:val="clear" w:color="auto" w:fill="D7E4BC"/>
            <w:tcMar>
              <w:top w:w="40" w:type="dxa"/>
              <w:left w:w="20" w:type="dxa"/>
              <w:bottom w:w="40" w:type="dxa"/>
              <w:right w:w="0" w:type="dxa"/>
            </w:tcMar>
            <w:vAlign w:val="bottom"/>
          </w:tcPr>
          <w:p w14:paraId="00BADF09" w14:textId="77777777" w:rsidR="00871BDF" w:rsidRDefault="005C5088">
            <w:pPr>
              <w:jc w:val="right"/>
              <w:textAlignment w:val="bottom"/>
            </w:pPr>
            <w:r>
              <w:rPr>
                <w:rFonts w:ascii="Times New Roman" w:eastAsia="宋体" w:hAnsi="Times New Roman"/>
                <w:color w:val="000000"/>
                <w:sz w:val="20"/>
                <w:szCs w:val="20"/>
              </w:rPr>
              <w:t>(331.0)</w:t>
            </w:r>
          </w:p>
        </w:tc>
        <w:tc>
          <w:tcPr>
            <w:tcW w:w="0" w:type="auto"/>
            <w:shd w:val="clear" w:color="auto" w:fill="D7E4BC"/>
            <w:tcMar>
              <w:top w:w="40" w:type="dxa"/>
              <w:left w:w="0" w:type="dxa"/>
              <w:bottom w:w="40" w:type="dxa"/>
              <w:right w:w="20" w:type="dxa"/>
            </w:tcMar>
            <w:vAlign w:val="bottom"/>
          </w:tcPr>
          <w:p w14:paraId="00BADF0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0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F0C" w14:textId="77777777" w:rsidR="00871BDF" w:rsidRDefault="005C5088">
            <w:pPr>
              <w:jc w:val="right"/>
              <w:textAlignment w:val="bottom"/>
            </w:pPr>
            <w:r>
              <w:rPr>
                <w:rFonts w:ascii="Times New Roman" w:eastAsia="宋体" w:hAnsi="Times New Roman"/>
                <w:color w:val="000000"/>
                <w:sz w:val="20"/>
                <w:szCs w:val="20"/>
              </w:rPr>
              <w:t>(170.3)</w:t>
            </w:r>
          </w:p>
        </w:tc>
        <w:tc>
          <w:tcPr>
            <w:tcW w:w="0" w:type="auto"/>
            <w:shd w:val="clear" w:color="auto" w:fill="D7E4BC"/>
            <w:tcMar>
              <w:top w:w="40" w:type="dxa"/>
              <w:left w:w="0" w:type="dxa"/>
              <w:bottom w:w="40" w:type="dxa"/>
              <w:right w:w="20" w:type="dxa"/>
            </w:tcMar>
            <w:vAlign w:val="bottom"/>
          </w:tcPr>
          <w:p w14:paraId="00BADF0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0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F0F" w14:textId="77777777" w:rsidR="00871BDF" w:rsidRDefault="005C5088">
            <w:pPr>
              <w:jc w:val="right"/>
              <w:textAlignment w:val="bottom"/>
            </w:pPr>
            <w:r>
              <w:rPr>
                <w:rFonts w:ascii="Times New Roman" w:eastAsia="宋体" w:hAnsi="Times New Roman"/>
                <w:color w:val="000000"/>
                <w:sz w:val="20"/>
                <w:szCs w:val="20"/>
              </w:rPr>
              <w:t>(1.2)</w:t>
            </w:r>
          </w:p>
        </w:tc>
        <w:tc>
          <w:tcPr>
            <w:tcW w:w="0" w:type="auto"/>
            <w:shd w:val="clear" w:color="auto" w:fill="D7E4BC"/>
            <w:tcMar>
              <w:top w:w="40" w:type="dxa"/>
              <w:left w:w="0" w:type="dxa"/>
              <w:bottom w:w="40" w:type="dxa"/>
              <w:right w:w="20" w:type="dxa"/>
            </w:tcMar>
            <w:vAlign w:val="bottom"/>
          </w:tcPr>
          <w:p w14:paraId="00BADF1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1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F12" w14:textId="77777777" w:rsidR="00871BDF" w:rsidRDefault="005C5088">
            <w:pPr>
              <w:jc w:val="right"/>
              <w:textAlignment w:val="bottom"/>
            </w:pPr>
            <w:r>
              <w:rPr>
                <w:rFonts w:ascii="Times New Roman" w:eastAsia="宋体" w:hAnsi="Times New Roman"/>
                <w:color w:val="000000"/>
                <w:sz w:val="20"/>
                <w:szCs w:val="20"/>
              </w:rPr>
              <w:t>(0.7)</w:t>
            </w:r>
          </w:p>
        </w:tc>
        <w:tc>
          <w:tcPr>
            <w:tcW w:w="0" w:type="auto"/>
            <w:shd w:val="clear" w:color="auto" w:fill="D7E4BC"/>
            <w:tcMar>
              <w:top w:w="40" w:type="dxa"/>
              <w:left w:w="0" w:type="dxa"/>
              <w:bottom w:w="40" w:type="dxa"/>
              <w:right w:w="20" w:type="dxa"/>
            </w:tcMar>
            <w:vAlign w:val="bottom"/>
          </w:tcPr>
          <w:p w14:paraId="00BADF13" w14:textId="77777777" w:rsidR="00871BDF" w:rsidRDefault="00871BDF">
            <w:pPr>
              <w:jc w:val="right"/>
              <w:rPr>
                <w:rFonts w:ascii="宋体"/>
              </w:rPr>
            </w:pPr>
          </w:p>
        </w:tc>
      </w:tr>
      <w:tr w:rsidR="00871BDF" w14:paraId="00BADF21" w14:textId="77777777">
        <w:tc>
          <w:tcPr>
            <w:tcW w:w="0" w:type="auto"/>
            <w:gridSpan w:val="3"/>
            <w:shd w:val="clear" w:color="auto" w:fill="FFFFFF"/>
            <w:tcMar>
              <w:top w:w="40" w:type="dxa"/>
              <w:left w:w="380" w:type="dxa"/>
              <w:bottom w:w="40" w:type="dxa"/>
              <w:right w:w="20" w:type="dxa"/>
            </w:tcMar>
          </w:tcPr>
          <w:p w14:paraId="00BADF15" w14:textId="77777777" w:rsidR="00871BDF" w:rsidRDefault="005C5088">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F16" w14:textId="77777777" w:rsidR="00871BDF" w:rsidRDefault="005C5088">
            <w:pPr>
              <w:jc w:val="right"/>
              <w:textAlignment w:val="bottom"/>
            </w:pPr>
            <w:r>
              <w:rPr>
                <w:rFonts w:ascii="Times New Roman" w:eastAsia="宋体" w:hAnsi="Times New Roman"/>
                <w:color w:val="000000"/>
                <w:sz w:val="20"/>
                <w:szCs w:val="20"/>
              </w:rPr>
              <w:t>4,466.2 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F1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18"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F19" w14:textId="77777777" w:rsidR="00871BDF" w:rsidRDefault="005C5088">
            <w:pPr>
              <w:jc w:val="right"/>
              <w:textAlignment w:val="bottom"/>
            </w:pPr>
            <w:r>
              <w:rPr>
                <w:rFonts w:ascii="Times New Roman" w:eastAsia="宋体" w:hAnsi="Times New Roman"/>
                <w:color w:val="000000"/>
                <w:sz w:val="20"/>
                <w:szCs w:val="20"/>
              </w:rPr>
              <w:t>5,780.0 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F1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1B"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F1C" w14:textId="77777777" w:rsidR="00871BDF" w:rsidRDefault="005C5088">
            <w:pPr>
              <w:jc w:val="right"/>
              <w:textAlignment w:val="bottom"/>
            </w:pPr>
            <w:r>
              <w:rPr>
                <w:rFonts w:ascii="Times New Roman" w:eastAsia="宋体" w:hAnsi="Times New Roman"/>
                <w:color w:val="000000"/>
                <w:sz w:val="20"/>
                <w:szCs w:val="20"/>
              </w:rPr>
              <w:t>16.8 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F1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1E"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F1F" w14:textId="77777777" w:rsidR="00871BDF" w:rsidRDefault="005C5088">
            <w:pPr>
              <w:jc w:val="right"/>
              <w:textAlignment w:val="bottom"/>
            </w:pPr>
            <w:r>
              <w:rPr>
                <w:rFonts w:ascii="Times New Roman" w:eastAsia="宋体" w:hAnsi="Times New Roman"/>
                <w:color w:val="000000"/>
                <w:sz w:val="20"/>
                <w:szCs w:val="20"/>
              </w:rPr>
              <w:t>23.4 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F20" w14:textId="77777777" w:rsidR="00871BDF" w:rsidRDefault="00871BDF">
            <w:pPr>
              <w:jc w:val="right"/>
              <w:rPr>
                <w:rFonts w:ascii="宋体"/>
              </w:rPr>
            </w:pPr>
          </w:p>
        </w:tc>
      </w:tr>
      <w:tr w:rsidR="00871BDF" w14:paraId="00BADF2E" w14:textId="77777777">
        <w:tc>
          <w:tcPr>
            <w:tcW w:w="0" w:type="auto"/>
            <w:gridSpan w:val="3"/>
            <w:shd w:val="clear" w:color="auto" w:fill="D7E4BC"/>
            <w:tcMar>
              <w:top w:w="40" w:type="dxa"/>
              <w:left w:w="20" w:type="dxa"/>
              <w:bottom w:w="40" w:type="dxa"/>
              <w:right w:w="20" w:type="dxa"/>
            </w:tcMar>
          </w:tcPr>
          <w:p w14:paraId="00BADF22" w14:textId="77777777" w:rsidR="00871BDF" w:rsidRDefault="005C5088">
            <w:pPr>
              <w:textAlignment w:val="top"/>
            </w:pPr>
            <w:r>
              <w:rPr>
                <w:rFonts w:ascii="Times New Roman" w:eastAsia="宋体" w:hAnsi="Times New Roman"/>
                <w:color w:val="000000"/>
                <w:sz w:val="20"/>
                <w:szCs w:val="20"/>
              </w:rPr>
              <w:t>Income tax expense</w:t>
            </w:r>
          </w:p>
        </w:tc>
        <w:tc>
          <w:tcPr>
            <w:tcW w:w="0" w:type="auto"/>
            <w:gridSpan w:val="2"/>
            <w:shd w:val="clear" w:color="auto" w:fill="D7E4BC"/>
            <w:tcMar>
              <w:top w:w="40" w:type="dxa"/>
              <w:left w:w="20" w:type="dxa"/>
              <w:bottom w:w="40" w:type="dxa"/>
              <w:right w:w="0" w:type="dxa"/>
            </w:tcMar>
            <w:vAlign w:val="bottom"/>
          </w:tcPr>
          <w:p w14:paraId="00BADF23" w14:textId="77777777" w:rsidR="00871BDF" w:rsidRDefault="005C5088">
            <w:pPr>
              <w:jc w:val="right"/>
              <w:textAlignment w:val="bottom"/>
            </w:pPr>
            <w:r>
              <w:rPr>
                <w:rFonts w:ascii="Times New Roman" w:eastAsia="宋体" w:hAnsi="Times New Roman"/>
                <w:color w:val="000000"/>
                <w:sz w:val="20"/>
                <w:szCs w:val="20"/>
              </w:rPr>
              <w:t>871.6 </w:t>
            </w:r>
          </w:p>
        </w:tc>
        <w:tc>
          <w:tcPr>
            <w:tcW w:w="0" w:type="auto"/>
            <w:shd w:val="clear" w:color="auto" w:fill="D7E4BC"/>
            <w:tcMar>
              <w:top w:w="40" w:type="dxa"/>
              <w:left w:w="0" w:type="dxa"/>
              <w:bottom w:w="40" w:type="dxa"/>
              <w:right w:w="20" w:type="dxa"/>
            </w:tcMar>
            <w:vAlign w:val="bottom"/>
          </w:tcPr>
          <w:p w14:paraId="00BADF2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2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F26" w14:textId="77777777" w:rsidR="00871BDF" w:rsidRDefault="005C5088">
            <w:pPr>
              <w:jc w:val="right"/>
              <w:textAlignment w:val="bottom"/>
            </w:pPr>
            <w:r>
              <w:rPr>
                <w:rFonts w:ascii="Times New Roman" w:eastAsia="宋体" w:hAnsi="Times New Roman"/>
                <w:color w:val="000000"/>
                <w:sz w:val="20"/>
                <w:szCs w:val="20"/>
              </w:rPr>
              <w:t>1,262.0 </w:t>
            </w:r>
          </w:p>
        </w:tc>
        <w:tc>
          <w:tcPr>
            <w:tcW w:w="0" w:type="auto"/>
            <w:shd w:val="clear" w:color="auto" w:fill="D7E4BC"/>
            <w:tcMar>
              <w:top w:w="40" w:type="dxa"/>
              <w:left w:w="0" w:type="dxa"/>
              <w:bottom w:w="40" w:type="dxa"/>
              <w:right w:w="20" w:type="dxa"/>
            </w:tcMar>
            <w:vAlign w:val="bottom"/>
          </w:tcPr>
          <w:p w14:paraId="00BADF2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2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F29" w14:textId="77777777" w:rsidR="00871BDF" w:rsidRDefault="005C5088">
            <w:pPr>
              <w:jc w:val="right"/>
              <w:textAlignment w:val="bottom"/>
            </w:pPr>
            <w:r>
              <w:rPr>
                <w:rFonts w:ascii="Times New Roman" w:eastAsia="宋体" w:hAnsi="Times New Roman"/>
                <w:color w:val="000000"/>
                <w:sz w:val="20"/>
                <w:szCs w:val="20"/>
              </w:rPr>
              <w:t>3.3 </w:t>
            </w:r>
          </w:p>
        </w:tc>
        <w:tc>
          <w:tcPr>
            <w:tcW w:w="0" w:type="auto"/>
            <w:shd w:val="clear" w:color="auto" w:fill="D7E4BC"/>
            <w:tcMar>
              <w:top w:w="40" w:type="dxa"/>
              <w:left w:w="0" w:type="dxa"/>
              <w:bottom w:w="40" w:type="dxa"/>
              <w:right w:w="20" w:type="dxa"/>
            </w:tcMar>
            <w:vAlign w:val="bottom"/>
          </w:tcPr>
          <w:p w14:paraId="00BADF2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2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F2C" w14:textId="77777777" w:rsidR="00871BDF" w:rsidRDefault="005C5088">
            <w:pPr>
              <w:jc w:val="right"/>
              <w:textAlignment w:val="bottom"/>
            </w:pPr>
            <w:r>
              <w:rPr>
                <w:rFonts w:ascii="Times New Roman" w:eastAsia="宋体" w:hAnsi="Times New Roman"/>
                <w:color w:val="000000"/>
                <w:sz w:val="20"/>
                <w:szCs w:val="20"/>
              </w:rPr>
              <w:t>5.1 </w:t>
            </w:r>
          </w:p>
        </w:tc>
        <w:tc>
          <w:tcPr>
            <w:tcW w:w="0" w:type="auto"/>
            <w:shd w:val="clear" w:color="auto" w:fill="D7E4BC"/>
            <w:tcMar>
              <w:top w:w="40" w:type="dxa"/>
              <w:left w:w="0" w:type="dxa"/>
              <w:bottom w:w="40" w:type="dxa"/>
              <w:right w:w="20" w:type="dxa"/>
            </w:tcMar>
            <w:vAlign w:val="bottom"/>
          </w:tcPr>
          <w:p w14:paraId="00BADF2D" w14:textId="77777777" w:rsidR="00871BDF" w:rsidRDefault="00871BDF">
            <w:pPr>
              <w:jc w:val="right"/>
              <w:rPr>
                <w:rFonts w:ascii="宋体"/>
              </w:rPr>
            </w:pPr>
          </w:p>
        </w:tc>
      </w:tr>
      <w:tr w:rsidR="00871BDF" w14:paraId="00BADF3B" w14:textId="77777777">
        <w:tc>
          <w:tcPr>
            <w:tcW w:w="0" w:type="auto"/>
            <w:gridSpan w:val="3"/>
            <w:shd w:val="clear" w:color="auto" w:fill="FFFFFF"/>
            <w:tcMar>
              <w:top w:w="40" w:type="dxa"/>
              <w:left w:w="380" w:type="dxa"/>
              <w:bottom w:w="40" w:type="dxa"/>
              <w:right w:w="20" w:type="dxa"/>
            </w:tcMar>
          </w:tcPr>
          <w:p w14:paraId="00BADF2F" w14:textId="77777777" w:rsidR="00871BDF" w:rsidRDefault="005C5088">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F30" w14:textId="77777777" w:rsidR="00871BDF" w:rsidRDefault="005C5088">
            <w:pPr>
              <w:jc w:val="right"/>
              <w:textAlignment w:val="bottom"/>
            </w:pPr>
            <w:r>
              <w:rPr>
                <w:rFonts w:ascii="Times New Roman" w:eastAsia="宋体" w:hAnsi="Times New Roman"/>
                <w:color w:val="000000"/>
                <w:sz w:val="20"/>
                <w:szCs w:val="20"/>
              </w:rPr>
              <w:t>3,594.6 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F3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32"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F33" w14:textId="77777777" w:rsidR="00871BDF" w:rsidRDefault="005C5088">
            <w:pPr>
              <w:jc w:val="right"/>
              <w:textAlignment w:val="bottom"/>
            </w:pPr>
            <w:r>
              <w:rPr>
                <w:rFonts w:ascii="Times New Roman" w:eastAsia="宋体" w:hAnsi="Times New Roman"/>
                <w:color w:val="000000"/>
                <w:sz w:val="20"/>
                <w:szCs w:val="20"/>
              </w:rPr>
              <w:t>4,518.0 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F3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35"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F36" w14:textId="77777777" w:rsidR="00871BDF" w:rsidRDefault="005C5088">
            <w:pPr>
              <w:jc w:val="right"/>
              <w:textAlignment w:val="bottom"/>
            </w:pPr>
            <w:r>
              <w:rPr>
                <w:rFonts w:ascii="Times New Roman" w:eastAsia="宋体" w:hAnsi="Times New Roman"/>
                <w:color w:val="000000"/>
                <w:sz w:val="20"/>
                <w:szCs w:val="20"/>
              </w:rPr>
              <w:t>13.6 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F3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38"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F39" w14:textId="77777777" w:rsidR="00871BDF" w:rsidRDefault="005C5088">
            <w:pPr>
              <w:jc w:val="right"/>
              <w:textAlignment w:val="bottom"/>
            </w:pPr>
            <w:r>
              <w:rPr>
                <w:rFonts w:ascii="Times New Roman" w:eastAsia="宋体" w:hAnsi="Times New Roman"/>
                <w:color w:val="000000"/>
                <w:sz w:val="20"/>
                <w:szCs w:val="20"/>
              </w:rPr>
              <w:t>18.3 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F3A" w14:textId="77777777" w:rsidR="00871BDF" w:rsidRDefault="00871BDF">
            <w:pPr>
              <w:jc w:val="right"/>
              <w:rPr>
                <w:rFonts w:ascii="宋体"/>
              </w:rPr>
            </w:pPr>
          </w:p>
        </w:tc>
      </w:tr>
      <w:tr w:rsidR="00871BDF" w14:paraId="00BADF48" w14:textId="77777777">
        <w:tc>
          <w:tcPr>
            <w:tcW w:w="0" w:type="auto"/>
            <w:gridSpan w:val="3"/>
            <w:shd w:val="clear" w:color="auto" w:fill="D7E4BC"/>
            <w:tcMar>
              <w:top w:w="40" w:type="dxa"/>
              <w:left w:w="380" w:type="dxa"/>
              <w:bottom w:w="40" w:type="dxa"/>
              <w:right w:w="20" w:type="dxa"/>
            </w:tcMar>
          </w:tcPr>
          <w:p w14:paraId="00BADF3C" w14:textId="77777777" w:rsidR="00871BDF" w:rsidRDefault="005C5088">
            <w:pPr>
              <w:textAlignment w:val="top"/>
            </w:pPr>
            <w:r>
              <w:rPr>
                <w:rFonts w:ascii="Times New Roman" w:eastAsia="宋体" w:hAnsi="Times New Roman"/>
                <w:color w:val="000000"/>
                <w:sz w:val="20"/>
                <w:szCs w:val="20"/>
              </w:rPr>
              <w:t>Net earnings attributable to noncontrolling interests</w:t>
            </w:r>
          </w:p>
        </w:tc>
        <w:tc>
          <w:tcPr>
            <w:tcW w:w="0" w:type="auto"/>
            <w:gridSpan w:val="2"/>
            <w:shd w:val="clear" w:color="auto" w:fill="D7E4BC"/>
            <w:tcMar>
              <w:top w:w="40" w:type="dxa"/>
              <w:left w:w="20" w:type="dxa"/>
              <w:bottom w:w="40" w:type="dxa"/>
              <w:right w:w="0" w:type="dxa"/>
            </w:tcMar>
            <w:vAlign w:val="bottom"/>
          </w:tcPr>
          <w:p w14:paraId="00BADF3D" w14:textId="77777777" w:rsidR="00871BDF" w:rsidRDefault="005C5088">
            <w:pPr>
              <w:jc w:val="right"/>
              <w:textAlignment w:val="bottom"/>
            </w:pPr>
            <w:r>
              <w:rPr>
                <w:rFonts w:ascii="Times New Roman" w:eastAsia="宋体" w:hAnsi="Times New Roman"/>
                <w:color w:val="000000"/>
                <w:sz w:val="20"/>
                <w:szCs w:val="20"/>
              </w:rPr>
              <w:t>(4.6)</w:t>
            </w:r>
          </w:p>
        </w:tc>
        <w:tc>
          <w:tcPr>
            <w:tcW w:w="0" w:type="auto"/>
            <w:shd w:val="clear" w:color="auto" w:fill="D7E4BC"/>
            <w:tcMar>
              <w:top w:w="40" w:type="dxa"/>
              <w:left w:w="0" w:type="dxa"/>
              <w:bottom w:w="40" w:type="dxa"/>
              <w:right w:w="20" w:type="dxa"/>
            </w:tcMar>
            <w:vAlign w:val="bottom"/>
          </w:tcPr>
          <w:p w14:paraId="00BADF3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3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F40" w14:textId="77777777" w:rsidR="00871BDF" w:rsidRDefault="005C5088">
            <w:pPr>
              <w:jc w:val="right"/>
              <w:textAlignment w:val="bottom"/>
            </w:pPr>
            <w:r>
              <w:rPr>
                <w:rFonts w:ascii="Times New Roman" w:eastAsia="宋体" w:hAnsi="Times New Roman"/>
                <w:color w:val="000000"/>
                <w:sz w:val="20"/>
                <w:szCs w:val="20"/>
              </w:rPr>
              <w:t>(0.3)</w:t>
            </w:r>
          </w:p>
        </w:tc>
        <w:tc>
          <w:tcPr>
            <w:tcW w:w="0" w:type="auto"/>
            <w:shd w:val="clear" w:color="auto" w:fill="D7E4BC"/>
            <w:tcMar>
              <w:top w:w="40" w:type="dxa"/>
              <w:left w:w="0" w:type="dxa"/>
              <w:bottom w:w="40" w:type="dxa"/>
              <w:right w:w="20" w:type="dxa"/>
            </w:tcMar>
            <w:vAlign w:val="bottom"/>
          </w:tcPr>
          <w:p w14:paraId="00BADF4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4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F43"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DF4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4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F46"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DF47" w14:textId="77777777" w:rsidR="00871BDF" w:rsidRDefault="00871BDF">
            <w:pPr>
              <w:jc w:val="right"/>
              <w:rPr>
                <w:rFonts w:ascii="宋体"/>
              </w:rPr>
            </w:pPr>
          </w:p>
        </w:tc>
      </w:tr>
      <w:tr w:rsidR="00871BDF" w14:paraId="00BADF57" w14:textId="77777777">
        <w:tc>
          <w:tcPr>
            <w:tcW w:w="0" w:type="auto"/>
            <w:gridSpan w:val="3"/>
            <w:shd w:val="clear" w:color="auto" w:fill="FFFFFF"/>
            <w:tcMar>
              <w:top w:w="40" w:type="dxa"/>
              <w:left w:w="380" w:type="dxa"/>
              <w:bottom w:w="40" w:type="dxa"/>
              <w:right w:w="20" w:type="dxa"/>
            </w:tcMar>
          </w:tcPr>
          <w:p w14:paraId="00BADF49" w14:textId="77777777" w:rsidR="00871BDF" w:rsidRDefault="005C5088">
            <w:pPr>
              <w:textAlignment w:val="top"/>
            </w:pPr>
            <w:r>
              <w:rPr>
                <w:rFonts w:ascii="Times New Roman" w:eastAsia="宋体" w:hAnsi="Times New Roman"/>
                <w:b/>
                <w:bCs/>
                <w:color w:val="000000"/>
                <w:sz w:val="20"/>
                <w:szCs w:val="20"/>
              </w:rPr>
              <w:t>Net earnings attributable to Starbucks</w:t>
            </w:r>
          </w:p>
        </w:tc>
        <w:tc>
          <w:tcPr>
            <w:tcW w:w="0" w:type="auto"/>
            <w:tcBorders>
              <w:top w:val="single" w:sz="8" w:space="0" w:color="000000"/>
            </w:tcBorders>
            <w:shd w:val="clear" w:color="auto" w:fill="FFFFFF"/>
            <w:tcMar>
              <w:top w:w="40" w:type="dxa"/>
              <w:left w:w="20" w:type="dxa"/>
              <w:bottom w:w="40" w:type="dxa"/>
              <w:right w:w="0" w:type="dxa"/>
            </w:tcMar>
            <w:vAlign w:val="bottom"/>
          </w:tcPr>
          <w:p w14:paraId="00BADF4A"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DF4B" w14:textId="77777777" w:rsidR="00871BDF" w:rsidRDefault="005C5088">
            <w:pPr>
              <w:jc w:val="right"/>
              <w:textAlignment w:val="bottom"/>
            </w:pPr>
            <w:r>
              <w:rPr>
                <w:rFonts w:ascii="Times New Roman" w:eastAsia="宋体" w:hAnsi="Times New Roman"/>
                <w:b/>
                <w:bCs/>
                <w:color w:val="000000"/>
                <w:sz w:val="20"/>
                <w:szCs w:val="20"/>
              </w:rPr>
              <w:t>3,599.2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F4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4D"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DF4E"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DF4F" w14:textId="77777777" w:rsidR="00871BDF" w:rsidRDefault="005C5088">
            <w:pPr>
              <w:jc w:val="right"/>
              <w:textAlignment w:val="bottom"/>
            </w:pPr>
            <w:r>
              <w:rPr>
                <w:rFonts w:ascii="Times New Roman" w:eastAsia="宋体" w:hAnsi="Times New Roman"/>
                <w:b/>
                <w:bCs/>
                <w:color w:val="000000"/>
                <w:sz w:val="20"/>
                <w:szCs w:val="20"/>
              </w:rPr>
              <w:t>4,518.3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F5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51"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F52" w14:textId="77777777" w:rsidR="00871BDF" w:rsidRDefault="005C5088">
            <w:pPr>
              <w:jc w:val="right"/>
              <w:textAlignment w:val="bottom"/>
            </w:pPr>
            <w:r>
              <w:rPr>
                <w:rFonts w:ascii="Times New Roman" w:eastAsia="宋体" w:hAnsi="Times New Roman"/>
                <w:b/>
                <w:bCs/>
                <w:color w:val="000000"/>
                <w:sz w:val="20"/>
                <w:szCs w:val="20"/>
              </w:rPr>
              <w:t>13.6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F53"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00BADF54"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DF55" w14:textId="77777777" w:rsidR="00871BDF" w:rsidRDefault="005C5088">
            <w:pPr>
              <w:jc w:val="right"/>
              <w:textAlignment w:val="bottom"/>
            </w:pPr>
            <w:r>
              <w:rPr>
                <w:rFonts w:ascii="Times New Roman" w:eastAsia="宋体" w:hAnsi="Times New Roman"/>
                <w:b/>
                <w:bCs/>
                <w:color w:val="000000"/>
                <w:sz w:val="20"/>
                <w:szCs w:val="20"/>
              </w:rPr>
              <w:t>18.3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DF56" w14:textId="77777777" w:rsidR="00871BDF" w:rsidRDefault="005C5088">
            <w:pPr>
              <w:jc w:val="right"/>
              <w:textAlignment w:val="bottom"/>
            </w:pPr>
            <w:r>
              <w:rPr>
                <w:rFonts w:ascii="Times New Roman" w:eastAsia="宋体" w:hAnsi="Times New Roman"/>
                <w:b/>
                <w:bCs/>
                <w:color w:val="000000"/>
                <w:sz w:val="20"/>
                <w:szCs w:val="20"/>
              </w:rPr>
              <w:t>%</w:t>
            </w:r>
          </w:p>
        </w:tc>
      </w:tr>
      <w:tr w:rsidR="00871BDF" w14:paraId="00BADF62" w14:textId="77777777">
        <w:tc>
          <w:tcPr>
            <w:tcW w:w="0" w:type="auto"/>
            <w:gridSpan w:val="3"/>
            <w:shd w:val="clear" w:color="auto" w:fill="D7E4BC"/>
            <w:tcMar>
              <w:top w:w="40" w:type="dxa"/>
              <w:left w:w="20" w:type="dxa"/>
              <w:bottom w:w="40" w:type="dxa"/>
              <w:right w:w="20" w:type="dxa"/>
            </w:tcMar>
          </w:tcPr>
          <w:p w14:paraId="00BADF58" w14:textId="77777777" w:rsidR="00871BDF" w:rsidRDefault="005C5088">
            <w:pPr>
              <w:textAlignment w:val="top"/>
            </w:pPr>
            <w:r>
              <w:rPr>
                <w:rFonts w:ascii="Times New Roman" w:eastAsia="宋体" w:hAnsi="Times New Roman"/>
                <w:color w:val="000000"/>
                <w:sz w:val="20"/>
                <w:szCs w:val="20"/>
              </w:rPr>
              <w:t xml:space="preserve">Effective tax rate including </w:t>
            </w:r>
            <w:r>
              <w:rPr>
                <w:rFonts w:ascii="Times New Roman" w:eastAsia="宋体" w:hAnsi="Times New Roman"/>
                <w:color w:val="000000"/>
                <w:sz w:val="20"/>
                <w:szCs w:val="20"/>
              </w:rPr>
              <w:t>noncontrolling interests</w:t>
            </w:r>
          </w:p>
        </w:tc>
        <w:tc>
          <w:tcPr>
            <w:tcW w:w="0" w:type="auto"/>
            <w:gridSpan w:val="3"/>
            <w:tcBorders>
              <w:top w:val="double" w:sz="6" w:space="0" w:color="000000"/>
            </w:tcBorders>
            <w:shd w:val="clear" w:color="auto" w:fill="D7E4BC"/>
            <w:tcMar>
              <w:top w:w="0" w:type="dxa"/>
              <w:left w:w="20" w:type="dxa"/>
              <w:bottom w:w="0" w:type="dxa"/>
              <w:right w:w="20" w:type="dxa"/>
            </w:tcMar>
          </w:tcPr>
          <w:p w14:paraId="00BADF5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F5A" w14:textId="77777777" w:rsidR="00871BDF" w:rsidRDefault="00871BDF">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00BADF5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F5C" w14:textId="77777777" w:rsidR="00871BDF" w:rsidRDefault="00871BDF">
            <w:pPr>
              <w:rPr>
                <w:rFonts w:ascii="宋体"/>
              </w:rPr>
            </w:pPr>
          </w:p>
        </w:tc>
        <w:tc>
          <w:tcPr>
            <w:tcW w:w="0" w:type="auto"/>
            <w:gridSpan w:val="2"/>
            <w:tcBorders>
              <w:top w:val="double" w:sz="6" w:space="0" w:color="000000"/>
            </w:tcBorders>
            <w:shd w:val="clear" w:color="auto" w:fill="D7E4BC"/>
            <w:tcMar>
              <w:top w:w="40" w:type="dxa"/>
              <w:left w:w="20" w:type="dxa"/>
              <w:bottom w:w="40" w:type="dxa"/>
              <w:right w:w="0" w:type="dxa"/>
            </w:tcMar>
            <w:vAlign w:val="bottom"/>
          </w:tcPr>
          <w:p w14:paraId="00BADF5D" w14:textId="77777777" w:rsidR="00871BDF" w:rsidRDefault="005C5088">
            <w:pPr>
              <w:jc w:val="right"/>
              <w:textAlignment w:val="bottom"/>
            </w:pPr>
            <w:r>
              <w:rPr>
                <w:rFonts w:ascii="Times New Roman" w:eastAsia="宋体" w:hAnsi="Times New Roman"/>
                <w:color w:val="000000"/>
                <w:sz w:val="20"/>
                <w:szCs w:val="20"/>
              </w:rPr>
              <w:t>19.5 </w:t>
            </w:r>
          </w:p>
        </w:tc>
        <w:tc>
          <w:tcPr>
            <w:tcW w:w="0" w:type="auto"/>
            <w:tcBorders>
              <w:top w:val="double" w:sz="6" w:space="0" w:color="000000"/>
            </w:tcBorders>
            <w:shd w:val="clear" w:color="auto" w:fill="D7E4BC"/>
            <w:tcMar>
              <w:top w:w="40" w:type="dxa"/>
              <w:left w:w="0" w:type="dxa"/>
              <w:bottom w:w="40" w:type="dxa"/>
              <w:right w:w="20" w:type="dxa"/>
            </w:tcMar>
            <w:vAlign w:val="bottom"/>
          </w:tcPr>
          <w:p w14:paraId="00BADF5E"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ADF5F" w14:textId="77777777" w:rsidR="00871BDF" w:rsidRDefault="00871BDF">
            <w:pPr>
              <w:rPr>
                <w:rFonts w:ascii="宋体"/>
              </w:rPr>
            </w:pPr>
          </w:p>
        </w:tc>
        <w:tc>
          <w:tcPr>
            <w:tcW w:w="0" w:type="auto"/>
            <w:gridSpan w:val="2"/>
            <w:tcBorders>
              <w:top w:val="double" w:sz="6" w:space="0" w:color="000000"/>
            </w:tcBorders>
            <w:shd w:val="clear" w:color="auto" w:fill="D7E4BC"/>
            <w:tcMar>
              <w:top w:w="40" w:type="dxa"/>
              <w:left w:w="20" w:type="dxa"/>
              <w:bottom w:w="40" w:type="dxa"/>
              <w:right w:w="0" w:type="dxa"/>
            </w:tcMar>
            <w:vAlign w:val="bottom"/>
          </w:tcPr>
          <w:p w14:paraId="00BADF60" w14:textId="77777777" w:rsidR="00871BDF" w:rsidRDefault="005C5088">
            <w:pPr>
              <w:jc w:val="right"/>
              <w:textAlignment w:val="bottom"/>
            </w:pPr>
            <w:r>
              <w:rPr>
                <w:rFonts w:ascii="Times New Roman" w:eastAsia="宋体" w:hAnsi="Times New Roman"/>
                <w:color w:val="000000"/>
                <w:sz w:val="20"/>
                <w:szCs w:val="20"/>
              </w:rPr>
              <w:t>21.8 </w:t>
            </w:r>
          </w:p>
        </w:tc>
        <w:tc>
          <w:tcPr>
            <w:tcW w:w="0" w:type="auto"/>
            <w:tcBorders>
              <w:top w:val="double" w:sz="6" w:space="0" w:color="000000"/>
            </w:tcBorders>
            <w:shd w:val="clear" w:color="auto" w:fill="D7E4BC"/>
            <w:tcMar>
              <w:top w:w="40" w:type="dxa"/>
              <w:left w:w="0" w:type="dxa"/>
              <w:bottom w:w="40" w:type="dxa"/>
              <w:right w:w="20" w:type="dxa"/>
            </w:tcMar>
            <w:vAlign w:val="bottom"/>
          </w:tcPr>
          <w:p w14:paraId="00BADF61" w14:textId="77777777" w:rsidR="00871BDF" w:rsidRDefault="005C5088">
            <w:pPr>
              <w:jc w:val="right"/>
              <w:textAlignment w:val="bottom"/>
            </w:pPr>
            <w:r>
              <w:rPr>
                <w:rFonts w:ascii="Times New Roman" w:eastAsia="宋体" w:hAnsi="Times New Roman"/>
                <w:color w:val="000000"/>
                <w:sz w:val="20"/>
                <w:szCs w:val="20"/>
              </w:rPr>
              <w:t>%</w:t>
            </w:r>
          </w:p>
        </w:tc>
      </w:tr>
    </w:tbl>
    <w:p w14:paraId="00BADF63" w14:textId="77777777" w:rsidR="00871BDF" w:rsidRDefault="005C5088">
      <w:pPr>
        <w:spacing w:before="120"/>
      </w:pPr>
      <w:r>
        <w:rPr>
          <w:rFonts w:ascii="Times New Roman" w:eastAsia="宋体" w:hAnsi="Times New Roman"/>
          <w:color w:val="000000"/>
          <w:sz w:val="20"/>
          <w:szCs w:val="20"/>
        </w:rPr>
        <w:t>Gain resulting from acquisition of joint venture in fiscal 2018 was due to remeasuring our preexisting 50% ownership interest in our East China joint venture to fair value upon acquisition.</w:t>
      </w:r>
    </w:p>
    <w:p w14:paraId="00BADF64" w14:textId="77777777" w:rsidR="00871BDF" w:rsidRDefault="005C5088">
      <w:pPr>
        <w:spacing w:before="120"/>
      </w:pPr>
      <w:r>
        <w:rPr>
          <w:rFonts w:ascii="Times New Roman" w:eastAsia="宋体" w:hAnsi="Times New Roman"/>
          <w:color w:val="000000"/>
          <w:sz w:val="20"/>
          <w:szCs w:val="20"/>
        </w:rPr>
        <w:t xml:space="preserve">Net gain </w:t>
      </w:r>
      <w:r>
        <w:rPr>
          <w:rFonts w:ascii="Times New Roman" w:eastAsia="宋体" w:hAnsi="Times New Roman"/>
          <w:color w:val="000000"/>
          <w:sz w:val="20"/>
          <w:szCs w:val="20"/>
        </w:rPr>
        <w:t>resulting from divestiture of certain operations was primarily due to the sale of our Thailand, France and the Netherlands retail operations in fiscal 2019. The gain in fiscal 2018 was primarily due to the sale of our Tazo brand and Taiwan joint venture, p</w:t>
      </w:r>
      <w:r>
        <w:rPr>
          <w:rFonts w:ascii="Times New Roman" w:eastAsia="宋体" w:hAnsi="Times New Roman"/>
          <w:color w:val="000000"/>
          <w:sz w:val="20"/>
          <w:szCs w:val="20"/>
        </w:rPr>
        <w:t>artially offset by the net loss from the sale of our Brazil retail operations in fiscal 2018.</w:t>
      </w:r>
    </w:p>
    <w:p w14:paraId="00BADF65" w14:textId="77777777" w:rsidR="00871BDF" w:rsidRDefault="005C5088">
      <w:pPr>
        <w:spacing w:before="120"/>
      </w:pPr>
      <w:r>
        <w:rPr>
          <w:rFonts w:ascii="Times New Roman" w:eastAsia="宋体" w:hAnsi="Times New Roman"/>
          <w:color w:val="000000"/>
          <w:sz w:val="20"/>
          <w:szCs w:val="20"/>
        </w:rPr>
        <w:t>Interest income and other, net decreased $95 million, primarily due to the adoption of the new revenue recognition guidance on a prospective basis, which required</w:t>
      </w:r>
      <w:r>
        <w:rPr>
          <w:rFonts w:ascii="Times New Roman" w:eastAsia="宋体" w:hAnsi="Times New Roman"/>
          <w:color w:val="000000"/>
          <w:sz w:val="20"/>
          <w:szCs w:val="20"/>
        </w:rPr>
        <w:t xml:space="preserve"> estimated breakage on unredeemed store value cards to be recorded as revenue. We recorded stored value card breakage in interest income and other, net in the prior year.</w:t>
      </w:r>
    </w:p>
    <w:p w14:paraId="00BADF66" w14:textId="77777777" w:rsidR="00871BDF" w:rsidRDefault="005C5088">
      <w:pPr>
        <w:spacing w:before="120"/>
      </w:pPr>
      <w:r>
        <w:rPr>
          <w:rFonts w:ascii="Times New Roman" w:eastAsia="宋体" w:hAnsi="Times New Roman"/>
          <w:color w:val="000000"/>
          <w:sz w:val="20"/>
          <w:szCs w:val="20"/>
        </w:rPr>
        <w:t>Interest expense increased $161 million primarily due to additional interest incurred</w:t>
      </w:r>
      <w:r>
        <w:rPr>
          <w:rFonts w:ascii="Times New Roman" w:eastAsia="宋体" w:hAnsi="Times New Roman"/>
          <w:color w:val="000000"/>
          <w:sz w:val="20"/>
          <w:szCs w:val="20"/>
        </w:rPr>
        <w:t xml:space="preserve"> on long-term debt issued in November 2017, March 2018, August 2018 and May 2019.</w:t>
      </w:r>
    </w:p>
    <w:p w14:paraId="00BADF67" w14:textId="77777777" w:rsidR="00871BDF" w:rsidRDefault="005C5088">
      <w:pPr>
        <w:spacing w:before="120"/>
      </w:pPr>
      <w:r>
        <w:rPr>
          <w:rFonts w:ascii="Times New Roman" w:eastAsia="宋体" w:hAnsi="Times New Roman"/>
          <w:color w:val="000000"/>
          <w:sz w:val="20"/>
          <w:szCs w:val="20"/>
        </w:rPr>
        <w:t>The effective tax rate for fiscal 2019 was 19.5% compared to 21.8% for fiscal 2018. The decrease in the effective tax rate was primarily due to the lower corporate tax rate a</w:t>
      </w:r>
      <w:r>
        <w:rPr>
          <w:rFonts w:ascii="Times New Roman" w:eastAsia="宋体" w:hAnsi="Times New Roman"/>
          <w:color w:val="000000"/>
          <w:sz w:val="20"/>
          <w:szCs w:val="20"/>
        </w:rPr>
        <w:t>s a result of the Tax Act (approximately 350 basis points), lapping prior year's transition tax on our accumulated undistributed foreign earnings and remeasurement of our deferred tax liabilities (approximately 300 basis points), higher stock-based compens</w:t>
      </w:r>
      <w:r>
        <w:rPr>
          <w:rFonts w:ascii="Times New Roman" w:eastAsia="宋体" w:hAnsi="Times New Roman"/>
          <w:color w:val="000000"/>
          <w:sz w:val="20"/>
          <w:szCs w:val="20"/>
        </w:rPr>
        <w:t xml:space="preserve">ation excess tax benefit (approximately 140 basis points), the release of income tax reserves related to the settlement of a U.S. tax examination and the expiration of statute of limitations (approximately 130 basis points) and the tax impacts of the gain </w:t>
      </w:r>
      <w:r>
        <w:rPr>
          <w:rFonts w:ascii="Times New Roman" w:eastAsia="宋体" w:hAnsi="Times New Roman"/>
          <w:color w:val="000000"/>
          <w:sz w:val="20"/>
          <w:szCs w:val="20"/>
        </w:rPr>
        <w:t>on the sale of our Thailand retail operations (approximately 130 basis points). These favorable impacts were partially offset by the lapping of prior year's gain on the purchase of our East China joint venture that was not subject to income tax (approximat</w:t>
      </w:r>
      <w:r>
        <w:rPr>
          <w:rFonts w:ascii="Times New Roman" w:eastAsia="宋体" w:hAnsi="Times New Roman"/>
          <w:color w:val="000000"/>
          <w:sz w:val="20"/>
          <w:szCs w:val="20"/>
        </w:rPr>
        <w:t>ely 580 basis points) and the impact of changes in indefinite reinvestment assertions for certain foreign subsidiaries during the first quarter of fiscal 2019 (approximately 170 basis points). See</w:t>
      </w:r>
      <w:hyperlink r:id="rId98" w:anchor="i54ccc64cb5384be5a4849ef1cdef4dde_181" w:history="1">
        <w:r>
          <w:rPr>
            <w:rStyle w:val="a5"/>
            <w:rFonts w:ascii="Times New Roman" w:eastAsia="宋体" w:hAnsi="Times New Roman"/>
            <w:sz w:val="20"/>
            <w:szCs w:val="20"/>
            <w:shd w:val="clear" w:color="auto" w:fill="FFFFFF"/>
          </w:rPr>
          <w:t xml:space="preserve"> Note 14</w:t>
        </w:r>
      </w:hyperlink>
      <w:r>
        <w:rPr>
          <w:rFonts w:ascii="Times New Roman" w:eastAsia="宋体" w:hAnsi="Times New Roman"/>
          <w:color w:val="000000"/>
          <w:sz w:val="20"/>
          <w:szCs w:val="20"/>
        </w:rPr>
        <w:t>, Income Taxes, for further discussion.</w:t>
      </w:r>
    </w:p>
    <w:p w14:paraId="00BADF68" w14:textId="77777777" w:rsidR="00871BDF" w:rsidRDefault="005C5088">
      <w:pPr>
        <w:jc w:val="center"/>
      </w:pPr>
      <w:r>
        <w:rPr>
          <w:rFonts w:ascii="Times New Roman" w:eastAsia="宋体" w:hAnsi="Times New Roman"/>
          <w:color w:val="000000"/>
          <w:sz w:val="20"/>
          <w:szCs w:val="20"/>
        </w:rPr>
        <w:t>34</w:t>
      </w:r>
    </w:p>
    <w:p w14:paraId="00BADF69" w14:textId="77777777" w:rsidR="00871BDF" w:rsidRDefault="005C5088">
      <w:r>
        <w:pict w14:anchorId="00BB1487">
          <v:rect id="_x0000_i1061" style="width:415.3pt;height:1.5pt" o:hralign="center" o:hrstd="t" o:hr="t" fillcolor="#a0a0a0" stroked="f"/>
        </w:pict>
      </w:r>
    </w:p>
    <w:p w14:paraId="00BADF6A" w14:textId="77777777" w:rsidR="00871BDF" w:rsidRDefault="005C5088">
      <w:hyperlink r:id="rId99" w:anchor="i54ccc64cb5384be5a4849ef1cdef4dde_7" w:history="1">
        <w:r>
          <w:rPr>
            <w:rStyle w:val="a5"/>
            <w:rFonts w:ascii="Times New Roman" w:eastAsia="宋体" w:hAnsi="Times New Roman"/>
            <w:sz w:val="20"/>
            <w:szCs w:val="20"/>
          </w:rPr>
          <w:t>Table of Contents</w:t>
        </w:r>
      </w:hyperlink>
    </w:p>
    <w:p w14:paraId="00BADF6B" w14:textId="77777777" w:rsidR="00871BDF" w:rsidRDefault="005C5088">
      <w:pPr>
        <w:spacing w:before="120"/>
      </w:pPr>
      <w:r>
        <w:rPr>
          <w:rFonts w:ascii="Times New Roman" w:eastAsia="宋体" w:hAnsi="Times New Roman"/>
          <w:b/>
          <w:bCs/>
          <w:color w:val="000000"/>
          <w:sz w:val="20"/>
          <w:szCs w:val="20"/>
        </w:rPr>
        <w:t>Segment Information</w:t>
      </w:r>
    </w:p>
    <w:p w14:paraId="00BADF6C" w14:textId="77777777" w:rsidR="00871BDF" w:rsidRDefault="005C5088">
      <w:pPr>
        <w:spacing w:before="120"/>
      </w:pPr>
      <w:r>
        <w:rPr>
          <w:rFonts w:ascii="Times New Roman" w:eastAsia="宋体" w:hAnsi="Times New Roman"/>
          <w:color w:val="000000"/>
          <w:sz w:val="20"/>
          <w:szCs w:val="20"/>
        </w:rPr>
        <w:t xml:space="preserve">Results of operations by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p w14:paraId="00BADF6D" w14:textId="77777777" w:rsidR="00871BDF" w:rsidRDefault="005C5088">
      <w:pPr>
        <w:spacing w:before="120"/>
      </w:pPr>
      <w:r>
        <w:rPr>
          <w:rFonts w:ascii="Times New Roman" w:eastAsia="宋体" w:hAnsi="Times New Roman"/>
          <w:b/>
          <w:bCs/>
          <w:i/>
          <w:iCs/>
          <w:color w:val="000000"/>
          <w:sz w:val="20"/>
          <w:szCs w:val="20"/>
        </w:rPr>
        <w:t>Americas</w:t>
      </w:r>
    </w:p>
    <w:tbl>
      <w:tblPr>
        <w:tblW w:w="4993" w:type="pct"/>
        <w:tblCellMar>
          <w:top w:w="15" w:type="dxa"/>
          <w:left w:w="15" w:type="dxa"/>
          <w:bottom w:w="15" w:type="dxa"/>
          <w:right w:w="15" w:type="dxa"/>
        </w:tblCellMar>
        <w:tblLook w:val="04A0" w:firstRow="1" w:lastRow="0" w:firstColumn="1" w:lastColumn="0" w:noHBand="0" w:noVBand="1"/>
      </w:tblPr>
      <w:tblGrid>
        <w:gridCol w:w="53"/>
        <w:gridCol w:w="2485"/>
        <w:gridCol w:w="37"/>
        <w:gridCol w:w="120"/>
        <w:gridCol w:w="1171"/>
        <w:gridCol w:w="36"/>
        <w:gridCol w:w="36"/>
        <w:gridCol w:w="36"/>
        <w:gridCol w:w="36"/>
        <w:gridCol w:w="120"/>
        <w:gridCol w:w="1109"/>
        <w:gridCol w:w="36"/>
        <w:gridCol w:w="36"/>
        <w:gridCol w:w="36"/>
        <w:gridCol w:w="36"/>
        <w:gridCol w:w="39"/>
        <w:gridCol w:w="1085"/>
        <w:gridCol w:w="220"/>
        <w:gridCol w:w="36"/>
        <w:gridCol w:w="36"/>
        <w:gridCol w:w="36"/>
        <w:gridCol w:w="39"/>
        <w:gridCol w:w="1086"/>
        <w:gridCol w:w="220"/>
        <w:gridCol w:w="36"/>
        <w:gridCol w:w="36"/>
        <w:gridCol w:w="36"/>
        <w:gridCol w:w="36"/>
      </w:tblGrid>
      <w:tr w:rsidR="00871BDF" w14:paraId="00BADF8A" w14:textId="77777777">
        <w:tc>
          <w:tcPr>
            <w:tcW w:w="50" w:type="pct"/>
            <w:shd w:val="clear" w:color="auto" w:fill="auto"/>
          </w:tcPr>
          <w:p w14:paraId="00BADF6E" w14:textId="77777777" w:rsidR="00871BDF" w:rsidRDefault="00871BDF">
            <w:pPr>
              <w:rPr>
                <w:rFonts w:ascii="宋体"/>
              </w:rPr>
            </w:pPr>
          </w:p>
        </w:tc>
        <w:tc>
          <w:tcPr>
            <w:tcW w:w="1584" w:type="pct"/>
            <w:shd w:val="clear" w:color="auto" w:fill="auto"/>
          </w:tcPr>
          <w:p w14:paraId="00BADF6F" w14:textId="77777777" w:rsidR="00871BDF" w:rsidRDefault="00871BDF">
            <w:pPr>
              <w:rPr>
                <w:rFonts w:ascii="宋体"/>
              </w:rPr>
            </w:pPr>
          </w:p>
        </w:tc>
        <w:tc>
          <w:tcPr>
            <w:tcW w:w="5" w:type="pct"/>
            <w:shd w:val="clear" w:color="auto" w:fill="auto"/>
          </w:tcPr>
          <w:p w14:paraId="00BADF70" w14:textId="77777777" w:rsidR="00871BDF" w:rsidRDefault="00871BDF">
            <w:pPr>
              <w:rPr>
                <w:rFonts w:ascii="宋体"/>
              </w:rPr>
            </w:pPr>
          </w:p>
        </w:tc>
        <w:tc>
          <w:tcPr>
            <w:tcW w:w="50" w:type="pct"/>
            <w:shd w:val="clear" w:color="auto" w:fill="auto"/>
          </w:tcPr>
          <w:p w14:paraId="00BADF71" w14:textId="77777777" w:rsidR="00871BDF" w:rsidRDefault="00871BDF">
            <w:pPr>
              <w:rPr>
                <w:rFonts w:ascii="宋体"/>
              </w:rPr>
            </w:pPr>
          </w:p>
        </w:tc>
        <w:tc>
          <w:tcPr>
            <w:tcW w:w="757" w:type="pct"/>
            <w:shd w:val="clear" w:color="auto" w:fill="auto"/>
          </w:tcPr>
          <w:p w14:paraId="00BADF72" w14:textId="77777777" w:rsidR="00871BDF" w:rsidRDefault="00871BDF">
            <w:pPr>
              <w:rPr>
                <w:rFonts w:ascii="宋体"/>
              </w:rPr>
            </w:pPr>
          </w:p>
        </w:tc>
        <w:tc>
          <w:tcPr>
            <w:tcW w:w="5" w:type="pct"/>
            <w:shd w:val="clear" w:color="auto" w:fill="auto"/>
          </w:tcPr>
          <w:p w14:paraId="00BADF73" w14:textId="77777777" w:rsidR="00871BDF" w:rsidRDefault="00871BDF">
            <w:pPr>
              <w:rPr>
                <w:rFonts w:ascii="宋体"/>
              </w:rPr>
            </w:pPr>
          </w:p>
        </w:tc>
        <w:tc>
          <w:tcPr>
            <w:tcW w:w="5" w:type="pct"/>
            <w:shd w:val="clear" w:color="auto" w:fill="auto"/>
          </w:tcPr>
          <w:p w14:paraId="00BADF74" w14:textId="77777777" w:rsidR="00871BDF" w:rsidRDefault="00871BDF">
            <w:pPr>
              <w:rPr>
                <w:rFonts w:ascii="宋体"/>
              </w:rPr>
            </w:pPr>
          </w:p>
        </w:tc>
        <w:tc>
          <w:tcPr>
            <w:tcW w:w="26" w:type="pct"/>
            <w:shd w:val="clear" w:color="auto" w:fill="auto"/>
          </w:tcPr>
          <w:p w14:paraId="00BADF75" w14:textId="77777777" w:rsidR="00871BDF" w:rsidRDefault="00871BDF">
            <w:pPr>
              <w:rPr>
                <w:rFonts w:ascii="宋体"/>
              </w:rPr>
            </w:pPr>
          </w:p>
        </w:tc>
        <w:tc>
          <w:tcPr>
            <w:tcW w:w="5" w:type="pct"/>
            <w:shd w:val="clear" w:color="auto" w:fill="auto"/>
          </w:tcPr>
          <w:p w14:paraId="00BADF76" w14:textId="77777777" w:rsidR="00871BDF" w:rsidRDefault="00871BDF">
            <w:pPr>
              <w:rPr>
                <w:rFonts w:ascii="宋体"/>
              </w:rPr>
            </w:pPr>
          </w:p>
        </w:tc>
        <w:tc>
          <w:tcPr>
            <w:tcW w:w="50" w:type="pct"/>
            <w:shd w:val="clear" w:color="auto" w:fill="auto"/>
          </w:tcPr>
          <w:p w14:paraId="00BADF77" w14:textId="77777777" w:rsidR="00871BDF" w:rsidRDefault="00871BDF">
            <w:pPr>
              <w:rPr>
                <w:rFonts w:ascii="宋体"/>
              </w:rPr>
            </w:pPr>
          </w:p>
        </w:tc>
        <w:tc>
          <w:tcPr>
            <w:tcW w:w="757" w:type="pct"/>
            <w:shd w:val="clear" w:color="auto" w:fill="auto"/>
          </w:tcPr>
          <w:p w14:paraId="00BADF78" w14:textId="77777777" w:rsidR="00871BDF" w:rsidRDefault="00871BDF">
            <w:pPr>
              <w:rPr>
                <w:rFonts w:ascii="宋体"/>
              </w:rPr>
            </w:pPr>
          </w:p>
        </w:tc>
        <w:tc>
          <w:tcPr>
            <w:tcW w:w="5" w:type="pct"/>
            <w:shd w:val="clear" w:color="auto" w:fill="auto"/>
          </w:tcPr>
          <w:p w14:paraId="00BADF79" w14:textId="77777777" w:rsidR="00871BDF" w:rsidRDefault="00871BDF">
            <w:pPr>
              <w:rPr>
                <w:rFonts w:ascii="宋体"/>
              </w:rPr>
            </w:pPr>
          </w:p>
        </w:tc>
        <w:tc>
          <w:tcPr>
            <w:tcW w:w="5" w:type="pct"/>
            <w:shd w:val="clear" w:color="auto" w:fill="auto"/>
          </w:tcPr>
          <w:p w14:paraId="00BADF7A" w14:textId="77777777" w:rsidR="00871BDF" w:rsidRDefault="00871BDF">
            <w:pPr>
              <w:rPr>
                <w:rFonts w:ascii="宋体"/>
              </w:rPr>
            </w:pPr>
          </w:p>
        </w:tc>
        <w:tc>
          <w:tcPr>
            <w:tcW w:w="26" w:type="pct"/>
            <w:shd w:val="clear" w:color="auto" w:fill="auto"/>
          </w:tcPr>
          <w:p w14:paraId="00BADF7B" w14:textId="77777777" w:rsidR="00871BDF" w:rsidRDefault="00871BDF">
            <w:pPr>
              <w:rPr>
                <w:rFonts w:ascii="宋体"/>
              </w:rPr>
            </w:pPr>
          </w:p>
        </w:tc>
        <w:tc>
          <w:tcPr>
            <w:tcW w:w="5" w:type="pct"/>
            <w:shd w:val="clear" w:color="auto" w:fill="auto"/>
          </w:tcPr>
          <w:p w14:paraId="00BADF7C" w14:textId="77777777" w:rsidR="00871BDF" w:rsidRDefault="00871BDF">
            <w:pPr>
              <w:rPr>
                <w:rFonts w:ascii="宋体"/>
              </w:rPr>
            </w:pPr>
          </w:p>
        </w:tc>
        <w:tc>
          <w:tcPr>
            <w:tcW w:w="50" w:type="pct"/>
            <w:shd w:val="clear" w:color="auto" w:fill="auto"/>
          </w:tcPr>
          <w:p w14:paraId="00BADF7D" w14:textId="77777777" w:rsidR="00871BDF" w:rsidRDefault="00871BDF">
            <w:pPr>
              <w:rPr>
                <w:rFonts w:ascii="宋体"/>
              </w:rPr>
            </w:pPr>
          </w:p>
        </w:tc>
        <w:tc>
          <w:tcPr>
            <w:tcW w:w="757" w:type="pct"/>
            <w:shd w:val="clear" w:color="auto" w:fill="auto"/>
          </w:tcPr>
          <w:p w14:paraId="00BADF7E" w14:textId="77777777" w:rsidR="00871BDF" w:rsidRDefault="00871BDF">
            <w:pPr>
              <w:rPr>
                <w:rFonts w:ascii="宋体"/>
              </w:rPr>
            </w:pPr>
          </w:p>
        </w:tc>
        <w:tc>
          <w:tcPr>
            <w:tcW w:w="5" w:type="pct"/>
            <w:shd w:val="clear" w:color="auto" w:fill="auto"/>
          </w:tcPr>
          <w:p w14:paraId="00BADF7F" w14:textId="77777777" w:rsidR="00871BDF" w:rsidRDefault="00871BDF">
            <w:pPr>
              <w:rPr>
                <w:rFonts w:ascii="宋体"/>
              </w:rPr>
            </w:pPr>
          </w:p>
        </w:tc>
        <w:tc>
          <w:tcPr>
            <w:tcW w:w="5" w:type="pct"/>
            <w:shd w:val="clear" w:color="auto" w:fill="auto"/>
          </w:tcPr>
          <w:p w14:paraId="00BADF80" w14:textId="77777777" w:rsidR="00871BDF" w:rsidRDefault="00871BDF">
            <w:pPr>
              <w:rPr>
                <w:rFonts w:ascii="宋体"/>
              </w:rPr>
            </w:pPr>
          </w:p>
        </w:tc>
        <w:tc>
          <w:tcPr>
            <w:tcW w:w="26" w:type="pct"/>
            <w:shd w:val="clear" w:color="auto" w:fill="auto"/>
          </w:tcPr>
          <w:p w14:paraId="00BADF81" w14:textId="77777777" w:rsidR="00871BDF" w:rsidRDefault="00871BDF">
            <w:pPr>
              <w:rPr>
                <w:rFonts w:ascii="宋体"/>
              </w:rPr>
            </w:pPr>
          </w:p>
        </w:tc>
        <w:tc>
          <w:tcPr>
            <w:tcW w:w="5" w:type="pct"/>
            <w:shd w:val="clear" w:color="auto" w:fill="auto"/>
          </w:tcPr>
          <w:p w14:paraId="00BADF82" w14:textId="77777777" w:rsidR="00871BDF" w:rsidRDefault="00871BDF">
            <w:pPr>
              <w:rPr>
                <w:rFonts w:ascii="宋体"/>
              </w:rPr>
            </w:pPr>
          </w:p>
        </w:tc>
        <w:tc>
          <w:tcPr>
            <w:tcW w:w="50" w:type="pct"/>
            <w:shd w:val="clear" w:color="auto" w:fill="auto"/>
          </w:tcPr>
          <w:p w14:paraId="00BADF83" w14:textId="77777777" w:rsidR="00871BDF" w:rsidRDefault="00871BDF">
            <w:pPr>
              <w:rPr>
                <w:rFonts w:ascii="宋体"/>
              </w:rPr>
            </w:pPr>
          </w:p>
        </w:tc>
        <w:tc>
          <w:tcPr>
            <w:tcW w:w="757" w:type="pct"/>
            <w:shd w:val="clear" w:color="auto" w:fill="auto"/>
          </w:tcPr>
          <w:p w14:paraId="00BADF84" w14:textId="77777777" w:rsidR="00871BDF" w:rsidRDefault="00871BDF">
            <w:pPr>
              <w:rPr>
                <w:rFonts w:ascii="宋体"/>
              </w:rPr>
            </w:pPr>
          </w:p>
        </w:tc>
        <w:tc>
          <w:tcPr>
            <w:tcW w:w="5" w:type="pct"/>
            <w:shd w:val="clear" w:color="auto" w:fill="auto"/>
          </w:tcPr>
          <w:p w14:paraId="00BADF85" w14:textId="77777777" w:rsidR="00871BDF" w:rsidRDefault="00871BDF">
            <w:pPr>
              <w:rPr>
                <w:rFonts w:ascii="宋体"/>
              </w:rPr>
            </w:pPr>
          </w:p>
        </w:tc>
        <w:tc>
          <w:tcPr>
            <w:tcW w:w="0" w:type="auto"/>
            <w:shd w:val="clear" w:color="auto" w:fill="auto"/>
          </w:tcPr>
          <w:p w14:paraId="00BADF86" w14:textId="77777777" w:rsidR="00871BDF" w:rsidRDefault="00871BDF">
            <w:pPr>
              <w:rPr>
                <w:rFonts w:ascii="宋体"/>
                <w:vanish/>
              </w:rPr>
            </w:pPr>
          </w:p>
        </w:tc>
        <w:tc>
          <w:tcPr>
            <w:tcW w:w="0" w:type="auto"/>
            <w:shd w:val="clear" w:color="auto" w:fill="auto"/>
          </w:tcPr>
          <w:p w14:paraId="00BADF87" w14:textId="77777777" w:rsidR="00871BDF" w:rsidRDefault="00871BDF">
            <w:pPr>
              <w:rPr>
                <w:rFonts w:ascii="宋体"/>
                <w:vanish/>
              </w:rPr>
            </w:pPr>
          </w:p>
        </w:tc>
        <w:tc>
          <w:tcPr>
            <w:tcW w:w="0" w:type="auto"/>
            <w:shd w:val="clear" w:color="auto" w:fill="auto"/>
          </w:tcPr>
          <w:p w14:paraId="00BADF88" w14:textId="77777777" w:rsidR="00871BDF" w:rsidRDefault="00871BDF">
            <w:pPr>
              <w:rPr>
                <w:rFonts w:ascii="宋体"/>
                <w:vanish/>
              </w:rPr>
            </w:pPr>
          </w:p>
        </w:tc>
        <w:tc>
          <w:tcPr>
            <w:tcW w:w="0" w:type="auto"/>
            <w:shd w:val="clear" w:color="auto" w:fill="auto"/>
          </w:tcPr>
          <w:p w14:paraId="00BADF89" w14:textId="77777777" w:rsidR="00871BDF" w:rsidRDefault="00871BDF">
            <w:pPr>
              <w:rPr>
                <w:rFonts w:ascii="宋体"/>
                <w:vanish/>
              </w:rPr>
            </w:pPr>
          </w:p>
        </w:tc>
      </w:tr>
      <w:tr w:rsidR="00871BDF" w14:paraId="00BADF97" w14:textId="77777777">
        <w:tc>
          <w:tcPr>
            <w:tcW w:w="0" w:type="auto"/>
            <w:gridSpan w:val="3"/>
            <w:shd w:val="clear" w:color="auto" w:fill="auto"/>
            <w:tcMar>
              <w:top w:w="40" w:type="dxa"/>
              <w:left w:w="20" w:type="dxa"/>
              <w:bottom w:w="40" w:type="dxa"/>
              <w:right w:w="20" w:type="dxa"/>
            </w:tcMar>
            <w:vAlign w:val="bottom"/>
          </w:tcPr>
          <w:p w14:paraId="00BADF8B"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DF8C"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DF8D"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F8E"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c>
          <w:tcPr>
            <w:tcW w:w="0" w:type="auto"/>
            <w:gridSpan w:val="3"/>
            <w:shd w:val="clear" w:color="auto" w:fill="auto"/>
            <w:tcMar>
              <w:top w:w="0" w:type="dxa"/>
              <w:left w:w="20" w:type="dxa"/>
              <w:bottom w:w="0" w:type="dxa"/>
              <w:right w:w="20" w:type="dxa"/>
            </w:tcMar>
          </w:tcPr>
          <w:p w14:paraId="00BADF8F"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F90"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DF91"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DF92"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c>
          <w:tcPr>
            <w:tcW w:w="0" w:type="auto"/>
            <w:shd w:val="clear" w:color="auto" w:fill="auto"/>
          </w:tcPr>
          <w:p w14:paraId="00BADF93" w14:textId="77777777" w:rsidR="00871BDF" w:rsidRDefault="00871BDF">
            <w:pPr>
              <w:rPr>
                <w:rFonts w:ascii="宋体"/>
                <w:vanish/>
              </w:rPr>
            </w:pPr>
          </w:p>
        </w:tc>
        <w:tc>
          <w:tcPr>
            <w:tcW w:w="0" w:type="auto"/>
            <w:shd w:val="clear" w:color="auto" w:fill="auto"/>
          </w:tcPr>
          <w:p w14:paraId="00BADF94" w14:textId="77777777" w:rsidR="00871BDF" w:rsidRDefault="00871BDF">
            <w:pPr>
              <w:rPr>
                <w:rFonts w:ascii="宋体"/>
                <w:vanish/>
              </w:rPr>
            </w:pPr>
          </w:p>
        </w:tc>
        <w:tc>
          <w:tcPr>
            <w:tcW w:w="0" w:type="auto"/>
            <w:shd w:val="clear" w:color="auto" w:fill="auto"/>
          </w:tcPr>
          <w:p w14:paraId="00BADF95" w14:textId="77777777" w:rsidR="00871BDF" w:rsidRDefault="00871BDF">
            <w:pPr>
              <w:rPr>
                <w:rFonts w:ascii="宋体"/>
                <w:vanish/>
              </w:rPr>
            </w:pPr>
          </w:p>
        </w:tc>
        <w:tc>
          <w:tcPr>
            <w:tcW w:w="0" w:type="auto"/>
            <w:shd w:val="clear" w:color="auto" w:fill="auto"/>
          </w:tcPr>
          <w:p w14:paraId="00BADF96" w14:textId="77777777" w:rsidR="00871BDF" w:rsidRDefault="00871BDF">
            <w:pPr>
              <w:rPr>
                <w:rFonts w:ascii="宋体"/>
                <w:vanish/>
              </w:rPr>
            </w:pPr>
          </w:p>
        </w:tc>
      </w:tr>
      <w:tr w:rsidR="00871BDF" w14:paraId="00BADFA2" w14:textId="77777777">
        <w:tc>
          <w:tcPr>
            <w:tcW w:w="0" w:type="auto"/>
            <w:gridSpan w:val="3"/>
            <w:shd w:val="clear" w:color="auto" w:fill="FFFFFF"/>
            <w:tcMar>
              <w:top w:w="40" w:type="dxa"/>
              <w:left w:w="20" w:type="dxa"/>
              <w:bottom w:w="40" w:type="dxa"/>
              <w:right w:w="20" w:type="dxa"/>
            </w:tcMar>
            <w:vAlign w:val="bottom"/>
          </w:tcPr>
          <w:p w14:paraId="00BADF98"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bottom"/>
          </w:tcPr>
          <w:p w14:paraId="00BADF99"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FFFFFF"/>
            <w:tcMar>
              <w:top w:w="0" w:type="dxa"/>
              <w:left w:w="20" w:type="dxa"/>
              <w:bottom w:w="0" w:type="dxa"/>
              <w:right w:w="20" w:type="dxa"/>
            </w:tcMar>
          </w:tcPr>
          <w:p w14:paraId="00BADF9A"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ADF9B"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FFFFFF"/>
            <w:tcMar>
              <w:top w:w="0" w:type="dxa"/>
              <w:left w:w="20" w:type="dxa"/>
              <w:bottom w:w="0" w:type="dxa"/>
              <w:right w:w="20" w:type="dxa"/>
            </w:tcMar>
          </w:tcPr>
          <w:p w14:paraId="00BADF9C" w14:textId="77777777" w:rsidR="00871BDF" w:rsidRDefault="00871BDF">
            <w:pPr>
              <w:rPr>
                <w:rFonts w:ascii="宋体"/>
              </w:rPr>
            </w:pPr>
          </w:p>
        </w:tc>
        <w:tc>
          <w:tcPr>
            <w:tcW w:w="0" w:type="auto"/>
            <w:gridSpan w:val="9"/>
            <w:shd w:val="clear" w:color="auto" w:fill="FFFFFF"/>
            <w:tcMar>
              <w:top w:w="40" w:type="dxa"/>
              <w:left w:w="20" w:type="dxa"/>
              <w:bottom w:w="40" w:type="dxa"/>
              <w:right w:w="20" w:type="dxa"/>
            </w:tcMar>
            <w:vAlign w:val="bottom"/>
          </w:tcPr>
          <w:p w14:paraId="00BADF9D" w14:textId="77777777" w:rsidR="00871BDF" w:rsidRDefault="005C5088">
            <w:pPr>
              <w:jc w:val="center"/>
              <w:textAlignment w:val="bottom"/>
            </w:pPr>
            <w:r>
              <w:rPr>
                <w:rFonts w:ascii="Times New Roman" w:eastAsia="宋体" w:hAnsi="Times New Roman"/>
                <w:b/>
                <w:bCs/>
                <w:color w:val="000000"/>
                <w:sz w:val="16"/>
                <w:szCs w:val="16"/>
              </w:rPr>
              <w:t xml:space="preserve">As a % of Americas </w:t>
            </w:r>
            <w:r>
              <w:rPr>
                <w:rFonts w:ascii="Times New Roman" w:eastAsia="宋体" w:hAnsi="Times New Roman"/>
                <w:b/>
                <w:bCs/>
                <w:color w:val="000000"/>
                <w:sz w:val="16"/>
                <w:szCs w:val="16"/>
              </w:rPr>
              <w:br/>
              <w:t>Total Net Revenues</w:t>
            </w:r>
          </w:p>
        </w:tc>
        <w:tc>
          <w:tcPr>
            <w:tcW w:w="0" w:type="auto"/>
            <w:shd w:val="clear" w:color="auto" w:fill="auto"/>
          </w:tcPr>
          <w:p w14:paraId="00BADF9E" w14:textId="77777777" w:rsidR="00871BDF" w:rsidRDefault="00871BDF">
            <w:pPr>
              <w:rPr>
                <w:rFonts w:ascii="宋体"/>
                <w:vanish/>
              </w:rPr>
            </w:pPr>
          </w:p>
        </w:tc>
        <w:tc>
          <w:tcPr>
            <w:tcW w:w="0" w:type="auto"/>
            <w:shd w:val="clear" w:color="auto" w:fill="auto"/>
          </w:tcPr>
          <w:p w14:paraId="00BADF9F" w14:textId="77777777" w:rsidR="00871BDF" w:rsidRDefault="00871BDF">
            <w:pPr>
              <w:rPr>
                <w:rFonts w:ascii="宋体"/>
                <w:vanish/>
              </w:rPr>
            </w:pPr>
          </w:p>
        </w:tc>
        <w:tc>
          <w:tcPr>
            <w:tcW w:w="0" w:type="auto"/>
            <w:shd w:val="clear" w:color="auto" w:fill="auto"/>
          </w:tcPr>
          <w:p w14:paraId="00BADFA0" w14:textId="77777777" w:rsidR="00871BDF" w:rsidRDefault="00871BDF">
            <w:pPr>
              <w:rPr>
                <w:rFonts w:ascii="宋体"/>
                <w:vanish/>
              </w:rPr>
            </w:pPr>
          </w:p>
        </w:tc>
        <w:tc>
          <w:tcPr>
            <w:tcW w:w="0" w:type="auto"/>
            <w:shd w:val="clear" w:color="auto" w:fill="auto"/>
          </w:tcPr>
          <w:p w14:paraId="00BADFA1" w14:textId="77777777" w:rsidR="00871BDF" w:rsidRDefault="00871BDF">
            <w:pPr>
              <w:rPr>
                <w:rFonts w:ascii="宋体"/>
                <w:vanish/>
              </w:rPr>
            </w:pPr>
          </w:p>
        </w:tc>
      </w:tr>
      <w:tr w:rsidR="00871BDF" w14:paraId="00BADFAF" w14:textId="77777777">
        <w:tc>
          <w:tcPr>
            <w:tcW w:w="0" w:type="auto"/>
            <w:gridSpan w:val="3"/>
            <w:shd w:val="clear" w:color="auto" w:fill="D7E4BC"/>
            <w:tcMar>
              <w:top w:w="40" w:type="dxa"/>
              <w:left w:w="20" w:type="dxa"/>
              <w:bottom w:w="40" w:type="dxa"/>
              <w:right w:w="20" w:type="dxa"/>
            </w:tcMar>
          </w:tcPr>
          <w:p w14:paraId="00BADFA3" w14:textId="77777777" w:rsidR="00871BDF" w:rsidRDefault="005C5088">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tcPr>
          <w:p w14:paraId="00BADFA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FA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FA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DFA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FA8"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FA9"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DFAA" w14:textId="77777777" w:rsidR="00871BDF" w:rsidRDefault="00871BDF">
            <w:pPr>
              <w:rPr>
                <w:rFonts w:ascii="宋体"/>
              </w:rPr>
            </w:pPr>
          </w:p>
        </w:tc>
        <w:tc>
          <w:tcPr>
            <w:tcW w:w="0" w:type="auto"/>
            <w:shd w:val="clear" w:color="auto" w:fill="auto"/>
          </w:tcPr>
          <w:p w14:paraId="00BADFAB" w14:textId="77777777" w:rsidR="00871BDF" w:rsidRDefault="00871BDF">
            <w:pPr>
              <w:rPr>
                <w:rFonts w:ascii="宋体"/>
                <w:vanish/>
              </w:rPr>
            </w:pPr>
          </w:p>
        </w:tc>
        <w:tc>
          <w:tcPr>
            <w:tcW w:w="0" w:type="auto"/>
            <w:shd w:val="clear" w:color="auto" w:fill="auto"/>
          </w:tcPr>
          <w:p w14:paraId="00BADFAC" w14:textId="77777777" w:rsidR="00871BDF" w:rsidRDefault="00871BDF">
            <w:pPr>
              <w:rPr>
                <w:rFonts w:ascii="宋体"/>
                <w:vanish/>
              </w:rPr>
            </w:pPr>
          </w:p>
        </w:tc>
        <w:tc>
          <w:tcPr>
            <w:tcW w:w="0" w:type="auto"/>
            <w:shd w:val="clear" w:color="auto" w:fill="auto"/>
          </w:tcPr>
          <w:p w14:paraId="00BADFAD" w14:textId="77777777" w:rsidR="00871BDF" w:rsidRDefault="00871BDF">
            <w:pPr>
              <w:rPr>
                <w:rFonts w:ascii="宋体"/>
                <w:vanish/>
              </w:rPr>
            </w:pPr>
          </w:p>
        </w:tc>
        <w:tc>
          <w:tcPr>
            <w:tcW w:w="0" w:type="auto"/>
            <w:shd w:val="clear" w:color="auto" w:fill="auto"/>
          </w:tcPr>
          <w:p w14:paraId="00BADFAE" w14:textId="77777777" w:rsidR="00871BDF" w:rsidRDefault="00871BDF">
            <w:pPr>
              <w:rPr>
                <w:rFonts w:ascii="宋体"/>
                <w:vanish/>
              </w:rPr>
            </w:pPr>
          </w:p>
        </w:tc>
      </w:tr>
      <w:tr w:rsidR="00871BDF" w14:paraId="00BADFC2" w14:textId="77777777">
        <w:tc>
          <w:tcPr>
            <w:tcW w:w="0" w:type="auto"/>
            <w:gridSpan w:val="3"/>
            <w:shd w:val="clear" w:color="auto" w:fill="FFFFFF"/>
            <w:tcMar>
              <w:top w:w="40" w:type="dxa"/>
              <w:left w:w="155" w:type="dxa"/>
              <w:bottom w:w="40" w:type="dxa"/>
              <w:right w:w="20" w:type="dxa"/>
            </w:tcMar>
          </w:tcPr>
          <w:p w14:paraId="00BADFB0" w14:textId="77777777" w:rsidR="00871BDF" w:rsidRDefault="005C5088">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00BADFB1"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FB2" w14:textId="77777777" w:rsidR="00871BDF" w:rsidRDefault="005C5088">
            <w:pPr>
              <w:jc w:val="right"/>
              <w:textAlignment w:val="bottom"/>
            </w:pPr>
            <w:r>
              <w:rPr>
                <w:rFonts w:ascii="Times New Roman" w:eastAsia="宋体" w:hAnsi="Times New Roman"/>
                <w:color w:val="000000"/>
                <w:sz w:val="20"/>
                <w:szCs w:val="20"/>
              </w:rPr>
              <w:t>16,288.2 </w:t>
            </w:r>
          </w:p>
        </w:tc>
        <w:tc>
          <w:tcPr>
            <w:tcW w:w="0" w:type="auto"/>
            <w:shd w:val="clear" w:color="auto" w:fill="FFFFFF"/>
            <w:tcMar>
              <w:top w:w="40" w:type="dxa"/>
              <w:left w:w="0" w:type="dxa"/>
              <w:bottom w:w="40" w:type="dxa"/>
              <w:right w:w="20" w:type="dxa"/>
            </w:tcMar>
            <w:vAlign w:val="bottom"/>
          </w:tcPr>
          <w:p w14:paraId="00BADFB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B4"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DFB5"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DFB6" w14:textId="77777777" w:rsidR="00871BDF" w:rsidRDefault="005C5088">
            <w:pPr>
              <w:jc w:val="right"/>
              <w:textAlignment w:val="bottom"/>
            </w:pPr>
            <w:r>
              <w:rPr>
                <w:rFonts w:ascii="Times New Roman" w:eastAsia="宋体" w:hAnsi="Times New Roman"/>
                <w:color w:val="000000"/>
                <w:sz w:val="20"/>
                <w:szCs w:val="20"/>
              </w:rPr>
              <w:t>14,921.5 </w:t>
            </w:r>
          </w:p>
        </w:tc>
        <w:tc>
          <w:tcPr>
            <w:tcW w:w="0" w:type="auto"/>
            <w:shd w:val="clear" w:color="auto" w:fill="FFFFFF"/>
            <w:tcMar>
              <w:top w:w="40" w:type="dxa"/>
              <w:left w:w="0" w:type="dxa"/>
              <w:bottom w:w="40" w:type="dxa"/>
              <w:right w:w="20" w:type="dxa"/>
            </w:tcMar>
            <w:vAlign w:val="bottom"/>
          </w:tcPr>
          <w:p w14:paraId="00BADFB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B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FB9" w14:textId="77777777" w:rsidR="00871BDF" w:rsidRDefault="005C5088">
            <w:pPr>
              <w:jc w:val="right"/>
              <w:textAlignment w:val="bottom"/>
            </w:pPr>
            <w:r>
              <w:rPr>
                <w:rFonts w:ascii="Times New Roman" w:eastAsia="宋体" w:hAnsi="Times New Roman"/>
                <w:color w:val="000000"/>
                <w:sz w:val="20"/>
                <w:szCs w:val="20"/>
              </w:rPr>
              <w:t>89.2 </w:t>
            </w:r>
          </w:p>
        </w:tc>
        <w:tc>
          <w:tcPr>
            <w:tcW w:w="0" w:type="auto"/>
            <w:shd w:val="clear" w:color="auto" w:fill="FFFFFF"/>
            <w:tcMar>
              <w:top w:w="40" w:type="dxa"/>
              <w:left w:w="0" w:type="dxa"/>
              <w:bottom w:w="40" w:type="dxa"/>
              <w:right w:w="20" w:type="dxa"/>
            </w:tcMar>
            <w:vAlign w:val="bottom"/>
          </w:tcPr>
          <w:p w14:paraId="00BADFBA"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DFB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FBC" w14:textId="77777777" w:rsidR="00871BDF" w:rsidRDefault="005C5088">
            <w:pPr>
              <w:jc w:val="right"/>
              <w:textAlignment w:val="bottom"/>
            </w:pPr>
            <w:r>
              <w:rPr>
                <w:rFonts w:ascii="Times New Roman" w:eastAsia="宋体" w:hAnsi="Times New Roman"/>
                <w:color w:val="000000"/>
                <w:sz w:val="20"/>
                <w:szCs w:val="20"/>
              </w:rPr>
              <w:t>89.1 </w:t>
            </w:r>
          </w:p>
        </w:tc>
        <w:tc>
          <w:tcPr>
            <w:tcW w:w="0" w:type="auto"/>
            <w:shd w:val="clear" w:color="auto" w:fill="FFFFFF"/>
            <w:tcMar>
              <w:top w:w="40" w:type="dxa"/>
              <w:left w:w="0" w:type="dxa"/>
              <w:bottom w:w="40" w:type="dxa"/>
              <w:right w:w="20" w:type="dxa"/>
            </w:tcMar>
            <w:vAlign w:val="bottom"/>
          </w:tcPr>
          <w:p w14:paraId="00BADFBD" w14:textId="77777777" w:rsidR="00871BDF" w:rsidRDefault="005C5088">
            <w:pPr>
              <w:jc w:val="right"/>
              <w:textAlignment w:val="bottom"/>
            </w:pPr>
            <w:r>
              <w:rPr>
                <w:rFonts w:ascii="Times New Roman" w:eastAsia="宋体" w:hAnsi="Times New Roman"/>
                <w:color w:val="000000"/>
                <w:sz w:val="20"/>
                <w:szCs w:val="20"/>
              </w:rPr>
              <w:t>%</w:t>
            </w:r>
          </w:p>
        </w:tc>
        <w:tc>
          <w:tcPr>
            <w:tcW w:w="0" w:type="auto"/>
            <w:shd w:val="clear" w:color="auto" w:fill="auto"/>
          </w:tcPr>
          <w:p w14:paraId="00BADFBE" w14:textId="77777777" w:rsidR="00871BDF" w:rsidRDefault="00871BDF">
            <w:pPr>
              <w:rPr>
                <w:rFonts w:ascii="宋体"/>
                <w:vanish/>
              </w:rPr>
            </w:pPr>
          </w:p>
        </w:tc>
        <w:tc>
          <w:tcPr>
            <w:tcW w:w="0" w:type="auto"/>
            <w:shd w:val="clear" w:color="auto" w:fill="auto"/>
          </w:tcPr>
          <w:p w14:paraId="00BADFBF" w14:textId="77777777" w:rsidR="00871BDF" w:rsidRDefault="00871BDF">
            <w:pPr>
              <w:rPr>
                <w:rFonts w:ascii="宋体"/>
                <w:vanish/>
              </w:rPr>
            </w:pPr>
          </w:p>
        </w:tc>
        <w:tc>
          <w:tcPr>
            <w:tcW w:w="0" w:type="auto"/>
            <w:shd w:val="clear" w:color="auto" w:fill="auto"/>
          </w:tcPr>
          <w:p w14:paraId="00BADFC0" w14:textId="77777777" w:rsidR="00871BDF" w:rsidRDefault="00871BDF">
            <w:pPr>
              <w:rPr>
                <w:rFonts w:ascii="宋体"/>
                <w:vanish/>
              </w:rPr>
            </w:pPr>
          </w:p>
        </w:tc>
        <w:tc>
          <w:tcPr>
            <w:tcW w:w="0" w:type="auto"/>
            <w:shd w:val="clear" w:color="auto" w:fill="auto"/>
          </w:tcPr>
          <w:p w14:paraId="00BADFC1" w14:textId="77777777" w:rsidR="00871BDF" w:rsidRDefault="00871BDF">
            <w:pPr>
              <w:rPr>
                <w:rFonts w:ascii="宋体"/>
                <w:vanish/>
              </w:rPr>
            </w:pPr>
          </w:p>
        </w:tc>
      </w:tr>
      <w:tr w:rsidR="00871BDF" w14:paraId="00BADFD3" w14:textId="77777777">
        <w:tc>
          <w:tcPr>
            <w:tcW w:w="0" w:type="auto"/>
            <w:gridSpan w:val="3"/>
            <w:shd w:val="clear" w:color="auto" w:fill="D7E4BC"/>
            <w:tcMar>
              <w:top w:w="40" w:type="dxa"/>
              <w:left w:w="155" w:type="dxa"/>
              <w:bottom w:w="40" w:type="dxa"/>
              <w:right w:w="20" w:type="dxa"/>
            </w:tcMar>
          </w:tcPr>
          <w:p w14:paraId="00BADFC3" w14:textId="77777777" w:rsidR="00871BDF" w:rsidRDefault="005C5088">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00BADFC4" w14:textId="77777777" w:rsidR="00871BDF" w:rsidRDefault="005C5088">
            <w:pPr>
              <w:jc w:val="right"/>
              <w:textAlignment w:val="bottom"/>
            </w:pPr>
            <w:r>
              <w:rPr>
                <w:rFonts w:ascii="Times New Roman" w:eastAsia="宋体" w:hAnsi="Times New Roman"/>
                <w:color w:val="000000"/>
                <w:sz w:val="20"/>
                <w:szCs w:val="20"/>
              </w:rPr>
              <w:t>1,958.0 </w:t>
            </w:r>
          </w:p>
        </w:tc>
        <w:tc>
          <w:tcPr>
            <w:tcW w:w="0" w:type="auto"/>
            <w:shd w:val="clear" w:color="auto" w:fill="D7E4BC"/>
            <w:tcMar>
              <w:top w:w="40" w:type="dxa"/>
              <w:left w:w="0" w:type="dxa"/>
              <w:bottom w:w="40" w:type="dxa"/>
              <w:right w:w="20" w:type="dxa"/>
            </w:tcMar>
            <w:vAlign w:val="bottom"/>
          </w:tcPr>
          <w:p w14:paraId="00BADFC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C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FC7" w14:textId="77777777" w:rsidR="00871BDF" w:rsidRDefault="005C5088">
            <w:pPr>
              <w:jc w:val="right"/>
              <w:textAlignment w:val="bottom"/>
            </w:pPr>
            <w:r>
              <w:rPr>
                <w:rFonts w:ascii="Times New Roman" w:eastAsia="宋体" w:hAnsi="Times New Roman"/>
                <w:color w:val="000000"/>
                <w:sz w:val="20"/>
                <w:szCs w:val="20"/>
              </w:rPr>
              <w:t>1,814.0 </w:t>
            </w:r>
          </w:p>
        </w:tc>
        <w:tc>
          <w:tcPr>
            <w:tcW w:w="0" w:type="auto"/>
            <w:shd w:val="clear" w:color="auto" w:fill="D7E4BC"/>
            <w:tcMar>
              <w:top w:w="40" w:type="dxa"/>
              <w:left w:w="0" w:type="dxa"/>
              <w:bottom w:w="40" w:type="dxa"/>
              <w:right w:w="20" w:type="dxa"/>
            </w:tcMar>
            <w:vAlign w:val="bottom"/>
          </w:tcPr>
          <w:p w14:paraId="00BADFC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C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FCA" w14:textId="77777777" w:rsidR="00871BDF" w:rsidRDefault="005C5088">
            <w:pPr>
              <w:jc w:val="right"/>
              <w:textAlignment w:val="bottom"/>
            </w:pPr>
            <w:r>
              <w:rPr>
                <w:rFonts w:ascii="Times New Roman" w:eastAsia="宋体" w:hAnsi="Times New Roman"/>
                <w:color w:val="000000"/>
                <w:sz w:val="20"/>
                <w:szCs w:val="20"/>
              </w:rPr>
              <w:t>10.7 </w:t>
            </w:r>
          </w:p>
        </w:tc>
        <w:tc>
          <w:tcPr>
            <w:tcW w:w="0" w:type="auto"/>
            <w:shd w:val="clear" w:color="auto" w:fill="D7E4BC"/>
            <w:tcMar>
              <w:top w:w="40" w:type="dxa"/>
              <w:left w:w="0" w:type="dxa"/>
              <w:bottom w:w="40" w:type="dxa"/>
              <w:right w:w="20" w:type="dxa"/>
            </w:tcMar>
            <w:vAlign w:val="bottom"/>
          </w:tcPr>
          <w:p w14:paraId="00BADFC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C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DFCD" w14:textId="77777777" w:rsidR="00871BDF" w:rsidRDefault="005C5088">
            <w:pPr>
              <w:jc w:val="right"/>
              <w:textAlignment w:val="bottom"/>
            </w:pPr>
            <w:r>
              <w:rPr>
                <w:rFonts w:ascii="Times New Roman" w:eastAsia="宋体" w:hAnsi="Times New Roman"/>
                <w:color w:val="000000"/>
                <w:sz w:val="20"/>
                <w:szCs w:val="20"/>
              </w:rPr>
              <w:t>10.8 </w:t>
            </w:r>
          </w:p>
        </w:tc>
        <w:tc>
          <w:tcPr>
            <w:tcW w:w="0" w:type="auto"/>
            <w:shd w:val="clear" w:color="auto" w:fill="D7E4BC"/>
            <w:tcMar>
              <w:top w:w="40" w:type="dxa"/>
              <w:left w:w="0" w:type="dxa"/>
              <w:bottom w:w="40" w:type="dxa"/>
              <w:right w:w="20" w:type="dxa"/>
            </w:tcMar>
            <w:vAlign w:val="bottom"/>
          </w:tcPr>
          <w:p w14:paraId="00BADFCE" w14:textId="77777777" w:rsidR="00871BDF" w:rsidRDefault="00871BDF">
            <w:pPr>
              <w:jc w:val="right"/>
              <w:rPr>
                <w:rFonts w:ascii="宋体"/>
              </w:rPr>
            </w:pPr>
          </w:p>
        </w:tc>
        <w:tc>
          <w:tcPr>
            <w:tcW w:w="0" w:type="auto"/>
            <w:shd w:val="clear" w:color="auto" w:fill="auto"/>
          </w:tcPr>
          <w:p w14:paraId="00BADFCF" w14:textId="77777777" w:rsidR="00871BDF" w:rsidRDefault="00871BDF">
            <w:pPr>
              <w:rPr>
                <w:rFonts w:ascii="宋体"/>
                <w:vanish/>
              </w:rPr>
            </w:pPr>
          </w:p>
        </w:tc>
        <w:tc>
          <w:tcPr>
            <w:tcW w:w="0" w:type="auto"/>
            <w:shd w:val="clear" w:color="auto" w:fill="auto"/>
          </w:tcPr>
          <w:p w14:paraId="00BADFD0" w14:textId="77777777" w:rsidR="00871BDF" w:rsidRDefault="00871BDF">
            <w:pPr>
              <w:rPr>
                <w:rFonts w:ascii="宋体"/>
                <w:vanish/>
              </w:rPr>
            </w:pPr>
          </w:p>
        </w:tc>
        <w:tc>
          <w:tcPr>
            <w:tcW w:w="0" w:type="auto"/>
            <w:shd w:val="clear" w:color="auto" w:fill="auto"/>
          </w:tcPr>
          <w:p w14:paraId="00BADFD1" w14:textId="77777777" w:rsidR="00871BDF" w:rsidRDefault="00871BDF">
            <w:pPr>
              <w:rPr>
                <w:rFonts w:ascii="宋体"/>
                <w:vanish/>
              </w:rPr>
            </w:pPr>
          </w:p>
        </w:tc>
        <w:tc>
          <w:tcPr>
            <w:tcW w:w="0" w:type="auto"/>
            <w:shd w:val="clear" w:color="auto" w:fill="auto"/>
          </w:tcPr>
          <w:p w14:paraId="00BADFD2" w14:textId="77777777" w:rsidR="00871BDF" w:rsidRDefault="00871BDF">
            <w:pPr>
              <w:rPr>
                <w:rFonts w:ascii="宋体"/>
                <w:vanish/>
              </w:rPr>
            </w:pPr>
          </w:p>
        </w:tc>
      </w:tr>
      <w:tr w:rsidR="00871BDF" w14:paraId="00BADFE4" w14:textId="77777777">
        <w:tc>
          <w:tcPr>
            <w:tcW w:w="0" w:type="auto"/>
            <w:gridSpan w:val="3"/>
            <w:shd w:val="clear" w:color="auto" w:fill="FFFFFF"/>
            <w:tcMar>
              <w:top w:w="40" w:type="dxa"/>
              <w:left w:w="155" w:type="dxa"/>
              <w:bottom w:w="40" w:type="dxa"/>
              <w:right w:w="20" w:type="dxa"/>
            </w:tcMar>
          </w:tcPr>
          <w:p w14:paraId="00BADFD4" w14:textId="77777777" w:rsidR="00871BDF" w:rsidRDefault="005C5088">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0BADFD5" w14:textId="77777777" w:rsidR="00871BDF" w:rsidRDefault="005C5088">
            <w:pPr>
              <w:jc w:val="right"/>
              <w:textAlignment w:val="bottom"/>
            </w:pPr>
            <w:r>
              <w:rPr>
                <w:rFonts w:ascii="Times New Roman" w:eastAsia="宋体" w:hAnsi="Times New Roman"/>
                <w:color w:val="000000"/>
                <w:sz w:val="20"/>
                <w:szCs w:val="20"/>
              </w:rPr>
              <w:t>12.8 </w:t>
            </w:r>
          </w:p>
        </w:tc>
        <w:tc>
          <w:tcPr>
            <w:tcW w:w="0" w:type="auto"/>
            <w:shd w:val="clear" w:color="auto" w:fill="FFFFFF"/>
            <w:tcMar>
              <w:top w:w="40" w:type="dxa"/>
              <w:left w:w="0" w:type="dxa"/>
              <w:bottom w:w="40" w:type="dxa"/>
              <w:right w:w="20" w:type="dxa"/>
            </w:tcMar>
            <w:vAlign w:val="bottom"/>
          </w:tcPr>
          <w:p w14:paraId="00BADFD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D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FD8" w14:textId="77777777" w:rsidR="00871BDF" w:rsidRDefault="005C5088">
            <w:pPr>
              <w:jc w:val="right"/>
              <w:textAlignment w:val="bottom"/>
            </w:pPr>
            <w:r>
              <w:rPr>
                <w:rFonts w:ascii="Times New Roman" w:eastAsia="宋体" w:hAnsi="Times New Roman"/>
                <w:color w:val="000000"/>
                <w:sz w:val="20"/>
                <w:szCs w:val="20"/>
              </w:rPr>
              <w:t>13.1 </w:t>
            </w:r>
          </w:p>
        </w:tc>
        <w:tc>
          <w:tcPr>
            <w:tcW w:w="0" w:type="auto"/>
            <w:shd w:val="clear" w:color="auto" w:fill="FFFFFF"/>
            <w:tcMar>
              <w:top w:w="40" w:type="dxa"/>
              <w:left w:w="0" w:type="dxa"/>
              <w:bottom w:w="40" w:type="dxa"/>
              <w:right w:w="20" w:type="dxa"/>
            </w:tcMar>
            <w:vAlign w:val="bottom"/>
          </w:tcPr>
          <w:p w14:paraId="00BADFD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D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FDB" w14:textId="77777777" w:rsidR="00871BDF" w:rsidRDefault="005C5088">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0BADFD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D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FDE" w14:textId="77777777" w:rsidR="00871BDF" w:rsidRDefault="005C5088">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0BADFDF" w14:textId="77777777" w:rsidR="00871BDF" w:rsidRDefault="00871BDF">
            <w:pPr>
              <w:jc w:val="right"/>
              <w:rPr>
                <w:rFonts w:ascii="宋体"/>
              </w:rPr>
            </w:pPr>
          </w:p>
        </w:tc>
        <w:tc>
          <w:tcPr>
            <w:tcW w:w="0" w:type="auto"/>
            <w:shd w:val="clear" w:color="auto" w:fill="auto"/>
          </w:tcPr>
          <w:p w14:paraId="00BADFE0" w14:textId="77777777" w:rsidR="00871BDF" w:rsidRDefault="00871BDF">
            <w:pPr>
              <w:rPr>
                <w:rFonts w:ascii="宋体"/>
                <w:vanish/>
              </w:rPr>
            </w:pPr>
          </w:p>
        </w:tc>
        <w:tc>
          <w:tcPr>
            <w:tcW w:w="0" w:type="auto"/>
            <w:shd w:val="clear" w:color="auto" w:fill="auto"/>
          </w:tcPr>
          <w:p w14:paraId="00BADFE1" w14:textId="77777777" w:rsidR="00871BDF" w:rsidRDefault="00871BDF">
            <w:pPr>
              <w:rPr>
                <w:rFonts w:ascii="宋体"/>
                <w:vanish/>
              </w:rPr>
            </w:pPr>
          </w:p>
        </w:tc>
        <w:tc>
          <w:tcPr>
            <w:tcW w:w="0" w:type="auto"/>
            <w:shd w:val="clear" w:color="auto" w:fill="auto"/>
          </w:tcPr>
          <w:p w14:paraId="00BADFE2" w14:textId="77777777" w:rsidR="00871BDF" w:rsidRDefault="00871BDF">
            <w:pPr>
              <w:rPr>
                <w:rFonts w:ascii="宋体"/>
                <w:vanish/>
              </w:rPr>
            </w:pPr>
          </w:p>
        </w:tc>
        <w:tc>
          <w:tcPr>
            <w:tcW w:w="0" w:type="auto"/>
            <w:shd w:val="clear" w:color="auto" w:fill="auto"/>
          </w:tcPr>
          <w:p w14:paraId="00BADFE3" w14:textId="77777777" w:rsidR="00871BDF" w:rsidRDefault="00871BDF">
            <w:pPr>
              <w:rPr>
                <w:rFonts w:ascii="宋体"/>
                <w:vanish/>
              </w:rPr>
            </w:pPr>
          </w:p>
        </w:tc>
      </w:tr>
      <w:tr w:rsidR="00871BDF" w14:paraId="00BADFF5" w14:textId="77777777">
        <w:tc>
          <w:tcPr>
            <w:tcW w:w="0" w:type="auto"/>
            <w:gridSpan w:val="3"/>
            <w:shd w:val="clear" w:color="auto" w:fill="D7E4BC"/>
            <w:tcMar>
              <w:top w:w="40" w:type="dxa"/>
              <w:left w:w="20" w:type="dxa"/>
              <w:bottom w:w="40" w:type="dxa"/>
              <w:right w:w="20" w:type="dxa"/>
            </w:tcMar>
          </w:tcPr>
          <w:p w14:paraId="00BADFE5" w14:textId="77777777" w:rsidR="00871BDF" w:rsidRDefault="005C5088">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FE6" w14:textId="77777777" w:rsidR="00871BDF" w:rsidRDefault="005C5088">
            <w:pPr>
              <w:jc w:val="right"/>
              <w:textAlignment w:val="bottom"/>
            </w:pPr>
            <w:r>
              <w:rPr>
                <w:rFonts w:ascii="Times New Roman" w:eastAsia="宋体" w:hAnsi="Times New Roman"/>
                <w:b/>
                <w:bCs/>
                <w:color w:val="000000"/>
                <w:sz w:val="20"/>
                <w:szCs w:val="20"/>
              </w:rPr>
              <w:t>18,259.0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FE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E8"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FE9" w14:textId="77777777" w:rsidR="00871BDF" w:rsidRDefault="005C5088">
            <w:pPr>
              <w:jc w:val="right"/>
              <w:textAlignment w:val="bottom"/>
            </w:pPr>
            <w:r>
              <w:rPr>
                <w:rFonts w:ascii="Times New Roman" w:eastAsia="宋体" w:hAnsi="Times New Roman"/>
                <w:b/>
                <w:bCs/>
                <w:color w:val="000000"/>
                <w:sz w:val="20"/>
                <w:szCs w:val="20"/>
              </w:rPr>
              <w:t>16,748.6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FE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EB"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FEC" w14:textId="77777777" w:rsidR="00871BDF" w:rsidRDefault="005C5088">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FE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DFEE"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DFEF" w14:textId="77777777" w:rsidR="00871BDF" w:rsidRDefault="005C5088">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DFF0" w14:textId="77777777" w:rsidR="00871BDF" w:rsidRDefault="00871BDF">
            <w:pPr>
              <w:jc w:val="right"/>
              <w:rPr>
                <w:rFonts w:ascii="宋体"/>
              </w:rPr>
            </w:pPr>
          </w:p>
        </w:tc>
        <w:tc>
          <w:tcPr>
            <w:tcW w:w="0" w:type="auto"/>
            <w:shd w:val="clear" w:color="auto" w:fill="auto"/>
          </w:tcPr>
          <w:p w14:paraId="00BADFF1" w14:textId="77777777" w:rsidR="00871BDF" w:rsidRDefault="00871BDF">
            <w:pPr>
              <w:rPr>
                <w:rFonts w:ascii="宋体"/>
                <w:vanish/>
              </w:rPr>
            </w:pPr>
          </w:p>
        </w:tc>
        <w:tc>
          <w:tcPr>
            <w:tcW w:w="0" w:type="auto"/>
            <w:shd w:val="clear" w:color="auto" w:fill="auto"/>
          </w:tcPr>
          <w:p w14:paraId="00BADFF2" w14:textId="77777777" w:rsidR="00871BDF" w:rsidRDefault="00871BDF">
            <w:pPr>
              <w:rPr>
                <w:rFonts w:ascii="宋体"/>
                <w:vanish/>
              </w:rPr>
            </w:pPr>
          </w:p>
        </w:tc>
        <w:tc>
          <w:tcPr>
            <w:tcW w:w="0" w:type="auto"/>
            <w:shd w:val="clear" w:color="auto" w:fill="auto"/>
          </w:tcPr>
          <w:p w14:paraId="00BADFF3" w14:textId="77777777" w:rsidR="00871BDF" w:rsidRDefault="00871BDF">
            <w:pPr>
              <w:rPr>
                <w:rFonts w:ascii="宋体"/>
                <w:vanish/>
              </w:rPr>
            </w:pPr>
          </w:p>
        </w:tc>
        <w:tc>
          <w:tcPr>
            <w:tcW w:w="0" w:type="auto"/>
            <w:shd w:val="clear" w:color="auto" w:fill="auto"/>
          </w:tcPr>
          <w:p w14:paraId="00BADFF4" w14:textId="77777777" w:rsidR="00871BDF" w:rsidRDefault="00871BDF">
            <w:pPr>
              <w:rPr>
                <w:rFonts w:ascii="宋体"/>
                <w:vanish/>
              </w:rPr>
            </w:pPr>
          </w:p>
        </w:tc>
      </w:tr>
      <w:tr w:rsidR="00871BDF" w14:paraId="00BAE006" w14:textId="77777777">
        <w:tc>
          <w:tcPr>
            <w:tcW w:w="0" w:type="auto"/>
            <w:gridSpan w:val="3"/>
            <w:shd w:val="clear" w:color="auto" w:fill="FFFFFF"/>
            <w:tcMar>
              <w:top w:w="40" w:type="dxa"/>
              <w:left w:w="20" w:type="dxa"/>
              <w:bottom w:w="40" w:type="dxa"/>
              <w:right w:w="20" w:type="dxa"/>
            </w:tcMar>
          </w:tcPr>
          <w:p w14:paraId="00BADFF6" w14:textId="77777777" w:rsidR="00871BDF" w:rsidRDefault="005C5088">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00BADFF7" w14:textId="77777777" w:rsidR="00871BDF" w:rsidRDefault="005C5088">
            <w:pPr>
              <w:jc w:val="right"/>
              <w:textAlignment w:val="bottom"/>
            </w:pPr>
            <w:r>
              <w:rPr>
                <w:rFonts w:ascii="Times New Roman" w:eastAsia="宋体" w:hAnsi="Times New Roman"/>
                <w:color w:val="000000"/>
                <w:sz w:val="20"/>
                <w:szCs w:val="20"/>
              </w:rPr>
              <w:t>5,174.7 </w:t>
            </w:r>
          </w:p>
        </w:tc>
        <w:tc>
          <w:tcPr>
            <w:tcW w:w="0" w:type="auto"/>
            <w:shd w:val="clear" w:color="auto" w:fill="FFFFFF"/>
            <w:tcMar>
              <w:top w:w="40" w:type="dxa"/>
              <w:left w:w="0" w:type="dxa"/>
              <w:bottom w:w="40" w:type="dxa"/>
              <w:right w:w="20" w:type="dxa"/>
            </w:tcMar>
            <w:vAlign w:val="bottom"/>
          </w:tcPr>
          <w:p w14:paraId="00BADFF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F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FFA" w14:textId="77777777" w:rsidR="00871BDF" w:rsidRDefault="005C5088">
            <w:pPr>
              <w:jc w:val="right"/>
              <w:textAlignment w:val="bottom"/>
            </w:pPr>
            <w:r>
              <w:rPr>
                <w:rFonts w:ascii="Times New Roman" w:eastAsia="宋体" w:hAnsi="Times New Roman"/>
                <w:color w:val="000000"/>
                <w:sz w:val="20"/>
                <w:szCs w:val="20"/>
              </w:rPr>
              <w:t>4,884.1 </w:t>
            </w:r>
          </w:p>
        </w:tc>
        <w:tc>
          <w:tcPr>
            <w:tcW w:w="0" w:type="auto"/>
            <w:shd w:val="clear" w:color="auto" w:fill="FFFFFF"/>
            <w:tcMar>
              <w:top w:w="40" w:type="dxa"/>
              <w:left w:w="0" w:type="dxa"/>
              <w:bottom w:w="40" w:type="dxa"/>
              <w:right w:w="20" w:type="dxa"/>
            </w:tcMar>
            <w:vAlign w:val="bottom"/>
          </w:tcPr>
          <w:p w14:paraId="00BADFF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F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DFFD" w14:textId="77777777" w:rsidR="00871BDF" w:rsidRDefault="005C5088">
            <w:pPr>
              <w:jc w:val="right"/>
              <w:textAlignment w:val="bottom"/>
            </w:pPr>
            <w:r>
              <w:rPr>
                <w:rFonts w:ascii="Times New Roman" w:eastAsia="宋体" w:hAnsi="Times New Roman"/>
                <w:color w:val="000000"/>
                <w:sz w:val="20"/>
                <w:szCs w:val="20"/>
              </w:rPr>
              <w:t>28.3 </w:t>
            </w:r>
          </w:p>
        </w:tc>
        <w:tc>
          <w:tcPr>
            <w:tcW w:w="0" w:type="auto"/>
            <w:shd w:val="clear" w:color="auto" w:fill="FFFFFF"/>
            <w:tcMar>
              <w:top w:w="40" w:type="dxa"/>
              <w:left w:w="0" w:type="dxa"/>
              <w:bottom w:w="40" w:type="dxa"/>
              <w:right w:w="20" w:type="dxa"/>
            </w:tcMar>
            <w:vAlign w:val="bottom"/>
          </w:tcPr>
          <w:p w14:paraId="00BADFF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DFF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000" w14:textId="77777777" w:rsidR="00871BDF" w:rsidRDefault="005C5088">
            <w:pPr>
              <w:jc w:val="right"/>
              <w:textAlignment w:val="bottom"/>
            </w:pPr>
            <w:r>
              <w:rPr>
                <w:rFonts w:ascii="Times New Roman" w:eastAsia="宋体" w:hAnsi="Times New Roman"/>
                <w:color w:val="000000"/>
                <w:sz w:val="20"/>
                <w:szCs w:val="20"/>
              </w:rPr>
              <w:t>29.2 </w:t>
            </w:r>
          </w:p>
        </w:tc>
        <w:tc>
          <w:tcPr>
            <w:tcW w:w="0" w:type="auto"/>
            <w:shd w:val="clear" w:color="auto" w:fill="FFFFFF"/>
            <w:tcMar>
              <w:top w:w="40" w:type="dxa"/>
              <w:left w:w="0" w:type="dxa"/>
              <w:bottom w:w="40" w:type="dxa"/>
              <w:right w:w="20" w:type="dxa"/>
            </w:tcMar>
            <w:vAlign w:val="bottom"/>
          </w:tcPr>
          <w:p w14:paraId="00BAE001" w14:textId="77777777" w:rsidR="00871BDF" w:rsidRDefault="00871BDF">
            <w:pPr>
              <w:jc w:val="right"/>
              <w:rPr>
                <w:rFonts w:ascii="宋体"/>
              </w:rPr>
            </w:pPr>
          </w:p>
        </w:tc>
        <w:tc>
          <w:tcPr>
            <w:tcW w:w="0" w:type="auto"/>
            <w:shd w:val="clear" w:color="auto" w:fill="auto"/>
          </w:tcPr>
          <w:p w14:paraId="00BAE002" w14:textId="77777777" w:rsidR="00871BDF" w:rsidRDefault="00871BDF">
            <w:pPr>
              <w:rPr>
                <w:rFonts w:ascii="宋体"/>
                <w:vanish/>
              </w:rPr>
            </w:pPr>
          </w:p>
        </w:tc>
        <w:tc>
          <w:tcPr>
            <w:tcW w:w="0" w:type="auto"/>
            <w:shd w:val="clear" w:color="auto" w:fill="auto"/>
          </w:tcPr>
          <w:p w14:paraId="00BAE003" w14:textId="77777777" w:rsidR="00871BDF" w:rsidRDefault="00871BDF">
            <w:pPr>
              <w:rPr>
                <w:rFonts w:ascii="宋体"/>
                <w:vanish/>
              </w:rPr>
            </w:pPr>
          </w:p>
        </w:tc>
        <w:tc>
          <w:tcPr>
            <w:tcW w:w="0" w:type="auto"/>
            <w:shd w:val="clear" w:color="auto" w:fill="auto"/>
          </w:tcPr>
          <w:p w14:paraId="00BAE004" w14:textId="77777777" w:rsidR="00871BDF" w:rsidRDefault="00871BDF">
            <w:pPr>
              <w:rPr>
                <w:rFonts w:ascii="宋体"/>
                <w:vanish/>
              </w:rPr>
            </w:pPr>
          </w:p>
        </w:tc>
        <w:tc>
          <w:tcPr>
            <w:tcW w:w="0" w:type="auto"/>
            <w:shd w:val="clear" w:color="auto" w:fill="auto"/>
          </w:tcPr>
          <w:p w14:paraId="00BAE005" w14:textId="77777777" w:rsidR="00871BDF" w:rsidRDefault="00871BDF">
            <w:pPr>
              <w:rPr>
                <w:rFonts w:ascii="宋体"/>
                <w:vanish/>
              </w:rPr>
            </w:pPr>
          </w:p>
        </w:tc>
      </w:tr>
      <w:tr w:rsidR="00871BDF" w14:paraId="00BAE017" w14:textId="77777777">
        <w:tc>
          <w:tcPr>
            <w:tcW w:w="0" w:type="auto"/>
            <w:gridSpan w:val="3"/>
            <w:shd w:val="clear" w:color="auto" w:fill="D7E4BC"/>
            <w:tcMar>
              <w:top w:w="40" w:type="dxa"/>
              <w:left w:w="20" w:type="dxa"/>
              <w:bottom w:w="40" w:type="dxa"/>
              <w:right w:w="20" w:type="dxa"/>
            </w:tcMar>
          </w:tcPr>
          <w:p w14:paraId="00BAE007" w14:textId="77777777" w:rsidR="00871BDF" w:rsidRDefault="005C5088">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00BAE008" w14:textId="77777777" w:rsidR="00871BDF" w:rsidRDefault="005C5088">
            <w:pPr>
              <w:jc w:val="right"/>
              <w:textAlignment w:val="bottom"/>
            </w:pPr>
            <w:r>
              <w:rPr>
                <w:rFonts w:ascii="Times New Roman" w:eastAsia="宋体" w:hAnsi="Times New Roman"/>
                <w:color w:val="000000"/>
                <w:sz w:val="20"/>
                <w:szCs w:val="20"/>
              </w:rPr>
              <w:t>8,064.8 </w:t>
            </w:r>
          </w:p>
        </w:tc>
        <w:tc>
          <w:tcPr>
            <w:tcW w:w="0" w:type="auto"/>
            <w:shd w:val="clear" w:color="auto" w:fill="D7E4BC"/>
            <w:tcMar>
              <w:top w:w="40" w:type="dxa"/>
              <w:left w:w="0" w:type="dxa"/>
              <w:bottom w:w="40" w:type="dxa"/>
              <w:right w:w="20" w:type="dxa"/>
            </w:tcMar>
            <w:vAlign w:val="bottom"/>
          </w:tcPr>
          <w:p w14:paraId="00BAE00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0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0B" w14:textId="77777777" w:rsidR="00871BDF" w:rsidRDefault="005C5088">
            <w:pPr>
              <w:jc w:val="right"/>
              <w:textAlignment w:val="bottom"/>
            </w:pPr>
            <w:r>
              <w:rPr>
                <w:rFonts w:ascii="Times New Roman" w:eastAsia="宋体" w:hAnsi="Times New Roman"/>
                <w:color w:val="000000"/>
                <w:sz w:val="20"/>
                <w:szCs w:val="20"/>
              </w:rPr>
              <w:t>7,248.6 </w:t>
            </w:r>
          </w:p>
        </w:tc>
        <w:tc>
          <w:tcPr>
            <w:tcW w:w="0" w:type="auto"/>
            <w:shd w:val="clear" w:color="auto" w:fill="D7E4BC"/>
            <w:tcMar>
              <w:top w:w="40" w:type="dxa"/>
              <w:left w:w="0" w:type="dxa"/>
              <w:bottom w:w="40" w:type="dxa"/>
              <w:right w:w="20" w:type="dxa"/>
            </w:tcMar>
            <w:vAlign w:val="bottom"/>
          </w:tcPr>
          <w:p w14:paraId="00BAE00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0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0E" w14:textId="77777777" w:rsidR="00871BDF" w:rsidRDefault="005C5088">
            <w:pPr>
              <w:jc w:val="right"/>
              <w:textAlignment w:val="bottom"/>
            </w:pPr>
            <w:r>
              <w:rPr>
                <w:rFonts w:ascii="Times New Roman" w:eastAsia="宋体" w:hAnsi="Times New Roman"/>
                <w:color w:val="000000"/>
                <w:sz w:val="20"/>
                <w:szCs w:val="20"/>
              </w:rPr>
              <w:t>44.2 </w:t>
            </w:r>
          </w:p>
        </w:tc>
        <w:tc>
          <w:tcPr>
            <w:tcW w:w="0" w:type="auto"/>
            <w:shd w:val="clear" w:color="auto" w:fill="D7E4BC"/>
            <w:tcMar>
              <w:top w:w="40" w:type="dxa"/>
              <w:left w:w="0" w:type="dxa"/>
              <w:bottom w:w="40" w:type="dxa"/>
              <w:right w:w="20" w:type="dxa"/>
            </w:tcMar>
            <w:vAlign w:val="bottom"/>
          </w:tcPr>
          <w:p w14:paraId="00BAE00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1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11" w14:textId="77777777" w:rsidR="00871BDF" w:rsidRDefault="005C5088">
            <w:pPr>
              <w:jc w:val="right"/>
              <w:textAlignment w:val="bottom"/>
            </w:pPr>
            <w:r>
              <w:rPr>
                <w:rFonts w:ascii="Times New Roman" w:eastAsia="宋体" w:hAnsi="Times New Roman"/>
                <w:color w:val="000000"/>
                <w:sz w:val="20"/>
                <w:szCs w:val="20"/>
              </w:rPr>
              <w:t>43.3 </w:t>
            </w:r>
          </w:p>
        </w:tc>
        <w:tc>
          <w:tcPr>
            <w:tcW w:w="0" w:type="auto"/>
            <w:shd w:val="clear" w:color="auto" w:fill="D7E4BC"/>
            <w:tcMar>
              <w:top w:w="40" w:type="dxa"/>
              <w:left w:w="0" w:type="dxa"/>
              <w:bottom w:w="40" w:type="dxa"/>
              <w:right w:w="20" w:type="dxa"/>
            </w:tcMar>
            <w:vAlign w:val="bottom"/>
          </w:tcPr>
          <w:p w14:paraId="00BAE012" w14:textId="77777777" w:rsidR="00871BDF" w:rsidRDefault="00871BDF">
            <w:pPr>
              <w:jc w:val="right"/>
              <w:rPr>
                <w:rFonts w:ascii="宋体"/>
              </w:rPr>
            </w:pPr>
          </w:p>
        </w:tc>
        <w:tc>
          <w:tcPr>
            <w:tcW w:w="0" w:type="auto"/>
            <w:shd w:val="clear" w:color="auto" w:fill="auto"/>
          </w:tcPr>
          <w:p w14:paraId="00BAE013" w14:textId="77777777" w:rsidR="00871BDF" w:rsidRDefault="00871BDF">
            <w:pPr>
              <w:rPr>
                <w:rFonts w:ascii="宋体"/>
                <w:vanish/>
              </w:rPr>
            </w:pPr>
          </w:p>
        </w:tc>
        <w:tc>
          <w:tcPr>
            <w:tcW w:w="0" w:type="auto"/>
            <w:shd w:val="clear" w:color="auto" w:fill="auto"/>
          </w:tcPr>
          <w:p w14:paraId="00BAE014" w14:textId="77777777" w:rsidR="00871BDF" w:rsidRDefault="00871BDF">
            <w:pPr>
              <w:rPr>
                <w:rFonts w:ascii="宋体"/>
                <w:vanish/>
              </w:rPr>
            </w:pPr>
          </w:p>
        </w:tc>
        <w:tc>
          <w:tcPr>
            <w:tcW w:w="0" w:type="auto"/>
            <w:shd w:val="clear" w:color="auto" w:fill="auto"/>
          </w:tcPr>
          <w:p w14:paraId="00BAE015" w14:textId="77777777" w:rsidR="00871BDF" w:rsidRDefault="00871BDF">
            <w:pPr>
              <w:rPr>
                <w:rFonts w:ascii="宋体"/>
                <w:vanish/>
              </w:rPr>
            </w:pPr>
          </w:p>
        </w:tc>
        <w:tc>
          <w:tcPr>
            <w:tcW w:w="0" w:type="auto"/>
            <w:shd w:val="clear" w:color="auto" w:fill="auto"/>
          </w:tcPr>
          <w:p w14:paraId="00BAE016" w14:textId="77777777" w:rsidR="00871BDF" w:rsidRDefault="00871BDF">
            <w:pPr>
              <w:rPr>
                <w:rFonts w:ascii="宋体"/>
                <w:vanish/>
              </w:rPr>
            </w:pPr>
          </w:p>
        </w:tc>
      </w:tr>
      <w:tr w:rsidR="00871BDF" w14:paraId="00BAE028" w14:textId="77777777">
        <w:tc>
          <w:tcPr>
            <w:tcW w:w="0" w:type="auto"/>
            <w:gridSpan w:val="3"/>
            <w:shd w:val="clear" w:color="auto" w:fill="FFFFFF"/>
            <w:tcMar>
              <w:top w:w="40" w:type="dxa"/>
              <w:left w:w="20" w:type="dxa"/>
              <w:bottom w:w="40" w:type="dxa"/>
              <w:right w:w="20" w:type="dxa"/>
            </w:tcMar>
          </w:tcPr>
          <w:p w14:paraId="00BAE018" w14:textId="77777777" w:rsidR="00871BDF" w:rsidRDefault="005C5088">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00BAE019" w14:textId="77777777" w:rsidR="00871BDF" w:rsidRDefault="005C5088">
            <w:pPr>
              <w:jc w:val="right"/>
              <w:textAlignment w:val="bottom"/>
            </w:pPr>
            <w:r>
              <w:rPr>
                <w:rFonts w:ascii="Times New Roman" w:eastAsia="宋体" w:hAnsi="Times New Roman"/>
                <w:color w:val="000000"/>
                <w:sz w:val="20"/>
                <w:szCs w:val="20"/>
              </w:rPr>
              <w:t>159.8 </w:t>
            </w:r>
          </w:p>
        </w:tc>
        <w:tc>
          <w:tcPr>
            <w:tcW w:w="0" w:type="auto"/>
            <w:shd w:val="clear" w:color="auto" w:fill="FFFFFF"/>
            <w:tcMar>
              <w:top w:w="40" w:type="dxa"/>
              <w:left w:w="0" w:type="dxa"/>
              <w:bottom w:w="40" w:type="dxa"/>
              <w:right w:w="20" w:type="dxa"/>
            </w:tcMar>
            <w:vAlign w:val="bottom"/>
          </w:tcPr>
          <w:p w14:paraId="00BAE01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1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01C" w14:textId="77777777" w:rsidR="00871BDF" w:rsidRDefault="005C5088">
            <w:pPr>
              <w:jc w:val="right"/>
              <w:textAlignment w:val="bottom"/>
            </w:pPr>
            <w:r>
              <w:rPr>
                <w:rFonts w:ascii="Times New Roman" w:eastAsia="宋体" w:hAnsi="Times New Roman"/>
                <w:color w:val="000000"/>
                <w:sz w:val="20"/>
                <w:szCs w:val="20"/>
              </w:rPr>
              <w:t>151.2 </w:t>
            </w:r>
          </w:p>
        </w:tc>
        <w:tc>
          <w:tcPr>
            <w:tcW w:w="0" w:type="auto"/>
            <w:shd w:val="clear" w:color="auto" w:fill="FFFFFF"/>
            <w:tcMar>
              <w:top w:w="40" w:type="dxa"/>
              <w:left w:w="0" w:type="dxa"/>
              <w:bottom w:w="40" w:type="dxa"/>
              <w:right w:w="20" w:type="dxa"/>
            </w:tcMar>
            <w:vAlign w:val="bottom"/>
          </w:tcPr>
          <w:p w14:paraId="00BAE01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1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01F" w14:textId="77777777" w:rsidR="00871BDF" w:rsidRDefault="005C5088">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00BAE02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2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022" w14:textId="77777777" w:rsidR="00871BDF" w:rsidRDefault="005C5088">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00BAE023" w14:textId="77777777" w:rsidR="00871BDF" w:rsidRDefault="00871BDF">
            <w:pPr>
              <w:jc w:val="right"/>
              <w:rPr>
                <w:rFonts w:ascii="宋体"/>
              </w:rPr>
            </w:pPr>
          </w:p>
        </w:tc>
        <w:tc>
          <w:tcPr>
            <w:tcW w:w="0" w:type="auto"/>
            <w:shd w:val="clear" w:color="auto" w:fill="auto"/>
          </w:tcPr>
          <w:p w14:paraId="00BAE024" w14:textId="77777777" w:rsidR="00871BDF" w:rsidRDefault="00871BDF">
            <w:pPr>
              <w:rPr>
                <w:rFonts w:ascii="宋体"/>
                <w:vanish/>
              </w:rPr>
            </w:pPr>
          </w:p>
        </w:tc>
        <w:tc>
          <w:tcPr>
            <w:tcW w:w="0" w:type="auto"/>
            <w:shd w:val="clear" w:color="auto" w:fill="auto"/>
          </w:tcPr>
          <w:p w14:paraId="00BAE025" w14:textId="77777777" w:rsidR="00871BDF" w:rsidRDefault="00871BDF">
            <w:pPr>
              <w:rPr>
                <w:rFonts w:ascii="宋体"/>
                <w:vanish/>
              </w:rPr>
            </w:pPr>
          </w:p>
        </w:tc>
        <w:tc>
          <w:tcPr>
            <w:tcW w:w="0" w:type="auto"/>
            <w:shd w:val="clear" w:color="auto" w:fill="auto"/>
          </w:tcPr>
          <w:p w14:paraId="00BAE026" w14:textId="77777777" w:rsidR="00871BDF" w:rsidRDefault="00871BDF">
            <w:pPr>
              <w:rPr>
                <w:rFonts w:ascii="宋体"/>
                <w:vanish/>
              </w:rPr>
            </w:pPr>
          </w:p>
        </w:tc>
        <w:tc>
          <w:tcPr>
            <w:tcW w:w="0" w:type="auto"/>
            <w:shd w:val="clear" w:color="auto" w:fill="auto"/>
          </w:tcPr>
          <w:p w14:paraId="00BAE027" w14:textId="77777777" w:rsidR="00871BDF" w:rsidRDefault="00871BDF">
            <w:pPr>
              <w:rPr>
                <w:rFonts w:ascii="宋体"/>
                <w:vanish/>
              </w:rPr>
            </w:pPr>
          </w:p>
        </w:tc>
      </w:tr>
      <w:tr w:rsidR="00871BDF" w14:paraId="00BAE039" w14:textId="77777777">
        <w:tc>
          <w:tcPr>
            <w:tcW w:w="0" w:type="auto"/>
            <w:gridSpan w:val="3"/>
            <w:shd w:val="clear" w:color="auto" w:fill="D7E4BC"/>
            <w:tcMar>
              <w:top w:w="40" w:type="dxa"/>
              <w:left w:w="20" w:type="dxa"/>
              <w:bottom w:w="40" w:type="dxa"/>
              <w:right w:w="20" w:type="dxa"/>
            </w:tcMar>
          </w:tcPr>
          <w:p w14:paraId="00BAE029"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0BAE02A" w14:textId="77777777" w:rsidR="00871BDF" w:rsidRDefault="005C5088">
            <w:pPr>
              <w:jc w:val="right"/>
              <w:textAlignment w:val="bottom"/>
            </w:pPr>
            <w:r>
              <w:rPr>
                <w:rFonts w:ascii="Times New Roman" w:eastAsia="宋体" w:hAnsi="Times New Roman"/>
                <w:color w:val="000000"/>
                <w:sz w:val="20"/>
                <w:szCs w:val="20"/>
              </w:rPr>
              <w:t>696.1 </w:t>
            </w:r>
          </w:p>
        </w:tc>
        <w:tc>
          <w:tcPr>
            <w:tcW w:w="0" w:type="auto"/>
            <w:shd w:val="clear" w:color="auto" w:fill="D7E4BC"/>
            <w:tcMar>
              <w:top w:w="40" w:type="dxa"/>
              <w:left w:w="0" w:type="dxa"/>
              <w:bottom w:w="40" w:type="dxa"/>
              <w:right w:w="20" w:type="dxa"/>
            </w:tcMar>
            <w:vAlign w:val="bottom"/>
          </w:tcPr>
          <w:p w14:paraId="00BAE02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2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2D" w14:textId="77777777" w:rsidR="00871BDF" w:rsidRDefault="005C5088">
            <w:pPr>
              <w:jc w:val="right"/>
              <w:textAlignment w:val="bottom"/>
            </w:pPr>
            <w:r>
              <w:rPr>
                <w:rFonts w:ascii="Times New Roman" w:eastAsia="宋体" w:hAnsi="Times New Roman"/>
                <w:color w:val="000000"/>
                <w:sz w:val="20"/>
                <w:szCs w:val="20"/>
              </w:rPr>
              <w:t>641.0 </w:t>
            </w:r>
          </w:p>
        </w:tc>
        <w:tc>
          <w:tcPr>
            <w:tcW w:w="0" w:type="auto"/>
            <w:shd w:val="clear" w:color="auto" w:fill="D7E4BC"/>
            <w:tcMar>
              <w:top w:w="40" w:type="dxa"/>
              <w:left w:w="0" w:type="dxa"/>
              <w:bottom w:w="40" w:type="dxa"/>
              <w:right w:w="20" w:type="dxa"/>
            </w:tcMar>
            <w:vAlign w:val="bottom"/>
          </w:tcPr>
          <w:p w14:paraId="00BAE02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2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30" w14:textId="77777777" w:rsidR="00871BDF" w:rsidRDefault="005C5088">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00BAE03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3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33" w14:textId="77777777" w:rsidR="00871BDF" w:rsidRDefault="005C5088">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00BAE034" w14:textId="77777777" w:rsidR="00871BDF" w:rsidRDefault="00871BDF">
            <w:pPr>
              <w:jc w:val="right"/>
              <w:rPr>
                <w:rFonts w:ascii="宋体"/>
              </w:rPr>
            </w:pPr>
          </w:p>
        </w:tc>
        <w:tc>
          <w:tcPr>
            <w:tcW w:w="0" w:type="auto"/>
            <w:shd w:val="clear" w:color="auto" w:fill="auto"/>
          </w:tcPr>
          <w:p w14:paraId="00BAE035" w14:textId="77777777" w:rsidR="00871BDF" w:rsidRDefault="00871BDF">
            <w:pPr>
              <w:rPr>
                <w:rFonts w:ascii="宋体"/>
                <w:vanish/>
              </w:rPr>
            </w:pPr>
          </w:p>
        </w:tc>
        <w:tc>
          <w:tcPr>
            <w:tcW w:w="0" w:type="auto"/>
            <w:shd w:val="clear" w:color="auto" w:fill="auto"/>
          </w:tcPr>
          <w:p w14:paraId="00BAE036" w14:textId="77777777" w:rsidR="00871BDF" w:rsidRDefault="00871BDF">
            <w:pPr>
              <w:rPr>
                <w:rFonts w:ascii="宋体"/>
                <w:vanish/>
              </w:rPr>
            </w:pPr>
          </w:p>
        </w:tc>
        <w:tc>
          <w:tcPr>
            <w:tcW w:w="0" w:type="auto"/>
            <w:shd w:val="clear" w:color="auto" w:fill="auto"/>
          </w:tcPr>
          <w:p w14:paraId="00BAE037" w14:textId="77777777" w:rsidR="00871BDF" w:rsidRDefault="00871BDF">
            <w:pPr>
              <w:rPr>
                <w:rFonts w:ascii="宋体"/>
                <w:vanish/>
              </w:rPr>
            </w:pPr>
          </w:p>
        </w:tc>
        <w:tc>
          <w:tcPr>
            <w:tcW w:w="0" w:type="auto"/>
            <w:shd w:val="clear" w:color="auto" w:fill="auto"/>
          </w:tcPr>
          <w:p w14:paraId="00BAE038" w14:textId="77777777" w:rsidR="00871BDF" w:rsidRDefault="00871BDF">
            <w:pPr>
              <w:rPr>
                <w:rFonts w:ascii="宋体"/>
                <w:vanish/>
              </w:rPr>
            </w:pPr>
          </w:p>
        </w:tc>
      </w:tr>
      <w:tr w:rsidR="00871BDF" w14:paraId="00BAE04A" w14:textId="77777777">
        <w:tc>
          <w:tcPr>
            <w:tcW w:w="0" w:type="auto"/>
            <w:gridSpan w:val="3"/>
            <w:shd w:val="clear" w:color="auto" w:fill="FFFFFF"/>
            <w:tcMar>
              <w:top w:w="40" w:type="dxa"/>
              <w:left w:w="20" w:type="dxa"/>
              <w:bottom w:w="40" w:type="dxa"/>
              <w:right w:w="20" w:type="dxa"/>
            </w:tcMar>
          </w:tcPr>
          <w:p w14:paraId="00BAE03A" w14:textId="77777777" w:rsidR="00871BDF" w:rsidRDefault="005C5088">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00BAE03B" w14:textId="77777777" w:rsidR="00871BDF" w:rsidRDefault="005C5088">
            <w:pPr>
              <w:jc w:val="right"/>
              <w:textAlignment w:val="bottom"/>
            </w:pPr>
            <w:r>
              <w:rPr>
                <w:rFonts w:ascii="Times New Roman" w:eastAsia="宋体" w:hAnsi="Times New Roman"/>
                <w:color w:val="000000"/>
                <w:sz w:val="20"/>
                <w:szCs w:val="20"/>
              </w:rPr>
              <w:t>323.9 </w:t>
            </w:r>
          </w:p>
        </w:tc>
        <w:tc>
          <w:tcPr>
            <w:tcW w:w="0" w:type="auto"/>
            <w:shd w:val="clear" w:color="auto" w:fill="FFFFFF"/>
            <w:tcMar>
              <w:top w:w="40" w:type="dxa"/>
              <w:left w:w="0" w:type="dxa"/>
              <w:bottom w:w="40" w:type="dxa"/>
              <w:right w:w="20" w:type="dxa"/>
            </w:tcMar>
            <w:vAlign w:val="bottom"/>
          </w:tcPr>
          <w:p w14:paraId="00BAE03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3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03E" w14:textId="77777777" w:rsidR="00871BDF" w:rsidRDefault="005C5088">
            <w:pPr>
              <w:jc w:val="right"/>
              <w:textAlignment w:val="bottom"/>
            </w:pPr>
            <w:r>
              <w:rPr>
                <w:rFonts w:ascii="Times New Roman" w:eastAsia="宋体" w:hAnsi="Times New Roman"/>
                <w:color w:val="000000"/>
                <w:sz w:val="20"/>
                <w:szCs w:val="20"/>
              </w:rPr>
              <w:t>305.1 </w:t>
            </w:r>
          </w:p>
        </w:tc>
        <w:tc>
          <w:tcPr>
            <w:tcW w:w="0" w:type="auto"/>
            <w:shd w:val="clear" w:color="auto" w:fill="FFFFFF"/>
            <w:tcMar>
              <w:top w:w="40" w:type="dxa"/>
              <w:left w:w="0" w:type="dxa"/>
              <w:bottom w:w="40" w:type="dxa"/>
              <w:right w:w="20" w:type="dxa"/>
            </w:tcMar>
            <w:vAlign w:val="bottom"/>
          </w:tcPr>
          <w:p w14:paraId="00BAE03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4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041" w14:textId="77777777" w:rsidR="00871BDF" w:rsidRDefault="005C5088">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00BAE04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4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044" w14:textId="77777777" w:rsidR="00871BDF" w:rsidRDefault="005C5088">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00BAE045" w14:textId="77777777" w:rsidR="00871BDF" w:rsidRDefault="00871BDF">
            <w:pPr>
              <w:jc w:val="right"/>
              <w:rPr>
                <w:rFonts w:ascii="宋体"/>
              </w:rPr>
            </w:pPr>
          </w:p>
        </w:tc>
        <w:tc>
          <w:tcPr>
            <w:tcW w:w="0" w:type="auto"/>
            <w:shd w:val="clear" w:color="auto" w:fill="auto"/>
          </w:tcPr>
          <w:p w14:paraId="00BAE046" w14:textId="77777777" w:rsidR="00871BDF" w:rsidRDefault="00871BDF">
            <w:pPr>
              <w:rPr>
                <w:rFonts w:ascii="宋体"/>
                <w:vanish/>
              </w:rPr>
            </w:pPr>
          </w:p>
        </w:tc>
        <w:tc>
          <w:tcPr>
            <w:tcW w:w="0" w:type="auto"/>
            <w:shd w:val="clear" w:color="auto" w:fill="auto"/>
          </w:tcPr>
          <w:p w14:paraId="00BAE047" w14:textId="77777777" w:rsidR="00871BDF" w:rsidRDefault="00871BDF">
            <w:pPr>
              <w:rPr>
                <w:rFonts w:ascii="宋体"/>
                <w:vanish/>
              </w:rPr>
            </w:pPr>
          </w:p>
        </w:tc>
        <w:tc>
          <w:tcPr>
            <w:tcW w:w="0" w:type="auto"/>
            <w:shd w:val="clear" w:color="auto" w:fill="auto"/>
          </w:tcPr>
          <w:p w14:paraId="00BAE048" w14:textId="77777777" w:rsidR="00871BDF" w:rsidRDefault="00871BDF">
            <w:pPr>
              <w:rPr>
                <w:rFonts w:ascii="宋体"/>
                <w:vanish/>
              </w:rPr>
            </w:pPr>
          </w:p>
        </w:tc>
        <w:tc>
          <w:tcPr>
            <w:tcW w:w="0" w:type="auto"/>
            <w:shd w:val="clear" w:color="auto" w:fill="auto"/>
          </w:tcPr>
          <w:p w14:paraId="00BAE049" w14:textId="77777777" w:rsidR="00871BDF" w:rsidRDefault="00871BDF">
            <w:pPr>
              <w:rPr>
                <w:rFonts w:ascii="宋体"/>
                <w:vanish/>
              </w:rPr>
            </w:pPr>
          </w:p>
        </w:tc>
      </w:tr>
      <w:tr w:rsidR="00871BDF" w14:paraId="00BAE05B" w14:textId="77777777">
        <w:tc>
          <w:tcPr>
            <w:tcW w:w="0" w:type="auto"/>
            <w:gridSpan w:val="3"/>
            <w:shd w:val="clear" w:color="auto" w:fill="D7E4BC"/>
            <w:tcMar>
              <w:top w:w="40" w:type="dxa"/>
              <w:left w:w="20" w:type="dxa"/>
              <w:bottom w:w="40" w:type="dxa"/>
              <w:right w:w="20" w:type="dxa"/>
            </w:tcMar>
          </w:tcPr>
          <w:p w14:paraId="00BAE04B" w14:textId="77777777" w:rsidR="00871BDF" w:rsidRDefault="005C5088">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00BAE04C" w14:textId="77777777" w:rsidR="00871BDF" w:rsidRDefault="005C5088">
            <w:pPr>
              <w:jc w:val="right"/>
              <w:textAlignment w:val="bottom"/>
            </w:pPr>
            <w:r>
              <w:rPr>
                <w:rFonts w:ascii="Times New Roman" w:eastAsia="宋体" w:hAnsi="Times New Roman"/>
                <w:color w:val="000000"/>
                <w:sz w:val="20"/>
                <w:szCs w:val="20"/>
              </w:rPr>
              <w:t>56.9 </w:t>
            </w:r>
          </w:p>
        </w:tc>
        <w:tc>
          <w:tcPr>
            <w:tcW w:w="0" w:type="auto"/>
            <w:shd w:val="clear" w:color="auto" w:fill="D7E4BC"/>
            <w:tcMar>
              <w:top w:w="40" w:type="dxa"/>
              <w:left w:w="0" w:type="dxa"/>
              <w:bottom w:w="40" w:type="dxa"/>
              <w:right w:w="20" w:type="dxa"/>
            </w:tcMar>
            <w:vAlign w:val="bottom"/>
          </w:tcPr>
          <w:p w14:paraId="00BAE04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4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4F" w14:textId="77777777" w:rsidR="00871BDF" w:rsidRDefault="005C5088">
            <w:pPr>
              <w:jc w:val="right"/>
              <w:textAlignment w:val="bottom"/>
            </w:pPr>
            <w:r>
              <w:rPr>
                <w:rFonts w:ascii="Times New Roman" w:eastAsia="宋体" w:hAnsi="Times New Roman"/>
                <w:color w:val="000000"/>
                <w:sz w:val="20"/>
                <w:szCs w:val="20"/>
              </w:rPr>
              <w:t>33.4 </w:t>
            </w:r>
          </w:p>
        </w:tc>
        <w:tc>
          <w:tcPr>
            <w:tcW w:w="0" w:type="auto"/>
            <w:shd w:val="clear" w:color="auto" w:fill="D7E4BC"/>
            <w:tcMar>
              <w:top w:w="40" w:type="dxa"/>
              <w:left w:w="0" w:type="dxa"/>
              <w:bottom w:w="40" w:type="dxa"/>
              <w:right w:w="20" w:type="dxa"/>
            </w:tcMar>
            <w:vAlign w:val="bottom"/>
          </w:tcPr>
          <w:p w14:paraId="00BAE05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5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52" w14:textId="77777777" w:rsidR="00871BDF" w:rsidRDefault="005C5088">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00BAE05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5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55" w14:textId="77777777" w:rsidR="00871BDF" w:rsidRDefault="005C5088">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00BAE056" w14:textId="77777777" w:rsidR="00871BDF" w:rsidRDefault="00871BDF">
            <w:pPr>
              <w:jc w:val="right"/>
              <w:rPr>
                <w:rFonts w:ascii="宋体"/>
              </w:rPr>
            </w:pPr>
          </w:p>
        </w:tc>
        <w:tc>
          <w:tcPr>
            <w:tcW w:w="0" w:type="auto"/>
            <w:shd w:val="clear" w:color="auto" w:fill="auto"/>
          </w:tcPr>
          <w:p w14:paraId="00BAE057" w14:textId="77777777" w:rsidR="00871BDF" w:rsidRDefault="00871BDF">
            <w:pPr>
              <w:rPr>
                <w:rFonts w:ascii="宋体"/>
                <w:vanish/>
              </w:rPr>
            </w:pPr>
          </w:p>
        </w:tc>
        <w:tc>
          <w:tcPr>
            <w:tcW w:w="0" w:type="auto"/>
            <w:shd w:val="clear" w:color="auto" w:fill="auto"/>
          </w:tcPr>
          <w:p w14:paraId="00BAE058" w14:textId="77777777" w:rsidR="00871BDF" w:rsidRDefault="00871BDF">
            <w:pPr>
              <w:rPr>
                <w:rFonts w:ascii="宋体"/>
                <w:vanish/>
              </w:rPr>
            </w:pPr>
          </w:p>
        </w:tc>
        <w:tc>
          <w:tcPr>
            <w:tcW w:w="0" w:type="auto"/>
            <w:shd w:val="clear" w:color="auto" w:fill="auto"/>
          </w:tcPr>
          <w:p w14:paraId="00BAE059" w14:textId="77777777" w:rsidR="00871BDF" w:rsidRDefault="00871BDF">
            <w:pPr>
              <w:rPr>
                <w:rFonts w:ascii="宋体"/>
                <w:vanish/>
              </w:rPr>
            </w:pPr>
          </w:p>
        </w:tc>
        <w:tc>
          <w:tcPr>
            <w:tcW w:w="0" w:type="auto"/>
            <w:shd w:val="clear" w:color="auto" w:fill="auto"/>
          </w:tcPr>
          <w:p w14:paraId="00BAE05A" w14:textId="77777777" w:rsidR="00871BDF" w:rsidRDefault="00871BDF">
            <w:pPr>
              <w:rPr>
                <w:rFonts w:ascii="宋体"/>
                <w:vanish/>
              </w:rPr>
            </w:pPr>
          </w:p>
        </w:tc>
      </w:tr>
      <w:tr w:rsidR="00871BDF" w14:paraId="00BAE06C" w14:textId="77777777">
        <w:tc>
          <w:tcPr>
            <w:tcW w:w="0" w:type="auto"/>
            <w:gridSpan w:val="3"/>
            <w:shd w:val="clear" w:color="auto" w:fill="FFFFFF"/>
            <w:tcMar>
              <w:top w:w="40" w:type="dxa"/>
              <w:left w:w="20" w:type="dxa"/>
              <w:bottom w:w="40" w:type="dxa"/>
              <w:right w:w="20" w:type="dxa"/>
            </w:tcMar>
          </w:tcPr>
          <w:p w14:paraId="00BAE05C" w14:textId="77777777" w:rsidR="00871BDF" w:rsidRDefault="005C5088">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05D" w14:textId="77777777" w:rsidR="00871BDF" w:rsidRDefault="005C5088">
            <w:pPr>
              <w:jc w:val="right"/>
              <w:textAlignment w:val="bottom"/>
            </w:pPr>
            <w:r>
              <w:rPr>
                <w:rFonts w:ascii="Times New Roman" w:eastAsia="宋体" w:hAnsi="Times New Roman"/>
                <w:color w:val="000000"/>
                <w:sz w:val="20"/>
                <w:szCs w:val="20"/>
              </w:rPr>
              <w:t>14,476.2 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05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5F"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060" w14:textId="77777777" w:rsidR="00871BDF" w:rsidRDefault="005C5088">
            <w:pPr>
              <w:jc w:val="right"/>
              <w:textAlignment w:val="bottom"/>
            </w:pPr>
            <w:r>
              <w:rPr>
                <w:rFonts w:ascii="Times New Roman" w:eastAsia="宋体" w:hAnsi="Times New Roman"/>
                <w:color w:val="000000"/>
                <w:sz w:val="20"/>
                <w:szCs w:val="20"/>
              </w:rPr>
              <w:t>13,263.4 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06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62"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063" w14:textId="77777777" w:rsidR="00871BDF" w:rsidRDefault="005C5088">
            <w:pPr>
              <w:jc w:val="right"/>
              <w:textAlignment w:val="bottom"/>
            </w:pPr>
            <w:r>
              <w:rPr>
                <w:rFonts w:ascii="Times New Roman" w:eastAsia="宋体" w:hAnsi="Times New Roman"/>
                <w:color w:val="000000"/>
                <w:sz w:val="20"/>
                <w:szCs w:val="20"/>
              </w:rPr>
              <w:t>79.3 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06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65"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066" w14:textId="77777777" w:rsidR="00871BDF" w:rsidRDefault="005C5088">
            <w:pPr>
              <w:jc w:val="right"/>
              <w:textAlignment w:val="bottom"/>
            </w:pPr>
            <w:r>
              <w:rPr>
                <w:rFonts w:ascii="Times New Roman" w:eastAsia="宋体" w:hAnsi="Times New Roman"/>
                <w:color w:val="000000"/>
                <w:sz w:val="20"/>
                <w:szCs w:val="20"/>
              </w:rPr>
              <w:t>79.2 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067" w14:textId="77777777" w:rsidR="00871BDF" w:rsidRDefault="00871BDF">
            <w:pPr>
              <w:jc w:val="right"/>
              <w:rPr>
                <w:rFonts w:ascii="宋体"/>
              </w:rPr>
            </w:pPr>
          </w:p>
        </w:tc>
        <w:tc>
          <w:tcPr>
            <w:tcW w:w="0" w:type="auto"/>
            <w:shd w:val="clear" w:color="auto" w:fill="auto"/>
          </w:tcPr>
          <w:p w14:paraId="00BAE068" w14:textId="77777777" w:rsidR="00871BDF" w:rsidRDefault="00871BDF">
            <w:pPr>
              <w:rPr>
                <w:rFonts w:ascii="宋体"/>
                <w:vanish/>
              </w:rPr>
            </w:pPr>
          </w:p>
        </w:tc>
        <w:tc>
          <w:tcPr>
            <w:tcW w:w="0" w:type="auto"/>
            <w:shd w:val="clear" w:color="auto" w:fill="auto"/>
          </w:tcPr>
          <w:p w14:paraId="00BAE069" w14:textId="77777777" w:rsidR="00871BDF" w:rsidRDefault="00871BDF">
            <w:pPr>
              <w:rPr>
                <w:rFonts w:ascii="宋体"/>
                <w:vanish/>
              </w:rPr>
            </w:pPr>
          </w:p>
        </w:tc>
        <w:tc>
          <w:tcPr>
            <w:tcW w:w="0" w:type="auto"/>
            <w:shd w:val="clear" w:color="auto" w:fill="auto"/>
          </w:tcPr>
          <w:p w14:paraId="00BAE06A" w14:textId="77777777" w:rsidR="00871BDF" w:rsidRDefault="00871BDF">
            <w:pPr>
              <w:rPr>
                <w:rFonts w:ascii="宋体"/>
                <w:vanish/>
              </w:rPr>
            </w:pPr>
          </w:p>
        </w:tc>
        <w:tc>
          <w:tcPr>
            <w:tcW w:w="0" w:type="auto"/>
            <w:shd w:val="clear" w:color="auto" w:fill="auto"/>
          </w:tcPr>
          <w:p w14:paraId="00BAE06B" w14:textId="77777777" w:rsidR="00871BDF" w:rsidRDefault="00871BDF">
            <w:pPr>
              <w:rPr>
                <w:rFonts w:ascii="宋体"/>
                <w:vanish/>
              </w:rPr>
            </w:pPr>
          </w:p>
        </w:tc>
      </w:tr>
      <w:tr w:rsidR="00871BDF" w14:paraId="00BAE079" w14:textId="77777777">
        <w:trPr>
          <w:hidden/>
        </w:trPr>
        <w:tc>
          <w:tcPr>
            <w:tcW w:w="0" w:type="auto"/>
            <w:gridSpan w:val="3"/>
            <w:shd w:val="clear" w:color="auto" w:fill="auto"/>
          </w:tcPr>
          <w:p w14:paraId="00BAE06D" w14:textId="77777777" w:rsidR="00871BDF" w:rsidRDefault="00871BDF">
            <w:pPr>
              <w:rPr>
                <w:rFonts w:ascii="宋体"/>
                <w:vanish/>
              </w:rPr>
            </w:pPr>
          </w:p>
        </w:tc>
        <w:tc>
          <w:tcPr>
            <w:tcW w:w="0" w:type="auto"/>
            <w:gridSpan w:val="3"/>
            <w:shd w:val="clear" w:color="auto" w:fill="auto"/>
          </w:tcPr>
          <w:p w14:paraId="00BAE06E" w14:textId="77777777" w:rsidR="00871BDF" w:rsidRDefault="00871BDF">
            <w:pPr>
              <w:rPr>
                <w:rFonts w:ascii="宋体"/>
                <w:vanish/>
              </w:rPr>
            </w:pPr>
          </w:p>
        </w:tc>
        <w:tc>
          <w:tcPr>
            <w:tcW w:w="0" w:type="auto"/>
            <w:gridSpan w:val="3"/>
            <w:shd w:val="clear" w:color="auto" w:fill="auto"/>
          </w:tcPr>
          <w:p w14:paraId="00BAE06F" w14:textId="77777777" w:rsidR="00871BDF" w:rsidRDefault="00871BDF">
            <w:pPr>
              <w:rPr>
                <w:rFonts w:ascii="宋体"/>
                <w:vanish/>
              </w:rPr>
            </w:pPr>
          </w:p>
        </w:tc>
        <w:tc>
          <w:tcPr>
            <w:tcW w:w="0" w:type="auto"/>
            <w:gridSpan w:val="3"/>
            <w:shd w:val="clear" w:color="auto" w:fill="auto"/>
          </w:tcPr>
          <w:p w14:paraId="00BAE070" w14:textId="77777777" w:rsidR="00871BDF" w:rsidRDefault="00871BDF">
            <w:pPr>
              <w:rPr>
                <w:rFonts w:ascii="宋体"/>
                <w:vanish/>
              </w:rPr>
            </w:pPr>
          </w:p>
        </w:tc>
        <w:tc>
          <w:tcPr>
            <w:tcW w:w="0" w:type="auto"/>
            <w:gridSpan w:val="3"/>
            <w:shd w:val="clear" w:color="auto" w:fill="auto"/>
          </w:tcPr>
          <w:p w14:paraId="00BAE071" w14:textId="77777777" w:rsidR="00871BDF" w:rsidRDefault="00871BDF">
            <w:pPr>
              <w:rPr>
                <w:rFonts w:ascii="宋体"/>
                <w:vanish/>
              </w:rPr>
            </w:pPr>
          </w:p>
        </w:tc>
        <w:tc>
          <w:tcPr>
            <w:tcW w:w="0" w:type="auto"/>
            <w:gridSpan w:val="3"/>
            <w:shd w:val="clear" w:color="auto" w:fill="auto"/>
          </w:tcPr>
          <w:p w14:paraId="00BAE072" w14:textId="77777777" w:rsidR="00871BDF" w:rsidRDefault="00871BDF">
            <w:pPr>
              <w:rPr>
                <w:rFonts w:ascii="宋体"/>
                <w:vanish/>
              </w:rPr>
            </w:pPr>
          </w:p>
        </w:tc>
        <w:tc>
          <w:tcPr>
            <w:tcW w:w="0" w:type="auto"/>
            <w:gridSpan w:val="3"/>
            <w:shd w:val="clear" w:color="auto" w:fill="auto"/>
          </w:tcPr>
          <w:p w14:paraId="00BAE073" w14:textId="77777777" w:rsidR="00871BDF" w:rsidRDefault="00871BDF">
            <w:pPr>
              <w:rPr>
                <w:rFonts w:ascii="宋体"/>
                <w:vanish/>
              </w:rPr>
            </w:pPr>
          </w:p>
        </w:tc>
        <w:tc>
          <w:tcPr>
            <w:tcW w:w="0" w:type="auto"/>
            <w:gridSpan w:val="3"/>
            <w:shd w:val="clear" w:color="auto" w:fill="auto"/>
          </w:tcPr>
          <w:p w14:paraId="00BAE074" w14:textId="77777777" w:rsidR="00871BDF" w:rsidRDefault="00871BDF">
            <w:pPr>
              <w:rPr>
                <w:rFonts w:ascii="宋体"/>
                <w:vanish/>
              </w:rPr>
            </w:pPr>
          </w:p>
        </w:tc>
        <w:tc>
          <w:tcPr>
            <w:tcW w:w="0" w:type="auto"/>
            <w:shd w:val="clear" w:color="auto" w:fill="auto"/>
          </w:tcPr>
          <w:p w14:paraId="00BAE075" w14:textId="77777777" w:rsidR="00871BDF" w:rsidRDefault="00871BDF">
            <w:pPr>
              <w:rPr>
                <w:rFonts w:ascii="宋体"/>
                <w:vanish/>
              </w:rPr>
            </w:pPr>
          </w:p>
        </w:tc>
        <w:tc>
          <w:tcPr>
            <w:tcW w:w="0" w:type="auto"/>
            <w:shd w:val="clear" w:color="auto" w:fill="auto"/>
          </w:tcPr>
          <w:p w14:paraId="00BAE076" w14:textId="77777777" w:rsidR="00871BDF" w:rsidRDefault="00871BDF">
            <w:pPr>
              <w:rPr>
                <w:rFonts w:ascii="宋体"/>
                <w:vanish/>
              </w:rPr>
            </w:pPr>
          </w:p>
        </w:tc>
        <w:tc>
          <w:tcPr>
            <w:tcW w:w="0" w:type="auto"/>
            <w:shd w:val="clear" w:color="auto" w:fill="auto"/>
          </w:tcPr>
          <w:p w14:paraId="00BAE077" w14:textId="77777777" w:rsidR="00871BDF" w:rsidRDefault="00871BDF">
            <w:pPr>
              <w:rPr>
                <w:rFonts w:ascii="宋体"/>
                <w:vanish/>
              </w:rPr>
            </w:pPr>
          </w:p>
        </w:tc>
        <w:tc>
          <w:tcPr>
            <w:tcW w:w="0" w:type="auto"/>
            <w:shd w:val="clear" w:color="auto" w:fill="auto"/>
          </w:tcPr>
          <w:p w14:paraId="00BAE078" w14:textId="77777777" w:rsidR="00871BDF" w:rsidRDefault="00871BDF">
            <w:pPr>
              <w:rPr>
                <w:rFonts w:ascii="宋体"/>
                <w:vanish/>
              </w:rPr>
            </w:pPr>
          </w:p>
        </w:tc>
      </w:tr>
      <w:tr w:rsidR="00871BDF" w14:paraId="00BAE08C" w14:textId="77777777">
        <w:tc>
          <w:tcPr>
            <w:tcW w:w="0" w:type="auto"/>
            <w:gridSpan w:val="3"/>
            <w:shd w:val="clear" w:color="auto" w:fill="D7E4BC"/>
            <w:tcMar>
              <w:top w:w="40" w:type="dxa"/>
              <w:left w:w="20" w:type="dxa"/>
              <w:bottom w:w="40" w:type="dxa"/>
              <w:right w:w="20" w:type="dxa"/>
            </w:tcMar>
          </w:tcPr>
          <w:p w14:paraId="00BAE07A" w14:textId="77777777" w:rsidR="00871BDF" w:rsidRDefault="005C5088">
            <w:pPr>
              <w:textAlignment w:val="top"/>
            </w:pPr>
            <w:r>
              <w:rPr>
                <w:rFonts w:ascii="Times New Roman" w:eastAsia="宋体" w:hAnsi="Times New Roman"/>
                <w:b/>
                <w:bCs/>
                <w:color w:val="000000"/>
                <w:sz w:val="20"/>
                <w:szCs w:val="20"/>
              </w:rPr>
              <w:t>Operating income</w:t>
            </w:r>
          </w:p>
        </w:tc>
        <w:tc>
          <w:tcPr>
            <w:tcW w:w="0" w:type="auto"/>
            <w:shd w:val="clear" w:color="auto" w:fill="D7E4BC"/>
            <w:tcMar>
              <w:top w:w="40" w:type="dxa"/>
              <w:left w:w="20" w:type="dxa"/>
              <w:bottom w:w="40" w:type="dxa"/>
              <w:right w:w="0" w:type="dxa"/>
            </w:tcMar>
            <w:vAlign w:val="bottom"/>
          </w:tcPr>
          <w:p w14:paraId="00BAE07B" w14:textId="77777777" w:rsidR="00871BDF" w:rsidRDefault="005C5088">
            <w:pPr>
              <w:textAlignment w:val="bottom"/>
            </w:pPr>
            <w:r>
              <w:rPr>
                <w:rFonts w:ascii="Times New Roman" w:eastAsia="宋体" w:hAnsi="Times New Roman"/>
                <w:b/>
                <w:bCs/>
                <w:color w:val="000000"/>
                <w:sz w:val="20"/>
                <w:szCs w:val="20"/>
              </w:rPr>
              <w:t>$</w:t>
            </w:r>
          </w:p>
        </w:tc>
        <w:tc>
          <w:tcPr>
            <w:tcW w:w="0" w:type="auto"/>
            <w:shd w:val="clear" w:color="auto" w:fill="D7E4BC"/>
            <w:tcMar>
              <w:top w:w="40" w:type="dxa"/>
              <w:left w:w="0" w:type="dxa"/>
              <w:bottom w:w="40" w:type="dxa"/>
              <w:right w:w="0" w:type="dxa"/>
            </w:tcMar>
            <w:vAlign w:val="bottom"/>
          </w:tcPr>
          <w:p w14:paraId="00BAE07C" w14:textId="77777777" w:rsidR="00871BDF" w:rsidRDefault="005C5088">
            <w:pPr>
              <w:jc w:val="right"/>
              <w:textAlignment w:val="bottom"/>
            </w:pPr>
            <w:r>
              <w:rPr>
                <w:rFonts w:ascii="Times New Roman" w:eastAsia="宋体" w:hAnsi="Times New Roman"/>
                <w:b/>
                <w:bCs/>
                <w:color w:val="000000"/>
                <w:sz w:val="20"/>
                <w:szCs w:val="20"/>
              </w:rPr>
              <w:t>3,782.8</w:t>
            </w: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07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7E"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E07F" w14:textId="77777777" w:rsidR="00871BDF" w:rsidRDefault="005C5088">
            <w:pPr>
              <w:textAlignment w:val="bottom"/>
            </w:pPr>
            <w:r>
              <w:rPr>
                <w:rFonts w:ascii="Times New Roman" w:eastAsia="宋体" w:hAnsi="Times New Roman"/>
                <w:b/>
                <w:bCs/>
                <w:color w:val="000000"/>
                <w:sz w:val="20"/>
                <w:szCs w:val="20"/>
              </w:rPr>
              <w:t>$</w:t>
            </w:r>
          </w:p>
        </w:tc>
        <w:tc>
          <w:tcPr>
            <w:tcW w:w="0" w:type="auto"/>
            <w:shd w:val="clear" w:color="auto" w:fill="D7E4BC"/>
            <w:tcMar>
              <w:top w:w="40" w:type="dxa"/>
              <w:left w:w="0" w:type="dxa"/>
              <w:bottom w:w="40" w:type="dxa"/>
              <w:right w:w="0" w:type="dxa"/>
            </w:tcMar>
            <w:vAlign w:val="bottom"/>
          </w:tcPr>
          <w:p w14:paraId="00BAE080" w14:textId="77777777" w:rsidR="00871BDF" w:rsidRDefault="005C5088">
            <w:pPr>
              <w:jc w:val="right"/>
              <w:textAlignment w:val="bottom"/>
            </w:pPr>
            <w:r>
              <w:rPr>
                <w:rFonts w:ascii="Times New Roman" w:eastAsia="宋体" w:hAnsi="Times New Roman"/>
                <w:b/>
                <w:bCs/>
                <w:color w:val="000000"/>
                <w:sz w:val="20"/>
                <w:szCs w:val="20"/>
              </w:rPr>
              <w:t>3,485.2</w:t>
            </w: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08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8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83" w14:textId="77777777" w:rsidR="00871BDF" w:rsidRDefault="005C5088">
            <w:pPr>
              <w:jc w:val="right"/>
              <w:textAlignment w:val="bottom"/>
            </w:pPr>
            <w:r>
              <w:rPr>
                <w:rFonts w:ascii="Times New Roman" w:eastAsia="宋体" w:hAnsi="Times New Roman"/>
                <w:b/>
                <w:bCs/>
                <w:color w:val="000000"/>
                <w:sz w:val="20"/>
                <w:szCs w:val="20"/>
              </w:rPr>
              <w:t>20.7</w:t>
            </w: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084"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tcPr>
          <w:p w14:paraId="00BAE08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86" w14:textId="77777777" w:rsidR="00871BDF" w:rsidRDefault="005C5088">
            <w:pPr>
              <w:jc w:val="right"/>
              <w:textAlignment w:val="bottom"/>
            </w:pPr>
            <w:r>
              <w:rPr>
                <w:rFonts w:ascii="Times New Roman" w:eastAsia="宋体" w:hAnsi="Times New Roman"/>
                <w:b/>
                <w:bCs/>
                <w:color w:val="000000"/>
                <w:sz w:val="20"/>
                <w:szCs w:val="20"/>
              </w:rPr>
              <w:t>20.8</w:t>
            </w: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087"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shd w:val="clear" w:color="auto" w:fill="auto"/>
          </w:tcPr>
          <w:p w14:paraId="00BAE088" w14:textId="77777777" w:rsidR="00871BDF" w:rsidRDefault="00871BDF">
            <w:pPr>
              <w:rPr>
                <w:rFonts w:ascii="宋体"/>
                <w:vanish/>
              </w:rPr>
            </w:pPr>
          </w:p>
        </w:tc>
        <w:tc>
          <w:tcPr>
            <w:tcW w:w="0" w:type="auto"/>
            <w:shd w:val="clear" w:color="auto" w:fill="auto"/>
          </w:tcPr>
          <w:p w14:paraId="00BAE089" w14:textId="77777777" w:rsidR="00871BDF" w:rsidRDefault="00871BDF">
            <w:pPr>
              <w:rPr>
                <w:rFonts w:ascii="宋体"/>
                <w:vanish/>
              </w:rPr>
            </w:pPr>
          </w:p>
        </w:tc>
        <w:tc>
          <w:tcPr>
            <w:tcW w:w="0" w:type="auto"/>
            <w:shd w:val="clear" w:color="auto" w:fill="auto"/>
          </w:tcPr>
          <w:p w14:paraId="00BAE08A" w14:textId="77777777" w:rsidR="00871BDF" w:rsidRDefault="00871BDF">
            <w:pPr>
              <w:rPr>
                <w:rFonts w:ascii="宋体"/>
                <w:vanish/>
              </w:rPr>
            </w:pPr>
          </w:p>
        </w:tc>
        <w:tc>
          <w:tcPr>
            <w:tcW w:w="0" w:type="auto"/>
            <w:shd w:val="clear" w:color="auto" w:fill="auto"/>
          </w:tcPr>
          <w:p w14:paraId="00BAE08B" w14:textId="77777777" w:rsidR="00871BDF" w:rsidRDefault="00871BDF">
            <w:pPr>
              <w:rPr>
                <w:rFonts w:ascii="宋体"/>
                <w:vanish/>
              </w:rPr>
            </w:pPr>
          </w:p>
        </w:tc>
      </w:tr>
    </w:tbl>
    <w:p w14:paraId="00BAE08D" w14:textId="77777777" w:rsidR="00871BDF" w:rsidRDefault="005C5088">
      <w:pPr>
        <w:spacing w:before="120"/>
      </w:pPr>
      <w:r>
        <w:rPr>
          <w:rFonts w:ascii="Times New Roman" w:eastAsia="宋体" w:hAnsi="Times New Roman"/>
          <w:color w:val="000000"/>
          <w:sz w:val="20"/>
          <w:szCs w:val="20"/>
          <w:u w:val="single"/>
        </w:rPr>
        <w:t>Revenues</w:t>
      </w:r>
    </w:p>
    <w:p w14:paraId="00BAE08E" w14:textId="77777777" w:rsidR="00871BDF" w:rsidRDefault="005C5088">
      <w:pPr>
        <w:spacing w:before="120"/>
      </w:pPr>
      <w:r>
        <w:rPr>
          <w:rFonts w:ascii="Times New Roman" w:eastAsia="宋体" w:hAnsi="Times New Roman"/>
          <w:color w:val="000000"/>
          <w:sz w:val="20"/>
          <w:szCs w:val="20"/>
        </w:rPr>
        <w:t>Americas total net revenues for fiscal 2019 increased $1.5 billion, or 9%, primarily driven by a 5% increase in comparable store sales ($744 million) and 282 ne</w:t>
      </w:r>
      <w:r>
        <w:rPr>
          <w:rFonts w:ascii="Times New Roman" w:eastAsia="宋体" w:hAnsi="Times New Roman"/>
          <w:color w:val="000000"/>
          <w:sz w:val="20"/>
          <w:szCs w:val="20"/>
        </w:rPr>
        <w:t>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company-operated stores, or a 3% increase, over the past 12 months ($580 million). Also contributing were higher product sales to and royalty revenues from our licensees ($144 million), primarily resulting from comparable store sales growt</w:t>
      </w:r>
      <w:r>
        <w:rPr>
          <w:rFonts w:ascii="Times New Roman" w:eastAsia="宋体" w:hAnsi="Times New Roman"/>
          <w:color w:val="000000"/>
          <w:sz w:val="20"/>
          <w:szCs w:val="20"/>
        </w:rPr>
        <w:t>h and the opening of 323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licensed stores, or 4% increase, over the past 12 months and the impact of the adoption of revenue recognition guidance on stored value card breakage ($119 million).</w:t>
      </w:r>
    </w:p>
    <w:p w14:paraId="00BAE08F" w14:textId="77777777" w:rsidR="00871BDF" w:rsidRDefault="005C5088">
      <w:pPr>
        <w:spacing w:before="120"/>
      </w:pPr>
      <w:r>
        <w:rPr>
          <w:rFonts w:ascii="Times New Roman" w:eastAsia="宋体" w:hAnsi="Times New Roman"/>
          <w:color w:val="000000"/>
          <w:sz w:val="20"/>
          <w:szCs w:val="20"/>
          <w:u w:val="single"/>
        </w:rPr>
        <w:t>Operating Margin</w:t>
      </w:r>
    </w:p>
    <w:p w14:paraId="00BAE090" w14:textId="77777777" w:rsidR="00871BDF" w:rsidRDefault="005C5088">
      <w:pPr>
        <w:spacing w:before="120"/>
      </w:pPr>
      <w:r>
        <w:rPr>
          <w:rFonts w:ascii="Times New Roman" w:eastAsia="宋体" w:hAnsi="Times New Roman"/>
          <w:color w:val="000000"/>
          <w:sz w:val="20"/>
          <w:szCs w:val="20"/>
        </w:rPr>
        <w:t>Americas operating income for</w:t>
      </w:r>
      <w:r>
        <w:rPr>
          <w:rFonts w:ascii="Times New Roman" w:eastAsia="宋体" w:hAnsi="Times New Roman"/>
          <w:color w:val="000000"/>
          <w:sz w:val="20"/>
          <w:szCs w:val="20"/>
        </w:rPr>
        <w:t xml:space="preserve"> fiscal 2019 increased 9% to $3.8 billion, compared to $3.5 billion in fiscal 2018. Operating margin decreased 10 basis points to 20.7%, primarily driven by higher partner investments, largely funded by savings from the Tax Act, growth in wages and benefit</w:t>
      </w:r>
      <w:r>
        <w:rPr>
          <w:rFonts w:ascii="Times New Roman" w:eastAsia="宋体" w:hAnsi="Times New Roman"/>
          <w:color w:val="000000"/>
          <w:sz w:val="20"/>
          <w:szCs w:val="20"/>
        </w:rPr>
        <w:t>s (approximately 130 basis points) and to a much lesser extent, investments in labor hours heavily concentrated in our fiscal fourth quarter. Partially offsetting these were cost savings initiatives, primarily in product and distribution costs (approximate</w:t>
      </w:r>
      <w:r>
        <w:rPr>
          <w:rFonts w:ascii="Times New Roman" w:eastAsia="宋体" w:hAnsi="Times New Roman"/>
          <w:color w:val="000000"/>
          <w:sz w:val="20"/>
          <w:szCs w:val="20"/>
        </w:rPr>
        <w:t>ly 90 basis points), the impact of the adoption of revenue recognition guidance on stored value card breakage (approximately 50 basis points) and sales leverage.</w:t>
      </w:r>
    </w:p>
    <w:p w14:paraId="00BAE091" w14:textId="77777777" w:rsidR="00871BDF" w:rsidRDefault="005C5088">
      <w:pPr>
        <w:jc w:val="center"/>
      </w:pPr>
      <w:r>
        <w:rPr>
          <w:rFonts w:ascii="Times New Roman" w:eastAsia="宋体" w:hAnsi="Times New Roman"/>
          <w:color w:val="000000"/>
          <w:sz w:val="20"/>
          <w:szCs w:val="20"/>
        </w:rPr>
        <w:t>35</w:t>
      </w:r>
    </w:p>
    <w:p w14:paraId="00BAE092" w14:textId="77777777" w:rsidR="00871BDF" w:rsidRDefault="005C5088">
      <w:r>
        <w:pict w14:anchorId="00BB1488">
          <v:rect id="_x0000_i1062" style="width:415.3pt;height:1.5pt" o:hralign="center" o:hrstd="t" o:hr="t" fillcolor="#a0a0a0" stroked="f"/>
        </w:pict>
      </w:r>
    </w:p>
    <w:p w14:paraId="00BAE093" w14:textId="77777777" w:rsidR="00871BDF" w:rsidRDefault="005C5088">
      <w:hyperlink r:id="rId100" w:anchor="i54ccc64cb5384be5a4849ef1cdef4dde_7" w:history="1">
        <w:r>
          <w:rPr>
            <w:rStyle w:val="a5"/>
            <w:rFonts w:ascii="Times New Roman" w:eastAsia="宋体" w:hAnsi="Times New Roman"/>
            <w:sz w:val="20"/>
            <w:szCs w:val="20"/>
          </w:rPr>
          <w:t>Table of Contents</w:t>
        </w:r>
      </w:hyperlink>
    </w:p>
    <w:p w14:paraId="00BAE094" w14:textId="77777777" w:rsidR="00871BDF" w:rsidRDefault="005C5088">
      <w:pPr>
        <w:spacing w:before="120"/>
      </w:pPr>
      <w:r>
        <w:rPr>
          <w:rFonts w:ascii="Times New Roman" w:eastAsia="宋体" w:hAnsi="Times New Roman"/>
          <w:b/>
          <w:bCs/>
          <w:i/>
          <w:iCs/>
          <w:color w:val="000000"/>
          <w:sz w:val="20"/>
          <w:szCs w:val="20"/>
        </w:rPr>
        <w:t>International</w:t>
      </w:r>
    </w:p>
    <w:tbl>
      <w:tblPr>
        <w:tblW w:w="4993" w:type="pct"/>
        <w:tblCellMar>
          <w:top w:w="15" w:type="dxa"/>
          <w:left w:w="15" w:type="dxa"/>
          <w:bottom w:w="15" w:type="dxa"/>
          <w:right w:w="15" w:type="dxa"/>
        </w:tblCellMar>
        <w:tblLook w:val="04A0" w:firstRow="1" w:lastRow="0" w:firstColumn="1" w:lastColumn="0" w:noHBand="0" w:noVBand="1"/>
      </w:tblPr>
      <w:tblGrid>
        <w:gridCol w:w="53"/>
        <w:gridCol w:w="2534"/>
        <w:gridCol w:w="37"/>
        <w:gridCol w:w="120"/>
        <w:gridCol w:w="1194"/>
        <w:gridCol w:w="36"/>
        <w:gridCol w:w="36"/>
        <w:gridCol w:w="36"/>
        <w:gridCol w:w="36"/>
        <w:gridCol w:w="120"/>
        <w:gridCol w:w="1133"/>
        <w:gridCol w:w="36"/>
        <w:gridCol w:w="36"/>
        <w:gridCol w:w="36"/>
        <w:gridCol w:w="36"/>
        <w:gridCol w:w="39"/>
        <w:gridCol w:w="1109"/>
        <w:gridCol w:w="220"/>
        <w:gridCol w:w="36"/>
        <w:gridCol w:w="36"/>
        <w:gridCol w:w="36"/>
        <w:gridCol w:w="39"/>
        <w:gridCol w:w="1110"/>
        <w:gridCol w:w="220"/>
      </w:tblGrid>
      <w:tr w:rsidR="00871BDF" w14:paraId="00BAE0AD" w14:textId="77777777">
        <w:tc>
          <w:tcPr>
            <w:tcW w:w="50" w:type="pct"/>
            <w:shd w:val="clear" w:color="auto" w:fill="auto"/>
          </w:tcPr>
          <w:p w14:paraId="00BAE095" w14:textId="77777777" w:rsidR="00871BDF" w:rsidRDefault="00871BDF">
            <w:pPr>
              <w:rPr>
                <w:rFonts w:ascii="宋体"/>
              </w:rPr>
            </w:pPr>
          </w:p>
        </w:tc>
        <w:tc>
          <w:tcPr>
            <w:tcW w:w="1584" w:type="pct"/>
            <w:shd w:val="clear" w:color="auto" w:fill="auto"/>
          </w:tcPr>
          <w:p w14:paraId="00BAE096" w14:textId="77777777" w:rsidR="00871BDF" w:rsidRDefault="00871BDF">
            <w:pPr>
              <w:rPr>
                <w:rFonts w:ascii="宋体"/>
              </w:rPr>
            </w:pPr>
          </w:p>
        </w:tc>
        <w:tc>
          <w:tcPr>
            <w:tcW w:w="5" w:type="pct"/>
            <w:shd w:val="clear" w:color="auto" w:fill="auto"/>
          </w:tcPr>
          <w:p w14:paraId="00BAE097" w14:textId="77777777" w:rsidR="00871BDF" w:rsidRDefault="00871BDF">
            <w:pPr>
              <w:rPr>
                <w:rFonts w:ascii="宋体"/>
              </w:rPr>
            </w:pPr>
          </w:p>
        </w:tc>
        <w:tc>
          <w:tcPr>
            <w:tcW w:w="50" w:type="pct"/>
            <w:shd w:val="clear" w:color="auto" w:fill="auto"/>
          </w:tcPr>
          <w:p w14:paraId="00BAE098" w14:textId="77777777" w:rsidR="00871BDF" w:rsidRDefault="00871BDF">
            <w:pPr>
              <w:rPr>
                <w:rFonts w:ascii="宋体"/>
              </w:rPr>
            </w:pPr>
          </w:p>
        </w:tc>
        <w:tc>
          <w:tcPr>
            <w:tcW w:w="757" w:type="pct"/>
            <w:shd w:val="clear" w:color="auto" w:fill="auto"/>
          </w:tcPr>
          <w:p w14:paraId="00BAE099" w14:textId="77777777" w:rsidR="00871BDF" w:rsidRDefault="00871BDF">
            <w:pPr>
              <w:rPr>
                <w:rFonts w:ascii="宋体"/>
              </w:rPr>
            </w:pPr>
          </w:p>
        </w:tc>
        <w:tc>
          <w:tcPr>
            <w:tcW w:w="5" w:type="pct"/>
            <w:shd w:val="clear" w:color="auto" w:fill="auto"/>
          </w:tcPr>
          <w:p w14:paraId="00BAE09A" w14:textId="77777777" w:rsidR="00871BDF" w:rsidRDefault="00871BDF">
            <w:pPr>
              <w:rPr>
                <w:rFonts w:ascii="宋体"/>
              </w:rPr>
            </w:pPr>
          </w:p>
        </w:tc>
        <w:tc>
          <w:tcPr>
            <w:tcW w:w="5" w:type="pct"/>
            <w:shd w:val="clear" w:color="auto" w:fill="auto"/>
          </w:tcPr>
          <w:p w14:paraId="00BAE09B" w14:textId="77777777" w:rsidR="00871BDF" w:rsidRDefault="00871BDF">
            <w:pPr>
              <w:rPr>
                <w:rFonts w:ascii="宋体"/>
              </w:rPr>
            </w:pPr>
          </w:p>
        </w:tc>
        <w:tc>
          <w:tcPr>
            <w:tcW w:w="26" w:type="pct"/>
            <w:shd w:val="clear" w:color="auto" w:fill="auto"/>
          </w:tcPr>
          <w:p w14:paraId="00BAE09C" w14:textId="77777777" w:rsidR="00871BDF" w:rsidRDefault="00871BDF">
            <w:pPr>
              <w:rPr>
                <w:rFonts w:ascii="宋体"/>
              </w:rPr>
            </w:pPr>
          </w:p>
        </w:tc>
        <w:tc>
          <w:tcPr>
            <w:tcW w:w="5" w:type="pct"/>
            <w:shd w:val="clear" w:color="auto" w:fill="auto"/>
          </w:tcPr>
          <w:p w14:paraId="00BAE09D" w14:textId="77777777" w:rsidR="00871BDF" w:rsidRDefault="00871BDF">
            <w:pPr>
              <w:rPr>
                <w:rFonts w:ascii="宋体"/>
              </w:rPr>
            </w:pPr>
          </w:p>
        </w:tc>
        <w:tc>
          <w:tcPr>
            <w:tcW w:w="50" w:type="pct"/>
            <w:shd w:val="clear" w:color="auto" w:fill="auto"/>
          </w:tcPr>
          <w:p w14:paraId="00BAE09E" w14:textId="77777777" w:rsidR="00871BDF" w:rsidRDefault="00871BDF">
            <w:pPr>
              <w:rPr>
                <w:rFonts w:ascii="宋体"/>
              </w:rPr>
            </w:pPr>
          </w:p>
        </w:tc>
        <w:tc>
          <w:tcPr>
            <w:tcW w:w="757" w:type="pct"/>
            <w:shd w:val="clear" w:color="auto" w:fill="auto"/>
          </w:tcPr>
          <w:p w14:paraId="00BAE09F" w14:textId="77777777" w:rsidR="00871BDF" w:rsidRDefault="00871BDF">
            <w:pPr>
              <w:rPr>
                <w:rFonts w:ascii="宋体"/>
              </w:rPr>
            </w:pPr>
          </w:p>
        </w:tc>
        <w:tc>
          <w:tcPr>
            <w:tcW w:w="5" w:type="pct"/>
            <w:shd w:val="clear" w:color="auto" w:fill="auto"/>
          </w:tcPr>
          <w:p w14:paraId="00BAE0A0" w14:textId="77777777" w:rsidR="00871BDF" w:rsidRDefault="00871BDF">
            <w:pPr>
              <w:rPr>
                <w:rFonts w:ascii="宋体"/>
              </w:rPr>
            </w:pPr>
          </w:p>
        </w:tc>
        <w:tc>
          <w:tcPr>
            <w:tcW w:w="5" w:type="pct"/>
            <w:shd w:val="clear" w:color="auto" w:fill="auto"/>
          </w:tcPr>
          <w:p w14:paraId="00BAE0A1" w14:textId="77777777" w:rsidR="00871BDF" w:rsidRDefault="00871BDF">
            <w:pPr>
              <w:rPr>
                <w:rFonts w:ascii="宋体"/>
              </w:rPr>
            </w:pPr>
          </w:p>
        </w:tc>
        <w:tc>
          <w:tcPr>
            <w:tcW w:w="26" w:type="pct"/>
            <w:shd w:val="clear" w:color="auto" w:fill="auto"/>
          </w:tcPr>
          <w:p w14:paraId="00BAE0A2" w14:textId="77777777" w:rsidR="00871BDF" w:rsidRDefault="00871BDF">
            <w:pPr>
              <w:rPr>
                <w:rFonts w:ascii="宋体"/>
              </w:rPr>
            </w:pPr>
          </w:p>
        </w:tc>
        <w:tc>
          <w:tcPr>
            <w:tcW w:w="5" w:type="pct"/>
            <w:shd w:val="clear" w:color="auto" w:fill="auto"/>
          </w:tcPr>
          <w:p w14:paraId="00BAE0A3" w14:textId="77777777" w:rsidR="00871BDF" w:rsidRDefault="00871BDF">
            <w:pPr>
              <w:rPr>
                <w:rFonts w:ascii="宋体"/>
              </w:rPr>
            </w:pPr>
          </w:p>
        </w:tc>
        <w:tc>
          <w:tcPr>
            <w:tcW w:w="50" w:type="pct"/>
            <w:shd w:val="clear" w:color="auto" w:fill="auto"/>
          </w:tcPr>
          <w:p w14:paraId="00BAE0A4" w14:textId="77777777" w:rsidR="00871BDF" w:rsidRDefault="00871BDF">
            <w:pPr>
              <w:rPr>
                <w:rFonts w:ascii="宋体"/>
              </w:rPr>
            </w:pPr>
          </w:p>
        </w:tc>
        <w:tc>
          <w:tcPr>
            <w:tcW w:w="757" w:type="pct"/>
            <w:shd w:val="clear" w:color="auto" w:fill="auto"/>
          </w:tcPr>
          <w:p w14:paraId="00BAE0A5" w14:textId="77777777" w:rsidR="00871BDF" w:rsidRDefault="00871BDF">
            <w:pPr>
              <w:rPr>
                <w:rFonts w:ascii="宋体"/>
              </w:rPr>
            </w:pPr>
          </w:p>
        </w:tc>
        <w:tc>
          <w:tcPr>
            <w:tcW w:w="5" w:type="pct"/>
            <w:shd w:val="clear" w:color="auto" w:fill="auto"/>
          </w:tcPr>
          <w:p w14:paraId="00BAE0A6" w14:textId="77777777" w:rsidR="00871BDF" w:rsidRDefault="00871BDF">
            <w:pPr>
              <w:rPr>
                <w:rFonts w:ascii="宋体"/>
              </w:rPr>
            </w:pPr>
          </w:p>
        </w:tc>
        <w:tc>
          <w:tcPr>
            <w:tcW w:w="5" w:type="pct"/>
            <w:shd w:val="clear" w:color="auto" w:fill="auto"/>
          </w:tcPr>
          <w:p w14:paraId="00BAE0A7" w14:textId="77777777" w:rsidR="00871BDF" w:rsidRDefault="00871BDF">
            <w:pPr>
              <w:rPr>
                <w:rFonts w:ascii="宋体"/>
              </w:rPr>
            </w:pPr>
          </w:p>
        </w:tc>
        <w:tc>
          <w:tcPr>
            <w:tcW w:w="26" w:type="pct"/>
            <w:shd w:val="clear" w:color="auto" w:fill="auto"/>
          </w:tcPr>
          <w:p w14:paraId="00BAE0A8" w14:textId="77777777" w:rsidR="00871BDF" w:rsidRDefault="00871BDF">
            <w:pPr>
              <w:rPr>
                <w:rFonts w:ascii="宋体"/>
              </w:rPr>
            </w:pPr>
          </w:p>
        </w:tc>
        <w:tc>
          <w:tcPr>
            <w:tcW w:w="5" w:type="pct"/>
            <w:shd w:val="clear" w:color="auto" w:fill="auto"/>
          </w:tcPr>
          <w:p w14:paraId="00BAE0A9" w14:textId="77777777" w:rsidR="00871BDF" w:rsidRDefault="00871BDF">
            <w:pPr>
              <w:rPr>
                <w:rFonts w:ascii="宋体"/>
              </w:rPr>
            </w:pPr>
          </w:p>
        </w:tc>
        <w:tc>
          <w:tcPr>
            <w:tcW w:w="50" w:type="pct"/>
            <w:shd w:val="clear" w:color="auto" w:fill="auto"/>
          </w:tcPr>
          <w:p w14:paraId="00BAE0AA" w14:textId="77777777" w:rsidR="00871BDF" w:rsidRDefault="00871BDF">
            <w:pPr>
              <w:rPr>
                <w:rFonts w:ascii="宋体"/>
              </w:rPr>
            </w:pPr>
          </w:p>
        </w:tc>
        <w:tc>
          <w:tcPr>
            <w:tcW w:w="757" w:type="pct"/>
            <w:shd w:val="clear" w:color="auto" w:fill="auto"/>
          </w:tcPr>
          <w:p w14:paraId="00BAE0AB" w14:textId="77777777" w:rsidR="00871BDF" w:rsidRDefault="00871BDF">
            <w:pPr>
              <w:rPr>
                <w:rFonts w:ascii="宋体"/>
              </w:rPr>
            </w:pPr>
          </w:p>
        </w:tc>
        <w:tc>
          <w:tcPr>
            <w:tcW w:w="5" w:type="pct"/>
            <w:shd w:val="clear" w:color="auto" w:fill="auto"/>
          </w:tcPr>
          <w:p w14:paraId="00BAE0AC" w14:textId="77777777" w:rsidR="00871BDF" w:rsidRDefault="00871BDF">
            <w:pPr>
              <w:rPr>
                <w:rFonts w:ascii="宋体"/>
              </w:rPr>
            </w:pPr>
          </w:p>
        </w:tc>
      </w:tr>
      <w:tr w:rsidR="00871BDF" w14:paraId="00BAE0B6" w14:textId="77777777">
        <w:tc>
          <w:tcPr>
            <w:tcW w:w="0" w:type="auto"/>
            <w:gridSpan w:val="3"/>
            <w:shd w:val="clear" w:color="auto" w:fill="auto"/>
            <w:tcMar>
              <w:top w:w="40" w:type="dxa"/>
              <w:left w:w="20" w:type="dxa"/>
              <w:bottom w:w="40" w:type="dxa"/>
              <w:right w:w="20" w:type="dxa"/>
            </w:tcMar>
            <w:vAlign w:val="bottom"/>
          </w:tcPr>
          <w:p w14:paraId="00BAE0AE"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E0AF"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E0B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0B1"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c>
          <w:tcPr>
            <w:tcW w:w="0" w:type="auto"/>
            <w:gridSpan w:val="3"/>
            <w:shd w:val="clear" w:color="auto" w:fill="auto"/>
            <w:tcMar>
              <w:top w:w="0" w:type="dxa"/>
              <w:left w:w="20" w:type="dxa"/>
              <w:bottom w:w="0" w:type="dxa"/>
              <w:right w:w="20" w:type="dxa"/>
            </w:tcMar>
          </w:tcPr>
          <w:p w14:paraId="00BAE0B2"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0B3"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E0B4"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0B5"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r>
      <w:tr w:rsidR="00871BDF" w14:paraId="00BAE0BD" w14:textId="77777777">
        <w:tc>
          <w:tcPr>
            <w:tcW w:w="0" w:type="auto"/>
            <w:gridSpan w:val="3"/>
            <w:shd w:val="clear" w:color="auto" w:fill="auto"/>
            <w:tcMar>
              <w:top w:w="40" w:type="dxa"/>
              <w:left w:w="20" w:type="dxa"/>
              <w:bottom w:w="40" w:type="dxa"/>
              <w:right w:w="20" w:type="dxa"/>
            </w:tcMar>
            <w:vAlign w:val="bottom"/>
          </w:tcPr>
          <w:p w14:paraId="00BAE0B7"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0BAE0B8"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AE0B9"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AE0BA"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AE0BB" w14:textId="77777777" w:rsidR="00871BDF" w:rsidRDefault="00871BDF">
            <w:pPr>
              <w:rPr>
                <w:rFonts w:ascii="宋体"/>
              </w:rPr>
            </w:pPr>
          </w:p>
        </w:tc>
        <w:tc>
          <w:tcPr>
            <w:tcW w:w="0" w:type="auto"/>
            <w:gridSpan w:val="9"/>
            <w:shd w:val="clear" w:color="auto" w:fill="FFFFFF"/>
            <w:tcMar>
              <w:top w:w="40" w:type="dxa"/>
              <w:left w:w="20" w:type="dxa"/>
              <w:bottom w:w="40" w:type="dxa"/>
              <w:right w:w="20" w:type="dxa"/>
            </w:tcMar>
            <w:vAlign w:val="bottom"/>
          </w:tcPr>
          <w:p w14:paraId="00BAE0BC" w14:textId="77777777" w:rsidR="00871BDF" w:rsidRDefault="005C5088">
            <w:pPr>
              <w:jc w:val="center"/>
              <w:textAlignment w:val="bottom"/>
            </w:pPr>
            <w:r>
              <w:rPr>
                <w:rFonts w:ascii="Times New Roman" w:eastAsia="宋体" w:hAnsi="Times New Roman"/>
                <w:b/>
                <w:bCs/>
                <w:color w:val="000000"/>
                <w:sz w:val="16"/>
                <w:szCs w:val="16"/>
              </w:rPr>
              <w:t>As a % of International</w:t>
            </w:r>
            <w:r>
              <w:rPr>
                <w:rFonts w:ascii="Times New Roman" w:eastAsia="宋体" w:hAnsi="Times New Roman"/>
                <w:b/>
                <w:bCs/>
                <w:color w:val="000000"/>
                <w:sz w:val="16"/>
                <w:szCs w:val="16"/>
              </w:rPr>
              <w:br/>
              <w:t>Total Net Revenues</w:t>
            </w:r>
          </w:p>
        </w:tc>
      </w:tr>
      <w:tr w:rsidR="00871BDF" w14:paraId="00BAE0C6" w14:textId="77777777">
        <w:tc>
          <w:tcPr>
            <w:tcW w:w="0" w:type="auto"/>
            <w:gridSpan w:val="3"/>
            <w:shd w:val="clear" w:color="auto" w:fill="D7E4BC"/>
            <w:tcMar>
              <w:top w:w="40" w:type="dxa"/>
              <w:left w:w="20" w:type="dxa"/>
              <w:bottom w:w="40" w:type="dxa"/>
              <w:right w:w="20" w:type="dxa"/>
            </w:tcMar>
          </w:tcPr>
          <w:p w14:paraId="00BAE0BE" w14:textId="77777777" w:rsidR="00871BDF" w:rsidRDefault="005C5088">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tcPr>
          <w:p w14:paraId="00BAE0B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0C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0C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0C2"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0C3"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0C4"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0C5" w14:textId="77777777" w:rsidR="00871BDF" w:rsidRDefault="00871BDF">
            <w:pPr>
              <w:rPr>
                <w:rFonts w:ascii="宋体"/>
              </w:rPr>
            </w:pPr>
          </w:p>
        </w:tc>
      </w:tr>
      <w:tr w:rsidR="00871BDF" w14:paraId="00BAE0D5" w14:textId="77777777">
        <w:tc>
          <w:tcPr>
            <w:tcW w:w="0" w:type="auto"/>
            <w:gridSpan w:val="3"/>
            <w:shd w:val="clear" w:color="auto" w:fill="FFFFFF"/>
            <w:tcMar>
              <w:top w:w="40" w:type="dxa"/>
              <w:left w:w="155" w:type="dxa"/>
              <w:bottom w:w="40" w:type="dxa"/>
              <w:right w:w="20" w:type="dxa"/>
            </w:tcMar>
          </w:tcPr>
          <w:p w14:paraId="00BAE0C7" w14:textId="77777777" w:rsidR="00871BDF" w:rsidRDefault="005C5088">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00BAE0C8"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0C9" w14:textId="77777777" w:rsidR="00871BDF" w:rsidRDefault="005C5088">
            <w:pPr>
              <w:jc w:val="right"/>
              <w:textAlignment w:val="bottom"/>
            </w:pPr>
            <w:r>
              <w:rPr>
                <w:rFonts w:ascii="Times New Roman" w:eastAsia="宋体" w:hAnsi="Times New Roman"/>
                <w:color w:val="000000"/>
                <w:sz w:val="20"/>
                <w:szCs w:val="20"/>
              </w:rPr>
              <w:t>5,256.2 </w:t>
            </w:r>
          </w:p>
        </w:tc>
        <w:tc>
          <w:tcPr>
            <w:tcW w:w="0" w:type="auto"/>
            <w:shd w:val="clear" w:color="auto" w:fill="FFFFFF"/>
            <w:tcMar>
              <w:top w:w="40" w:type="dxa"/>
              <w:left w:w="0" w:type="dxa"/>
              <w:bottom w:w="40" w:type="dxa"/>
              <w:right w:w="20" w:type="dxa"/>
            </w:tcMar>
            <w:vAlign w:val="bottom"/>
          </w:tcPr>
          <w:p w14:paraId="00BAE0C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CB"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E0CC"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0CD" w14:textId="77777777" w:rsidR="00871BDF" w:rsidRDefault="005C5088">
            <w:pPr>
              <w:jc w:val="right"/>
              <w:textAlignment w:val="bottom"/>
            </w:pPr>
            <w:r>
              <w:rPr>
                <w:rFonts w:ascii="Times New Roman" w:eastAsia="宋体" w:hAnsi="Times New Roman"/>
                <w:color w:val="000000"/>
                <w:sz w:val="20"/>
                <w:szCs w:val="20"/>
              </w:rPr>
              <w:t>4,702.1 </w:t>
            </w:r>
          </w:p>
        </w:tc>
        <w:tc>
          <w:tcPr>
            <w:tcW w:w="0" w:type="auto"/>
            <w:shd w:val="clear" w:color="auto" w:fill="FFFFFF"/>
            <w:tcMar>
              <w:top w:w="40" w:type="dxa"/>
              <w:left w:w="0" w:type="dxa"/>
              <w:bottom w:w="40" w:type="dxa"/>
              <w:right w:w="20" w:type="dxa"/>
            </w:tcMar>
            <w:vAlign w:val="bottom"/>
          </w:tcPr>
          <w:p w14:paraId="00BAE0C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C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0D0" w14:textId="77777777" w:rsidR="00871BDF" w:rsidRDefault="005C5088">
            <w:pPr>
              <w:jc w:val="right"/>
              <w:textAlignment w:val="bottom"/>
            </w:pPr>
            <w:r>
              <w:rPr>
                <w:rFonts w:ascii="Times New Roman" w:eastAsia="宋体" w:hAnsi="Times New Roman"/>
                <w:color w:val="000000"/>
                <w:sz w:val="20"/>
                <w:szCs w:val="20"/>
              </w:rPr>
              <w:t>84.9 </w:t>
            </w:r>
          </w:p>
        </w:tc>
        <w:tc>
          <w:tcPr>
            <w:tcW w:w="0" w:type="auto"/>
            <w:shd w:val="clear" w:color="auto" w:fill="FFFFFF"/>
            <w:tcMar>
              <w:top w:w="40" w:type="dxa"/>
              <w:left w:w="0" w:type="dxa"/>
              <w:bottom w:w="40" w:type="dxa"/>
              <w:right w:w="20" w:type="dxa"/>
            </w:tcMar>
            <w:vAlign w:val="bottom"/>
          </w:tcPr>
          <w:p w14:paraId="00BAE0D1"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AE0D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0D3" w14:textId="77777777" w:rsidR="00871BDF" w:rsidRDefault="005C5088">
            <w:pPr>
              <w:jc w:val="right"/>
              <w:textAlignment w:val="bottom"/>
            </w:pPr>
            <w:r>
              <w:rPr>
                <w:rFonts w:ascii="Times New Roman" w:eastAsia="宋体" w:hAnsi="Times New Roman"/>
                <w:color w:val="000000"/>
                <w:sz w:val="20"/>
                <w:szCs w:val="20"/>
              </w:rPr>
              <w:t>84.7 </w:t>
            </w:r>
          </w:p>
        </w:tc>
        <w:tc>
          <w:tcPr>
            <w:tcW w:w="0" w:type="auto"/>
            <w:shd w:val="clear" w:color="auto" w:fill="FFFFFF"/>
            <w:tcMar>
              <w:top w:w="40" w:type="dxa"/>
              <w:left w:w="0" w:type="dxa"/>
              <w:bottom w:w="40" w:type="dxa"/>
              <w:right w:w="20" w:type="dxa"/>
            </w:tcMar>
            <w:vAlign w:val="bottom"/>
          </w:tcPr>
          <w:p w14:paraId="00BAE0D4"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E0E2" w14:textId="77777777">
        <w:tc>
          <w:tcPr>
            <w:tcW w:w="0" w:type="auto"/>
            <w:gridSpan w:val="3"/>
            <w:shd w:val="clear" w:color="auto" w:fill="D7E4BC"/>
            <w:tcMar>
              <w:top w:w="40" w:type="dxa"/>
              <w:left w:w="155" w:type="dxa"/>
              <w:bottom w:w="40" w:type="dxa"/>
              <w:right w:w="20" w:type="dxa"/>
            </w:tcMar>
          </w:tcPr>
          <w:p w14:paraId="00BAE0D6" w14:textId="77777777" w:rsidR="00871BDF" w:rsidRDefault="005C5088">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00BAE0D7" w14:textId="77777777" w:rsidR="00871BDF" w:rsidRDefault="005C5088">
            <w:pPr>
              <w:jc w:val="right"/>
              <w:textAlignment w:val="bottom"/>
            </w:pPr>
            <w:r>
              <w:rPr>
                <w:rFonts w:ascii="Times New Roman" w:eastAsia="宋体" w:hAnsi="Times New Roman"/>
                <w:color w:val="000000"/>
                <w:sz w:val="20"/>
                <w:szCs w:val="20"/>
              </w:rPr>
              <w:t>917.0 </w:t>
            </w:r>
          </w:p>
        </w:tc>
        <w:tc>
          <w:tcPr>
            <w:tcW w:w="0" w:type="auto"/>
            <w:shd w:val="clear" w:color="auto" w:fill="D7E4BC"/>
            <w:tcMar>
              <w:top w:w="40" w:type="dxa"/>
              <w:left w:w="0" w:type="dxa"/>
              <w:bottom w:w="40" w:type="dxa"/>
              <w:right w:w="20" w:type="dxa"/>
            </w:tcMar>
            <w:vAlign w:val="bottom"/>
          </w:tcPr>
          <w:p w14:paraId="00BAE0D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D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DA" w14:textId="77777777" w:rsidR="00871BDF" w:rsidRDefault="005C5088">
            <w:pPr>
              <w:jc w:val="right"/>
              <w:textAlignment w:val="bottom"/>
            </w:pPr>
            <w:r>
              <w:rPr>
                <w:rFonts w:ascii="Times New Roman" w:eastAsia="宋体" w:hAnsi="Times New Roman"/>
                <w:color w:val="000000"/>
                <w:sz w:val="20"/>
                <w:szCs w:val="20"/>
              </w:rPr>
              <w:t>837.0 </w:t>
            </w:r>
          </w:p>
        </w:tc>
        <w:tc>
          <w:tcPr>
            <w:tcW w:w="0" w:type="auto"/>
            <w:shd w:val="clear" w:color="auto" w:fill="D7E4BC"/>
            <w:tcMar>
              <w:top w:w="40" w:type="dxa"/>
              <w:left w:w="0" w:type="dxa"/>
              <w:bottom w:w="40" w:type="dxa"/>
              <w:right w:w="20" w:type="dxa"/>
            </w:tcMar>
            <w:vAlign w:val="bottom"/>
          </w:tcPr>
          <w:p w14:paraId="00BAE0D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D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DD" w14:textId="77777777" w:rsidR="00871BDF" w:rsidRDefault="005C5088">
            <w:pPr>
              <w:jc w:val="right"/>
              <w:textAlignment w:val="bottom"/>
            </w:pPr>
            <w:r>
              <w:rPr>
                <w:rFonts w:ascii="Times New Roman" w:eastAsia="宋体" w:hAnsi="Times New Roman"/>
                <w:color w:val="000000"/>
                <w:sz w:val="20"/>
                <w:szCs w:val="20"/>
              </w:rPr>
              <w:t>14.8 </w:t>
            </w:r>
          </w:p>
        </w:tc>
        <w:tc>
          <w:tcPr>
            <w:tcW w:w="0" w:type="auto"/>
            <w:shd w:val="clear" w:color="auto" w:fill="D7E4BC"/>
            <w:tcMar>
              <w:top w:w="40" w:type="dxa"/>
              <w:left w:w="0" w:type="dxa"/>
              <w:bottom w:w="40" w:type="dxa"/>
              <w:right w:w="20" w:type="dxa"/>
            </w:tcMar>
            <w:vAlign w:val="bottom"/>
          </w:tcPr>
          <w:p w14:paraId="00BAE0D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D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0E0" w14:textId="77777777" w:rsidR="00871BDF" w:rsidRDefault="005C5088">
            <w:pPr>
              <w:jc w:val="right"/>
              <w:textAlignment w:val="bottom"/>
            </w:pPr>
            <w:r>
              <w:rPr>
                <w:rFonts w:ascii="Times New Roman" w:eastAsia="宋体" w:hAnsi="Times New Roman"/>
                <w:color w:val="000000"/>
                <w:sz w:val="20"/>
                <w:szCs w:val="20"/>
              </w:rPr>
              <w:t>15.1 </w:t>
            </w:r>
          </w:p>
        </w:tc>
        <w:tc>
          <w:tcPr>
            <w:tcW w:w="0" w:type="auto"/>
            <w:shd w:val="clear" w:color="auto" w:fill="D7E4BC"/>
            <w:tcMar>
              <w:top w:w="40" w:type="dxa"/>
              <w:left w:w="0" w:type="dxa"/>
              <w:bottom w:w="40" w:type="dxa"/>
              <w:right w:w="20" w:type="dxa"/>
            </w:tcMar>
            <w:vAlign w:val="bottom"/>
          </w:tcPr>
          <w:p w14:paraId="00BAE0E1" w14:textId="77777777" w:rsidR="00871BDF" w:rsidRDefault="00871BDF">
            <w:pPr>
              <w:jc w:val="right"/>
              <w:rPr>
                <w:rFonts w:ascii="宋体"/>
              </w:rPr>
            </w:pPr>
          </w:p>
        </w:tc>
      </w:tr>
      <w:tr w:rsidR="00871BDF" w14:paraId="00BAE0EF" w14:textId="77777777">
        <w:tc>
          <w:tcPr>
            <w:tcW w:w="0" w:type="auto"/>
            <w:gridSpan w:val="3"/>
            <w:shd w:val="clear" w:color="auto" w:fill="FFFFFF"/>
            <w:tcMar>
              <w:top w:w="40" w:type="dxa"/>
              <w:left w:w="155" w:type="dxa"/>
              <w:bottom w:w="40" w:type="dxa"/>
              <w:right w:w="20" w:type="dxa"/>
            </w:tcMar>
          </w:tcPr>
          <w:p w14:paraId="00BAE0E3" w14:textId="77777777" w:rsidR="00871BDF" w:rsidRDefault="005C5088">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0BAE0E4" w14:textId="77777777" w:rsidR="00871BDF" w:rsidRDefault="005C5088">
            <w:pPr>
              <w:jc w:val="right"/>
              <w:textAlignment w:val="bottom"/>
            </w:pPr>
            <w:r>
              <w:rPr>
                <w:rFonts w:ascii="Times New Roman" w:eastAsia="宋体" w:hAnsi="Times New Roman"/>
                <w:color w:val="000000"/>
                <w:sz w:val="20"/>
                <w:szCs w:val="20"/>
              </w:rPr>
              <w:t>17.5 </w:t>
            </w:r>
          </w:p>
        </w:tc>
        <w:tc>
          <w:tcPr>
            <w:tcW w:w="0" w:type="auto"/>
            <w:shd w:val="clear" w:color="auto" w:fill="FFFFFF"/>
            <w:tcMar>
              <w:top w:w="40" w:type="dxa"/>
              <w:left w:w="0" w:type="dxa"/>
              <w:bottom w:w="40" w:type="dxa"/>
              <w:right w:w="20" w:type="dxa"/>
            </w:tcMar>
            <w:vAlign w:val="bottom"/>
          </w:tcPr>
          <w:p w14:paraId="00BAE0E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E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0E7" w14:textId="77777777" w:rsidR="00871BDF" w:rsidRDefault="005C5088">
            <w:pPr>
              <w:jc w:val="right"/>
              <w:textAlignment w:val="bottom"/>
            </w:pPr>
            <w:r>
              <w:rPr>
                <w:rFonts w:ascii="Times New Roman" w:eastAsia="宋体" w:hAnsi="Times New Roman"/>
                <w:color w:val="000000"/>
                <w:sz w:val="20"/>
                <w:szCs w:val="20"/>
              </w:rPr>
              <w:t>12.1 </w:t>
            </w:r>
          </w:p>
        </w:tc>
        <w:tc>
          <w:tcPr>
            <w:tcW w:w="0" w:type="auto"/>
            <w:shd w:val="clear" w:color="auto" w:fill="FFFFFF"/>
            <w:tcMar>
              <w:top w:w="40" w:type="dxa"/>
              <w:left w:w="0" w:type="dxa"/>
              <w:bottom w:w="40" w:type="dxa"/>
              <w:right w:w="20" w:type="dxa"/>
            </w:tcMar>
            <w:vAlign w:val="bottom"/>
          </w:tcPr>
          <w:p w14:paraId="00BAE0E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E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0EA" w14:textId="77777777" w:rsidR="00871BDF" w:rsidRDefault="005C5088">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00BAE0E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0E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0ED" w14:textId="77777777" w:rsidR="00871BDF" w:rsidRDefault="005C5088">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00BAE0EE" w14:textId="77777777" w:rsidR="00871BDF" w:rsidRDefault="00871BDF">
            <w:pPr>
              <w:jc w:val="right"/>
              <w:rPr>
                <w:rFonts w:ascii="宋体"/>
              </w:rPr>
            </w:pPr>
          </w:p>
        </w:tc>
      </w:tr>
      <w:tr w:rsidR="00871BDF" w14:paraId="00BAE0FC" w14:textId="77777777">
        <w:tc>
          <w:tcPr>
            <w:tcW w:w="0" w:type="auto"/>
            <w:gridSpan w:val="3"/>
            <w:shd w:val="clear" w:color="auto" w:fill="D7E4BC"/>
            <w:tcMar>
              <w:top w:w="40" w:type="dxa"/>
              <w:left w:w="20" w:type="dxa"/>
              <w:bottom w:w="40" w:type="dxa"/>
              <w:right w:w="20" w:type="dxa"/>
            </w:tcMar>
          </w:tcPr>
          <w:p w14:paraId="00BAE0F0" w14:textId="77777777" w:rsidR="00871BDF" w:rsidRDefault="005C5088">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0F1" w14:textId="77777777" w:rsidR="00871BDF" w:rsidRDefault="005C5088">
            <w:pPr>
              <w:jc w:val="right"/>
              <w:textAlignment w:val="bottom"/>
            </w:pPr>
            <w:r>
              <w:rPr>
                <w:rFonts w:ascii="Times New Roman" w:eastAsia="宋体" w:hAnsi="Times New Roman"/>
                <w:b/>
                <w:bCs/>
                <w:color w:val="000000"/>
                <w:sz w:val="20"/>
                <w:szCs w:val="20"/>
              </w:rPr>
              <w:t>6,190.7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0F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F3"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0F4" w14:textId="77777777" w:rsidR="00871BDF" w:rsidRDefault="005C5088">
            <w:pPr>
              <w:jc w:val="right"/>
              <w:textAlignment w:val="bottom"/>
            </w:pPr>
            <w:r>
              <w:rPr>
                <w:rFonts w:ascii="Times New Roman" w:eastAsia="宋体" w:hAnsi="Times New Roman"/>
                <w:b/>
                <w:bCs/>
                <w:color w:val="000000"/>
                <w:sz w:val="20"/>
                <w:szCs w:val="20"/>
              </w:rPr>
              <w:t>5,551.2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0F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F6"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0F7" w14:textId="77777777" w:rsidR="00871BDF" w:rsidRDefault="005C5088">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0F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0F9"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0FA" w14:textId="77777777" w:rsidR="00871BDF" w:rsidRDefault="005C5088">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0FB" w14:textId="77777777" w:rsidR="00871BDF" w:rsidRDefault="00871BDF">
            <w:pPr>
              <w:jc w:val="right"/>
              <w:rPr>
                <w:rFonts w:ascii="宋体"/>
              </w:rPr>
            </w:pPr>
          </w:p>
        </w:tc>
      </w:tr>
      <w:tr w:rsidR="00871BDF" w14:paraId="00BAE109" w14:textId="77777777">
        <w:tc>
          <w:tcPr>
            <w:tcW w:w="0" w:type="auto"/>
            <w:gridSpan w:val="3"/>
            <w:shd w:val="clear" w:color="auto" w:fill="FFFFFF"/>
            <w:tcMar>
              <w:top w:w="40" w:type="dxa"/>
              <w:left w:w="20" w:type="dxa"/>
              <w:bottom w:w="40" w:type="dxa"/>
              <w:right w:w="20" w:type="dxa"/>
            </w:tcMar>
          </w:tcPr>
          <w:p w14:paraId="00BAE0FD" w14:textId="77777777" w:rsidR="00871BDF" w:rsidRDefault="005C5088">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00BAE0FE" w14:textId="77777777" w:rsidR="00871BDF" w:rsidRDefault="005C5088">
            <w:pPr>
              <w:jc w:val="right"/>
              <w:textAlignment w:val="bottom"/>
            </w:pPr>
            <w:r>
              <w:rPr>
                <w:rFonts w:ascii="Times New Roman" w:eastAsia="宋体" w:hAnsi="Times New Roman"/>
                <w:color w:val="000000"/>
                <w:sz w:val="20"/>
                <w:szCs w:val="20"/>
              </w:rPr>
              <w:t>1,894.9 </w:t>
            </w:r>
          </w:p>
        </w:tc>
        <w:tc>
          <w:tcPr>
            <w:tcW w:w="0" w:type="auto"/>
            <w:shd w:val="clear" w:color="auto" w:fill="FFFFFF"/>
            <w:tcMar>
              <w:top w:w="40" w:type="dxa"/>
              <w:left w:w="0" w:type="dxa"/>
              <w:bottom w:w="40" w:type="dxa"/>
              <w:right w:w="20" w:type="dxa"/>
            </w:tcMar>
            <w:vAlign w:val="bottom"/>
          </w:tcPr>
          <w:p w14:paraId="00BAE0F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0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01" w14:textId="77777777" w:rsidR="00871BDF" w:rsidRDefault="005C5088">
            <w:pPr>
              <w:jc w:val="right"/>
              <w:textAlignment w:val="bottom"/>
            </w:pPr>
            <w:r>
              <w:rPr>
                <w:rFonts w:ascii="Times New Roman" w:eastAsia="宋体" w:hAnsi="Times New Roman"/>
                <w:color w:val="000000"/>
                <w:sz w:val="20"/>
                <w:szCs w:val="20"/>
              </w:rPr>
              <w:t>1,709.4 </w:t>
            </w:r>
          </w:p>
        </w:tc>
        <w:tc>
          <w:tcPr>
            <w:tcW w:w="0" w:type="auto"/>
            <w:shd w:val="clear" w:color="auto" w:fill="FFFFFF"/>
            <w:tcMar>
              <w:top w:w="40" w:type="dxa"/>
              <w:left w:w="0" w:type="dxa"/>
              <w:bottom w:w="40" w:type="dxa"/>
              <w:right w:w="20" w:type="dxa"/>
            </w:tcMar>
            <w:vAlign w:val="bottom"/>
          </w:tcPr>
          <w:p w14:paraId="00BAE10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0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04" w14:textId="77777777" w:rsidR="00871BDF" w:rsidRDefault="005C5088">
            <w:pPr>
              <w:jc w:val="right"/>
              <w:textAlignment w:val="bottom"/>
            </w:pPr>
            <w:r>
              <w:rPr>
                <w:rFonts w:ascii="Times New Roman" w:eastAsia="宋体" w:hAnsi="Times New Roman"/>
                <w:color w:val="000000"/>
                <w:sz w:val="20"/>
                <w:szCs w:val="20"/>
              </w:rPr>
              <w:t>30.6 </w:t>
            </w:r>
          </w:p>
        </w:tc>
        <w:tc>
          <w:tcPr>
            <w:tcW w:w="0" w:type="auto"/>
            <w:shd w:val="clear" w:color="auto" w:fill="FFFFFF"/>
            <w:tcMar>
              <w:top w:w="40" w:type="dxa"/>
              <w:left w:w="0" w:type="dxa"/>
              <w:bottom w:w="40" w:type="dxa"/>
              <w:right w:w="20" w:type="dxa"/>
            </w:tcMar>
            <w:vAlign w:val="bottom"/>
          </w:tcPr>
          <w:p w14:paraId="00BAE10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0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07" w14:textId="77777777" w:rsidR="00871BDF" w:rsidRDefault="005C5088">
            <w:pPr>
              <w:jc w:val="right"/>
              <w:textAlignment w:val="bottom"/>
            </w:pPr>
            <w:r>
              <w:rPr>
                <w:rFonts w:ascii="Times New Roman" w:eastAsia="宋体" w:hAnsi="Times New Roman"/>
                <w:color w:val="000000"/>
                <w:sz w:val="20"/>
                <w:szCs w:val="20"/>
              </w:rPr>
              <w:t>30.8 </w:t>
            </w:r>
          </w:p>
        </w:tc>
        <w:tc>
          <w:tcPr>
            <w:tcW w:w="0" w:type="auto"/>
            <w:shd w:val="clear" w:color="auto" w:fill="FFFFFF"/>
            <w:tcMar>
              <w:top w:w="40" w:type="dxa"/>
              <w:left w:w="0" w:type="dxa"/>
              <w:bottom w:w="40" w:type="dxa"/>
              <w:right w:w="20" w:type="dxa"/>
            </w:tcMar>
            <w:vAlign w:val="bottom"/>
          </w:tcPr>
          <w:p w14:paraId="00BAE108" w14:textId="77777777" w:rsidR="00871BDF" w:rsidRDefault="00871BDF">
            <w:pPr>
              <w:jc w:val="right"/>
              <w:rPr>
                <w:rFonts w:ascii="宋体"/>
              </w:rPr>
            </w:pPr>
          </w:p>
        </w:tc>
      </w:tr>
      <w:tr w:rsidR="00871BDF" w14:paraId="00BAE116" w14:textId="77777777">
        <w:tc>
          <w:tcPr>
            <w:tcW w:w="0" w:type="auto"/>
            <w:gridSpan w:val="3"/>
            <w:shd w:val="clear" w:color="auto" w:fill="D7E4BC"/>
            <w:tcMar>
              <w:top w:w="40" w:type="dxa"/>
              <w:left w:w="20" w:type="dxa"/>
              <w:bottom w:w="40" w:type="dxa"/>
              <w:right w:w="20" w:type="dxa"/>
            </w:tcMar>
          </w:tcPr>
          <w:p w14:paraId="00BAE10A" w14:textId="77777777" w:rsidR="00871BDF" w:rsidRDefault="005C5088">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00BAE10B" w14:textId="77777777" w:rsidR="00871BDF" w:rsidRDefault="005C5088">
            <w:pPr>
              <w:jc w:val="right"/>
              <w:textAlignment w:val="bottom"/>
            </w:pPr>
            <w:r>
              <w:rPr>
                <w:rFonts w:ascii="Times New Roman" w:eastAsia="宋体" w:hAnsi="Times New Roman"/>
                <w:color w:val="000000"/>
                <w:sz w:val="20"/>
                <w:szCs w:val="20"/>
              </w:rPr>
              <w:t>2,428.5 </w:t>
            </w:r>
          </w:p>
        </w:tc>
        <w:tc>
          <w:tcPr>
            <w:tcW w:w="0" w:type="auto"/>
            <w:shd w:val="clear" w:color="auto" w:fill="D7E4BC"/>
            <w:tcMar>
              <w:top w:w="40" w:type="dxa"/>
              <w:left w:w="0" w:type="dxa"/>
              <w:bottom w:w="40" w:type="dxa"/>
              <w:right w:w="20" w:type="dxa"/>
            </w:tcMar>
            <w:vAlign w:val="bottom"/>
          </w:tcPr>
          <w:p w14:paraId="00BAE10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0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0E" w14:textId="77777777" w:rsidR="00871BDF" w:rsidRDefault="005C5088">
            <w:pPr>
              <w:jc w:val="right"/>
              <w:textAlignment w:val="bottom"/>
            </w:pPr>
            <w:r>
              <w:rPr>
                <w:rFonts w:ascii="Times New Roman" w:eastAsia="宋体" w:hAnsi="Times New Roman"/>
                <w:color w:val="000000"/>
                <w:sz w:val="20"/>
                <w:szCs w:val="20"/>
              </w:rPr>
              <w:t>2,182.3 </w:t>
            </w:r>
          </w:p>
        </w:tc>
        <w:tc>
          <w:tcPr>
            <w:tcW w:w="0" w:type="auto"/>
            <w:shd w:val="clear" w:color="auto" w:fill="D7E4BC"/>
            <w:tcMar>
              <w:top w:w="40" w:type="dxa"/>
              <w:left w:w="0" w:type="dxa"/>
              <w:bottom w:w="40" w:type="dxa"/>
              <w:right w:w="20" w:type="dxa"/>
            </w:tcMar>
            <w:vAlign w:val="bottom"/>
          </w:tcPr>
          <w:p w14:paraId="00BAE10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1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11" w14:textId="77777777" w:rsidR="00871BDF" w:rsidRDefault="005C5088">
            <w:pPr>
              <w:jc w:val="right"/>
              <w:textAlignment w:val="bottom"/>
            </w:pPr>
            <w:r>
              <w:rPr>
                <w:rFonts w:ascii="Times New Roman" w:eastAsia="宋体" w:hAnsi="Times New Roman"/>
                <w:color w:val="000000"/>
                <w:sz w:val="20"/>
                <w:szCs w:val="20"/>
              </w:rPr>
              <w:t>39.2 </w:t>
            </w:r>
          </w:p>
        </w:tc>
        <w:tc>
          <w:tcPr>
            <w:tcW w:w="0" w:type="auto"/>
            <w:shd w:val="clear" w:color="auto" w:fill="D7E4BC"/>
            <w:tcMar>
              <w:top w:w="40" w:type="dxa"/>
              <w:left w:w="0" w:type="dxa"/>
              <w:bottom w:w="40" w:type="dxa"/>
              <w:right w:w="20" w:type="dxa"/>
            </w:tcMar>
            <w:vAlign w:val="bottom"/>
          </w:tcPr>
          <w:p w14:paraId="00BAE11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1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14" w14:textId="77777777" w:rsidR="00871BDF" w:rsidRDefault="005C5088">
            <w:pPr>
              <w:jc w:val="right"/>
              <w:textAlignment w:val="bottom"/>
            </w:pPr>
            <w:r>
              <w:rPr>
                <w:rFonts w:ascii="Times New Roman" w:eastAsia="宋体" w:hAnsi="Times New Roman"/>
                <w:color w:val="000000"/>
                <w:sz w:val="20"/>
                <w:szCs w:val="20"/>
              </w:rPr>
              <w:t>39.3 </w:t>
            </w:r>
          </w:p>
        </w:tc>
        <w:tc>
          <w:tcPr>
            <w:tcW w:w="0" w:type="auto"/>
            <w:shd w:val="clear" w:color="auto" w:fill="D7E4BC"/>
            <w:tcMar>
              <w:top w:w="40" w:type="dxa"/>
              <w:left w:w="0" w:type="dxa"/>
              <w:bottom w:w="40" w:type="dxa"/>
              <w:right w:w="20" w:type="dxa"/>
            </w:tcMar>
            <w:vAlign w:val="bottom"/>
          </w:tcPr>
          <w:p w14:paraId="00BAE115" w14:textId="77777777" w:rsidR="00871BDF" w:rsidRDefault="00871BDF">
            <w:pPr>
              <w:jc w:val="right"/>
              <w:rPr>
                <w:rFonts w:ascii="宋体"/>
              </w:rPr>
            </w:pPr>
          </w:p>
        </w:tc>
      </w:tr>
      <w:tr w:rsidR="00871BDF" w14:paraId="00BAE123" w14:textId="77777777">
        <w:tc>
          <w:tcPr>
            <w:tcW w:w="0" w:type="auto"/>
            <w:gridSpan w:val="3"/>
            <w:shd w:val="clear" w:color="auto" w:fill="FFFFFF"/>
            <w:tcMar>
              <w:top w:w="40" w:type="dxa"/>
              <w:left w:w="20" w:type="dxa"/>
              <w:bottom w:w="40" w:type="dxa"/>
              <w:right w:w="20" w:type="dxa"/>
            </w:tcMar>
          </w:tcPr>
          <w:p w14:paraId="00BAE117" w14:textId="77777777" w:rsidR="00871BDF" w:rsidRDefault="005C5088">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00BAE118" w14:textId="77777777" w:rsidR="00871BDF" w:rsidRDefault="005C5088">
            <w:pPr>
              <w:jc w:val="right"/>
              <w:textAlignment w:val="bottom"/>
            </w:pPr>
            <w:r>
              <w:rPr>
                <w:rFonts w:ascii="Times New Roman" w:eastAsia="宋体" w:hAnsi="Times New Roman"/>
                <w:color w:val="000000"/>
                <w:sz w:val="20"/>
                <w:szCs w:val="20"/>
              </w:rPr>
              <w:t>116.4 </w:t>
            </w:r>
          </w:p>
        </w:tc>
        <w:tc>
          <w:tcPr>
            <w:tcW w:w="0" w:type="auto"/>
            <w:shd w:val="clear" w:color="auto" w:fill="FFFFFF"/>
            <w:tcMar>
              <w:top w:w="40" w:type="dxa"/>
              <w:left w:w="0" w:type="dxa"/>
              <w:bottom w:w="40" w:type="dxa"/>
              <w:right w:w="20" w:type="dxa"/>
            </w:tcMar>
            <w:vAlign w:val="bottom"/>
          </w:tcPr>
          <w:p w14:paraId="00BAE11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1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1B" w14:textId="77777777" w:rsidR="00871BDF" w:rsidRDefault="005C5088">
            <w:pPr>
              <w:jc w:val="right"/>
              <w:textAlignment w:val="bottom"/>
            </w:pPr>
            <w:r>
              <w:rPr>
                <w:rFonts w:ascii="Times New Roman" w:eastAsia="宋体" w:hAnsi="Times New Roman"/>
                <w:color w:val="000000"/>
                <w:sz w:val="20"/>
                <w:szCs w:val="20"/>
              </w:rPr>
              <w:t>98.9 </w:t>
            </w:r>
          </w:p>
        </w:tc>
        <w:tc>
          <w:tcPr>
            <w:tcW w:w="0" w:type="auto"/>
            <w:shd w:val="clear" w:color="auto" w:fill="FFFFFF"/>
            <w:tcMar>
              <w:top w:w="40" w:type="dxa"/>
              <w:left w:w="0" w:type="dxa"/>
              <w:bottom w:w="40" w:type="dxa"/>
              <w:right w:w="20" w:type="dxa"/>
            </w:tcMar>
            <w:vAlign w:val="bottom"/>
          </w:tcPr>
          <w:p w14:paraId="00BAE11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1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1E" w14:textId="77777777" w:rsidR="00871BDF" w:rsidRDefault="005C5088">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00BAE11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2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21" w14:textId="77777777" w:rsidR="00871BDF" w:rsidRDefault="005C5088">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00BAE122" w14:textId="77777777" w:rsidR="00871BDF" w:rsidRDefault="00871BDF">
            <w:pPr>
              <w:jc w:val="right"/>
              <w:rPr>
                <w:rFonts w:ascii="宋体"/>
              </w:rPr>
            </w:pPr>
          </w:p>
        </w:tc>
      </w:tr>
      <w:tr w:rsidR="00871BDF" w14:paraId="00BAE130" w14:textId="77777777">
        <w:tc>
          <w:tcPr>
            <w:tcW w:w="0" w:type="auto"/>
            <w:gridSpan w:val="3"/>
            <w:shd w:val="clear" w:color="auto" w:fill="D7E4BC"/>
            <w:tcMar>
              <w:top w:w="40" w:type="dxa"/>
              <w:left w:w="20" w:type="dxa"/>
              <w:bottom w:w="40" w:type="dxa"/>
              <w:right w:w="20" w:type="dxa"/>
            </w:tcMar>
          </w:tcPr>
          <w:p w14:paraId="00BAE124"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0BAE125" w14:textId="77777777" w:rsidR="00871BDF" w:rsidRDefault="005C5088">
            <w:pPr>
              <w:jc w:val="right"/>
              <w:textAlignment w:val="bottom"/>
            </w:pPr>
            <w:r>
              <w:rPr>
                <w:rFonts w:ascii="Times New Roman" w:eastAsia="宋体" w:hAnsi="Times New Roman"/>
                <w:color w:val="000000"/>
                <w:sz w:val="20"/>
                <w:szCs w:val="20"/>
              </w:rPr>
              <w:t>511.5 </w:t>
            </w:r>
          </w:p>
        </w:tc>
        <w:tc>
          <w:tcPr>
            <w:tcW w:w="0" w:type="auto"/>
            <w:shd w:val="clear" w:color="auto" w:fill="D7E4BC"/>
            <w:tcMar>
              <w:top w:w="40" w:type="dxa"/>
              <w:left w:w="0" w:type="dxa"/>
              <w:bottom w:w="40" w:type="dxa"/>
              <w:right w:w="20" w:type="dxa"/>
            </w:tcMar>
            <w:vAlign w:val="bottom"/>
          </w:tcPr>
          <w:p w14:paraId="00BAE12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2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28" w14:textId="77777777" w:rsidR="00871BDF" w:rsidRDefault="005C5088">
            <w:pPr>
              <w:jc w:val="right"/>
              <w:textAlignment w:val="bottom"/>
            </w:pPr>
            <w:r>
              <w:rPr>
                <w:rFonts w:ascii="Times New Roman" w:eastAsia="宋体" w:hAnsi="Times New Roman"/>
                <w:color w:val="000000"/>
                <w:sz w:val="20"/>
                <w:szCs w:val="20"/>
              </w:rPr>
              <w:t>447.6 </w:t>
            </w:r>
          </w:p>
        </w:tc>
        <w:tc>
          <w:tcPr>
            <w:tcW w:w="0" w:type="auto"/>
            <w:shd w:val="clear" w:color="auto" w:fill="D7E4BC"/>
            <w:tcMar>
              <w:top w:w="40" w:type="dxa"/>
              <w:left w:w="0" w:type="dxa"/>
              <w:bottom w:w="40" w:type="dxa"/>
              <w:right w:w="20" w:type="dxa"/>
            </w:tcMar>
            <w:vAlign w:val="bottom"/>
          </w:tcPr>
          <w:p w14:paraId="00BAE12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2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2B" w14:textId="77777777" w:rsidR="00871BDF" w:rsidRDefault="005C5088">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00BAE12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2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2E" w14:textId="77777777" w:rsidR="00871BDF" w:rsidRDefault="005C5088">
            <w:pPr>
              <w:jc w:val="right"/>
              <w:textAlignment w:val="bottom"/>
            </w:pPr>
            <w:r>
              <w:rPr>
                <w:rFonts w:ascii="Times New Roman" w:eastAsia="宋体" w:hAnsi="Times New Roman"/>
                <w:color w:val="000000"/>
                <w:sz w:val="20"/>
                <w:szCs w:val="20"/>
              </w:rPr>
              <w:t>8.1 </w:t>
            </w:r>
          </w:p>
        </w:tc>
        <w:tc>
          <w:tcPr>
            <w:tcW w:w="0" w:type="auto"/>
            <w:shd w:val="clear" w:color="auto" w:fill="D7E4BC"/>
            <w:tcMar>
              <w:top w:w="40" w:type="dxa"/>
              <w:left w:w="0" w:type="dxa"/>
              <w:bottom w:w="40" w:type="dxa"/>
              <w:right w:w="20" w:type="dxa"/>
            </w:tcMar>
            <w:vAlign w:val="bottom"/>
          </w:tcPr>
          <w:p w14:paraId="00BAE12F" w14:textId="77777777" w:rsidR="00871BDF" w:rsidRDefault="00871BDF">
            <w:pPr>
              <w:jc w:val="right"/>
              <w:rPr>
                <w:rFonts w:ascii="宋体"/>
              </w:rPr>
            </w:pPr>
          </w:p>
        </w:tc>
      </w:tr>
      <w:tr w:rsidR="00871BDF" w14:paraId="00BAE13D" w14:textId="77777777">
        <w:tc>
          <w:tcPr>
            <w:tcW w:w="0" w:type="auto"/>
            <w:gridSpan w:val="3"/>
            <w:shd w:val="clear" w:color="auto" w:fill="FFFFFF"/>
            <w:tcMar>
              <w:top w:w="40" w:type="dxa"/>
              <w:left w:w="20" w:type="dxa"/>
              <w:bottom w:w="40" w:type="dxa"/>
              <w:right w:w="20" w:type="dxa"/>
            </w:tcMar>
          </w:tcPr>
          <w:p w14:paraId="00BAE131" w14:textId="77777777" w:rsidR="00871BDF" w:rsidRDefault="005C5088">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00BAE132" w14:textId="77777777" w:rsidR="00871BDF" w:rsidRDefault="005C5088">
            <w:pPr>
              <w:jc w:val="right"/>
              <w:textAlignment w:val="bottom"/>
            </w:pPr>
            <w:r>
              <w:rPr>
                <w:rFonts w:ascii="Times New Roman" w:eastAsia="宋体" w:hAnsi="Times New Roman"/>
                <w:color w:val="000000"/>
                <w:sz w:val="20"/>
                <w:szCs w:val="20"/>
              </w:rPr>
              <w:t>317.9 </w:t>
            </w:r>
          </w:p>
        </w:tc>
        <w:tc>
          <w:tcPr>
            <w:tcW w:w="0" w:type="auto"/>
            <w:shd w:val="clear" w:color="auto" w:fill="FFFFFF"/>
            <w:tcMar>
              <w:top w:w="40" w:type="dxa"/>
              <w:left w:w="0" w:type="dxa"/>
              <w:bottom w:w="40" w:type="dxa"/>
              <w:right w:w="20" w:type="dxa"/>
            </w:tcMar>
            <w:vAlign w:val="bottom"/>
          </w:tcPr>
          <w:p w14:paraId="00BAE13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3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35" w14:textId="77777777" w:rsidR="00871BDF" w:rsidRDefault="005C5088">
            <w:pPr>
              <w:jc w:val="right"/>
              <w:textAlignment w:val="bottom"/>
            </w:pPr>
            <w:r>
              <w:rPr>
                <w:rFonts w:ascii="Times New Roman" w:eastAsia="宋体" w:hAnsi="Times New Roman"/>
                <w:color w:val="000000"/>
                <w:sz w:val="20"/>
                <w:szCs w:val="20"/>
              </w:rPr>
              <w:t>302.5 </w:t>
            </w:r>
          </w:p>
        </w:tc>
        <w:tc>
          <w:tcPr>
            <w:tcW w:w="0" w:type="auto"/>
            <w:shd w:val="clear" w:color="auto" w:fill="FFFFFF"/>
            <w:tcMar>
              <w:top w:w="40" w:type="dxa"/>
              <w:left w:w="0" w:type="dxa"/>
              <w:bottom w:w="40" w:type="dxa"/>
              <w:right w:w="20" w:type="dxa"/>
            </w:tcMar>
            <w:vAlign w:val="bottom"/>
          </w:tcPr>
          <w:p w14:paraId="00BAE13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3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38" w14:textId="77777777" w:rsidR="00871BDF" w:rsidRDefault="005C5088">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bottom"/>
          </w:tcPr>
          <w:p w14:paraId="00BAE13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3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3B" w14:textId="77777777" w:rsidR="00871BDF" w:rsidRDefault="005C5088">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00BAE13C" w14:textId="77777777" w:rsidR="00871BDF" w:rsidRDefault="00871BDF">
            <w:pPr>
              <w:jc w:val="right"/>
              <w:rPr>
                <w:rFonts w:ascii="宋体"/>
              </w:rPr>
            </w:pPr>
          </w:p>
        </w:tc>
      </w:tr>
      <w:tr w:rsidR="00871BDF" w14:paraId="00BAE14A" w14:textId="77777777">
        <w:tc>
          <w:tcPr>
            <w:tcW w:w="0" w:type="auto"/>
            <w:gridSpan w:val="3"/>
            <w:shd w:val="clear" w:color="auto" w:fill="D7E4BC"/>
            <w:tcMar>
              <w:top w:w="40" w:type="dxa"/>
              <w:left w:w="20" w:type="dxa"/>
              <w:bottom w:w="40" w:type="dxa"/>
              <w:right w:w="20" w:type="dxa"/>
            </w:tcMar>
          </w:tcPr>
          <w:p w14:paraId="00BAE13E" w14:textId="77777777" w:rsidR="00871BDF" w:rsidRDefault="005C5088">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00BAE13F" w14:textId="77777777" w:rsidR="00871BDF" w:rsidRDefault="005C5088">
            <w:pPr>
              <w:jc w:val="right"/>
              <w:textAlignment w:val="bottom"/>
            </w:pPr>
            <w:r>
              <w:rPr>
                <w:rFonts w:ascii="Times New Roman" w:eastAsia="宋体" w:hAnsi="Times New Roman"/>
                <w:color w:val="000000"/>
                <w:sz w:val="20"/>
                <w:szCs w:val="20"/>
              </w:rPr>
              <w:t>59.2 </w:t>
            </w:r>
          </w:p>
        </w:tc>
        <w:tc>
          <w:tcPr>
            <w:tcW w:w="0" w:type="auto"/>
            <w:shd w:val="clear" w:color="auto" w:fill="D7E4BC"/>
            <w:tcMar>
              <w:top w:w="40" w:type="dxa"/>
              <w:left w:w="0" w:type="dxa"/>
              <w:bottom w:w="40" w:type="dxa"/>
              <w:right w:w="20" w:type="dxa"/>
            </w:tcMar>
            <w:vAlign w:val="bottom"/>
          </w:tcPr>
          <w:p w14:paraId="00BAE14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4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42" w14:textId="77777777" w:rsidR="00871BDF" w:rsidRDefault="005C5088">
            <w:pPr>
              <w:jc w:val="right"/>
              <w:textAlignment w:val="bottom"/>
            </w:pPr>
            <w:r>
              <w:rPr>
                <w:rFonts w:ascii="Times New Roman" w:eastAsia="宋体" w:hAnsi="Times New Roman"/>
                <w:color w:val="000000"/>
                <w:sz w:val="20"/>
                <w:szCs w:val="20"/>
              </w:rPr>
              <w:t>55.1 </w:t>
            </w:r>
          </w:p>
        </w:tc>
        <w:tc>
          <w:tcPr>
            <w:tcW w:w="0" w:type="auto"/>
            <w:shd w:val="clear" w:color="auto" w:fill="D7E4BC"/>
            <w:tcMar>
              <w:top w:w="40" w:type="dxa"/>
              <w:left w:w="0" w:type="dxa"/>
              <w:bottom w:w="40" w:type="dxa"/>
              <w:right w:w="20" w:type="dxa"/>
            </w:tcMar>
            <w:vAlign w:val="bottom"/>
          </w:tcPr>
          <w:p w14:paraId="00BAE14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4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45" w14:textId="77777777" w:rsidR="00871BDF" w:rsidRDefault="005C5088">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00BAE14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4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48" w14:textId="77777777" w:rsidR="00871BDF" w:rsidRDefault="005C5088">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00BAE149" w14:textId="77777777" w:rsidR="00871BDF" w:rsidRDefault="00871BDF">
            <w:pPr>
              <w:jc w:val="right"/>
              <w:rPr>
                <w:rFonts w:ascii="宋体"/>
              </w:rPr>
            </w:pPr>
          </w:p>
        </w:tc>
      </w:tr>
      <w:tr w:rsidR="00871BDF" w14:paraId="00BAE157" w14:textId="77777777">
        <w:tc>
          <w:tcPr>
            <w:tcW w:w="0" w:type="auto"/>
            <w:gridSpan w:val="3"/>
            <w:shd w:val="clear" w:color="auto" w:fill="FFFFFF"/>
            <w:tcMar>
              <w:top w:w="40" w:type="dxa"/>
              <w:left w:w="20" w:type="dxa"/>
              <w:bottom w:w="40" w:type="dxa"/>
              <w:right w:w="20" w:type="dxa"/>
            </w:tcMar>
          </w:tcPr>
          <w:p w14:paraId="00BAE14B" w14:textId="77777777" w:rsidR="00871BDF" w:rsidRDefault="005C5088">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14C" w14:textId="77777777" w:rsidR="00871BDF" w:rsidRDefault="005C5088">
            <w:pPr>
              <w:jc w:val="right"/>
              <w:textAlignment w:val="bottom"/>
            </w:pPr>
            <w:r>
              <w:rPr>
                <w:rFonts w:ascii="Times New Roman" w:eastAsia="宋体" w:hAnsi="Times New Roman"/>
                <w:color w:val="000000"/>
                <w:sz w:val="20"/>
                <w:szCs w:val="20"/>
              </w:rPr>
              <w:t>5,328.4 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14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4E"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14F" w14:textId="77777777" w:rsidR="00871BDF" w:rsidRDefault="005C5088">
            <w:pPr>
              <w:jc w:val="right"/>
              <w:textAlignment w:val="bottom"/>
            </w:pPr>
            <w:r>
              <w:rPr>
                <w:rFonts w:ascii="Times New Roman" w:eastAsia="宋体" w:hAnsi="Times New Roman"/>
                <w:color w:val="000000"/>
                <w:sz w:val="20"/>
                <w:szCs w:val="20"/>
              </w:rPr>
              <w:t>4,795.8 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15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51"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152" w14:textId="77777777" w:rsidR="00871BDF" w:rsidRDefault="005C5088">
            <w:pPr>
              <w:jc w:val="right"/>
              <w:textAlignment w:val="bottom"/>
            </w:pPr>
            <w:r>
              <w:rPr>
                <w:rFonts w:ascii="Times New Roman" w:eastAsia="宋体" w:hAnsi="Times New Roman"/>
                <w:color w:val="000000"/>
                <w:sz w:val="20"/>
                <w:szCs w:val="20"/>
              </w:rPr>
              <w:t>86.1 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15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54"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155" w14:textId="77777777" w:rsidR="00871BDF" w:rsidRDefault="005C5088">
            <w:pPr>
              <w:jc w:val="right"/>
              <w:textAlignment w:val="bottom"/>
            </w:pPr>
            <w:r>
              <w:rPr>
                <w:rFonts w:ascii="Times New Roman" w:eastAsia="宋体" w:hAnsi="Times New Roman"/>
                <w:color w:val="000000"/>
                <w:sz w:val="20"/>
                <w:szCs w:val="20"/>
              </w:rPr>
              <w:t>86.4 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156" w14:textId="77777777" w:rsidR="00871BDF" w:rsidRDefault="00871BDF">
            <w:pPr>
              <w:jc w:val="right"/>
              <w:rPr>
                <w:rFonts w:ascii="宋体"/>
              </w:rPr>
            </w:pPr>
          </w:p>
        </w:tc>
      </w:tr>
      <w:tr w:rsidR="00871BDF" w14:paraId="00BAE164" w14:textId="77777777">
        <w:tc>
          <w:tcPr>
            <w:tcW w:w="0" w:type="auto"/>
            <w:gridSpan w:val="3"/>
            <w:shd w:val="clear" w:color="auto" w:fill="D7E4BC"/>
            <w:tcMar>
              <w:top w:w="40" w:type="dxa"/>
              <w:left w:w="20" w:type="dxa"/>
              <w:bottom w:w="40" w:type="dxa"/>
              <w:right w:w="20" w:type="dxa"/>
            </w:tcMar>
          </w:tcPr>
          <w:p w14:paraId="00BAE158" w14:textId="77777777" w:rsidR="00871BDF" w:rsidRDefault="005C5088">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00BAE159" w14:textId="77777777" w:rsidR="00871BDF" w:rsidRDefault="005C5088">
            <w:pPr>
              <w:jc w:val="right"/>
              <w:textAlignment w:val="bottom"/>
            </w:pPr>
            <w:r>
              <w:rPr>
                <w:rFonts w:ascii="Times New Roman" w:eastAsia="宋体" w:hAnsi="Times New Roman"/>
                <w:color w:val="000000"/>
                <w:sz w:val="20"/>
                <w:szCs w:val="20"/>
              </w:rPr>
              <w:t>102.4 </w:t>
            </w:r>
          </w:p>
        </w:tc>
        <w:tc>
          <w:tcPr>
            <w:tcW w:w="0" w:type="auto"/>
            <w:shd w:val="clear" w:color="auto" w:fill="D7E4BC"/>
            <w:tcMar>
              <w:top w:w="40" w:type="dxa"/>
              <w:left w:w="0" w:type="dxa"/>
              <w:bottom w:w="40" w:type="dxa"/>
              <w:right w:w="20" w:type="dxa"/>
            </w:tcMar>
            <w:vAlign w:val="bottom"/>
          </w:tcPr>
          <w:p w14:paraId="00BAE15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5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5C" w14:textId="77777777" w:rsidR="00871BDF" w:rsidRDefault="005C5088">
            <w:pPr>
              <w:jc w:val="right"/>
              <w:textAlignment w:val="bottom"/>
            </w:pPr>
            <w:r>
              <w:rPr>
                <w:rFonts w:ascii="Times New Roman" w:eastAsia="宋体" w:hAnsi="Times New Roman"/>
                <w:color w:val="000000"/>
                <w:sz w:val="20"/>
                <w:szCs w:val="20"/>
              </w:rPr>
              <w:t>117.4 </w:t>
            </w:r>
          </w:p>
        </w:tc>
        <w:tc>
          <w:tcPr>
            <w:tcW w:w="0" w:type="auto"/>
            <w:shd w:val="clear" w:color="auto" w:fill="D7E4BC"/>
            <w:tcMar>
              <w:top w:w="40" w:type="dxa"/>
              <w:left w:w="0" w:type="dxa"/>
              <w:bottom w:w="40" w:type="dxa"/>
              <w:right w:w="20" w:type="dxa"/>
            </w:tcMar>
            <w:vAlign w:val="bottom"/>
          </w:tcPr>
          <w:p w14:paraId="00BAE15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5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5F" w14:textId="77777777" w:rsidR="00871BDF" w:rsidRDefault="005C5088">
            <w:pPr>
              <w:jc w:val="right"/>
              <w:textAlignment w:val="bottom"/>
            </w:pPr>
            <w:r>
              <w:rPr>
                <w:rFonts w:ascii="Times New Roman" w:eastAsia="宋体" w:hAnsi="Times New Roman"/>
                <w:color w:val="000000"/>
                <w:sz w:val="20"/>
                <w:szCs w:val="20"/>
              </w:rPr>
              <w:t>1.7 </w:t>
            </w:r>
          </w:p>
        </w:tc>
        <w:tc>
          <w:tcPr>
            <w:tcW w:w="0" w:type="auto"/>
            <w:shd w:val="clear" w:color="auto" w:fill="D7E4BC"/>
            <w:tcMar>
              <w:top w:w="40" w:type="dxa"/>
              <w:left w:w="0" w:type="dxa"/>
              <w:bottom w:w="40" w:type="dxa"/>
              <w:right w:w="20" w:type="dxa"/>
            </w:tcMar>
            <w:vAlign w:val="bottom"/>
          </w:tcPr>
          <w:p w14:paraId="00BAE16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6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62" w14:textId="77777777" w:rsidR="00871BDF" w:rsidRDefault="005C5088">
            <w:pPr>
              <w:jc w:val="right"/>
              <w:textAlignment w:val="bottom"/>
            </w:pPr>
            <w:r>
              <w:rPr>
                <w:rFonts w:ascii="Times New Roman" w:eastAsia="宋体" w:hAnsi="Times New Roman"/>
                <w:color w:val="000000"/>
                <w:sz w:val="20"/>
                <w:szCs w:val="20"/>
              </w:rPr>
              <w:t>2.1 </w:t>
            </w:r>
          </w:p>
        </w:tc>
        <w:tc>
          <w:tcPr>
            <w:tcW w:w="0" w:type="auto"/>
            <w:shd w:val="clear" w:color="auto" w:fill="D7E4BC"/>
            <w:tcMar>
              <w:top w:w="40" w:type="dxa"/>
              <w:left w:w="0" w:type="dxa"/>
              <w:bottom w:w="40" w:type="dxa"/>
              <w:right w:w="20" w:type="dxa"/>
            </w:tcMar>
            <w:vAlign w:val="bottom"/>
          </w:tcPr>
          <w:p w14:paraId="00BAE163" w14:textId="77777777" w:rsidR="00871BDF" w:rsidRDefault="00871BDF">
            <w:pPr>
              <w:jc w:val="right"/>
              <w:rPr>
                <w:rFonts w:ascii="宋体"/>
              </w:rPr>
            </w:pPr>
          </w:p>
        </w:tc>
      </w:tr>
      <w:tr w:rsidR="00871BDF" w14:paraId="00BAE173" w14:textId="77777777">
        <w:tc>
          <w:tcPr>
            <w:tcW w:w="0" w:type="auto"/>
            <w:gridSpan w:val="3"/>
            <w:shd w:val="clear" w:color="auto" w:fill="FFFFFF"/>
            <w:tcMar>
              <w:top w:w="40" w:type="dxa"/>
              <w:left w:w="20" w:type="dxa"/>
              <w:bottom w:w="40" w:type="dxa"/>
              <w:right w:w="20" w:type="dxa"/>
            </w:tcMar>
          </w:tcPr>
          <w:p w14:paraId="00BAE165" w14:textId="77777777" w:rsidR="00871BDF" w:rsidRDefault="005C5088">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00BAE166"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167" w14:textId="77777777" w:rsidR="00871BDF" w:rsidRDefault="005C5088">
            <w:pPr>
              <w:jc w:val="right"/>
              <w:textAlignment w:val="bottom"/>
            </w:pPr>
            <w:r>
              <w:rPr>
                <w:rFonts w:ascii="Times New Roman" w:eastAsia="宋体" w:hAnsi="Times New Roman"/>
                <w:b/>
                <w:bCs/>
                <w:color w:val="000000"/>
                <w:sz w:val="20"/>
                <w:szCs w:val="20"/>
              </w:rPr>
              <w:t>964.7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16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69"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16A"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16B" w14:textId="77777777" w:rsidR="00871BDF" w:rsidRDefault="005C5088">
            <w:pPr>
              <w:jc w:val="right"/>
              <w:textAlignment w:val="bottom"/>
            </w:pPr>
            <w:r>
              <w:rPr>
                <w:rFonts w:ascii="Times New Roman" w:eastAsia="宋体" w:hAnsi="Times New Roman"/>
                <w:b/>
                <w:bCs/>
                <w:color w:val="000000"/>
                <w:sz w:val="20"/>
                <w:szCs w:val="20"/>
              </w:rPr>
              <w:t>872.8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16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6D"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16E" w14:textId="77777777" w:rsidR="00871BDF" w:rsidRDefault="005C5088">
            <w:pPr>
              <w:jc w:val="right"/>
              <w:textAlignment w:val="bottom"/>
            </w:pPr>
            <w:r>
              <w:rPr>
                <w:rFonts w:ascii="Times New Roman" w:eastAsia="宋体" w:hAnsi="Times New Roman"/>
                <w:b/>
                <w:bCs/>
                <w:color w:val="000000"/>
                <w:sz w:val="20"/>
                <w:szCs w:val="20"/>
              </w:rPr>
              <w:t>15.6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16F"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00BAE170"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171" w14:textId="77777777" w:rsidR="00871BDF" w:rsidRDefault="005C5088">
            <w:pPr>
              <w:jc w:val="right"/>
              <w:textAlignment w:val="bottom"/>
            </w:pPr>
            <w:r>
              <w:rPr>
                <w:rFonts w:ascii="Times New Roman" w:eastAsia="宋体" w:hAnsi="Times New Roman"/>
                <w:b/>
                <w:bCs/>
                <w:color w:val="000000"/>
                <w:sz w:val="20"/>
                <w:szCs w:val="20"/>
              </w:rPr>
              <w:t>15.7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172" w14:textId="77777777" w:rsidR="00871BDF" w:rsidRDefault="005C5088">
            <w:pPr>
              <w:jc w:val="right"/>
              <w:textAlignment w:val="bottom"/>
            </w:pPr>
            <w:r>
              <w:rPr>
                <w:rFonts w:ascii="Times New Roman" w:eastAsia="宋体" w:hAnsi="Times New Roman"/>
                <w:b/>
                <w:bCs/>
                <w:color w:val="000000"/>
                <w:sz w:val="20"/>
                <w:szCs w:val="20"/>
              </w:rPr>
              <w:t>%</w:t>
            </w:r>
          </w:p>
        </w:tc>
      </w:tr>
    </w:tbl>
    <w:p w14:paraId="00BAE174" w14:textId="77777777" w:rsidR="00871BDF" w:rsidRDefault="005C5088">
      <w:pPr>
        <w:spacing w:before="120"/>
      </w:pPr>
      <w:r>
        <w:rPr>
          <w:rFonts w:ascii="Times New Roman" w:eastAsia="宋体" w:hAnsi="Times New Roman"/>
          <w:color w:val="000000"/>
          <w:sz w:val="20"/>
          <w:szCs w:val="20"/>
        </w:rPr>
        <w:t>Discussion of our International segment results below reflects the impact of fully consolidating our East China business from an equity method joint venture to a co</w:t>
      </w:r>
      <w:r>
        <w:rPr>
          <w:rFonts w:ascii="Times New Roman" w:eastAsia="宋体" w:hAnsi="Times New Roman"/>
          <w:color w:val="000000"/>
          <w:sz w:val="20"/>
          <w:szCs w:val="20"/>
        </w:rPr>
        <w:t>mpany-operated market since the acquisition date of December 31, 2017. Under the joint venture model, we recognized royalties and product sales within revenue and related product and distribution costs as well as our proportionate share of East China's net</w:t>
      </w:r>
      <w:r>
        <w:rPr>
          <w:rFonts w:ascii="Times New Roman" w:eastAsia="宋体" w:hAnsi="Times New Roman"/>
          <w:color w:val="000000"/>
          <w:sz w:val="20"/>
          <w:szCs w:val="20"/>
        </w:rPr>
        <w:t xml:space="preserve"> earnings, which resulted in a higher margin business. Under the company-operated ownership model, East China’s operating results are reflected in most income statement lines of this segment.</w:t>
      </w:r>
    </w:p>
    <w:p w14:paraId="00BAE175" w14:textId="77777777" w:rsidR="00871BDF" w:rsidRDefault="005C5088">
      <w:pPr>
        <w:spacing w:before="120"/>
      </w:pPr>
      <w:r>
        <w:rPr>
          <w:rFonts w:ascii="Times New Roman" w:eastAsia="宋体" w:hAnsi="Times New Roman"/>
          <w:color w:val="000000"/>
          <w:sz w:val="20"/>
          <w:szCs w:val="20"/>
          <w:u w:val="single"/>
        </w:rPr>
        <w:t>Revenues</w:t>
      </w:r>
    </w:p>
    <w:p w14:paraId="00BAE176" w14:textId="77777777" w:rsidR="00871BDF" w:rsidRDefault="005C5088">
      <w:pPr>
        <w:spacing w:before="120"/>
      </w:pPr>
      <w:r>
        <w:rPr>
          <w:rFonts w:ascii="Times New Roman" w:eastAsia="宋体" w:hAnsi="Times New Roman"/>
          <w:color w:val="000000"/>
          <w:sz w:val="20"/>
          <w:szCs w:val="20"/>
        </w:rPr>
        <w:t>International total net revenues for fiscal 2019 increa</w:t>
      </w:r>
      <w:r>
        <w:rPr>
          <w:rFonts w:ascii="Times New Roman" w:eastAsia="宋体" w:hAnsi="Times New Roman"/>
          <w:color w:val="000000"/>
          <w:sz w:val="20"/>
          <w:szCs w:val="20"/>
        </w:rPr>
        <w:t>sed $640 million, or 12%%, primarily driven by 665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company-operated stores, or a 12% increase, over the past 12 months ($377 million), the ownership change in East China ($280 million) and a 3% increase in comparable store sales ($135 mi</w:t>
      </w:r>
      <w:r>
        <w:rPr>
          <w:rFonts w:ascii="Times New Roman" w:eastAsia="宋体" w:hAnsi="Times New Roman"/>
          <w:color w:val="000000"/>
          <w:sz w:val="20"/>
          <w:szCs w:val="20"/>
        </w:rPr>
        <w:t>llion). Also contributing were increased product sales to and royalty revenues from licensees ($84 million), primarily resulting from opening of 669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licensed stores, or an 11% increase, over the past 12 months and the impact of the adopt</w:t>
      </w:r>
      <w:r>
        <w:rPr>
          <w:rFonts w:ascii="Times New Roman" w:eastAsia="宋体" w:hAnsi="Times New Roman"/>
          <w:color w:val="000000"/>
          <w:sz w:val="20"/>
          <w:szCs w:val="20"/>
        </w:rPr>
        <w:t>ion of revenue recognition guidance on stored value card breakage ($20 million). These increases were partially offset by unfavorable foreign currency translation ($183 million) and the conversion of our Thailand, France and the Netherlands retail business</w:t>
      </w:r>
      <w:r>
        <w:rPr>
          <w:rFonts w:ascii="Times New Roman" w:eastAsia="宋体" w:hAnsi="Times New Roman"/>
          <w:color w:val="000000"/>
          <w:sz w:val="20"/>
          <w:szCs w:val="20"/>
        </w:rPr>
        <w:t>es to fully licensed markets ($126 million).</w:t>
      </w:r>
    </w:p>
    <w:p w14:paraId="00BAE177" w14:textId="77777777" w:rsidR="00871BDF" w:rsidRDefault="005C5088">
      <w:pPr>
        <w:spacing w:before="120"/>
      </w:pPr>
      <w:r>
        <w:rPr>
          <w:rFonts w:ascii="Times New Roman" w:eastAsia="宋体" w:hAnsi="Times New Roman"/>
          <w:color w:val="000000"/>
          <w:sz w:val="20"/>
          <w:szCs w:val="20"/>
          <w:u w:val="single"/>
        </w:rPr>
        <w:t>Operating Margin</w:t>
      </w:r>
    </w:p>
    <w:p w14:paraId="00BAE178" w14:textId="77777777" w:rsidR="00871BDF" w:rsidRDefault="005C5088">
      <w:pPr>
        <w:spacing w:before="120"/>
      </w:pPr>
      <w:r>
        <w:rPr>
          <w:rFonts w:ascii="Times New Roman" w:eastAsia="宋体" w:hAnsi="Times New Roman"/>
          <w:color w:val="000000"/>
          <w:sz w:val="20"/>
          <w:szCs w:val="20"/>
        </w:rPr>
        <w:t>International operating income for fiscal 2019 increased 11% to $965 million, compared to $873 million in fiscal 2018. Operating margin decreased 10 basis points to 15.6%, primarily driven by st</w:t>
      </w:r>
      <w:r>
        <w:rPr>
          <w:rFonts w:ascii="Times New Roman" w:eastAsia="宋体" w:hAnsi="Times New Roman"/>
          <w:color w:val="000000"/>
          <w:sz w:val="20"/>
          <w:szCs w:val="20"/>
        </w:rPr>
        <w:t>rategic investments to support growth in China (approximately 80 basis points) and growth in wages and benefits (approximately 70 basis points), primarily offset by cost savings initiatives (approximately 80 basis points) and labor efficiencies (approximat</w:t>
      </w:r>
      <w:r>
        <w:rPr>
          <w:rFonts w:ascii="Times New Roman" w:eastAsia="宋体" w:hAnsi="Times New Roman"/>
          <w:color w:val="000000"/>
          <w:sz w:val="20"/>
          <w:szCs w:val="20"/>
        </w:rPr>
        <w:t>ely 70 basis points).</w:t>
      </w:r>
    </w:p>
    <w:p w14:paraId="00BAE179" w14:textId="77777777" w:rsidR="00871BDF" w:rsidRDefault="005C5088">
      <w:pPr>
        <w:jc w:val="center"/>
      </w:pPr>
      <w:r>
        <w:rPr>
          <w:rFonts w:ascii="Times New Roman" w:eastAsia="宋体" w:hAnsi="Times New Roman"/>
          <w:color w:val="000000"/>
          <w:sz w:val="20"/>
          <w:szCs w:val="20"/>
        </w:rPr>
        <w:t>36</w:t>
      </w:r>
    </w:p>
    <w:p w14:paraId="00BAE17A" w14:textId="77777777" w:rsidR="00871BDF" w:rsidRDefault="005C5088">
      <w:r>
        <w:pict w14:anchorId="00BB1489">
          <v:rect id="_x0000_i1063" style="width:415.3pt;height:1.5pt" o:hralign="center" o:hrstd="t" o:hr="t" fillcolor="#a0a0a0" stroked="f"/>
        </w:pict>
      </w:r>
    </w:p>
    <w:p w14:paraId="00BAE17B" w14:textId="77777777" w:rsidR="00871BDF" w:rsidRDefault="005C5088">
      <w:hyperlink r:id="rId101" w:anchor="i54ccc64cb5384be5a4849ef1cdef4dde_7" w:history="1">
        <w:r>
          <w:rPr>
            <w:rStyle w:val="a5"/>
            <w:rFonts w:ascii="Times New Roman" w:eastAsia="宋体" w:hAnsi="Times New Roman"/>
            <w:sz w:val="20"/>
            <w:szCs w:val="20"/>
          </w:rPr>
          <w:t>Table of Contents</w:t>
        </w:r>
      </w:hyperlink>
    </w:p>
    <w:p w14:paraId="00BAE17C" w14:textId="77777777" w:rsidR="00871BDF" w:rsidRDefault="005C5088">
      <w:pPr>
        <w:spacing w:before="120"/>
      </w:pPr>
      <w:r>
        <w:rPr>
          <w:rFonts w:ascii="Times New Roman" w:eastAsia="宋体" w:hAnsi="Times New Roman"/>
          <w:b/>
          <w:bCs/>
          <w:i/>
          <w:iCs/>
          <w:color w:val="000000"/>
          <w:sz w:val="20"/>
          <w:szCs w:val="20"/>
        </w:rPr>
        <w:t>Channel Development</w:t>
      </w:r>
    </w:p>
    <w:tbl>
      <w:tblPr>
        <w:tblW w:w="4993" w:type="pct"/>
        <w:tblCellMar>
          <w:top w:w="15" w:type="dxa"/>
          <w:left w:w="15" w:type="dxa"/>
          <w:bottom w:w="15" w:type="dxa"/>
          <w:right w:w="15" w:type="dxa"/>
        </w:tblCellMar>
        <w:tblLook w:val="04A0" w:firstRow="1" w:lastRow="0" w:firstColumn="1" w:lastColumn="0" w:noHBand="0" w:noVBand="1"/>
      </w:tblPr>
      <w:tblGrid>
        <w:gridCol w:w="41"/>
        <w:gridCol w:w="2544"/>
        <w:gridCol w:w="40"/>
        <w:gridCol w:w="120"/>
        <w:gridCol w:w="1194"/>
        <w:gridCol w:w="36"/>
        <w:gridCol w:w="36"/>
        <w:gridCol w:w="36"/>
        <w:gridCol w:w="36"/>
        <w:gridCol w:w="120"/>
        <w:gridCol w:w="1133"/>
        <w:gridCol w:w="36"/>
        <w:gridCol w:w="36"/>
        <w:gridCol w:w="36"/>
        <w:gridCol w:w="36"/>
        <w:gridCol w:w="38"/>
        <w:gridCol w:w="1110"/>
        <w:gridCol w:w="220"/>
        <w:gridCol w:w="36"/>
        <w:gridCol w:w="36"/>
        <w:gridCol w:w="36"/>
        <w:gridCol w:w="38"/>
        <w:gridCol w:w="1110"/>
        <w:gridCol w:w="220"/>
      </w:tblGrid>
      <w:tr w:rsidR="00871BDF" w14:paraId="00BAE195" w14:textId="77777777">
        <w:tc>
          <w:tcPr>
            <w:tcW w:w="50" w:type="pct"/>
            <w:shd w:val="clear" w:color="auto" w:fill="auto"/>
          </w:tcPr>
          <w:p w14:paraId="00BAE17D" w14:textId="77777777" w:rsidR="00871BDF" w:rsidRDefault="00871BDF">
            <w:pPr>
              <w:rPr>
                <w:rFonts w:ascii="宋体"/>
              </w:rPr>
            </w:pPr>
          </w:p>
        </w:tc>
        <w:tc>
          <w:tcPr>
            <w:tcW w:w="1584" w:type="pct"/>
            <w:shd w:val="clear" w:color="auto" w:fill="auto"/>
          </w:tcPr>
          <w:p w14:paraId="00BAE17E" w14:textId="77777777" w:rsidR="00871BDF" w:rsidRDefault="00871BDF">
            <w:pPr>
              <w:rPr>
                <w:rFonts w:ascii="宋体"/>
              </w:rPr>
            </w:pPr>
          </w:p>
        </w:tc>
        <w:tc>
          <w:tcPr>
            <w:tcW w:w="5" w:type="pct"/>
            <w:shd w:val="clear" w:color="auto" w:fill="auto"/>
          </w:tcPr>
          <w:p w14:paraId="00BAE17F" w14:textId="77777777" w:rsidR="00871BDF" w:rsidRDefault="00871BDF">
            <w:pPr>
              <w:rPr>
                <w:rFonts w:ascii="宋体"/>
              </w:rPr>
            </w:pPr>
          </w:p>
        </w:tc>
        <w:tc>
          <w:tcPr>
            <w:tcW w:w="50" w:type="pct"/>
            <w:shd w:val="clear" w:color="auto" w:fill="auto"/>
          </w:tcPr>
          <w:p w14:paraId="00BAE180" w14:textId="77777777" w:rsidR="00871BDF" w:rsidRDefault="00871BDF">
            <w:pPr>
              <w:rPr>
                <w:rFonts w:ascii="宋体"/>
              </w:rPr>
            </w:pPr>
          </w:p>
        </w:tc>
        <w:tc>
          <w:tcPr>
            <w:tcW w:w="757" w:type="pct"/>
            <w:shd w:val="clear" w:color="auto" w:fill="auto"/>
          </w:tcPr>
          <w:p w14:paraId="00BAE181" w14:textId="77777777" w:rsidR="00871BDF" w:rsidRDefault="00871BDF">
            <w:pPr>
              <w:rPr>
                <w:rFonts w:ascii="宋体"/>
              </w:rPr>
            </w:pPr>
          </w:p>
        </w:tc>
        <w:tc>
          <w:tcPr>
            <w:tcW w:w="5" w:type="pct"/>
            <w:shd w:val="clear" w:color="auto" w:fill="auto"/>
          </w:tcPr>
          <w:p w14:paraId="00BAE182" w14:textId="77777777" w:rsidR="00871BDF" w:rsidRDefault="00871BDF">
            <w:pPr>
              <w:rPr>
                <w:rFonts w:ascii="宋体"/>
              </w:rPr>
            </w:pPr>
          </w:p>
        </w:tc>
        <w:tc>
          <w:tcPr>
            <w:tcW w:w="5" w:type="pct"/>
            <w:shd w:val="clear" w:color="auto" w:fill="auto"/>
          </w:tcPr>
          <w:p w14:paraId="00BAE183" w14:textId="77777777" w:rsidR="00871BDF" w:rsidRDefault="00871BDF">
            <w:pPr>
              <w:rPr>
                <w:rFonts w:ascii="宋体"/>
              </w:rPr>
            </w:pPr>
          </w:p>
        </w:tc>
        <w:tc>
          <w:tcPr>
            <w:tcW w:w="26" w:type="pct"/>
            <w:shd w:val="clear" w:color="auto" w:fill="auto"/>
          </w:tcPr>
          <w:p w14:paraId="00BAE184" w14:textId="77777777" w:rsidR="00871BDF" w:rsidRDefault="00871BDF">
            <w:pPr>
              <w:rPr>
                <w:rFonts w:ascii="宋体"/>
              </w:rPr>
            </w:pPr>
          </w:p>
        </w:tc>
        <w:tc>
          <w:tcPr>
            <w:tcW w:w="5" w:type="pct"/>
            <w:shd w:val="clear" w:color="auto" w:fill="auto"/>
          </w:tcPr>
          <w:p w14:paraId="00BAE185" w14:textId="77777777" w:rsidR="00871BDF" w:rsidRDefault="00871BDF">
            <w:pPr>
              <w:rPr>
                <w:rFonts w:ascii="宋体"/>
              </w:rPr>
            </w:pPr>
          </w:p>
        </w:tc>
        <w:tc>
          <w:tcPr>
            <w:tcW w:w="50" w:type="pct"/>
            <w:shd w:val="clear" w:color="auto" w:fill="auto"/>
          </w:tcPr>
          <w:p w14:paraId="00BAE186" w14:textId="77777777" w:rsidR="00871BDF" w:rsidRDefault="00871BDF">
            <w:pPr>
              <w:rPr>
                <w:rFonts w:ascii="宋体"/>
              </w:rPr>
            </w:pPr>
          </w:p>
        </w:tc>
        <w:tc>
          <w:tcPr>
            <w:tcW w:w="757" w:type="pct"/>
            <w:shd w:val="clear" w:color="auto" w:fill="auto"/>
          </w:tcPr>
          <w:p w14:paraId="00BAE187" w14:textId="77777777" w:rsidR="00871BDF" w:rsidRDefault="00871BDF">
            <w:pPr>
              <w:rPr>
                <w:rFonts w:ascii="宋体"/>
              </w:rPr>
            </w:pPr>
          </w:p>
        </w:tc>
        <w:tc>
          <w:tcPr>
            <w:tcW w:w="5" w:type="pct"/>
            <w:shd w:val="clear" w:color="auto" w:fill="auto"/>
          </w:tcPr>
          <w:p w14:paraId="00BAE188" w14:textId="77777777" w:rsidR="00871BDF" w:rsidRDefault="00871BDF">
            <w:pPr>
              <w:rPr>
                <w:rFonts w:ascii="宋体"/>
              </w:rPr>
            </w:pPr>
          </w:p>
        </w:tc>
        <w:tc>
          <w:tcPr>
            <w:tcW w:w="5" w:type="pct"/>
            <w:shd w:val="clear" w:color="auto" w:fill="auto"/>
          </w:tcPr>
          <w:p w14:paraId="00BAE189" w14:textId="77777777" w:rsidR="00871BDF" w:rsidRDefault="00871BDF">
            <w:pPr>
              <w:rPr>
                <w:rFonts w:ascii="宋体"/>
              </w:rPr>
            </w:pPr>
          </w:p>
        </w:tc>
        <w:tc>
          <w:tcPr>
            <w:tcW w:w="26" w:type="pct"/>
            <w:shd w:val="clear" w:color="auto" w:fill="auto"/>
          </w:tcPr>
          <w:p w14:paraId="00BAE18A" w14:textId="77777777" w:rsidR="00871BDF" w:rsidRDefault="00871BDF">
            <w:pPr>
              <w:rPr>
                <w:rFonts w:ascii="宋体"/>
              </w:rPr>
            </w:pPr>
          </w:p>
        </w:tc>
        <w:tc>
          <w:tcPr>
            <w:tcW w:w="5" w:type="pct"/>
            <w:shd w:val="clear" w:color="auto" w:fill="auto"/>
          </w:tcPr>
          <w:p w14:paraId="00BAE18B" w14:textId="77777777" w:rsidR="00871BDF" w:rsidRDefault="00871BDF">
            <w:pPr>
              <w:rPr>
                <w:rFonts w:ascii="宋体"/>
              </w:rPr>
            </w:pPr>
          </w:p>
        </w:tc>
        <w:tc>
          <w:tcPr>
            <w:tcW w:w="50" w:type="pct"/>
            <w:shd w:val="clear" w:color="auto" w:fill="auto"/>
          </w:tcPr>
          <w:p w14:paraId="00BAE18C" w14:textId="77777777" w:rsidR="00871BDF" w:rsidRDefault="00871BDF">
            <w:pPr>
              <w:rPr>
                <w:rFonts w:ascii="宋体"/>
              </w:rPr>
            </w:pPr>
          </w:p>
        </w:tc>
        <w:tc>
          <w:tcPr>
            <w:tcW w:w="757" w:type="pct"/>
            <w:shd w:val="clear" w:color="auto" w:fill="auto"/>
          </w:tcPr>
          <w:p w14:paraId="00BAE18D" w14:textId="77777777" w:rsidR="00871BDF" w:rsidRDefault="00871BDF">
            <w:pPr>
              <w:rPr>
                <w:rFonts w:ascii="宋体"/>
              </w:rPr>
            </w:pPr>
          </w:p>
        </w:tc>
        <w:tc>
          <w:tcPr>
            <w:tcW w:w="5" w:type="pct"/>
            <w:shd w:val="clear" w:color="auto" w:fill="auto"/>
          </w:tcPr>
          <w:p w14:paraId="00BAE18E" w14:textId="77777777" w:rsidR="00871BDF" w:rsidRDefault="00871BDF">
            <w:pPr>
              <w:rPr>
                <w:rFonts w:ascii="宋体"/>
              </w:rPr>
            </w:pPr>
          </w:p>
        </w:tc>
        <w:tc>
          <w:tcPr>
            <w:tcW w:w="5" w:type="pct"/>
            <w:shd w:val="clear" w:color="auto" w:fill="auto"/>
          </w:tcPr>
          <w:p w14:paraId="00BAE18F" w14:textId="77777777" w:rsidR="00871BDF" w:rsidRDefault="00871BDF">
            <w:pPr>
              <w:rPr>
                <w:rFonts w:ascii="宋体"/>
              </w:rPr>
            </w:pPr>
          </w:p>
        </w:tc>
        <w:tc>
          <w:tcPr>
            <w:tcW w:w="26" w:type="pct"/>
            <w:shd w:val="clear" w:color="auto" w:fill="auto"/>
          </w:tcPr>
          <w:p w14:paraId="00BAE190" w14:textId="77777777" w:rsidR="00871BDF" w:rsidRDefault="00871BDF">
            <w:pPr>
              <w:rPr>
                <w:rFonts w:ascii="宋体"/>
              </w:rPr>
            </w:pPr>
          </w:p>
        </w:tc>
        <w:tc>
          <w:tcPr>
            <w:tcW w:w="5" w:type="pct"/>
            <w:shd w:val="clear" w:color="auto" w:fill="auto"/>
          </w:tcPr>
          <w:p w14:paraId="00BAE191" w14:textId="77777777" w:rsidR="00871BDF" w:rsidRDefault="00871BDF">
            <w:pPr>
              <w:rPr>
                <w:rFonts w:ascii="宋体"/>
              </w:rPr>
            </w:pPr>
          </w:p>
        </w:tc>
        <w:tc>
          <w:tcPr>
            <w:tcW w:w="50" w:type="pct"/>
            <w:shd w:val="clear" w:color="auto" w:fill="auto"/>
          </w:tcPr>
          <w:p w14:paraId="00BAE192" w14:textId="77777777" w:rsidR="00871BDF" w:rsidRDefault="00871BDF">
            <w:pPr>
              <w:rPr>
                <w:rFonts w:ascii="宋体"/>
              </w:rPr>
            </w:pPr>
          </w:p>
        </w:tc>
        <w:tc>
          <w:tcPr>
            <w:tcW w:w="757" w:type="pct"/>
            <w:shd w:val="clear" w:color="auto" w:fill="auto"/>
          </w:tcPr>
          <w:p w14:paraId="00BAE193" w14:textId="77777777" w:rsidR="00871BDF" w:rsidRDefault="00871BDF">
            <w:pPr>
              <w:rPr>
                <w:rFonts w:ascii="宋体"/>
              </w:rPr>
            </w:pPr>
          </w:p>
        </w:tc>
        <w:tc>
          <w:tcPr>
            <w:tcW w:w="5" w:type="pct"/>
            <w:shd w:val="clear" w:color="auto" w:fill="auto"/>
          </w:tcPr>
          <w:p w14:paraId="00BAE194" w14:textId="77777777" w:rsidR="00871BDF" w:rsidRDefault="00871BDF">
            <w:pPr>
              <w:rPr>
                <w:rFonts w:ascii="宋体"/>
              </w:rPr>
            </w:pPr>
          </w:p>
        </w:tc>
      </w:tr>
      <w:tr w:rsidR="00871BDF" w14:paraId="00BAE19E" w14:textId="77777777">
        <w:tc>
          <w:tcPr>
            <w:tcW w:w="0" w:type="auto"/>
            <w:gridSpan w:val="3"/>
            <w:shd w:val="clear" w:color="auto" w:fill="auto"/>
            <w:tcMar>
              <w:top w:w="40" w:type="dxa"/>
              <w:left w:w="20" w:type="dxa"/>
              <w:bottom w:w="40" w:type="dxa"/>
              <w:right w:w="20" w:type="dxa"/>
            </w:tcMar>
            <w:vAlign w:val="bottom"/>
          </w:tcPr>
          <w:p w14:paraId="00BAE196"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E197"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E198"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199"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c>
          <w:tcPr>
            <w:tcW w:w="0" w:type="auto"/>
            <w:gridSpan w:val="3"/>
            <w:shd w:val="clear" w:color="auto" w:fill="auto"/>
            <w:tcMar>
              <w:top w:w="0" w:type="dxa"/>
              <w:left w:w="20" w:type="dxa"/>
              <w:bottom w:w="0" w:type="dxa"/>
              <w:right w:w="20" w:type="dxa"/>
            </w:tcMar>
          </w:tcPr>
          <w:p w14:paraId="00BAE19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19B"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E19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19D"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r>
      <w:tr w:rsidR="00871BDF" w14:paraId="00BAE1A5" w14:textId="77777777">
        <w:tc>
          <w:tcPr>
            <w:tcW w:w="0" w:type="auto"/>
            <w:gridSpan w:val="3"/>
            <w:shd w:val="clear" w:color="auto" w:fill="auto"/>
            <w:tcMar>
              <w:top w:w="0" w:type="dxa"/>
              <w:left w:w="20" w:type="dxa"/>
              <w:bottom w:w="0" w:type="dxa"/>
              <w:right w:w="20" w:type="dxa"/>
            </w:tcMar>
          </w:tcPr>
          <w:p w14:paraId="00BAE19F"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E1A0"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E1A1"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E1A2"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E1A3" w14:textId="77777777" w:rsidR="00871BDF" w:rsidRDefault="00871BDF">
            <w:pPr>
              <w:rPr>
                <w:rFonts w:ascii="宋体"/>
              </w:rPr>
            </w:pPr>
          </w:p>
        </w:tc>
        <w:tc>
          <w:tcPr>
            <w:tcW w:w="0" w:type="auto"/>
            <w:gridSpan w:val="9"/>
            <w:shd w:val="clear" w:color="auto" w:fill="FFFFFF"/>
            <w:tcMar>
              <w:top w:w="40" w:type="dxa"/>
              <w:left w:w="20" w:type="dxa"/>
              <w:bottom w:w="40" w:type="dxa"/>
              <w:right w:w="20" w:type="dxa"/>
            </w:tcMar>
            <w:vAlign w:val="bottom"/>
          </w:tcPr>
          <w:p w14:paraId="00BAE1A4" w14:textId="77777777" w:rsidR="00871BDF" w:rsidRDefault="005C5088">
            <w:pPr>
              <w:jc w:val="center"/>
              <w:textAlignment w:val="bottom"/>
            </w:pPr>
            <w:r>
              <w:rPr>
                <w:rFonts w:ascii="Times New Roman" w:eastAsia="宋体" w:hAnsi="Times New Roman"/>
                <w:b/>
                <w:bCs/>
                <w:color w:val="000000"/>
                <w:sz w:val="16"/>
                <w:szCs w:val="16"/>
              </w:rPr>
              <w:t>As a % of Channel Development</w:t>
            </w:r>
            <w:r>
              <w:rPr>
                <w:rFonts w:ascii="Times New Roman" w:eastAsia="宋体" w:hAnsi="Times New Roman"/>
                <w:b/>
                <w:bCs/>
                <w:color w:val="000000"/>
                <w:sz w:val="16"/>
                <w:szCs w:val="16"/>
              </w:rPr>
              <w:br/>
              <w:t>Total Net Revenues</w:t>
            </w:r>
          </w:p>
        </w:tc>
      </w:tr>
      <w:tr w:rsidR="00871BDF" w14:paraId="00BAE1B2" w14:textId="77777777">
        <w:tc>
          <w:tcPr>
            <w:tcW w:w="0" w:type="auto"/>
            <w:gridSpan w:val="3"/>
            <w:shd w:val="clear" w:color="auto" w:fill="D7E4BC"/>
            <w:tcMar>
              <w:top w:w="40" w:type="dxa"/>
              <w:left w:w="20" w:type="dxa"/>
              <w:bottom w:w="40" w:type="dxa"/>
              <w:right w:w="20" w:type="dxa"/>
            </w:tcMar>
          </w:tcPr>
          <w:p w14:paraId="00BAE1A6" w14:textId="77777777" w:rsidR="00871BDF" w:rsidRDefault="005C5088">
            <w:pPr>
              <w:textAlignment w:val="top"/>
            </w:pPr>
            <w:r>
              <w:rPr>
                <w:rFonts w:ascii="Times New Roman" w:eastAsia="宋体" w:hAnsi="Times New Roman"/>
                <w:color w:val="000000"/>
                <w:sz w:val="20"/>
                <w:szCs w:val="20"/>
              </w:rPr>
              <w:t>Total net revenues</w:t>
            </w:r>
          </w:p>
        </w:tc>
        <w:tc>
          <w:tcPr>
            <w:tcW w:w="0" w:type="auto"/>
            <w:shd w:val="clear" w:color="auto" w:fill="D7E4BC"/>
            <w:tcMar>
              <w:top w:w="40" w:type="dxa"/>
              <w:left w:w="20" w:type="dxa"/>
              <w:bottom w:w="40" w:type="dxa"/>
              <w:right w:w="0" w:type="dxa"/>
            </w:tcMar>
            <w:vAlign w:val="bottom"/>
          </w:tcPr>
          <w:p w14:paraId="00BAE1A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E1A8" w14:textId="77777777" w:rsidR="00871BDF" w:rsidRDefault="005C5088">
            <w:pPr>
              <w:jc w:val="right"/>
              <w:textAlignment w:val="bottom"/>
            </w:pPr>
            <w:r>
              <w:rPr>
                <w:rFonts w:ascii="Times New Roman" w:eastAsia="宋体" w:hAnsi="Times New Roman"/>
                <w:color w:val="000000"/>
                <w:sz w:val="20"/>
                <w:szCs w:val="20"/>
              </w:rPr>
              <w:t>1,992.6 </w:t>
            </w:r>
          </w:p>
        </w:tc>
        <w:tc>
          <w:tcPr>
            <w:tcW w:w="0" w:type="auto"/>
            <w:shd w:val="clear" w:color="auto" w:fill="D7E4BC"/>
            <w:tcMar>
              <w:top w:w="40" w:type="dxa"/>
              <w:left w:w="0" w:type="dxa"/>
              <w:bottom w:w="40" w:type="dxa"/>
              <w:right w:w="20" w:type="dxa"/>
            </w:tcMar>
            <w:vAlign w:val="bottom"/>
          </w:tcPr>
          <w:p w14:paraId="00BAE1A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AA"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E1A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E1AC" w14:textId="77777777" w:rsidR="00871BDF" w:rsidRDefault="005C5088">
            <w:pPr>
              <w:jc w:val="right"/>
              <w:textAlignment w:val="bottom"/>
            </w:pPr>
            <w:r>
              <w:rPr>
                <w:rFonts w:ascii="Times New Roman" w:eastAsia="宋体" w:hAnsi="Times New Roman"/>
                <w:color w:val="000000"/>
                <w:sz w:val="20"/>
                <w:szCs w:val="20"/>
              </w:rPr>
              <w:t>2,297.3 </w:t>
            </w:r>
          </w:p>
        </w:tc>
        <w:tc>
          <w:tcPr>
            <w:tcW w:w="0" w:type="auto"/>
            <w:shd w:val="clear" w:color="auto" w:fill="D7E4BC"/>
            <w:tcMar>
              <w:top w:w="40" w:type="dxa"/>
              <w:left w:w="0" w:type="dxa"/>
              <w:bottom w:w="40" w:type="dxa"/>
              <w:right w:w="20" w:type="dxa"/>
            </w:tcMar>
            <w:vAlign w:val="bottom"/>
          </w:tcPr>
          <w:p w14:paraId="00BAE1A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AE"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1AF"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1B0"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1B1" w14:textId="77777777" w:rsidR="00871BDF" w:rsidRDefault="00871BDF">
            <w:pPr>
              <w:rPr>
                <w:rFonts w:ascii="宋体"/>
              </w:rPr>
            </w:pPr>
          </w:p>
        </w:tc>
      </w:tr>
      <w:tr w:rsidR="00871BDF" w14:paraId="00BAE1BF" w14:textId="77777777">
        <w:tc>
          <w:tcPr>
            <w:tcW w:w="0" w:type="auto"/>
            <w:gridSpan w:val="3"/>
            <w:shd w:val="clear" w:color="auto" w:fill="FFFFFF"/>
            <w:tcMar>
              <w:top w:w="40" w:type="dxa"/>
              <w:left w:w="20" w:type="dxa"/>
              <w:bottom w:w="40" w:type="dxa"/>
              <w:right w:w="20" w:type="dxa"/>
            </w:tcMar>
          </w:tcPr>
          <w:p w14:paraId="00BAE1B3" w14:textId="77777777" w:rsidR="00871BDF" w:rsidRDefault="005C5088">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00BAE1B4" w14:textId="77777777" w:rsidR="00871BDF" w:rsidRDefault="005C5088">
            <w:pPr>
              <w:jc w:val="right"/>
              <w:textAlignment w:val="bottom"/>
            </w:pPr>
            <w:r>
              <w:rPr>
                <w:rFonts w:ascii="Times New Roman" w:eastAsia="宋体" w:hAnsi="Times New Roman"/>
                <w:color w:val="000000"/>
                <w:sz w:val="20"/>
                <w:szCs w:val="20"/>
              </w:rPr>
              <w:t>1,390.0 </w:t>
            </w:r>
          </w:p>
        </w:tc>
        <w:tc>
          <w:tcPr>
            <w:tcW w:w="0" w:type="auto"/>
            <w:shd w:val="clear" w:color="auto" w:fill="FFFFFF"/>
            <w:tcMar>
              <w:top w:w="40" w:type="dxa"/>
              <w:left w:w="0" w:type="dxa"/>
              <w:bottom w:w="40" w:type="dxa"/>
              <w:right w:w="20" w:type="dxa"/>
            </w:tcMar>
            <w:vAlign w:val="bottom"/>
          </w:tcPr>
          <w:p w14:paraId="00BAE1B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B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B7" w14:textId="77777777" w:rsidR="00871BDF" w:rsidRDefault="005C5088">
            <w:pPr>
              <w:jc w:val="right"/>
              <w:textAlignment w:val="bottom"/>
            </w:pPr>
            <w:r>
              <w:rPr>
                <w:rFonts w:ascii="Times New Roman" w:eastAsia="宋体" w:hAnsi="Times New Roman"/>
                <w:color w:val="000000"/>
                <w:sz w:val="20"/>
                <w:szCs w:val="20"/>
              </w:rPr>
              <w:t>1,252.3 </w:t>
            </w:r>
          </w:p>
        </w:tc>
        <w:tc>
          <w:tcPr>
            <w:tcW w:w="0" w:type="auto"/>
            <w:shd w:val="clear" w:color="auto" w:fill="FFFFFF"/>
            <w:tcMar>
              <w:top w:w="40" w:type="dxa"/>
              <w:left w:w="0" w:type="dxa"/>
              <w:bottom w:w="40" w:type="dxa"/>
              <w:right w:w="20" w:type="dxa"/>
            </w:tcMar>
            <w:vAlign w:val="bottom"/>
          </w:tcPr>
          <w:p w14:paraId="00BAE1B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B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BA" w14:textId="77777777" w:rsidR="00871BDF" w:rsidRDefault="005C5088">
            <w:pPr>
              <w:jc w:val="right"/>
              <w:textAlignment w:val="bottom"/>
            </w:pPr>
            <w:r>
              <w:rPr>
                <w:rFonts w:ascii="Times New Roman" w:eastAsia="宋体" w:hAnsi="Times New Roman"/>
                <w:color w:val="000000"/>
                <w:sz w:val="20"/>
                <w:szCs w:val="20"/>
              </w:rPr>
              <w:t>69.8 </w:t>
            </w:r>
          </w:p>
        </w:tc>
        <w:tc>
          <w:tcPr>
            <w:tcW w:w="0" w:type="auto"/>
            <w:shd w:val="clear" w:color="auto" w:fill="FFFFFF"/>
            <w:tcMar>
              <w:top w:w="40" w:type="dxa"/>
              <w:left w:w="0" w:type="dxa"/>
              <w:bottom w:w="40" w:type="dxa"/>
              <w:right w:w="20" w:type="dxa"/>
            </w:tcMar>
            <w:vAlign w:val="bottom"/>
          </w:tcPr>
          <w:p w14:paraId="00BAE1B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B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BD" w14:textId="77777777" w:rsidR="00871BDF" w:rsidRDefault="005C5088">
            <w:pPr>
              <w:jc w:val="right"/>
              <w:textAlignment w:val="bottom"/>
            </w:pPr>
            <w:r>
              <w:rPr>
                <w:rFonts w:ascii="Times New Roman" w:eastAsia="宋体" w:hAnsi="Times New Roman"/>
                <w:color w:val="000000"/>
                <w:sz w:val="20"/>
                <w:szCs w:val="20"/>
              </w:rPr>
              <w:t>54.5 </w:t>
            </w:r>
          </w:p>
        </w:tc>
        <w:tc>
          <w:tcPr>
            <w:tcW w:w="0" w:type="auto"/>
            <w:shd w:val="clear" w:color="auto" w:fill="FFFFFF"/>
            <w:tcMar>
              <w:top w:w="40" w:type="dxa"/>
              <w:left w:w="0" w:type="dxa"/>
              <w:bottom w:w="40" w:type="dxa"/>
              <w:right w:w="20" w:type="dxa"/>
            </w:tcMar>
            <w:vAlign w:val="bottom"/>
          </w:tcPr>
          <w:p w14:paraId="00BAE1BE" w14:textId="77777777" w:rsidR="00871BDF" w:rsidRDefault="00871BDF">
            <w:pPr>
              <w:jc w:val="right"/>
              <w:rPr>
                <w:rFonts w:ascii="宋体"/>
              </w:rPr>
            </w:pPr>
          </w:p>
        </w:tc>
      </w:tr>
      <w:tr w:rsidR="00871BDF" w14:paraId="00BAE1CC" w14:textId="77777777">
        <w:tc>
          <w:tcPr>
            <w:tcW w:w="0" w:type="auto"/>
            <w:gridSpan w:val="3"/>
            <w:shd w:val="clear" w:color="auto" w:fill="D7E4BC"/>
            <w:tcMar>
              <w:top w:w="40" w:type="dxa"/>
              <w:left w:w="20" w:type="dxa"/>
              <w:bottom w:w="40" w:type="dxa"/>
              <w:right w:w="20" w:type="dxa"/>
            </w:tcMar>
          </w:tcPr>
          <w:p w14:paraId="00BAE1C0" w14:textId="77777777" w:rsidR="00871BDF" w:rsidRDefault="005C5088">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00BAE1C1" w14:textId="77777777" w:rsidR="00871BDF" w:rsidRDefault="005C5088">
            <w:pPr>
              <w:jc w:val="right"/>
              <w:textAlignment w:val="bottom"/>
            </w:pPr>
            <w:r>
              <w:rPr>
                <w:rFonts w:ascii="Times New Roman" w:eastAsia="宋体" w:hAnsi="Times New Roman"/>
                <w:color w:val="000000"/>
                <w:sz w:val="20"/>
                <w:szCs w:val="20"/>
              </w:rPr>
              <w:t>76.2 </w:t>
            </w:r>
          </w:p>
        </w:tc>
        <w:tc>
          <w:tcPr>
            <w:tcW w:w="0" w:type="auto"/>
            <w:shd w:val="clear" w:color="auto" w:fill="D7E4BC"/>
            <w:tcMar>
              <w:top w:w="40" w:type="dxa"/>
              <w:left w:w="0" w:type="dxa"/>
              <w:bottom w:w="40" w:type="dxa"/>
              <w:right w:w="20" w:type="dxa"/>
            </w:tcMar>
            <w:vAlign w:val="bottom"/>
          </w:tcPr>
          <w:p w14:paraId="00BAE1C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C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C4" w14:textId="77777777" w:rsidR="00871BDF" w:rsidRDefault="005C5088">
            <w:pPr>
              <w:jc w:val="right"/>
              <w:textAlignment w:val="bottom"/>
            </w:pPr>
            <w:r>
              <w:rPr>
                <w:rFonts w:ascii="Times New Roman" w:eastAsia="宋体" w:hAnsi="Times New Roman"/>
                <w:color w:val="000000"/>
                <w:sz w:val="20"/>
                <w:szCs w:val="20"/>
              </w:rPr>
              <w:t>286.5 </w:t>
            </w:r>
          </w:p>
        </w:tc>
        <w:tc>
          <w:tcPr>
            <w:tcW w:w="0" w:type="auto"/>
            <w:shd w:val="clear" w:color="auto" w:fill="D7E4BC"/>
            <w:tcMar>
              <w:top w:w="40" w:type="dxa"/>
              <w:left w:w="0" w:type="dxa"/>
              <w:bottom w:w="40" w:type="dxa"/>
              <w:right w:w="20" w:type="dxa"/>
            </w:tcMar>
            <w:vAlign w:val="bottom"/>
          </w:tcPr>
          <w:p w14:paraId="00BAE1C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C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C7" w14:textId="77777777" w:rsidR="00871BDF" w:rsidRDefault="005C5088">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00BAE1C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C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CA" w14:textId="77777777" w:rsidR="00871BDF" w:rsidRDefault="005C5088">
            <w:pPr>
              <w:jc w:val="right"/>
              <w:textAlignment w:val="bottom"/>
            </w:pPr>
            <w:r>
              <w:rPr>
                <w:rFonts w:ascii="Times New Roman" w:eastAsia="宋体" w:hAnsi="Times New Roman"/>
                <w:color w:val="000000"/>
                <w:sz w:val="20"/>
                <w:szCs w:val="20"/>
              </w:rPr>
              <w:t>12.5 </w:t>
            </w:r>
          </w:p>
        </w:tc>
        <w:tc>
          <w:tcPr>
            <w:tcW w:w="0" w:type="auto"/>
            <w:shd w:val="clear" w:color="auto" w:fill="D7E4BC"/>
            <w:tcMar>
              <w:top w:w="40" w:type="dxa"/>
              <w:left w:w="0" w:type="dxa"/>
              <w:bottom w:w="40" w:type="dxa"/>
              <w:right w:w="20" w:type="dxa"/>
            </w:tcMar>
            <w:vAlign w:val="bottom"/>
          </w:tcPr>
          <w:p w14:paraId="00BAE1CB" w14:textId="77777777" w:rsidR="00871BDF" w:rsidRDefault="00871BDF">
            <w:pPr>
              <w:jc w:val="right"/>
              <w:rPr>
                <w:rFonts w:ascii="宋体"/>
              </w:rPr>
            </w:pPr>
          </w:p>
        </w:tc>
      </w:tr>
      <w:tr w:rsidR="00871BDF" w14:paraId="00BAE1D9" w14:textId="77777777">
        <w:tc>
          <w:tcPr>
            <w:tcW w:w="0" w:type="auto"/>
            <w:gridSpan w:val="3"/>
            <w:shd w:val="clear" w:color="auto" w:fill="FFFFFF"/>
            <w:tcMar>
              <w:top w:w="40" w:type="dxa"/>
              <w:left w:w="20" w:type="dxa"/>
              <w:bottom w:w="40" w:type="dxa"/>
              <w:right w:w="20" w:type="dxa"/>
            </w:tcMar>
          </w:tcPr>
          <w:p w14:paraId="00BAE1CD"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00BAE1CE" w14:textId="77777777" w:rsidR="00871BDF" w:rsidRDefault="005C5088">
            <w:pPr>
              <w:jc w:val="right"/>
              <w:textAlignment w:val="bottom"/>
            </w:pPr>
            <w:r>
              <w:rPr>
                <w:rFonts w:ascii="Times New Roman" w:eastAsia="宋体" w:hAnsi="Times New Roman"/>
                <w:color w:val="000000"/>
                <w:sz w:val="20"/>
                <w:szCs w:val="20"/>
              </w:rPr>
              <w:t>13.0 </w:t>
            </w:r>
          </w:p>
        </w:tc>
        <w:tc>
          <w:tcPr>
            <w:tcW w:w="0" w:type="auto"/>
            <w:shd w:val="clear" w:color="auto" w:fill="FFFFFF"/>
            <w:tcMar>
              <w:top w:w="40" w:type="dxa"/>
              <w:left w:w="0" w:type="dxa"/>
              <w:bottom w:w="40" w:type="dxa"/>
              <w:right w:w="20" w:type="dxa"/>
            </w:tcMar>
            <w:vAlign w:val="bottom"/>
          </w:tcPr>
          <w:p w14:paraId="00BAE1C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D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D1" w14:textId="77777777" w:rsidR="00871BDF" w:rsidRDefault="005C5088">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00BAE1D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D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D4" w14:textId="77777777" w:rsidR="00871BDF" w:rsidRDefault="005C5088">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00BAE1D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D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1D7" w14:textId="77777777" w:rsidR="00871BDF" w:rsidRDefault="005C5088">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0BAE1D8" w14:textId="77777777" w:rsidR="00871BDF" w:rsidRDefault="00871BDF">
            <w:pPr>
              <w:jc w:val="right"/>
              <w:rPr>
                <w:rFonts w:ascii="宋体"/>
              </w:rPr>
            </w:pPr>
          </w:p>
        </w:tc>
      </w:tr>
      <w:tr w:rsidR="00871BDF" w14:paraId="00BAE1E6" w14:textId="77777777">
        <w:tc>
          <w:tcPr>
            <w:tcW w:w="0" w:type="auto"/>
            <w:gridSpan w:val="3"/>
            <w:shd w:val="clear" w:color="auto" w:fill="D7E4BC"/>
            <w:tcMar>
              <w:top w:w="40" w:type="dxa"/>
              <w:left w:w="20" w:type="dxa"/>
              <w:bottom w:w="40" w:type="dxa"/>
              <w:right w:w="20" w:type="dxa"/>
            </w:tcMar>
          </w:tcPr>
          <w:p w14:paraId="00BAE1DA" w14:textId="77777777" w:rsidR="00871BDF" w:rsidRDefault="005C5088">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00BAE1DB" w14:textId="77777777" w:rsidR="00871BDF" w:rsidRDefault="005C5088">
            <w:pPr>
              <w:jc w:val="right"/>
              <w:textAlignment w:val="bottom"/>
            </w:pPr>
            <w:r>
              <w:rPr>
                <w:rFonts w:ascii="Times New Roman" w:eastAsia="宋体" w:hAnsi="Times New Roman"/>
                <w:color w:val="000000"/>
                <w:sz w:val="20"/>
                <w:szCs w:val="20"/>
              </w:rPr>
              <w:t>11.5 </w:t>
            </w:r>
          </w:p>
        </w:tc>
        <w:tc>
          <w:tcPr>
            <w:tcW w:w="0" w:type="auto"/>
            <w:shd w:val="clear" w:color="auto" w:fill="D7E4BC"/>
            <w:tcMar>
              <w:top w:w="40" w:type="dxa"/>
              <w:left w:w="0" w:type="dxa"/>
              <w:bottom w:w="40" w:type="dxa"/>
              <w:right w:w="20" w:type="dxa"/>
            </w:tcMar>
            <w:vAlign w:val="bottom"/>
          </w:tcPr>
          <w:p w14:paraId="00BAE1D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D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DE" w14:textId="77777777" w:rsidR="00871BDF" w:rsidRDefault="005C5088">
            <w:pPr>
              <w:jc w:val="right"/>
              <w:textAlignment w:val="bottom"/>
            </w:pPr>
            <w:r>
              <w:rPr>
                <w:rFonts w:ascii="Times New Roman" w:eastAsia="宋体" w:hAnsi="Times New Roman"/>
                <w:color w:val="000000"/>
                <w:sz w:val="20"/>
                <w:szCs w:val="20"/>
              </w:rPr>
              <w:t>13.9 </w:t>
            </w:r>
          </w:p>
        </w:tc>
        <w:tc>
          <w:tcPr>
            <w:tcW w:w="0" w:type="auto"/>
            <w:shd w:val="clear" w:color="auto" w:fill="D7E4BC"/>
            <w:tcMar>
              <w:top w:w="40" w:type="dxa"/>
              <w:left w:w="0" w:type="dxa"/>
              <w:bottom w:w="40" w:type="dxa"/>
              <w:right w:w="20" w:type="dxa"/>
            </w:tcMar>
            <w:vAlign w:val="bottom"/>
          </w:tcPr>
          <w:p w14:paraId="00BAE1D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E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E1" w14:textId="77777777" w:rsidR="00871BDF" w:rsidRDefault="005C5088">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00BAE1E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E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E4" w14:textId="77777777" w:rsidR="00871BDF" w:rsidRDefault="005C5088">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00BAE1E5" w14:textId="77777777" w:rsidR="00871BDF" w:rsidRDefault="00871BDF">
            <w:pPr>
              <w:jc w:val="right"/>
              <w:rPr>
                <w:rFonts w:ascii="宋体"/>
              </w:rPr>
            </w:pPr>
          </w:p>
        </w:tc>
      </w:tr>
      <w:tr w:rsidR="00871BDF" w14:paraId="00BAE1F3" w14:textId="77777777">
        <w:tc>
          <w:tcPr>
            <w:tcW w:w="0" w:type="auto"/>
            <w:gridSpan w:val="3"/>
            <w:shd w:val="clear" w:color="auto" w:fill="FFFFFF"/>
            <w:tcMar>
              <w:top w:w="40" w:type="dxa"/>
              <w:left w:w="20" w:type="dxa"/>
              <w:bottom w:w="40" w:type="dxa"/>
              <w:right w:w="20" w:type="dxa"/>
            </w:tcMar>
          </w:tcPr>
          <w:p w14:paraId="00BAE1E7" w14:textId="77777777" w:rsidR="00871BDF" w:rsidRDefault="005C5088">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1E8" w14:textId="77777777" w:rsidR="00871BDF" w:rsidRDefault="005C5088">
            <w:pPr>
              <w:jc w:val="right"/>
              <w:textAlignment w:val="bottom"/>
            </w:pPr>
            <w:r>
              <w:rPr>
                <w:rFonts w:ascii="Times New Roman" w:eastAsia="宋体" w:hAnsi="Times New Roman"/>
                <w:color w:val="000000"/>
                <w:sz w:val="20"/>
                <w:szCs w:val="20"/>
              </w:rPr>
              <w:t>1,490.7 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1E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EA"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1EB" w14:textId="77777777" w:rsidR="00871BDF" w:rsidRDefault="005C5088">
            <w:pPr>
              <w:jc w:val="right"/>
              <w:textAlignment w:val="bottom"/>
            </w:pPr>
            <w:r>
              <w:rPr>
                <w:rFonts w:ascii="Times New Roman" w:eastAsia="宋体" w:hAnsi="Times New Roman"/>
                <w:color w:val="000000"/>
                <w:sz w:val="20"/>
                <w:szCs w:val="20"/>
              </w:rPr>
              <w:t>1,554.0 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1E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ED"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1EE" w14:textId="77777777" w:rsidR="00871BDF" w:rsidRDefault="005C5088">
            <w:pPr>
              <w:jc w:val="right"/>
              <w:textAlignment w:val="bottom"/>
            </w:pPr>
            <w:r>
              <w:rPr>
                <w:rFonts w:ascii="Times New Roman" w:eastAsia="宋体" w:hAnsi="Times New Roman"/>
                <w:color w:val="000000"/>
                <w:sz w:val="20"/>
                <w:szCs w:val="20"/>
              </w:rPr>
              <w:t>74.8 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1E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1F0"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1F1" w14:textId="77777777" w:rsidR="00871BDF" w:rsidRDefault="005C5088">
            <w:pPr>
              <w:jc w:val="right"/>
              <w:textAlignment w:val="bottom"/>
            </w:pPr>
            <w:r>
              <w:rPr>
                <w:rFonts w:ascii="Times New Roman" w:eastAsia="宋体" w:hAnsi="Times New Roman"/>
                <w:color w:val="000000"/>
                <w:sz w:val="20"/>
                <w:szCs w:val="20"/>
              </w:rPr>
              <w:t>67.6 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1F2" w14:textId="77777777" w:rsidR="00871BDF" w:rsidRDefault="00871BDF">
            <w:pPr>
              <w:jc w:val="right"/>
              <w:rPr>
                <w:rFonts w:ascii="宋体"/>
              </w:rPr>
            </w:pPr>
          </w:p>
        </w:tc>
      </w:tr>
      <w:tr w:rsidR="00871BDF" w14:paraId="00BAE200" w14:textId="77777777">
        <w:tc>
          <w:tcPr>
            <w:tcW w:w="0" w:type="auto"/>
            <w:gridSpan w:val="3"/>
            <w:shd w:val="clear" w:color="auto" w:fill="D7E4BC"/>
            <w:tcMar>
              <w:top w:w="40" w:type="dxa"/>
              <w:left w:w="20" w:type="dxa"/>
              <w:bottom w:w="40" w:type="dxa"/>
              <w:right w:w="20" w:type="dxa"/>
            </w:tcMar>
          </w:tcPr>
          <w:p w14:paraId="00BAE1F4" w14:textId="77777777" w:rsidR="00871BDF" w:rsidRDefault="005C5088">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00BAE1F5" w14:textId="77777777" w:rsidR="00871BDF" w:rsidRDefault="005C5088">
            <w:pPr>
              <w:jc w:val="right"/>
              <w:textAlignment w:val="bottom"/>
            </w:pPr>
            <w:r>
              <w:rPr>
                <w:rFonts w:ascii="Times New Roman" w:eastAsia="宋体" w:hAnsi="Times New Roman"/>
                <w:color w:val="000000"/>
                <w:sz w:val="20"/>
                <w:szCs w:val="20"/>
              </w:rPr>
              <w:t>195.6 </w:t>
            </w:r>
          </w:p>
        </w:tc>
        <w:tc>
          <w:tcPr>
            <w:tcW w:w="0" w:type="auto"/>
            <w:shd w:val="clear" w:color="auto" w:fill="D7E4BC"/>
            <w:tcMar>
              <w:top w:w="40" w:type="dxa"/>
              <w:left w:w="0" w:type="dxa"/>
              <w:bottom w:w="40" w:type="dxa"/>
              <w:right w:w="20" w:type="dxa"/>
            </w:tcMar>
            <w:vAlign w:val="bottom"/>
          </w:tcPr>
          <w:p w14:paraId="00BAE1F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F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F8" w14:textId="77777777" w:rsidR="00871BDF" w:rsidRDefault="005C5088">
            <w:pPr>
              <w:jc w:val="right"/>
              <w:textAlignment w:val="bottom"/>
            </w:pPr>
            <w:r>
              <w:rPr>
                <w:rFonts w:ascii="Times New Roman" w:eastAsia="宋体" w:hAnsi="Times New Roman"/>
                <w:color w:val="000000"/>
                <w:sz w:val="20"/>
                <w:szCs w:val="20"/>
              </w:rPr>
              <w:t>183.8 </w:t>
            </w:r>
          </w:p>
        </w:tc>
        <w:tc>
          <w:tcPr>
            <w:tcW w:w="0" w:type="auto"/>
            <w:shd w:val="clear" w:color="auto" w:fill="D7E4BC"/>
            <w:tcMar>
              <w:top w:w="40" w:type="dxa"/>
              <w:left w:w="0" w:type="dxa"/>
              <w:bottom w:w="40" w:type="dxa"/>
              <w:right w:w="20" w:type="dxa"/>
            </w:tcMar>
            <w:vAlign w:val="bottom"/>
          </w:tcPr>
          <w:p w14:paraId="00BAE1F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F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FB" w14:textId="77777777" w:rsidR="00871BDF" w:rsidRDefault="005C5088">
            <w:pPr>
              <w:jc w:val="right"/>
              <w:textAlignment w:val="bottom"/>
            </w:pPr>
            <w:r>
              <w:rPr>
                <w:rFonts w:ascii="Times New Roman" w:eastAsia="宋体" w:hAnsi="Times New Roman"/>
                <w:color w:val="000000"/>
                <w:sz w:val="20"/>
                <w:szCs w:val="20"/>
              </w:rPr>
              <w:t>9.8 </w:t>
            </w:r>
          </w:p>
        </w:tc>
        <w:tc>
          <w:tcPr>
            <w:tcW w:w="0" w:type="auto"/>
            <w:shd w:val="clear" w:color="auto" w:fill="D7E4BC"/>
            <w:tcMar>
              <w:top w:w="40" w:type="dxa"/>
              <w:left w:w="0" w:type="dxa"/>
              <w:bottom w:w="40" w:type="dxa"/>
              <w:right w:w="20" w:type="dxa"/>
            </w:tcMar>
            <w:vAlign w:val="bottom"/>
          </w:tcPr>
          <w:p w14:paraId="00BAE1F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1F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1FE" w14:textId="77777777" w:rsidR="00871BDF" w:rsidRDefault="005C5088">
            <w:pPr>
              <w:jc w:val="right"/>
              <w:textAlignment w:val="bottom"/>
            </w:pPr>
            <w:r>
              <w:rPr>
                <w:rFonts w:ascii="Times New Roman" w:eastAsia="宋体" w:hAnsi="Times New Roman"/>
                <w:color w:val="000000"/>
                <w:sz w:val="20"/>
                <w:szCs w:val="20"/>
              </w:rPr>
              <w:t>8.0 </w:t>
            </w:r>
          </w:p>
        </w:tc>
        <w:tc>
          <w:tcPr>
            <w:tcW w:w="0" w:type="auto"/>
            <w:shd w:val="clear" w:color="auto" w:fill="D7E4BC"/>
            <w:tcMar>
              <w:top w:w="40" w:type="dxa"/>
              <w:left w:w="0" w:type="dxa"/>
              <w:bottom w:w="40" w:type="dxa"/>
              <w:right w:w="20" w:type="dxa"/>
            </w:tcMar>
            <w:vAlign w:val="bottom"/>
          </w:tcPr>
          <w:p w14:paraId="00BAE1FF" w14:textId="77777777" w:rsidR="00871BDF" w:rsidRDefault="00871BDF">
            <w:pPr>
              <w:jc w:val="right"/>
              <w:rPr>
                <w:rFonts w:ascii="宋体"/>
              </w:rPr>
            </w:pPr>
          </w:p>
        </w:tc>
      </w:tr>
      <w:tr w:rsidR="00871BDF" w14:paraId="00BAE20F" w14:textId="77777777">
        <w:tc>
          <w:tcPr>
            <w:tcW w:w="0" w:type="auto"/>
            <w:gridSpan w:val="3"/>
            <w:shd w:val="clear" w:color="auto" w:fill="FFFFFF"/>
            <w:tcMar>
              <w:top w:w="40" w:type="dxa"/>
              <w:left w:w="20" w:type="dxa"/>
              <w:bottom w:w="40" w:type="dxa"/>
              <w:right w:w="20" w:type="dxa"/>
            </w:tcMar>
          </w:tcPr>
          <w:p w14:paraId="00BAE201" w14:textId="77777777" w:rsidR="00871BDF" w:rsidRDefault="005C5088">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00BAE202"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203" w14:textId="77777777" w:rsidR="00871BDF" w:rsidRDefault="005C5088">
            <w:pPr>
              <w:jc w:val="right"/>
              <w:textAlignment w:val="bottom"/>
            </w:pPr>
            <w:r>
              <w:rPr>
                <w:rFonts w:ascii="Times New Roman" w:eastAsia="宋体" w:hAnsi="Times New Roman"/>
                <w:b/>
                <w:bCs/>
                <w:color w:val="000000"/>
                <w:sz w:val="20"/>
                <w:szCs w:val="20"/>
              </w:rPr>
              <w:t>697.5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20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05"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206"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207" w14:textId="77777777" w:rsidR="00871BDF" w:rsidRDefault="005C5088">
            <w:pPr>
              <w:jc w:val="right"/>
              <w:textAlignment w:val="bottom"/>
            </w:pPr>
            <w:r>
              <w:rPr>
                <w:rFonts w:ascii="Times New Roman" w:eastAsia="宋体" w:hAnsi="Times New Roman"/>
                <w:b/>
                <w:bCs/>
                <w:color w:val="000000"/>
                <w:sz w:val="20"/>
                <w:szCs w:val="20"/>
              </w:rPr>
              <w:t>927.1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20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09"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20A" w14:textId="77777777" w:rsidR="00871BDF" w:rsidRDefault="005C5088">
            <w:pPr>
              <w:jc w:val="right"/>
              <w:textAlignment w:val="bottom"/>
            </w:pPr>
            <w:r>
              <w:rPr>
                <w:rFonts w:ascii="Times New Roman" w:eastAsia="宋体" w:hAnsi="Times New Roman"/>
                <w:b/>
                <w:bCs/>
                <w:color w:val="000000"/>
                <w:sz w:val="20"/>
                <w:szCs w:val="20"/>
              </w:rPr>
              <w:t>35.0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20B" w14:textId="77777777" w:rsidR="00871BDF" w:rsidRDefault="005C5088">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tcPr>
          <w:p w14:paraId="00BAE20C"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20D" w14:textId="77777777" w:rsidR="00871BDF" w:rsidRDefault="005C5088">
            <w:pPr>
              <w:jc w:val="right"/>
              <w:textAlignment w:val="bottom"/>
            </w:pPr>
            <w:r>
              <w:rPr>
                <w:rFonts w:ascii="Times New Roman" w:eastAsia="宋体" w:hAnsi="Times New Roman"/>
                <w:b/>
                <w:bCs/>
                <w:color w:val="000000"/>
                <w:sz w:val="20"/>
                <w:szCs w:val="20"/>
              </w:rPr>
              <w:t>40.4</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20E" w14:textId="77777777" w:rsidR="00871BDF" w:rsidRDefault="005C5088">
            <w:pPr>
              <w:jc w:val="right"/>
              <w:textAlignment w:val="bottom"/>
            </w:pPr>
            <w:r>
              <w:rPr>
                <w:rFonts w:ascii="Times New Roman" w:eastAsia="宋体" w:hAnsi="Times New Roman"/>
                <w:b/>
                <w:bCs/>
                <w:color w:val="000000"/>
                <w:sz w:val="20"/>
                <w:szCs w:val="20"/>
              </w:rPr>
              <w:t>%</w:t>
            </w:r>
          </w:p>
        </w:tc>
      </w:tr>
    </w:tbl>
    <w:p w14:paraId="00BAE210" w14:textId="77777777" w:rsidR="00871BDF" w:rsidRDefault="005C5088">
      <w:pPr>
        <w:spacing w:before="120"/>
      </w:pPr>
      <w:r>
        <w:rPr>
          <w:rFonts w:ascii="Times New Roman" w:eastAsia="宋体" w:hAnsi="Times New Roman"/>
          <w:color w:val="000000"/>
          <w:sz w:val="20"/>
          <w:szCs w:val="20"/>
        </w:rPr>
        <w:t>Our Channel Development segment results reflect the impact of the licensing of our CPG and Foodservice businesses to Nestlé late in the fourth quarter of fiscal 201</w:t>
      </w:r>
      <w:r>
        <w:rPr>
          <w:rFonts w:ascii="Times New Roman" w:eastAsia="宋体" w:hAnsi="Times New Roman"/>
          <w:color w:val="000000"/>
          <w:sz w:val="20"/>
          <w:szCs w:val="20"/>
        </w:rPr>
        <w:t>8, which we lapped late in the fourth quarter of fiscal 2019. Our collaborative business relationships for our global ready-to-drink products and the associated revenues remain unchanged due to the Global Coffee Alliance.</w:t>
      </w:r>
    </w:p>
    <w:p w14:paraId="00BAE211" w14:textId="77777777" w:rsidR="00871BDF" w:rsidRDefault="005C5088">
      <w:pPr>
        <w:spacing w:before="120"/>
      </w:pPr>
      <w:r>
        <w:rPr>
          <w:rFonts w:ascii="Times New Roman" w:eastAsia="宋体" w:hAnsi="Times New Roman"/>
          <w:color w:val="000000"/>
          <w:sz w:val="20"/>
          <w:szCs w:val="20"/>
          <w:u w:val="single"/>
        </w:rPr>
        <w:t>Revenues</w:t>
      </w:r>
    </w:p>
    <w:p w14:paraId="00BAE212" w14:textId="77777777" w:rsidR="00871BDF" w:rsidRDefault="005C5088">
      <w:pPr>
        <w:spacing w:before="120"/>
      </w:pPr>
      <w:r>
        <w:rPr>
          <w:rFonts w:ascii="Times New Roman" w:eastAsia="宋体" w:hAnsi="Times New Roman"/>
          <w:color w:val="000000"/>
          <w:sz w:val="20"/>
          <w:szCs w:val="20"/>
        </w:rPr>
        <w:t>Channel Development net r</w:t>
      </w:r>
      <w:r>
        <w:rPr>
          <w:rFonts w:ascii="Times New Roman" w:eastAsia="宋体" w:hAnsi="Times New Roman"/>
          <w:color w:val="000000"/>
          <w:sz w:val="20"/>
          <w:szCs w:val="20"/>
        </w:rPr>
        <w:t>evenues for fiscal 2019 decreased $305 million, or 13%, when compared to the prior year period, primarily driven by licensing our CPG and Foodservice businesses to Nestlé ($329 million), offset by growth in product revenue, primarily premium single-serve p</w:t>
      </w:r>
      <w:r>
        <w:rPr>
          <w:rFonts w:ascii="Times New Roman" w:eastAsia="宋体" w:hAnsi="Times New Roman"/>
          <w:color w:val="000000"/>
          <w:sz w:val="20"/>
          <w:szCs w:val="20"/>
        </w:rPr>
        <w:t>roducts, in connection with our Global Coffee Alliance ($25 million).</w:t>
      </w:r>
    </w:p>
    <w:p w14:paraId="00BAE213" w14:textId="77777777" w:rsidR="00871BDF" w:rsidRDefault="005C5088">
      <w:pPr>
        <w:spacing w:before="120"/>
      </w:pPr>
      <w:r>
        <w:rPr>
          <w:rFonts w:ascii="Times New Roman" w:eastAsia="宋体" w:hAnsi="Times New Roman"/>
          <w:color w:val="000000"/>
          <w:sz w:val="20"/>
          <w:szCs w:val="20"/>
          <w:u w:val="single"/>
        </w:rPr>
        <w:t>Operating Margin</w:t>
      </w:r>
    </w:p>
    <w:p w14:paraId="00BAE214" w14:textId="77777777" w:rsidR="00871BDF" w:rsidRDefault="005C5088">
      <w:pPr>
        <w:spacing w:before="120"/>
      </w:pPr>
      <w:r>
        <w:rPr>
          <w:rFonts w:ascii="Times New Roman" w:eastAsia="宋体" w:hAnsi="Times New Roman"/>
          <w:color w:val="000000"/>
          <w:sz w:val="20"/>
          <w:szCs w:val="20"/>
        </w:rPr>
        <w:t xml:space="preserve">Channel Development operating income for fiscal 2019 decreased 25% to $698 million, compared to $927 million in fiscal 2018. Operating margin decreased 540 basis points </w:t>
      </w:r>
      <w:r>
        <w:rPr>
          <w:rFonts w:ascii="Times New Roman" w:eastAsia="宋体" w:hAnsi="Times New Roman"/>
          <w:color w:val="000000"/>
          <w:sz w:val="20"/>
          <w:szCs w:val="20"/>
        </w:rPr>
        <w:t>to 35.0%, primarily driven by licensing our CPG and Foodservice businesses to Nestlé (approximately 640 basis points), partially offset by lapping prior year costs associated with the establishment of the Global Coffee Alliance (approximately 140 basis poi</w:t>
      </w:r>
      <w:r>
        <w:rPr>
          <w:rFonts w:ascii="Times New Roman" w:eastAsia="宋体" w:hAnsi="Times New Roman"/>
          <w:color w:val="000000"/>
          <w:sz w:val="20"/>
          <w:szCs w:val="20"/>
        </w:rPr>
        <w:t>nts), including business taxes associated with the up-front prepaid royalty and headcount-related costs, primarily related to employee bonus and retention costs.</w:t>
      </w:r>
    </w:p>
    <w:p w14:paraId="00BAE215" w14:textId="77777777" w:rsidR="00871BDF" w:rsidRDefault="005C5088">
      <w:pPr>
        <w:jc w:val="center"/>
      </w:pPr>
      <w:r>
        <w:rPr>
          <w:rFonts w:ascii="Times New Roman" w:eastAsia="宋体" w:hAnsi="Times New Roman"/>
          <w:color w:val="000000"/>
          <w:sz w:val="20"/>
          <w:szCs w:val="20"/>
        </w:rPr>
        <w:t>37</w:t>
      </w:r>
    </w:p>
    <w:p w14:paraId="00BAE216" w14:textId="77777777" w:rsidR="00871BDF" w:rsidRDefault="005C5088">
      <w:r>
        <w:pict w14:anchorId="00BB148A">
          <v:rect id="_x0000_i1064" style="width:415.3pt;height:1.5pt" o:hralign="center" o:hrstd="t" o:hr="t" fillcolor="#a0a0a0" stroked="f"/>
        </w:pict>
      </w:r>
    </w:p>
    <w:p w14:paraId="00BAE217" w14:textId="77777777" w:rsidR="00871BDF" w:rsidRDefault="005C5088">
      <w:hyperlink r:id="rId102" w:anchor="i54ccc64cb5384be5a4849ef1cdef4dde_7" w:history="1">
        <w:r>
          <w:rPr>
            <w:rStyle w:val="a5"/>
            <w:rFonts w:ascii="Times New Roman" w:eastAsia="宋体" w:hAnsi="Times New Roman"/>
            <w:sz w:val="20"/>
            <w:szCs w:val="20"/>
          </w:rPr>
          <w:t>Table of Contents</w:t>
        </w:r>
      </w:hyperlink>
    </w:p>
    <w:p w14:paraId="00BAE218" w14:textId="77777777" w:rsidR="00871BDF" w:rsidRDefault="005C5088">
      <w:pPr>
        <w:spacing w:before="120"/>
      </w:pPr>
      <w:r>
        <w:rPr>
          <w:rFonts w:ascii="Times New Roman" w:eastAsia="宋体" w:hAnsi="Times New Roman"/>
          <w:b/>
          <w:bCs/>
          <w:i/>
          <w:iCs/>
          <w:color w:val="000000"/>
          <w:sz w:val="20"/>
          <w:szCs w:val="20"/>
        </w:rPr>
        <w:t>Corporate and Other</w:t>
      </w:r>
    </w:p>
    <w:tbl>
      <w:tblPr>
        <w:tblW w:w="4993" w:type="pct"/>
        <w:tblCellMar>
          <w:top w:w="15" w:type="dxa"/>
          <w:left w:w="15" w:type="dxa"/>
          <w:bottom w:w="15" w:type="dxa"/>
          <w:right w:w="15" w:type="dxa"/>
        </w:tblCellMar>
        <w:tblLook w:val="04A0" w:firstRow="1" w:lastRow="0" w:firstColumn="1" w:lastColumn="0" w:noHBand="0" w:noVBand="1"/>
      </w:tblPr>
      <w:tblGrid>
        <w:gridCol w:w="39"/>
        <w:gridCol w:w="3978"/>
        <w:gridCol w:w="37"/>
        <w:gridCol w:w="120"/>
        <w:gridCol w:w="1200"/>
        <w:gridCol w:w="36"/>
        <w:gridCol w:w="36"/>
        <w:gridCol w:w="36"/>
        <w:gridCol w:w="36"/>
        <w:gridCol w:w="120"/>
        <w:gridCol w:w="1149"/>
        <w:gridCol w:w="36"/>
        <w:gridCol w:w="36"/>
        <w:gridCol w:w="36"/>
        <w:gridCol w:w="36"/>
        <w:gridCol w:w="38"/>
        <w:gridCol w:w="1135"/>
        <w:gridCol w:w="220"/>
      </w:tblGrid>
      <w:tr w:rsidR="00871BDF" w14:paraId="00BAE22B" w14:textId="77777777">
        <w:tc>
          <w:tcPr>
            <w:tcW w:w="50" w:type="pct"/>
            <w:shd w:val="clear" w:color="auto" w:fill="auto"/>
          </w:tcPr>
          <w:p w14:paraId="00BAE219" w14:textId="77777777" w:rsidR="00871BDF" w:rsidRDefault="00871BDF">
            <w:pPr>
              <w:rPr>
                <w:rFonts w:ascii="宋体"/>
              </w:rPr>
            </w:pPr>
          </w:p>
        </w:tc>
        <w:tc>
          <w:tcPr>
            <w:tcW w:w="2434" w:type="pct"/>
            <w:shd w:val="clear" w:color="auto" w:fill="auto"/>
          </w:tcPr>
          <w:p w14:paraId="00BAE21A" w14:textId="77777777" w:rsidR="00871BDF" w:rsidRDefault="00871BDF">
            <w:pPr>
              <w:rPr>
                <w:rFonts w:ascii="宋体"/>
              </w:rPr>
            </w:pPr>
          </w:p>
        </w:tc>
        <w:tc>
          <w:tcPr>
            <w:tcW w:w="5" w:type="pct"/>
            <w:shd w:val="clear" w:color="auto" w:fill="auto"/>
          </w:tcPr>
          <w:p w14:paraId="00BAE21B" w14:textId="77777777" w:rsidR="00871BDF" w:rsidRDefault="00871BDF">
            <w:pPr>
              <w:rPr>
                <w:rFonts w:ascii="宋体"/>
              </w:rPr>
            </w:pPr>
          </w:p>
        </w:tc>
        <w:tc>
          <w:tcPr>
            <w:tcW w:w="50" w:type="pct"/>
            <w:shd w:val="clear" w:color="auto" w:fill="auto"/>
          </w:tcPr>
          <w:p w14:paraId="00BAE21C" w14:textId="77777777" w:rsidR="00871BDF" w:rsidRDefault="00871BDF">
            <w:pPr>
              <w:rPr>
                <w:rFonts w:ascii="宋体"/>
              </w:rPr>
            </w:pPr>
          </w:p>
        </w:tc>
        <w:tc>
          <w:tcPr>
            <w:tcW w:w="757" w:type="pct"/>
            <w:shd w:val="clear" w:color="auto" w:fill="auto"/>
          </w:tcPr>
          <w:p w14:paraId="00BAE21D" w14:textId="77777777" w:rsidR="00871BDF" w:rsidRDefault="00871BDF">
            <w:pPr>
              <w:rPr>
                <w:rFonts w:ascii="宋体"/>
              </w:rPr>
            </w:pPr>
          </w:p>
        </w:tc>
        <w:tc>
          <w:tcPr>
            <w:tcW w:w="5" w:type="pct"/>
            <w:shd w:val="clear" w:color="auto" w:fill="auto"/>
          </w:tcPr>
          <w:p w14:paraId="00BAE21E" w14:textId="77777777" w:rsidR="00871BDF" w:rsidRDefault="00871BDF">
            <w:pPr>
              <w:rPr>
                <w:rFonts w:ascii="宋体"/>
              </w:rPr>
            </w:pPr>
          </w:p>
        </w:tc>
        <w:tc>
          <w:tcPr>
            <w:tcW w:w="5" w:type="pct"/>
            <w:shd w:val="clear" w:color="auto" w:fill="auto"/>
          </w:tcPr>
          <w:p w14:paraId="00BAE21F" w14:textId="77777777" w:rsidR="00871BDF" w:rsidRDefault="00871BDF">
            <w:pPr>
              <w:rPr>
                <w:rFonts w:ascii="宋体"/>
              </w:rPr>
            </w:pPr>
          </w:p>
        </w:tc>
        <w:tc>
          <w:tcPr>
            <w:tcW w:w="26" w:type="pct"/>
            <w:shd w:val="clear" w:color="auto" w:fill="auto"/>
          </w:tcPr>
          <w:p w14:paraId="00BAE220" w14:textId="77777777" w:rsidR="00871BDF" w:rsidRDefault="00871BDF">
            <w:pPr>
              <w:rPr>
                <w:rFonts w:ascii="宋体"/>
              </w:rPr>
            </w:pPr>
          </w:p>
        </w:tc>
        <w:tc>
          <w:tcPr>
            <w:tcW w:w="5" w:type="pct"/>
            <w:shd w:val="clear" w:color="auto" w:fill="auto"/>
          </w:tcPr>
          <w:p w14:paraId="00BAE221" w14:textId="77777777" w:rsidR="00871BDF" w:rsidRDefault="00871BDF">
            <w:pPr>
              <w:rPr>
                <w:rFonts w:ascii="宋体"/>
              </w:rPr>
            </w:pPr>
          </w:p>
        </w:tc>
        <w:tc>
          <w:tcPr>
            <w:tcW w:w="50" w:type="pct"/>
            <w:shd w:val="clear" w:color="auto" w:fill="auto"/>
          </w:tcPr>
          <w:p w14:paraId="00BAE222" w14:textId="77777777" w:rsidR="00871BDF" w:rsidRDefault="00871BDF">
            <w:pPr>
              <w:rPr>
                <w:rFonts w:ascii="宋体"/>
              </w:rPr>
            </w:pPr>
          </w:p>
        </w:tc>
        <w:tc>
          <w:tcPr>
            <w:tcW w:w="757" w:type="pct"/>
            <w:shd w:val="clear" w:color="auto" w:fill="auto"/>
          </w:tcPr>
          <w:p w14:paraId="00BAE223" w14:textId="77777777" w:rsidR="00871BDF" w:rsidRDefault="00871BDF">
            <w:pPr>
              <w:rPr>
                <w:rFonts w:ascii="宋体"/>
              </w:rPr>
            </w:pPr>
          </w:p>
        </w:tc>
        <w:tc>
          <w:tcPr>
            <w:tcW w:w="5" w:type="pct"/>
            <w:shd w:val="clear" w:color="auto" w:fill="auto"/>
          </w:tcPr>
          <w:p w14:paraId="00BAE224" w14:textId="77777777" w:rsidR="00871BDF" w:rsidRDefault="00871BDF">
            <w:pPr>
              <w:rPr>
                <w:rFonts w:ascii="宋体"/>
              </w:rPr>
            </w:pPr>
          </w:p>
        </w:tc>
        <w:tc>
          <w:tcPr>
            <w:tcW w:w="5" w:type="pct"/>
            <w:shd w:val="clear" w:color="auto" w:fill="auto"/>
          </w:tcPr>
          <w:p w14:paraId="00BAE225" w14:textId="77777777" w:rsidR="00871BDF" w:rsidRDefault="00871BDF">
            <w:pPr>
              <w:rPr>
                <w:rFonts w:ascii="宋体"/>
              </w:rPr>
            </w:pPr>
          </w:p>
        </w:tc>
        <w:tc>
          <w:tcPr>
            <w:tcW w:w="26" w:type="pct"/>
            <w:shd w:val="clear" w:color="auto" w:fill="auto"/>
          </w:tcPr>
          <w:p w14:paraId="00BAE226" w14:textId="77777777" w:rsidR="00871BDF" w:rsidRDefault="00871BDF">
            <w:pPr>
              <w:rPr>
                <w:rFonts w:ascii="宋体"/>
              </w:rPr>
            </w:pPr>
          </w:p>
        </w:tc>
        <w:tc>
          <w:tcPr>
            <w:tcW w:w="5" w:type="pct"/>
            <w:shd w:val="clear" w:color="auto" w:fill="auto"/>
          </w:tcPr>
          <w:p w14:paraId="00BAE227" w14:textId="77777777" w:rsidR="00871BDF" w:rsidRDefault="00871BDF">
            <w:pPr>
              <w:rPr>
                <w:rFonts w:ascii="宋体"/>
              </w:rPr>
            </w:pPr>
          </w:p>
        </w:tc>
        <w:tc>
          <w:tcPr>
            <w:tcW w:w="50" w:type="pct"/>
            <w:shd w:val="clear" w:color="auto" w:fill="auto"/>
          </w:tcPr>
          <w:p w14:paraId="00BAE228" w14:textId="77777777" w:rsidR="00871BDF" w:rsidRDefault="00871BDF">
            <w:pPr>
              <w:rPr>
                <w:rFonts w:ascii="宋体"/>
              </w:rPr>
            </w:pPr>
          </w:p>
        </w:tc>
        <w:tc>
          <w:tcPr>
            <w:tcW w:w="757" w:type="pct"/>
            <w:shd w:val="clear" w:color="auto" w:fill="auto"/>
          </w:tcPr>
          <w:p w14:paraId="00BAE229" w14:textId="77777777" w:rsidR="00871BDF" w:rsidRDefault="00871BDF">
            <w:pPr>
              <w:rPr>
                <w:rFonts w:ascii="宋体"/>
              </w:rPr>
            </w:pPr>
          </w:p>
        </w:tc>
        <w:tc>
          <w:tcPr>
            <w:tcW w:w="5" w:type="pct"/>
            <w:shd w:val="clear" w:color="auto" w:fill="auto"/>
          </w:tcPr>
          <w:p w14:paraId="00BAE22A" w14:textId="77777777" w:rsidR="00871BDF" w:rsidRDefault="00871BDF">
            <w:pPr>
              <w:rPr>
                <w:rFonts w:ascii="宋体"/>
              </w:rPr>
            </w:pPr>
          </w:p>
        </w:tc>
      </w:tr>
      <w:tr w:rsidR="00871BDF" w14:paraId="00BAE233" w14:textId="77777777">
        <w:tc>
          <w:tcPr>
            <w:tcW w:w="0" w:type="auto"/>
            <w:gridSpan w:val="3"/>
            <w:shd w:val="clear" w:color="auto" w:fill="auto"/>
            <w:tcMar>
              <w:top w:w="40" w:type="dxa"/>
              <w:left w:w="20" w:type="dxa"/>
              <w:bottom w:w="40" w:type="dxa"/>
              <w:right w:w="20" w:type="dxa"/>
            </w:tcMar>
            <w:vAlign w:val="bottom"/>
          </w:tcPr>
          <w:p w14:paraId="00BAE22C"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E22D"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E22E"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22F"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c>
          <w:tcPr>
            <w:tcW w:w="0" w:type="auto"/>
            <w:gridSpan w:val="3"/>
            <w:shd w:val="clear" w:color="auto" w:fill="auto"/>
            <w:tcMar>
              <w:top w:w="0" w:type="dxa"/>
              <w:left w:w="20" w:type="dxa"/>
              <w:bottom w:w="0" w:type="dxa"/>
              <w:right w:w="20" w:type="dxa"/>
            </w:tcMar>
          </w:tcPr>
          <w:p w14:paraId="00BAE23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231" w14:textId="77777777" w:rsidR="00871BDF" w:rsidRDefault="005C5088">
            <w:pPr>
              <w:jc w:val="center"/>
              <w:textAlignment w:val="bottom"/>
            </w:pPr>
            <w:r>
              <w:rPr>
                <w:rFonts w:ascii="Times New Roman" w:eastAsia="宋体" w:hAnsi="Times New Roman"/>
                <w:b/>
                <w:bCs/>
                <w:color w:val="FFFFFF"/>
                <w:sz w:val="16"/>
                <w:szCs w:val="16"/>
              </w:rPr>
              <w:t>%</w:t>
            </w:r>
          </w:p>
          <w:p w14:paraId="00BAE232" w14:textId="77777777" w:rsidR="00871BDF" w:rsidRDefault="005C5088">
            <w:pPr>
              <w:jc w:val="center"/>
              <w:textAlignment w:val="bottom"/>
            </w:pPr>
            <w:r>
              <w:rPr>
                <w:rFonts w:ascii="Times New Roman" w:eastAsia="宋体" w:hAnsi="Times New Roman"/>
                <w:b/>
                <w:bCs/>
                <w:color w:val="FFFFFF"/>
                <w:sz w:val="16"/>
                <w:szCs w:val="16"/>
              </w:rPr>
              <w:t>Change</w:t>
            </w:r>
          </w:p>
        </w:tc>
      </w:tr>
      <w:tr w:rsidR="00871BDF" w14:paraId="00BAE23A" w14:textId="77777777">
        <w:tc>
          <w:tcPr>
            <w:tcW w:w="0" w:type="auto"/>
            <w:gridSpan w:val="3"/>
            <w:shd w:val="clear" w:color="auto" w:fill="D7E4BC"/>
            <w:tcMar>
              <w:top w:w="40" w:type="dxa"/>
              <w:left w:w="20" w:type="dxa"/>
              <w:bottom w:w="40" w:type="dxa"/>
              <w:right w:w="20" w:type="dxa"/>
            </w:tcMar>
          </w:tcPr>
          <w:p w14:paraId="00BAE234" w14:textId="77777777" w:rsidR="00871BDF" w:rsidRDefault="005C5088">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tcPr>
          <w:p w14:paraId="00BAE23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23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23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23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239" w14:textId="77777777" w:rsidR="00871BDF" w:rsidRDefault="00871BDF">
            <w:pPr>
              <w:rPr>
                <w:rFonts w:ascii="宋体"/>
              </w:rPr>
            </w:pPr>
          </w:p>
        </w:tc>
      </w:tr>
      <w:tr w:rsidR="00871BDF" w14:paraId="00BAE246" w14:textId="77777777">
        <w:tc>
          <w:tcPr>
            <w:tcW w:w="0" w:type="auto"/>
            <w:gridSpan w:val="3"/>
            <w:shd w:val="clear" w:color="auto" w:fill="FFFFFF"/>
            <w:tcMar>
              <w:top w:w="40" w:type="dxa"/>
              <w:left w:w="155" w:type="dxa"/>
              <w:bottom w:w="40" w:type="dxa"/>
              <w:right w:w="20" w:type="dxa"/>
            </w:tcMar>
          </w:tcPr>
          <w:p w14:paraId="00BAE23B" w14:textId="77777777" w:rsidR="00871BDF" w:rsidRDefault="005C5088">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00BAE23C"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23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23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3F"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E240"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241" w14:textId="77777777" w:rsidR="00871BDF" w:rsidRDefault="005C5088">
            <w:pPr>
              <w:jc w:val="right"/>
              <w:textAlignment w:val="bottom"/>
            </w:pPr>
            <w:r>
              <w:rPr>
                <w:rFonts w:ascii="Times New Roman" w:eastAsia="宋体" w:hAnsi="Times New Roman"/>
                <w:color w:val="000000"/>
                <w:sz w:val="20"/>
                <w:szCs w:val="20"/>
              </w:rPr>
              <w:t>66.7 </w:t>
            </w:r>
          </w:p>
        </w:tc>
        <w:tc>
          <w:tcPr>
            <w:tcW w:w="0" w:type="auto"/>
            <w:shd w:val="clear" w:color="auto" w:fill="FFFFFF"/>
            <w:tcMar>
              <w:top w:w="40" w:type="dxa"/>
              <w:left w:w="0" w:type="dxa"/>
              <w:bottom w:w="40" w:type="dxa"/>
              <w:right w:w="20" w:type="dxa"/>
            </w:tcMar>
            <w:vAlign w:val="bottom"/>
          </w:tcPr>
          <w:p w14:paraId="00BAE24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4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244" w14:textId="77777777" w:rsidR="00871BDF" w:rsidRDefault="005C5088">
            <w:pPr>
              <w:jc w:val="right"/>
              <w:textAlignment w:val="bottom"/>
            </w:pPr>
            <w:r>
              <w:rPr>
                <w:rFonts w:ascii="Times New Roman" w:eastAsia="宋体" w:hAnsi="Times New Roman"/>
                <w:color w:val="000000"/>
                <w:sz w:val="20"/>
                <w:szCs w:val="20"/>
              </w:rPr>
              <w:t>(100.0)</w:t>
            </w:r>
          </w:p>
        </w:tc>
        <w:tc>
          <w:tcPr>
            <w:tcW w:w="0" w:type="auto"/>
            <w:shd w:val="clear" w:color="auto" w:fill="FFFFFF"/>
            <w:tcMar>
              <w:top w:w="40" w:type="dxa"/>
              <w:left w:w="0" w:type="dxa"/>
              <w:bottom w:w="40" w:type="dxa"/>
              <w:right w:w="20" w:type="dxa"/>
            </w:tcMar>
            <w:vAlign w:val="bottom"/>
          </w:tcPr>
          <w:p w14:paraId="00BAE245"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E250" w14:textId="77777777">
        <w:tc>
          <w:tcPr>
            <w:tcW w:w="0" w:type="auto"/>
            <w:gridSpan w:val="3"/>
            <w:shd w:val="clear" w:color="auto" w:fill="D7E4BC"/>
            <w:tcMar>
              <w:top w:w="40" w:type="dxa"/>
              <w:left w:w="155" w:type="dxa"/>
              <w:bottom w:w="40" w:type="dxa"/>
              <w:right w:w="20" w:type="dxa"/>
            </w:tcMar>
          </w:tcPr>
          <w:p w14:paraId="00BAE247" w14:textId="77777777" w:rsidR="00871BDF" w:rsidRDefault="005C5088">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00BAE24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24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24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24B" w14:textId="77777777" w:rsidR="00871BDF" w:rsidRDefault="005C5088">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0BAE24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24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24E" w14:textId="77777777" w:rsidR="00871BDF" w:rsidRDefault="005C5088">
            <w:pPr>
              <w:jc w:val="right"/>
              <w:textAlignment w:val="bottom"/>
            </w:pPr>
            <w:r>
              <w:rPr>
                <w:rFonts w:ascii="Times New Roman" w:eastAsia="宋体" w:hAnsi="Times New Roman"/>
                <w:color w:val="000000"/>
                <w:sz w:val="20"/>
                <w:szCs w:val="20"/>
              </w:rPr>
              <w:t>(100.0)</w:t>
            </w:r>
          </w:p>
        </w:tc>
        <w:tc>
          <w:tcPr>
            <w:tcW w:w="0" w:type="auto"/>
            <w:shd w:val="clear" w:color="auto" w:fill="D7E4BC"/>
            <w:tcMar>
              <w:top w:w="40" w:type="dxa"/>
              <w:left w:w="0" w:type="dxa"/>
              <w:bottom w:w="40" w:type="dxa"/>
              <w:right w:w="20" w:type="dxa"/>
            </w:tcMar>
            <w:vAlign w:val="bottom"/>
          </w:tcPr>
          <w:p w14:paraId="00BAE24F" w14:textId="77777777" w:rsidR="00871BDF" w:rsidRDefault="00871BDF">
            <w:pPr>
              <w:jc w:val="right"/>
              <w:rPr>
                <w:rFonts w:ascii="宋体"/>
              </w:rPr>
            </w:pPr>
          </w:p>
        </w:tc>
      </w:tr>
      <w:tr w:rsidR="00871BDF" w14:paraId="00BAE25A" w14:textId="77777777">
        <w:tc>
          <w:tcPr>
            <w:tcW w:w="0" w:type="auto"/>
            <w:gridSpan w:val="3"/>
            <w:shd w:val="clear" w:color="auto" w:fill="FFFFFF"/>
            <w:tcMar>
              <w:top w:w="40" w:type="dxa"/>
              <w:left w:w="155" w:type="dxa"/>
              <w:bottom w:w="40" w:type="dxa"/>
              <w:right w:w="20" w:type="dxa"/>
            </w:tcMar>
          </w:tcPr>
          <w:p w14:paraId="00BAE251" w14:textId="77777777" w:rsidR="00871BDF" w:rsidRDefault="005C5088">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0BAE252" w14:textId="77777777" w:rsidR="00871BDF" w:rsidRDefault="005C5088">
            <w:pPr>
              <w:jc w:val="right"/>
              <w:textAlignment w:val="bottom"/>
            </w:pPr>
            <w:r>
              <w:rPr>
                <w:rFonts w:ascii="Times New Roman" w:eastAsia="宋体" w:hAnsi="Times New Roman"/>
                <w:color w:val="000000"/>
                <w:sz w:val="20"/>
                <w:szCs w:val="20"/>
              </w:rPr>
              <w:t>66.3 </w:t>
            </w:r>
          </w:p>
        </w:tc>
        <w:tc>
          <w:tcPr>
            <w:tcW w:w="0" w:type="auto"/>
            <w:shd w:val="clear" w:color="auto" w:fill="FFFFFF"/>
            <w:tcMar>
              <w:top w:w="40" w:type="dxa"/>
              <w:left w:w="0" w:type="dxa"/>
              <w:bottom w:w="40" w:type="dxa"/>
              <w:right w:w="20" w:type="dxa"/>
            </w:tcMar>
            <w:vAlign w:val="bottom"/>
          </w:tcPr>
          <w:p w14:paraId="00BAE25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5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255" w14:textId="77777777" w:rsidR="00871BDF" w:rsidRDefault="005C5088">
            <w:pPr>
              <w:jc w:val="right"/>
              <w:textAlignment w:val="bottom"/>
            </w:pPr>
            <w:r>
              <w:rPr>
                <w:rFonts w:ascii="Times New Roman" w:eastAsia="宋体" w:hAnsi="Times New Roman"/>
                <w:color w:val="000000"/>
                <w:sz w:val="20"/>
                <w:szCs w:val="20"/>
              </w:rPr>
              <w:t>54.5 </w:t>
            </w:r>
          </w:p>
        </w:tc>
        <w:tc>
          <w:tcPr>
            <w:tcW w:w="0" w:type="auto"/>
            <w:shd w:val="clear" w:color="auto" w:fill="FFFFFF"/>
            <w:tcMar>
              <w:top w:w="40" w:type="dxa"/>
              <w:left w:w="0" w:type="dxa"/>
              <w:bottom w:w="40" w:type="dxa"/>
              <w:right w:w="20" w:type="dxa"/>
            </w:tcMar>
            <w:vAlign w:val="bottom"/>
          </w:tcPr>
          <w:p w14:paraId="00BAE25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5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258" w14:textId="77777777" w:rsidR="00871BDF" w:rsidRDefault="005C5088">
            <w:pPr>
              <w:jc w:val="right"/>
              <w:textAlignment w:val="bottom"/>
            </w:pPr>
            <w:r>
              <w:rPr>
                <w:rFonts w:ascii="Times New Roman" w:eastAsia="宋体" w:hAnsi="Times New Roman"/>
                <w:color w:val="000000"/>
                <w:sz w:val="20"/>
                <w:szCs w:val="20"/>
              </w:rPr>
              <w:t>21.7 </w:t>
            </w:r>
          </w:p>
        </w:tc>
        <w:tc>
          <w:tcPr>
            <w:tcW w:w="0" w:type="auto"/>
            <w:shd w:val="clear" w:color="auto" w:fill="FFFFFF"/>
            <w:tcMar>
              <w:top w:w="40" w:type="dxa"/>
              <w:left w:w="0" w:type="dxa"/>
              <w:bottom w:w="40" w:type="dxa"/>
              <w:right w:w="20" w:type="dxa"/>
            </w:tcMar>
            <w:vAlign w:val="bottom"/>
          </w:tcPr>
          <w:p w14:paraId="00BAE259" w14:textId="77777777" w:rsidR="00871BDF" w:rsidRDefault="00871BDF">
            <w:pPr>
              <w:jc w:val="right"/>
              <w:rPr>
                <w:rFonts w:ascii="宋体"/>
              </w:rPr>
            </w:pPr>
          </w:p>
        </w:tc>
      </w:tr>
      <w:tr w:rsidR="00871BDF" w14:paraId="00BAE264" w14:textId="77777777">
        <w:tc>
          <w:tcPr>
            <w:tcW w:w="0" w:type="auto"/>
            <w:gridSpan w:val="3"/>
            <w:shd w:val="clear" w:color="auto" w:fill="D7E4BC"/>
            <w:tcMar>
              <w:top w:w="40" w:type="dxa"/>
              <w:left w:w="20" w:type="dxa"/>
              <w:bottom w:w="40" w:type="dxa"/>
              <w:right w:w="20" w:type="dxa"/>
            </w:tcMar>
          </w:tcPr>
          <w:p w14:paraId="00BAE25B" w14:textId="77777777" w:rsidR="00871BDF" w:rsidRDefault="005C5088">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25C" w14:textId="77777777" w:rsidR="00871BDF" w:rsidRDefault="005C5088">
            <w:pPr>
              <w:jc w:val="right"/>
              <w:textAlignment w:val="bottom"/>
            </w:pPr>
            <w:r>
              <w:rPr>
                <w:rFonts w:ascii="Times New Roman" w:eastAsia="宋体" w:hAnsi="Times New Roman"/>
                <w:b/>
                <w:bCs/>
                <w:color w:val="000000"/>
                <w:sz w:val="20"/>
                <w:szCs w:val="20"/>
              </w:rPr>
              <w:t>66.3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25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25E"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25F" w14:textId="77777777" w:rsidR="00871BDF" w:rsidRDefault="005C5088">
            <w:pPr>
              <w:jc w:val="right"/>
              <w:textAlignment w:val="bottom"/>
            </w:pPr>
            <w:r>
              <w:rPr>
                <w:rFonts w:ascii="Times New Roman" w:eastAsia="宋体" w:hAnsi="Times New Roman"/>
                <w:b/>
                <w:bCs/>
                <w:color w:val="000000"/>
                <w:sz w:val="20"/>
                <w:szCs w:val="20"/>
              </w:rPr>
              <w:t>122.4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26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261"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262" w14:textId="77777777" w:rsidR="00871BDF" w:rsidRDefault="005C5088">
            <w:pPr>
              <w:jc w:val="right"/>
              <w:textAlignment w:val="bottom"/>
            </w:pPr>
            <w:r>
              <w:rPr>
                <w:rFonts w:ascii="Times New Roman" w:eastAsia="宋体" w:hAnsi="Times New Roman"/>
                <w:b/>
                <w:bCs/>
                <w:color w:val="000000"/>
                <w:sz w:val="20"/>
                <w:szCs w:val="20"/>
              </w:rPr>
              <w:t>(45.8)</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263" w14:textId="77777777" w:rsidR="00871BDF" w:rsidRDefault="00871BDF">
            <w:pPr>
              <w:jc w:val="right"/>
              <w:rPr>
                <w:rFonts w:ascii="宋体"/>
              </w:rPr>
            </w:pPr>
          </w:p>
        </w:tc>
      </w:tr>
      <w:tr w:rsidR="00871BDF" w14:paraId="00BAE26E" w14:textId="77777777">
        <w:tc>
          <w:tcPr>
            <w:tcW w:w="0" w:type="auto"/>
            <w:gridSpan w:val="3"/>
            <w:shd w:val="clear" w:color="auto" w:fill="FFFFFF"/>
            <w:tcMar>
              <w:top w:w="40" w:type="dxa"/>
              <w:left w:w="20" w:type="dxa"/>
              <w:bottom w:w="40" w:type="dxa"/>
              <w:right w:w="20" w:type="dxa"/>
            </w:tcMar>
          </w:tcPr>
          <w:p w14:paraId="00BAE265" w14:textId="77777777" w:rsidR="00871BDF" w:rsidRDefault="005C5088">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00BAE266" w14:textId="77777777" w:rsidR="00871BDF" w:rsidRDefault="005C5088">
            <w:pPr>
              <w:jc w:val="right"/>
              <w:textAlignment w:val="bottom"/>
            </w:pPr>
            <w:r>
              <w:rPr>
                <w:rFonts w:ascii="Times New Roman" w:eastAsia="宋体" w:hAnsi="Times New Roman"/>
                <w:color w:val="000000"/>
                <w:sz w:val="20"/>
                <w:szCs w:val="20"/>
              </w:rPr>
              <w:t>67.3 </w:t>
            </w:r>
          </w:p>
        </w:tc>
        <w:tc>
          <w:tcPr>
            <w:tcW w:w="0" w:type="auto"/>
            <w:shd w:val="clear" w:color="auto" w:fill="FFFFFF"/>
            <w:tcMar>
              <w:top w:w="40" w:type="dxa"/>
              <w:left w:w="0" w:type="dxa"/>
              <w:bottom w:w="40" w:type="dxa"/>
              <w:right w:w="20" w:type="dxa"/>
            </w:tcMar>
            <w:vAlign w:val="bottom"/>
          </w:tcPr>
          <w:p w14:paraId="00BAE26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6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269" w14:textId="77777777" w:rsidR="00871BDF" w:rsidRDefault="005C5088">
            <w:pPr>
              <w:jc w:val="right"/>
              <w:textAlignment w:val="bottom"/>
            </w:pPr>
            <w:r>
              <w:rPr>
                <w:rFonts w:ascii="Times New Roman" w:eastAsia="宋体" w:hAnsi="Times New Roman"/>
                <w:color w:val="000000"/>
                <w:sz w:val="20"/>
                <w:szCs w:val="20"/>
              </w:rPr>
              <w:t>84.9 </w:t>
            </w:r>
          </w:p>
        </w:tc>
        <w:tc>
          <w:tcPr>
            <w:tcW w:w="0" w:type="auto"/>
            <w:shd w:val="clear" w:color="auto" w:fill="FFFFFF"/>
            <w:tcMar>
              <w:top w:w="40" w:type="dxa"/>
              <w:left w:w="0" w:type="dxa"/>
              <w:bottom w:w="40" w:type="dxa"/>
              <w:right w:w="20" w:type="dxa"/>
            </w:tcMar>
            <w:vAlign w:val="bottom"/>
          </w:tcPr>
          <w:p w14:paraId="00BAE26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6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26C" w14:textId="77777777" w:rsidR="00871BDF" w:rsidRDefault="005C5088">
            <w:pPr>
              <w:jc w:val="right"/>
              <w:textAlignment w:val="bottom"/>
            </w:pPr>
            <w:r>
              <w:rPr>
                <w:rFonts w:ascii="Times New Roman" w:eastAsia="宋体" w:hAnsi="Times New Roman"/>
                <w:color w:val="000000"/>
                <w:sz w:val="20"/>
                <w:szCs w:val="20"/>
              </w:rPr>
              <w:t>(20.7)</w:t>
            </w:r>
          </w:p>
        </w:tc>
        <w:tc>
          <w:tcPr>
            <w:tcW w:w="0" w:type="auto"/>
            <w:shd w:val="clear" w:color="auto" w:fill="FFFFFF"/>
            <w:tcMar>
              <w:top w:w="40" w:type="dxa"/>
              <w:left w:w="0" w:type="dxa"/>
              <w:bottom w:w="40" w:type="dxa"/>
              <w:right w:w="20" w:type="dxa"/>
            </w:tcMar>
            <w:vAlign w:val="bottom"/>
          </w:tcPr>
          <w:p w14:paraId="00BAE26D" w14:textId="77777777" w:rsidR="00871BDF" w:rsidRDefault="00871BDF">
            <w:pPr>
              <w:jc w:val="right"/>
              <w:rPr>
                <w:rFonts w:ascii="宋体"/>
              </w:rPr>
            </w:pPr>
          </w:p>
        </w:tc>
      </w:tr>
      <w:tr w:rsidR="00871BDF" w14:paraId="00BAE278" w14:textId="77777777">
        <w:tc>
          <w:tcPr>
            <w:tcW w:w="0" w:type="auto"/>
            <w:gridSpan w:val="3"/>
            <w:shd w:val="clear" w:color="auto" w:fill="D7E4BC"/>
            <w:tcMar>
              <w:top w:w="40" w:type="dxa"/>
              <w:left w:w="20" w:type="dxa"/>
              <w:bottom w:w="40" w:type="dxa"/>
              <w:right w:w="20" w:type="dxa"/>
            </w:tcMar>
          </w:tcPr>
          <w:p w14:paraId="00BAE26F" w14:textId="77777777" w:rsidR="00871BDF" w:rsidRDefault="005C5088">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00BAE270" w14:textId="77777777" w:rsidR="00871BDF" w:rsidRDefault="005C5088">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00BAE27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27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273" w14:textId="77777777" w:rsidR="00871BDF" w:rsidRDefault="005C5088">
            <w:pPr>
              <w:jc w:val="right"/>
              <w:textAlignment w:val="bottom"/>
            </w:pPr>
            <w:r>
              <w:rPr>
                <w:rFonts w:ascii="Times New Roman" w:eastAsia="宋体" w:hAnsi="Times New Roman"/>
                <w:color w:val="000000"/>
                <w:sz w:val="20"/>
                <w:szCs w:val="20"/>
              </w:rPr>
              <w:t>41.3 </w:t>
            </w:r>
          </w:p>
        </w:tc>
        <w:tc>
          <w:tcPr>
            <w:tcW w:w="0" w:type="auto"/>
            <w:shd w:val="clear" w:color="auto" w:fill="D7E4BC"/>
            <w:tcMar>
              <w:top w:w="40" w:type="dxa"/>
              <w:left w:w="0" w:type="dxa"/>
              <w:bottom w:w="40" w:type="dxa"/>
              <w:right w:w="20" w:type="dxa"/>
            </w:tcMar>
            <w:vAlign w:val="bottom"/>
          </w:tcPr>
          <w:p w14:paraId="00BAE27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27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276" w14:textId="77777777" w:rsidR="00871BDF" w:rsidRDefault="005C5088">
            <w:pPr>
              <w:jc w:val="right"/>
              <w:textAlignment w:val="bottom"/>
            </w:pPr>
            <w:r>
              <w:rPr>
                <w:rFonts w:ascii="Times New Roman" w:eastAsia="宋体" w:hAnsi="Times New Roman"/>
                <w:color w:val="000000"/>
                <w:sz w:val="20"/>
                <w:szCs w:val="20"/>
              </w:rPr>
              <w:t>(99.3)</w:t>
            </w:r>
          </w:p>
        </w:tc>
        <w:tc>
          <w:tcPr>
            <w:tcW w:w="0" w:type="auto"/>
            <w:shd w:val="clear" w:color="auto" w:fill="D7E4BC"/>
            <w:tcMar>
              <w:top w:w="40" w:type="dxa"/>
              <w:left w:w="0" w:type="dxa"/>
              <w:bottom w:w="40" w:type="dxa"/>
              <w:right w:w="20" w:type="dxa"/>
            </w:tcMar>
            <w:vAlign w:val="bottom"/>
          </w:tcPr>
          <w:p w14:paraId="00BAE277" w14:textId="77777777" w:rsidR="00871BDF" w:rsidRDefault="00871BDF">
            <w:pPr>
              <w:jc w:val="right"/>
              <w:rPr>
                <w:rFonts w:ascii="宋体"/>
              </w:rPr>
            </w:pPr>
          </w:p>
        </w:tc>
      </w:tr>
      <w:tr w:rsidR="00871BDF" w14:paraId="00BAE282" w14:textId="77777777">
        <w:tc>
          <w:tcPr>
            <w:tcW w:w="0" w:type="auto"/>
            <w:gridSpan w:val="3"/>
            <w:shd w:val="clear" w:color="auto" w:fill="FFFFFF"/>
            <w:tcMar>
              <w:top w:w="40" w:type="dxa"/>
              <w:left w:w="20" w:type="dxa"/>
              <w:bottom w:w="40" w:type="dxa"/>
              <w:right w:w="20" w:type="dxa"/>
            </w:tcMar>
          </w:tcPr>
          <w:p w14:paraId="00BAE279" w14:textId="77777777" w:rsidR="00871BDF" w:rsidRDefault="005C5088">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00BAE27A" w14:textId="77777777" w:rsidR="00871BDF" w:rsidRDefault="005C5088">
            <w:pPr>
              <w:jc w:val="right"/>
              <w:textAlignment w:val="bottom"/>
            </w:pPr>
            <w:r>
              <w:rPr>
                <w:rFonts w:ascii="Times New Roman" w:eastAsia="宋体" w:hAnsi="Times New Roman"/>
                <w:color w:val="000000"/>
                <w:sz w:val="20"/>
                <w:szCs w:val="20"/>
              </w:rPr>
              <w:t>18.6 </w:t>
            </w:r>
          </w:p>
        </w:tc>
        <w:tc>
          <w:tcPr>
            <w:tcW w:w="0" w:type="auto"/>
            <w:shd w:val="clear" w:color="auto" w:fill="FFFFFF"/>
            <w:tcMar>
              <w:top w:w="40" w:type="dxa"/>
              <w:left w:w="0" w:type="dxa"/>
              <w:bottom w:w="40" w:type="dxa"/>
              <w:right w:w="20" w:type="dxa"/>
            </w:tcMar>
            <w:vAlign w:val="bottom"/>
          </w:tcPr>
          <w:p w14:paraId="00BAE27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7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27D" w14:textId="77777777" w:rsidR="00871BDF" w:rsidRDefault="005C5088">
            <w:pPr>
              <w:jc w:val="right"/>
              <w:textAlignment w:val="bottom"/>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bottom"/>
          </w:tcPr>
          <w:p w14:paraId="00BAE27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7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280" w14:textId="77777777" w:rsidR="00871BDF" w:rsidRDefault="005C5088">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0BAE281" w14:textId="77777777" w:rsidR="00871BDF" w:rsidRDefault="00871BDF">
            <w:pPr>
              <w:jc w:val="right"/>
              <w:rPr>
                <w:rFonts w:ascii="宋体"/>
              </w:rPr>
            </w:pPr>
          </w:p>
        </w:tc>
      </w:tr>
      <w:tr w:rsidR="00871BDF" w14:paraId="00BAE28C" w14:textId="77777777">
        <w:tc>
          <w:tcPr>
            <w:tcW w:w="0" w:type="auto"/>
            <w:gridSpan w:val="3"/>
            <w:shd w:val="clear" w:color="auto" w:fill="D7E4BC"/>
            <w:tcMar>
              <w:top w:w="40" w:type="dxa"/>
              <w:left w:w="20" w:type="dxa"/>
              <w:bottom w:w="40" w:type="dxa"/>
              <w:right w:w="20" w:type="dxa"/>
            </w:tcMar>
          </w:tcPr>
          <w:p w14:paraId="00BAE283"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0BAE284" w14:textId="77777777" w:rsidR="00871BDF" w:rsidRDefault="005C5088">
            <w:pPr>
              <w:jc w:val="right"/>
              <w:textAlignment w:val="bottom"/>
            </w:pPr>
            <w:r>
              <w:rPr>
                <w:rFonts w:ascii="Times New Roman" w:eastAsia="宋体" w:hAnsi="Times New Roman"/>
                <w:color w:val="000000"/>
                <w:sz w:val="20"/>
                <w:szCs w:val="20"/>
              </w:rPr>
              <w:t>156.7 </w:t>
            </w:r>
          </w:p>
        </w:tc>
        <w:tc>
          <w:tcPr>
            <w:tcW w:w="0" w:type="auto"/>
            <w:shd w:val="clear" w:color="auto" w:fill="D7E4BC"/>
            <w:tcMar>
              <w:top w:w="40" w:type="dxa"/>
              <w:left w:w="0" w:type="dxa"/>
              <w:bottom w:w="40" w:type="dxa"/>
              <w:right w:w="20" w:type="dxa"/>
            </w:tcMar>
            <w:vAlign w:val="bottom"/>
          </w:tcPr>
          <w:p w14:paraId="00BAE28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28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287" w14:textId="77777777" w:rsidR="00871BDF" w:rsidRDefault="005C5088">
            <w:pPr>
              <w:jc w:val="right"/>
              <w:textAlignment w:val="bottom"/>
            </w:pPr>
            <w:r>
              <w:rPr>
                <w:rFonts w:ascii="Times New Roman" w:eastAsia="宋体" w:hAnsi="Times New Roman"/>
                <w:color w:val="000000"/>
                <w:sz w:val="20"/>
                <w:szCs w:val="20"/>
              </w:rPr>
              <w:t>157.1 </w:t>
            </w:r>
          </w:p>
        </w:tc>
        <w:tc>
          <w:tcPr>
            <w:tcW w:w="0" w:type="auto"/>
            <w:shd w:val="clear" w:color="auto" w:fill="D7E4BC"/>
            <w:tcMar>
              <w:top w:w="40" w:type="dxa"/>
              <w:left w:w="0" w:type="dxa"/>
              <w:bottom w:w="40" w:type="dxa"/>
              <w:right w:w="20" w:type="dxa"/>
            </w:tcMar>
            <w:vAlign w:val="bottom"/>
          </w:tcPr>
          <w:p w14:paraId="00BAE28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28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28A" w14:textId="77777777" w:rsidR="00871BDF" w:rsidRDefault="005C5088">
            <w:pPr>
              <w:jc w:val="right"/>
              <w:textAlignment w:val="bottom"/>
            </w:pPr>
            <w:r>
              <w:rPr>
                <w:rFonts w:ascii="Times New Roman" w:eastAsia="宋体" w:hAnsi="Times New Roman"/>
                <w:color w:val="000000"/>
                <w:sz w:val="20"/>
                <w:szCs w:val="20"/>
              </w:rPr>
              <w:t>(0.3)</w:t>
            </w:r>
          </w:p>
        </w:tc>
        <w:tc>
          <w:tcPr>
            <w:tcW w:w="0" w:type="auto"/>
            <w:shd w:val="clear" w:color="auto" w:fill="D7E4BC"/>
            <w:tcMar>
              <w:top w:w="40" w:type="dxa"/>
              <w:left w:w="0" w:type="dxa"/>
              <w:bottom w:w="40" w:type="dxa"/>
              <w:right w:w="20" w:type="dxa"/>
            </w:tcMar>
            <w:vAlign w:val="bottom"/>
          </w:tcPr>
          <w:p w14:paraId="00BAE28B" w14:textId="77777777" w:rsidR="00871BDF" w:rsidRDefault="00871BDF">
            <w:pPr>
              <w:jc w:val="right"/>
              <w:rPr>
                <w:rFonts w:ascii="宋体"/>
              </w:rPr>
            </w:pPr>
          </w:p>
        </w:tc>
      </w:tr>
      <w:tr w:rsidR="00871BDF" w14:paraId="00BAE296" w14:textId="77777777">
        <w:tc>
          <w:tcPr>
            <w:tcW w:w="0" w:type="auto"/>
            <w:gridSpan w:val="3"/>
            <w:shd w:val="clear" w:color="auto" w:fill="FFFFFF"/>
            <w:tcMar>
              <w:top w:w="40" w:type="dxa"/>
              <w:left w:w="20" w:type="dxa"/>
              <w:bottom w:w="40" w:type="dxa"/>
              <w:right w:w="20" w:type="dxa"/>
            </w:tcMar>
          </w:tcPr>
          <w:p w14:paraId="00BAE28D" w14:textId="77777777" w:rsidR="00871BDF" w:rsidRDefault="005C5088">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00BAE28E" w14:textId="77777777" w:rsidR="00871BDF" w:rsidRDefault="005C5088">
            <w:pPr>
              <w:jc w:val="right"/>
              <w:textAlignment w:val="bottom"/>
            </w:pPr>
            <w:r>
              <w:rPr>
                <w:rFonts w:ascii="Times New Roman" w:eastAsia="宋体" w:hAnsi="Times New Roman"/>
                <w:color w:val="000000"/>
                <w:sz w:val="20"/>
                <w:szCs w:val="20"/>
              </w:rPr>
              <w:t>1,170.8 </w:t>
            </w:r>
          </w:p>
        </w:tc>
        <w:tc>
          <w:tcPr>
            <w:tcW w:w="0" w:type="auto"/>
            <w:shd w:val="clear" w:color="auto" w:fill="FFFFFF"/>
            <w:tcMar>
              <w:top w:w="40" w:type="dxa"/>
              <w:left w:w="0" w:type="dxa"/>
              <w:bottom w:w="40" w:type="dxa"/>
              <w:right w:w="20" w:type="dxa"/>
            </w:tcMar>
            <w:vAlign w:val="bottom"/>
          </w:tcPr>
          <w:p w14:paraId="00BAE28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9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291" w14:textId="77777777" w:rsidR="00871BDF" w:rsidRDefault="005C5088">
            <w:pPr>
              <w:jc w:val="right"/>
              <w:textAlignment w:val="bottom"/>
            </w:pPr>
            <w:r>
              <w:rPr>
                <w:rFonts w:ascii="Times New Roman" w:eastAsia="宋体" w:hAnsi="Times New Roman"/>
                <w:color w:val="000000"/>
                <w:sz w:val="20"/>
                <w:szCs w:val="20"/>
              </w:rPr>
              <w:t>1,086.7 </w:t>
            </w:r>
          </w:p>
        </w:tc>
        <w:tc>
          <w:tcPr>
            <w:tcW w:w="0" w:type="auto"/>
            <w:shd w:val="clear" w:color="auto" w:fill="FFFFFF"/>
            <w:tcMar>
              <w:top w:w="40" w:type="dxa"/>
              <w:left w:w="0" w:type="dxa"/>
              <w:bottom w:w="40" w:type="dxa"/>
              <w:right w:w="20" w:type="dxa"/>
            </w:tcMar>
            <w:vAlign w:val="bottom"/>
          </w:tcPr>
          <w:p w14:paraId="00BAE29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9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294" w14:textId="77777777" w:rsidR="00871BDF" w:rsidRDefault="005C5088">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left w:w="0" w:type="dxa"/>
              <w:bottom w:w="40" w:type="dxa"/>
              <w:right w:w="20" w:type="dxa"/>
            </w:tcMar>
            <w:vAlign w:val="bottom"/>
          </w:tcPr>
          <w:p w14:paraId="00BAE295" w14:textId="77777777" w:rsidR="00871BDF" w:rsidRDefault="00871BDF">
            <w:pPr>
              <w:jc w:val="right"/>
              <w:rPr>
                <w:rFonts w:ascii="宋体"/>
              </w:rPr>
            </w:pPr>
          </w:p>
        </w:tc>
      </w:tr>
      <w:tr w:rsidR="00871BDF" w14:paraId="00BAE2A0" w14:textId="77777777">
        <w:tc>
          <w:tcPr>
            <w:tcW w:w="0" w:type="auto"/>
            <w:gridSpan w:val="3"/>
            <w:shd w:val="clear" w:color="auto" w:fill="D7E4BC"/>
            <w:tcMar>
              <w:top w:w="40" w:type="dxa"/>
              <w:left w:w="20" w:type="dxa"/>
              <w:bottom w:w="40" w:type="dxa"/>
              <w:right w:w="20" w:type="dxa"/>
            </w:tcMar>
          </w:tcPr>
          <w:p w14:paraId="00BAE297" w14:textId="77777777" w:rsidR="00871BDF" w:rsidRDefault="005C5088">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00BAE298" w14:textId="77777777" w:rsidR="00871BDF" w:rsidRDefault="005C5088">
            <w:pPr>
              <w:jc w:val="right"/>
              <w:textAlignment w:val="bottom"/>
            </w:pPr>
            <w:r>
              <w:rPr>
                <w:rFonts w:ascii="Times New Roman" w:eastAsia="宋体" w:hAnsi="Times New Roman"/>
                <w:color w:val="000000"/>
                <w:sz w:val="20"/>
                <w:szCs w:val="20"/>
              </w:rPr>
              <w:t>19.7 </w:t>
            </w:r>
          </w:p>
        </w:tc>
        <w:tc>
          <w:tcPr>
            <w:tcW w:w="0" w:type="auto"/>
            <w:shd w:val="clear" w:color="auto" w:fill="D7E4BC"/>
            <w:tcMar>
              <w:top w:w="40" w:type="dxa"/>
              <w:left w:w="0" w:type="dxa"/>
              <w:bottom w:w="40" w:type="dxa"/>
              <w:right w:w="20" w:type="dxa"/>
            </w:tcMar>
            <w:vAlign w:val="bottom"/>
          </w:tcPr>
          <w:p w14:paraId="00BAE29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29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29B" w14:textId="77777777" w:rsidR="00871BDF" w:rsidRDefault="005C5088">
            <w:pPr>
              <w:jc w:val="right"/>
              <w:textAlignment w:val="bottom"/>
            </w:pPr>
            <w:r>
              <w:rPr>
                <w:rFonts w:ascii="Times New Roman" w:eastAsia="宋体" w:hAnsi="Times New Roman"/>
                <w:color w:val="000000"/>
                <w:sz w:val="20"/>
                <w:szCs w:val="20"/>
              </w:rPr>
              <w:t>135.9 </w:t>
            </w:r>
          </w:p>
        </w:tc>
        <w:tc>
          <w:tcPr>
            <w:tcW w:w="0" w:type="auto"/>
            <w:shd w:val="clear" w:color="auto" w:fill="D7E4BC"/>
            <w:tcMar>
              <w:top w:w="40" w:type="dxa"/>
              <w:left w:w="0" w:type="dxa"/>
              <w:bottom w:w="40" w:type="dxa"/>
              <w:right w:w="20" w:type="dxa"/>
            </w:tcMar>
            <w:vAlign w:val="bottom"/>
          </w:tcPr>
          <w:p w14:paraId="00BAE29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29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29E" w14:textId="77777777" w:rsidR="00871BDF" w:rsidRDefault="005C5088">
            <w:pPr>
              <w:jc w:val="right"/>
              <w:textAlignment w:val="bottom"/>
            </w:pPr>
            <w:r>
              <w:rPr>
                <w:rFonts w:ascii="Times New Roman" w:eastAsia="宋体" w:hAnsi="Times New Roman"/>
                <w:color w:val="000000"/>
                <w:sz w:val="20"/>
                <w:szCs w:val="20"/>
              </w:rPr>
              <w:t>(85.5)</w:t>
            </w:r>
          </w:p>
        </w:tc>
        <w:tc>
          <w:tcPr>
            <w:tcW w:w="0" w:type="auto"/>
            <w:shd w:val="clear" w:color="auto" w:fill="D7E4BC"/>
            <w:tcMar>
              <w:top w:w="40" w:type="dxa"/>
              <w:left w:w="0" w:type="dxa"/>
              <w:bottom w:w="40" w:type="dxa"/>
              <w:right w:w="20" w:type="dxa"/>
            </w:tcMar>
            <w:vAlign w:val="bottom"/>
          </w:tcPr>
          <w:p w14:paraId="00BAE29F" w14:textId="77777777" w:rsidR="00871BDF" w:rsidRDefault="00871BDF">
            <w:pPr>
              <w:jc w:val="right"/>
              <w:rPr>
                <w:rFonts w:ascii="宋体"/>
              </w:rPr>
            </w:pPr>
          </w:p>
        </w:tc>
      </w:tr>
      <w:tr w:rsidR="00871BDF" w14:paraId="00BAE2AA" w14:textId="77777777">
        <w:tc>
          <w:tcPr>
            <w:tcW w:w="0" w:type="auto"/>
            <w:gridSpan w:val="3"/>
            <w:shd w:val="clear" w:color="auto" w:fill="FFFFFF"/>
            <w:tcMar>
              <w:top w:w="40" w:type="dxa"/>
              <w:left w:w="20" w:type="dxa"/>
              <w:bottom w:w="40" w:type="dxa"/>
              <w:right w:w="20" w:type="dxa"/>
            </w:tcMar>
          </w:tcPr>
          <w:p w14:paraId="00BAE2A1" w14:textId="77777777" w:rsidR="00871BDF" w:rsidRDefault="005C5088">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2A2" w14:textId="77777777" w:rsidR="00871BDF" w:rsidRDefault="005C5088">
            <w:pPr>
              <w:jc w:val="right"/>
              <w:textAlignment w:val="bottom"/>
            </w:pPr>
            <w:r>
              <w:rPr>
                <w:rFonts w:ascii="Times New Roman" w:eastAsia="宋体" w:hAnsi="Times New Roman"/>
                <w:color w:val="000000"/>
                <w:sz w:val="20"/>
                <w:szCs w:val="20"/>
              </w:rPr>
              <w:t>1,433.4 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2A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A4"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2A5" w14:textId="77777777" w:rsidR="00871BDF" w:rsidRDefault="005C5088">
            <w:pPr>
              <w:jc w:val="right"/>
              <w:textAlignment w:val="bottom"/>
            </w:pPr>
            <w:r>
              <w:rPr>
                <w:rFonts w:ascii="Times New Roman" w:eastAsia="宋体" w:hAnsi="Times New Roman"/>
                <w:color w:val="000000"/>
                <w:sz w:val="20"/>
                <w:szCs w:val="20"/>
              </w:rPr>
              <w:t>1,524.2 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2A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2A7"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2A8" w14:textId="77777777" w:rsidR="00871BDF" w:rsidRDefault="005C5088">
            <w:pPr>
              <w:jc w:val="right"/>
              <w:textAlignment w:val="bottom"/>
            </w:pPr>
            <w:r>
              <w:rPr>
                <w:rFonts w:ascii="Times New Roman" w:eastAsia="宋体" w:hAnsi="Times New Roman"/>
                <w:color w:val="000000"/>
                <w:sz w:val="20"/>
                <w:szCs w:val="20"/>
              </w:rPr>
              <w:t>(6.0)</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2A9" w14:textId="77777777" w:rsidR="00871BDF" w:rsidRDefault="00871BDF">
            <w:pPr>
              <w:jc w:val="right"/>
              <w:rPr>
                <w:rFonts w:ascii="宋体"/>
              </w:rPr>
            </w:pPr>
          </w:p>
        </w:tc>
      </w:tr>
      <w:tr w:rsidR="00871BDF" w14:paraId="00BAE2B1" w14:textId="77777777">
        <w:trPr>
          <w:hidden/>
        </w:trPr>
        <w:tc>
          <w:tcPr>
            <w:tcW w:w="0" w:type="auto"/>
            <w:gridSpan w:val="3"/>
            <w:shd w:val="clear" w:color="auto" w:fill="auto"/>
          </w:tcPr>
          <w:p w14:paraId="00BAE2AB" w14:textId="77777777" w:rsidR="00871BDF" w:rsidRDefault="00871BDF">
            <w:pPr>
              <w:rPr>
                <w:rFonts w:ascii="宋体"/>
                <w:vanish/>
              </w:rPr>
            </w:pPr>
          </w:p>
        </w:tc>
        <w:tc>
          <w:tcPr>
            <w:tcW w:w="0" w:type="auto"/>
            <w:gridSpan w:val="3"/>
            <w:shd w:val="clear" w:color="auto" w:fill="auto"/>
          </w:tcPr>
          <w:p w14:paraId="00BAE2AC" w14:textId="77777777" w:rsidR="00871BDF" w:rsidRDefault="00871BDF">
            <w:pPr>
              <w:rPr>
                <w:rFonts w:ascii="宋体"/>
                <w:vanish/>
              </w:rPr>
            </w:pPr>
          </w:p>
        </w:tc>
        <w:tc>
          <w:tcPr>
            <w:tcW w:w="0" w:type="auto"/>
            <w:gridSpan w:val="3"/>
            <w:shd w:val="clear" w:color="auto" w:fill="auto"/>
          </w:tcPr>
          <w:p w14:paraId="00BAE2AD" w14:textId="77777777" w:rsidR="00871BDF" w:rsidRDefault="00871BDF">
            <w:pPr>
              <w:rPr>
                <w:rFonts w:ascii="宋体"/>
                <w:vanish/>
              </w:rPr>
            </w:pPr>
          </w:p>
        </w:tc>
        <w:tc>
          <w:tcPr>
            <w:tcW w:w="0" w:type="auto"/>
            <w:gridSpan w:val="3"/>
            <w:shd w:val="clear" w:color="auto" w:fill="auto"/>
          </w:tcPr>
          <w:p w14:paraId="00BAE2AE" w14:textId="77777777" w:rsidR="00871BDF" w:rsidRDefault="00871BDF">
            <w:pPr>
              <w:rPr>
                <w:rFonts w:ascii="宋体"/>
                <w:vanish/>
              </w:rPr>
            </w:pPr>
          </w:p>
        </w:tc>
        <w:tc>
          <w:tcPr>
            <w:tcW w:w="0" w:type="auto"/>
            <w:gridSpan w:val="3"/>
            <w:shd w:val="clear" w:color="auto" w:fill="auto"/>
          </w:tcPr>
          <w:p w14:paraId="00BAE2AF" w14:textId="77777777" w:rsidR="00871BDF" w:rsidRDefault="00871BDF">
            <w:pPr>
              <w:rPr>
                <w:rFonts w:ascii="宋体"/>
                <w:vanish/>
              </w:rPr>
            </w:pPr>
          </w:p>
        </w:tc>
        <w:tc>
          <w:tcPr>
            <w:tcW w:w="0" w:type="auto"/>
            <w:gridSpan w:val="3"/>
            <w:shd w:val="clear" w:color="auto" w:fill="auto"/>
          </w:tcPr>
          <w:p w14:paraId="00BAE2B0" w14:textId="77777777" w:rsidR="00871BDF" w:rsidRDefault="00871BDF">
            <w:pPr>
              <w:rPr>
                <w:rFonts w:ascii="宋体"/>
                <w:vanish/>
              </w:rPr>
            </w:pPr>
          </w:p>
        </w:tc>
      </w:tr>
      <w:tr w:rsidR="00871BDF" w14:paraId="00BAE2BD" w14:textId="77777777">
        <w:tc>
          <w:tcPr>
            <w:tcW w:w="0" w:type="auto"/>
            <w:gridSpan w:val="3"/>
            <w:shd w:val="clear" w:color="auto" w:fill="D7E4BC"/>
            <w:tcMar>
              <w:top w:w="40" w:type="dxa"/>
              <w:left w:w="20" w:type="dxa"/>
              <w:bottom w:w="40" w:type="dxa"/>
              <w:right w:w="20" w:type="dxa"/>
            </w:tcMar>
          </w:tcPr>
          <w:p w14:paraId="00BAE2B2" w14:textId="77777777" w:rsidR="00871BDF" w:rsidRDefault="005C5088">
            <w:pPr>
              <w:textAlignment w:val="top"/>
            </w:pPr>
            <w:r>
              <w:rPr>
                <w:rFonts w:ascii="Times New Roman" w:eastAsia="宋体" w:hAnsi="Times New Roman"/>
                <w:b/>
                <w:bCs/>
                <w:color w:val="000000"/>
                <w:sz w:val="20"/>
                <w:szCs w:val="20"/>
              </w:rPr>
              <w:t>Operating loss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E2B3"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2B4" w14:textId="77777777" w:rsidR="00871BDF" w:rsidRDefault="005C5088">
            <w:pPr>
              <w:jc w:val="right"/>
              <w:textAlignment w:val="bottom"/>
            </w:pPr>
            <w:r>
              <w:rPr>
                <w:rFonts w:ascii="Times New Roman" w:eastAsia="宋体" w:hAnsi="Times New Roman"/>
                <w:b/>
                <w:bCs/>
                <w:color w:val="000000"/>
                <w:sz w:val="20"/>
                <w:szCs w:val="20"/>
              </w:rPr>
              <w:t>(1,367.1)</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2B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2B6"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2B7" w14:textId="77777777" w:rsidR="00871BDF" w:rsidRDefault="005C5088">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2B8" w14:textId="77777777" w:rsidR="00871BDF" w:rsidRDefault="005C5088">
            <w:pPr>
              <w:jc w:val="right"/>
              <w:textAlignment w:val="bottom"/>
            </w:pPr>
            <w:r>
              <w:rPr>
                <w:rFonts w:ascii="Times New Roman" w:eastAsia="宋体" w:hAnsi="Times New Roman"/>
                <w:b/>
                <w:bCs/>
                <w:color w:val="000000"/>
                <w:sz w:val="20"/>
                <w:szCs w:val="20"/>
              </w:rPr>
              <w:t>(1,401.8)</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2B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2BA"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2BB" w14:textId="77777777" w:rsidR="00871BDF" w:rsidRDefault="005C5088">
            <w:pPr>
              <w:jc w:val="right"/>
              <w:textAlignment w:val="bottom"/>
            </w:pPr>
            <w:r>
              <w:rPr>
                <w:rFonts w:ascii="Times New Roman" w:eastAsia="宋体" w:hAnsi="Times New Roman"/>
                <w:b/>
                <w:bCs/>
                <w:color w:val="000000"/>
                <w:sz w:val="20"/>
                <w:szCs w:val="20"/>
              </w:rPr>
              <w:t>(2.5)</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2BC" w14:textId="77777777" w:rsidR="00871BDF" w:rsidRDefault="005C5088">
            <w:pPr>
              <w:jc w:val="right"/>
              <w:textAlignment w:val="bottom"/>
            </w:pPr>
            <w:r>
              <w:rPr>
                <w:rFonts w:ascii="Times New Roman" w:eastAsia="宋体" w:hAnsi="Times New Roman"/>
                <w:b/>
                <w:bCs/>
                <w:color w:val="000000"/>
                <w:sz w:val="20"/>
                <w:szCs w:val="20"/>
              </w:rPr>
              <w:t>%</w:t>
            </w:r>
          </w:p>
        </w:tc>
      </w:tr>
    </w:tbl>
    <w:p w14:paraId="00BAE2BE" w14:textId="77777777" w:rsidR="00871BDF" w:rsidRDefault="005C5088">
      <w:pPr>
        <w:spacing w:before="120"/>
      </w:pPr>
      <w:r>
        <w:rPr>
          <w:rFonts w:ascii="Times New Roman" w:eastAsia="宋体" w:hAnsi="Times New Roman"/>
          <w:color w:val="000000"/>
          <w:sz w:val="20"/>
          <w:szCs w:val="20"/>
        </w:rPr>
        <w:t>Corporate and Other primarily consists of our unallocated corporate expenses, as well as Evolution Fresh and the legacy operations of the Teavana retail business, which substantially ceased during fiscal 2018. Unallocated corporate ex</w:t>
      </w:r>
      <w:r>
        <w:rPr>
          <w:rFonts w:ascii="Times New Roman" w:eastAsia="宋体" w:hAnsi="Times New Roman"/>
          <w:color w:val="000000"/>
          <w:sz w:val="20"/>
          <w:szCs w:val="20"/>
        </w:rPr>
        <w:t>penses include corporate administrative functions that support the operating segments but are not specifically attributable to or managed by any segment and are not included in the reported financial results of the operating segments.</w:t>
      </w:r>
    </w:p>
    <w:p w14:paraId="00BAE2BF" w14:textId="77777777" w:rsidR="00871BDF" w:rsidRDefault="005C5088">
      <w:pPr>
        <w:spacing w:before="120"/>
      </w:pPr>
      <w:r>
        <w:rPr>
          <w:rFonts w:ascii="Times New Roman" w:eastAsia="宋体" w:hAnsi="Times New Roman"/>
          <w:b/>
          <w:bCs/>
          <w:color w:val="000000"/>
          <w:sz w:val="20"/>
          <w:szCs w:val="20"/>
        </w:rPr>
        <w:t xml:space="preserve">FINANCIAL CONDITION, </w:t>
      </w:r>
      <w:r>
        <w:rPr>
          <w:rFonts w:ascii="Times New Roman" w:eastAsia="宋体" w:hAnsi="Times New Roman"/>
          <w:b/>
          <w:bCs/>
          <w:color w:val="000000"/>
          <w:sz w:val="20"/>
          <w:szCs w:val="20"/>
        </w:rPr>
        <w:t>LIQUIDITY AND CAPITAL RESOURCES</w:t>
      </w:r>
    </w:p>
    <w:p w14:paraId="00BAE2C0" w14:textId="77777777" w:rsidR="00871BDF" w:rsidRDefault="005C5088">
      <w:pPr>
        <w:spacing w:before="120"/>
      </w:pPr>
      <w:r>
        <w:rPr>
          <w:rFonts w:ascii="Times New Roman" w:eastAsia="宋体" w:hAnsi="Times New Roman"/>
          <w:b/>
          <w:bCs/>
          <w:color w:val="000000"/>
          <w:sz w:val="20"/>
          <w:szCs w:val="20"/>
        </w:rPr>
        <w:t>Cash and Investment Overview</w:t>
      </w:r>
    </w:p>
    <w:p w14:paraId="00BAE2C1" w14:textId="77777777" w:rsidR="00871BDF" w:rsidRDefault="005C5088">
      <w:pPr>
        <w:spacing w:before="120"/>
      </w:pPr>
      <w:r>
        <w:rPr>
          <w:rFonts w:ascii="Times New Roman" w:eastAsia="宋体" w:hAnsi="Times New Roman"/>
          <w:color w:val="000000"/>
          <w:sz w:val="20"/>
          <w:szCs w:val="20"/>
        </w:rPr>
        <w:t>Our cash and investments were $4.8 billion and $3.0 billion as of September 27, 2020 and September 29, 2019, respectively. In fiscal 2020, cash and investments increased by $1.8 billion primarily</w:t>
      </w:r>
      <w:r>
        <w:rPr>
          <w:rFonts w:ascii="Times New Roman" w:eastAsia="宋体" w:hAnsi="Times New Roman"/>
          <w:color w:val="000000"/>
          <w:sz w:val="20"/>
          <w:szCs w:val="20"/>
        </w:rPr>
        <w:t xml:space="preserve"> due to the issuance of short-term and long-term debt as well as lower share repurchases following the temporary suspension of our share repurchase program in March 2020. These liquidity increases offset lower retail cash inflows due to temporary store clo</w:t>
      </w:r>
      <w:r>
        <w:rPr>
          <w:rFonts w:ascii="Times New Roman" w:eastAsia="宋体" w:hAnsi="Times New Roman"/>
          <w:color w:val="000000"/>
          <w:sz w:val="20"/>
          <w:szCs w:val="20"/>
        </w:rPr>
        <w:t>sures and modified operations resulting from the COVID-19 pandemic. We actively manage our cash and investments in order to internally fund operating needs, make scheduled interest and principal payments on our borrowings, make acquisitions and return cash</w:t>
      </w:r>
      <w:r>
        <w:rPr>
          <w:rFonts w:ascii="Times New Roman" w:eastAsia="宋体" w:hAnsi="Times New Roman"/>
          <w:color w:val="000000"/>
          <w:sz w:val="20"/>
          <w:szCs w:val="20"/>
        </w:rPr>
        <w:t xml:space="preserve"> to shareholders through common stock cash dividend payments and share repurchases. Our investment portfolio primarily includes highly liquid available-for-sale securities, including corporate debt securities, government treasury securities (domestic and f</w:t>
      </w:r>
      <w:r>
        <w:rPr>
          <w:rFonts w:ascii="Times New Roman" w:eastAsia="宋体" w:hAnsi="Times New Roman"/>
          <w:color w:val="000000"/>
          <w:sz w:val="20"/>
          <w:szCs w:val="20"/>
        </w:rPr>
        <w:t xml:space="preserve">oreign) and commercial paper. As of September 27, 2020, approximately $2.0 billion of cash was held in foreign subsidiaries. </w:t>
      </w:r>
    </w:p>
    <w:p w14:paraId="00BAE2C2" w14:textId="77777777" w:rsidR="00871BDF" w:rsidRDefault="005C5088">
      <w:pPr>
        <w:spacing w:before="120"/>
      </w:pPr>
      <w:r>
        <w:rPr>
          <w:rFonts w:ascii="Times New Roman" w:eastAsia="宋体" w:hAnsi="Times New Roman"/>
          <w:b/>
          <w:bCs/>
          <w:color w:val="000000"/>
          <w:sz w:val="20"/>
          <w:szCs w:val="20"/>
        </w:rPr>
        <w:t>Borrowing capacity</w:t>
      </w:r>
    </w:p>
    <w:p w14:paraId="00BAE2C3" w14:textId="77777777" w:rsidR="00871BDF" w:rsidRDefault="005C5088">
      <w:pPr>
        <w:spacing w:before="120"/>
      </w:pPr>
      <w:r>
        <w:rPr>
          <w:rFonts w:ascii="Times New Roman" w:eastAsia="宋体" w:hAnsi="Times New Roman"/>
          <w:b/>
          <w:bCs/>
          <w:i/>
          <w:iCs/>
          <w:color w:val="000000"/>
          <w:sz w:val="20"/>
          <w:szCs w:val="20"/>
        </w:rPr>
        <w:t>Credit Facilities and Commercial Paper</w:t>
      </w:r>
    </w:p>
    <w:p w14:paraId="00BAE2C4" w14:textId="77777777" w:rsidR="00871BDF" w:rsidRDefault="005C5088">
      <w:pPr>
        <w:spacing w:before="120"/>
      </w:pPr>
      <w:r>
        <w:rPr>
          <w:rFonts w:ascii="Times New Roman" w:eastAsia="宋体" w:hAnsi="Times New Roman"/>
          <w:color w:val="000000"/>
          <w:sz w:val="20"/>
          <w:szCs w:val="20"/>
        </w:rPr>
        <w:t xml:space="preserve">Our total contractual borrowing capacity for general corporate purposes </w:t>
      </w:r>
      <w:r>
        <w:rPr>
          <w:rFonts w:ascii="Times New Roman" w:eastAsia="宋体" w:hAnsi="Times New Roman"/>
          <w:color w:val="000000"/>
          <w:sz w:val="20"/>
          <w:szCs w:val="20"/>
        </w:rPr>
        <w:t>was $2.7 billion as of the end of fiscal 2020 when combining the unused commercial paper program and credit facilities discussed below, less outstanding borrowing.</w:t>
      </w:r>
    </w:p>
    <w:p w14:paraId="00BAE2C5" w14:textId="77777777" w:rsidR="00871BDF" w:rsidRDefault="005C5088">
      <w:pPr>
        <w:spacing w:before="120"/>
      </w:pPr>
      <w:r>
        <w:rPr>
          <w:rFonts w:ascii="Times New Roman" w:eastAsia="宋体" w:hAnsi="Times New Roman"/>
          <w:color w:val="000000"/>
          <w:sz w:val="20"/>
          <w:szCs w:val="20"/>
          <w:u w:val="single"/>
        </w:rPr>
        <w:t>Revolving Lines of Credit</w:t>
      </w:r>
    </w:p>
    <w:p w14:paraId="00BAE2C6" w14:textId="77777777" w:rsidR="00871BDF" w:rsidRDefault="005C5088">
      <w:pPr>
        <w:spacing w:before="120"/>
      </w:pPr>
      <w:r>
        <w:rPr>
          <w:rFonts w:ascii="Times New Roman" w:eastAsia="宋体" w:hAnsi="Times New Roman"/>
          <w:color w:val="000000"/>
          <w:sz w:val="20"/>
          <w:szCs w:val="20"/>
        </w:rPr>
        <w:t xml:space="preserve">Our $2.0 billion unsecured 5-year revolving credit facility (“the </w:t>
      </w:r>
      <w:r>
        <w:rPr>
          <w:rFonts w:ascii="Times New Roman" w:eastAsia="宋体" w:hAnsi="Times New Roman"/>
          <w:color w:val="000000"/>
          <w:sz w:val="20"/>
          <w:szCs w:val="20"/>
        </w:rPr>
        <w:t>2018 credit facility”), of which $150 million may be used for issuances of letters of credit, is currently set to mature on October 25, 2022. We have the option, subject to negotiation and agreement with the related banks, to increase the maximum commitmen</w:t>
      </w:r>
      <w:r>
        <w:rPr>
          <w:rFonts w:ascii="Times New Roman" w:eastAsia="宋体" w:hAnsi="Times New Roman"/>
          <w:color w:val="000000"/>
          <w:sz w:val="20"/>
          <w:szCs w:val="20"/>
        </w:rPr>
        <w:t>t amount by an additional $500 million. Borrowings under the credit facility are subject to terms defined within the 2018 credit facility and will bear interest at a variable rate based on LIBOR, and, for U.S. dollar-denominated loans under certain circums</w:t>
      </w:r>
      <w:r>
        <w:rPr>
          <w:rFonts w:ascii="Times New Roman" w:eastAsia="宋体" w:hAnsi="Times New Roman"/>
          <w:color w:val="000000"/>
          <w:sz w:val="20"/>
          <w:szCs w:val="20"/>
        </w:rPr>
        <w:t>tances, a Base Rate, in each case plus an applicable margin. The applicable margin is based on the better of (i) the Company's long-term credit ratings assigned by Moody's and Standard &amp; Poor's rating agencies and (ii) the Company's fixed charge coverage r</w:t>
      </w:r>
      <w:r>
        <w:rPr>
          <w:rFonts w:ascii="Times New Roman" w:eastAsia="宋体" w:hAnsi="Times New Roman"/>
          <w:color w:val="000000"/>
          <w:sz w:val="20"/>
          <w:szCs w:val="20"/>
        </w:rPr>
        <w:t>atio, pursuant to a pricing grid set forth in the five-year credit agreement. The current applicable margin is 1.100% for Eurocurrency Rate Loans and 0.000% (nil) for Base Rate Loans. The 2018 credit facility is available for general corporate purposes. As</w:t>
      </w:r>
      <w:r>
        <w:rPr>
          <w:rFonts w:ascii="Times New Roman" w:eastAsia="宋体" w:hAnsi="Times New Roman"/>
          <w:color w:val="000000"/>
          <w:sz w:val="20"/>
          <w:szCs w:val="20"/>
        </w:rPr>
        <w:t xml:space="preserve"> of September 27, 2020, we had no borrowings under the 2018 credit facility.</w:t>
      </w:r>
    </w:p>
    <w:p w14:paraId="00BAE2C7" w14:textId="77777777" w:rsidR="00871BDF" w:rsidRDefault="005C5088">
      <w:pPr>
        <w:spacing w:before="120"/>
      </w:pPr>
      <w:r>
        <w:rPr>
          <w:rFonts w:ascii="Times New Roman" w:eastAsia="宋体" w:hAnsi="Times New Roman"/>
          <w:color w:val="000000"/>
          <w:sz w:val="20"/>
          <w:szCs w:val="20"/>
        </w:rPr>
        <w:t>Our $1.0 billion unsecured 364-day credit facility (the “364-day credit facility”), of which no amount may be used for issuances of letters of credit, is currently set to mature o</w:t>
      </w:r>
      <w:r>
        <w:rPr>
          <w:rFonts w:ascii="Times New Roman" w:eastAsia="宋体" w:hAnsi="Times New Roman"/>
          <w:color w:val="000000"/>
          <w:sz w:val="20"/>
          <w:szCs w:val="20"/>
        </w:rPr>
        <w:t>n September 22, 2021. We have the option, subject to negotiation and agreement with the related banks, to increase the maximum commitment amount by an additional $500 million. Borrowings under the credit facility are subject to terms defined within the 364</w:t>
      </w:r>
      <w:r>
        <w:rPr>
          <w:rFonts w:ascii="Times New Roman" w:eastAsia="宋体" w:hAnsi="Times New Roman"/>
          <w:color w:val="000000"/>
          <w:sz w:val="20"/>
          <w:szCs w:val="20"/>
        </w:rPr>
        <w:t xml:space="preserve">-day credit facility and will bear interest at a variable rate based on </w:t>
      </w:r>
    </w:p>
    <w:p w14:paraId="00BAE2C8" w14:textId="77777777" w:rsidR="00871BDF" w:rsidRDefault="005C5088">
      <w:pPr>
        <w:jc w:val="center"/>
      </w:pPr>
      <w:r>
        <w:rPr>
          <w:rFonts w:ascii="Times New Roman" w:eastAsia="宋体" w:hAnsi="Times New Roman"/>
          <w:color w:val="000000"/>
          <w:sz w:val="20"/>
          <w:szCs w:val="20"/>
        </w:rPr>
        <w:t>38</w:t>
      </w:r>
    </w:p>
    <w:p w14:paraId="00BAE2C9" w14:textId="77777777" w:rsidR="00871BDF" w:rsidRDefault="005C5088">
      <w:r>
        <w:pict w14:anchorId="00BB148B">
          <v:rect id="_x0000_i1065" style="width:415.3pt;height:1.5pt" o:hralign="center" o:hrstd="t" o:hr="t" fillcolor="#a0a0a0" stroked="f"/>
        </w:pict>
      </w:r>
    </w:p>
    <w:p w14:paraId="00BAE2CA" w14:textId="77777777" w:rsidR="00871BDF" w:rsidRDefault="005C5088">
      <w:hyperlink r:id="rId103" w:anchor="i54ccc64cb5384be5a4849ef1cdef4dde_7" w:history="1">
        <w:r>
          <w:rPr>
            <w:rStyle w:val="a5"/>
            <w:rFonts w:ascii="Times New Roman" w:eastAsia="宋体" w:hAnsi="Times New Roman"/>
            <w:sz w:val="20"/>
            <w:szCs w:val="20"/>
          </w:rPr>
          <w:t>Table of Contents</w:t>
        </w:r>
      </w:hyperlink>
    </w:p>
    <w:p w14:paraId="00BAE2CB" w14:textId="77777777" w:rsidR="00871BDF" w:rsidRDefault="005C5088">
      <w:pPr>
        <w:spacing w:before="120"/>
      </w:pPr>
      <w:r>
        <w:rPr>
          <w:rFonts w:ascii="Times New Roman" w:eastAsia="宋体" w:hAnsi="Times New Roman"/>
          <w:color w:val="000000"/>
          <w:sz w:val="20"/>
          <w:szCs w:val="20"/>
        </w:rPr>
        <w:t>LIBOR, and, for U.S. dollar-denominated loans under certain circumstances, a Base Rat</w:t>
      </w:r>
      <w:r>
        <w:rPr>
          <w:rFonts w:ascii="Times New Roman" w:eastAsia="宋体" w:hAnsi="Times New Roman"/>
          <w:color w:val="000000"/>
          <w:sz w:val="20"/>
          <w:szCs w:val="20"/>
        </w:rPr>
        <w:t xml:space="preserve">e, in each case plus an applicable margin. The applicable margin is based on the better of (i) the Company's long-term credit ratings assigned by Moody's and Standard &amp; Poor's rating agencies and (ii) the Company's fixed charge coverage ratio, pursuant to </w:t>
      </w:r>
      <w:r>
        <w:rPr>
          <w:rFonts w:ascii="Times New Roman" w:eastAsia="宋体" w:hAnsi="Times New Roman"/>
          <w:color w:val="000000"/>
          <w:sz w:val="20"/>
          <w:szCs w:val="20"/>
        </w:rPr>
        <w:t xml:space="preserve">a pricing grid set forth in the 364-day credit agreement. The applicable margin is 1.150% for Eurocurrency Rate Loans and 0.150% for Base Rate Loans. The 364-day credit facility is available for general corporate purposes. As of September 27, 2020, we had </w:t>
      </w:r>
      <w:r>
        <w:rPr>
          <w:rFonts w:ascii="Times New Roman" w:eastAsia="宋体" w:hAnsi="Times New Roman"/>
          <w:color w:val="000000"/>
          <w:sz w:val="20"/>
          <w:szCs w:val="20"/>
        </w:rPr>
        <w:t>no borrowings under the 364-day credit facility.</w:t>
      </w:r>
    </w:p>
    <w:p w14:paraId="00BAE2CC" w14:textId="77777777" w:rsidR="00871BDF" w:rsidRDefault="005C5088">
      <w:pPr>
        <w:spacing w:before="120"/>
      </w:pPr>
      <w:r>
        <w:rPr>
          <w:rFonts w:ascii="Times New Roman" w:eastAsia="宋体" w:hAnsi="Times New Roman"/>
          <w:color w:val="000000"/>
          <w:sz w:val="20"/>
          <w:szCs w:val="20"/>
        </w:rPr>
        <w:t xml:space="preserve">Due to the financial impacts from COVID-19, we reached an agreement with our lenders to amend the fixed charge coverage ratio covenant for our combined $3.0 billion revolving lines of credit, through the </w:t>
      </w:r>
      <w:r>
        <w:rPr>
          <w:rFonts w:ascii="Times New Roman" w:eastAsia="宋体" w:hAnsi="Times New Roman"/>
          <w:color w:val="000000"/>
          <w:sz w:val="20"/>
          <w:szCs w:val="20"/>
        </w:rPr>
        <w:t>fourth quarter of fiscal 2021.</w:t>
      </w:r>
    </w:p>
    <w:p w14:paraId="00BAE2CD" w14:textId="77777777" w:rsidR="00871BDF" w:rsidRDefault="005C5088">
      <w:pPr>
        <w:spacing w:before="120"/>
      </w:pPr>
      <w:r>
        <w:rPr>
          <w:rFonts w:ascii="Times New Roman" w:eastAsia="宋体" w:hAnsi="Times New Roman"/>
          <w:color w:val="000000"/>
          <w:sz w:val="20"/>
          <w:szCs w:val="20"/>
          <w:u w:val="single"/>
        </w:rPr>
        <w:t>Commercial Paper</w:t>
      </w:r>
    </w:p>
    <w:p w14:paraId="00BAE2CE" w14:textId="77777777" w:rsidR="00871BDF" w:rsidRDefault="005C5088">
      <w:pPr>
        <w:spacing w:before="120"/>
      </w:pPr>
      <w:r>
        <w:rPr>
          <w:rFonts w:ascii="Times New Roman" w:eastAsia="宋体" w:hAnsi="Times New Roman"/>
          <w:color w:val="000000"/>
          <w:sz w:val="20"/>
          <w:szCs w:val="20"/>
        </w:rPr>
        <w:t>Under our commercial paper program, we may issue unsecured commercial paper notes up to a maximum aggregate amount outstanding at any time of $3.0 billion, with individual maturities that may vary but not exc</w:t>
      </w:r>
      <w:r>
        <w:rPr>
          <w:rFonts w:ascii="Times New Roman" w:eastAsia="宋体" w:hAnsi="Times New Roman"/>
          <w:color w:val="000000"/>
          <w:sz w:val="20"/>
          <w:szCs w:val="20"/>
        </w:rPr>
        <w:t>eed 397 days from the date of issue. Amounts outstanding under the commercial paper program are required to be backstopped by available commitments under the 2018 and 364-day credit facilities discussed above. The proceeds from borrowings under our commerc</w:t>
      </w:r>
      <w:r>
        <w:rPr>
          <w:rFonts w:ascii="Times New Roman" w:eastAsia="宋体" w:hAnsi="Times New Roman"/>
          <w:color w:val="000000"/>
          <w:sz w:val="20"/>
          <w:szCs w:val="20"/>
        </w:rPr>
        <w:t>ial paper program may be used for working capital needs, capital expenditures and other corporate purposes, including, but not limited to, business expansion, payment of cash dividends on our common stock and share repurchases. As of September 27, 2020, we</w:t>
      </w:r>
      <w:r>
        <w:rPr>
          <w:rFonts w:ascii="Times New Roman" w:eastAsia="宋体" w:hAnsi="Times New Roman"/>
          <w:color w:val="000000"/>
          <w:sz w:val="20"/>
          <w:szCs w:val="20"/>
        </w:rPr>
        <w:t xml:space="preserve"> had borrowings of $296.5 million outstanding, net of unamortized discount, under our commercial paper program, of which a majority will mature during the second quarter of fiscal 2021. </w:t>
      </w:r>
    </w:p>
    <w:p w14:paraId="00BAE2CF" w14:textId="77777777" w:rsidR="00871BDF" w:rsidRDefault="005C5088">
      <w:pPr>
        <w:spacing w:before="120"/>
      </w:pPr>
      <w:r>
        <w:rPr>
          <w:rFonts w:ascii="Times New Roman" w:eastAsia="宋体" w:hAnsi="Times New Roman"/>
          <w:color w:val="000000"/>
          <w:sz w:val="20"/>
          <w:szCs w:val="20"/>
          <w:u w:val="single"/>
        </w:rPr>
        <w:t>Credit Facilities in Japan</w:t>
      </w:r>
    </w:p>
    <w:p w14:paraId="00BAE2D0" w14:textId="77777777" w:rsidR="00871BDF" w:rsidRDefault="005C5088">
      <w:pPr>
        <w:spacing w:before="120"/>
      </w:pPr>
      <w:r>
        <w:rPr>
          <w:rFonts w:ascii="Times New Roman" w:eastAsia="宋体" w:hAnsi="Times New Roman"/>
          <w:color w:val="000000"/>
          <w:sz w:val="20"/>
          <w:szCs w:val="20"/>
        </w:rPr>
        <w:t>Additionally, we hold Japanese yen-denomin</w:t>
      </w:r>
      <w:r>
        <w:rPr>
          <w:rFonts w:ascii="Times New Roman" w:eastAsia="宋体" w:hAnsi="Times New Roman"/>
          <w:color w:val="000000"/>
          <w:sz w:val="20"/>
          <w:szCs w:val="20"/>
        </w:rPr>
        <w:t>ated credit facilities which are available for working capital needs and capital expenditures within our Japanese market.</w:t>
      </w:r>
    </w:p>
    <w:p w14:paraId="00BAE2D1" w14:textId="77777777" w:rsidR="00871BDF" w:rsidRDefault="005C5088">
      <w:pPr>
        <w:spacing w:before="120"/>
      </w:pPr>
      <w:r>
        <w:rPr>
          <w:rFonts w:ascii="Times New Roman" w:eastAsia="宋体" w:hAnsi="Times New Roman"/>
          <w:color w:val="000000"/>
          <w:sz w:val="20"/>
          <w:szCs w:val="20"/>
        </w:rPr>
        <w:t>During the third quarter of fiscal 2020, we expanded our ¥1 billion unsecured credit facility to ¥5 billion, or $47.4 million, as of S</w:t>
      </w:r>
      <w:r>
        <w:rPr>
          <w:rFonts w:ascii="Times New Roman" w:eastAsia="宋体" w:hAnsi="Times New Roman"/>
          <w:color w:val="000000"/>
          <w:sz w:val="20"/>
          <w:szCs w:val="20"/>
        </w:rPr>
        <w:t>eptember 27, 2020. This facility is currently set to mature on December 31, 2020. Borrowings under the credit facility are subject to terms defined within the facility and will bear interest at a variable rate based on TIBOR plus an applicable margin of 0.</w:t>
      </w:r>
      <w:r>
        <w:rPr>
          <w:rFonts w:ascii="Times New Roman" w:eastAsia="宋体" w:hAnsi="Times New Roman"/>
          <w:color w:val="000000"/>
          <w:sz w:val="20"/>
          <w:szCs w:val="20"/>
        </w:rPr>
        <w:t>400%. Additionally during the third quarter, we expanded our ¥2 billion unsecured credit facility to ¥10 billion, or $94.9 million, as of September 27, 2020. This facility is currently set to mature on March 26, 2021. Borrowings under the credit facility a</w:t>
      </w:r>
      <w:r>
        <w:rPr>
          <w:rFonts w:ascii="Times New Roman" w:eastAsia="宋体" w:hAnsi="Times New Roman"/>
          <w:color w:val="000000"/>
          <w:sz w:val="20"/>
          <w:szCs w:val="20"/>
        </w:rPr>
        <w:t>re subject to terms defined within the facility and will bear interest at a variable rate based on TIBOR plus 0.300%. As of September 27, 2020, we had $142.3 million of borrowings outstanding under these credit facilities.</w:t>
      </w:r>
    </w:p>
    <w:p w14:paraId="00BAE2D2" w14:textId="77777777" w:rsidR="00871BDF" w:rsidRDefault="005C5088">
      <w:pPr>
        <w:spacing w:before="120"/>
      </w:pPr>
      <w:r>
        <w:rPr>
          <w:rFonts w:ascii="Times New Roman" w:eastAsia="宋体" w:hAnsi="Times New Roman"/>
          <w:color w:val="000000"/>
          <w:sz w:val="20"/>
          <w:szCs w:val="20"/>
        </w:rPr>
        <w:t xml:space="preserve">In October 2020, we entered into </w:t>
      </w:r>
      <w:r>
        <w:rPr>
          <w:rFonts w:ascii="Times New Roman" w:eastAsia="宋体" w:hAnsi="Times New Roman"/>
          <w:color w:val="000000"/>
          <w:sz w:val="20"/>
          <w:szCs w:val="20"/>
        </w:rPr>
        <w:t>a new ¥10 billion unsecured facility, or approximately $95 million as of October 29, 2020. This facility is set to mature on October 29, 2021. Borrowings under the credit facility are subject to terms defined within the facility and will bear interest at a</w:t>
      </w:r>
      <w:r>
        <w:rPr>
          <w:rFonts w:ascii="Times New Roman" w:eastAsia="宋体" w:hAnsi="Times New Roman"/>
          <w:color w:val="000000"/>
          <w:sz w:val="20"/>
          <w:szCs w:val="20"/>
        </w:rPr>
        <w:t xml:space="preserve"> variable rate based on TIBOR plus an applicable margin of 0.350%. </w:t>
      </w:r>
    </w:p>
    <w:p w14:paraId="00BAE2D3" w14:textId="77777777" w:rsidR="00871BDF" w:rsidRDefault="005C5088">
      <w:pPr>
        <w:spacing w:before="120"/>
      </w:pPr>
      <w:r>
        <w:rPr>
          <w:rFonts w:ascii="Times New Roman" w:eastAsia="宋体" w:hAnsi="Times New Roman"/>
          <w:b/>
          <w:bCs/>
          <w:i/>
          <w:iCs/>
          <w:color w:val="000000"/>
          <w:sz w:val="20"/>
          <w:szCs w:val="20"/>
        </w:rPr>
        <w:t>Long-Term Debt</w:t>
      </w:r>
    </w:p>
    <w:p w14:paraId="00BAE2D4" w14:textId="77777777" w:rsidR="00871BDF" w:rsidRDefault="005C5088">
      <w:pPr>
        <w:spacing w:before="120"/>
      </w:pPr>
      <w:r>
        <w:rPr>
          <w:rFonts w:ascii="Times New Roman" w:eastAsia="宋体" w:hAnsi="Times New Roman"/>
          <w:color w:val="000000"/>
          <w:sz w:val="20"/>
          <w:szCs w:val="20"/>
        </w:rPr>
        <w:t>On May 7, 2020, we issued long-term debt in an underwritten registered public offering, which consisted of $500 million of 1.300% Senior Notes (the“2022 notes”) due May 2022</w:t>
      </w:r>
      <w:r>
        <w:rPr>
          <w:rFonts w:ascii="Times New Roman" w:eastAsia="宋体" w:hAnsi="Times New Roman"/>
          <w:color w:val="000000"/>
          <w:sz w:val="20"/>
          <w:szCs w:val="20"/>
        </w:rPr>
        <w:t>, $1.25 billion of 2.550% Senior Notes (the “2030 notes”) due November 2030 and $1.25 billion of 3.500% Senior Notes (the “2050 notes”) due November 2050. We are using the net proceeds from the offering for general corporate purposes and for future repayme</w:t>
      </w:r>
      <w:r>
        <w:rPr>
          <w:rFonts w:ascii="Times New Roman" w:eastAsia="宋体" w:hAnsi="Times New Roman"/>
          <w:color w:val="000000"/>
          <w:sz w:val="20"/>
          <w:szCs w:val="20"/>
        </w:rPr>
        <w:t>nts of outstanding indebtedness. Interest on the 2022 notes is payable semi-annually on May 7 and November 7, commencing on November 7, 2020. Interest on the 2030 notes and the 2050 notes is payable semi-annually on May 15 and November 15, commencing on No</w:t>
      </w:r>
      <w:r>
        <w:rPr>
          <w:rFonts w:ascii="Times New Roman" w:eastAsia="宋体" w:hAnsi="Times New Roman"/>
          <w:color w:val="000000"/>
          <w:sz w:val="20"/>
          <w:szCs w:val="20"/>
        </w:rPr>
        <w:t>vember 15, 2020.</w:t>
      </w:r>
    </w:p>
    <w:p w14:paraId="00BAE2D5" w14:textId="77777777" w:rsidR="00871BDF" w:rsidRDefault="005C5088">
      <w:pPr>
        <w:spacing w:before="120"/>
      </w:pPr>
      <w:r>
        <w:rPr>
          <w:rFonts w:ascii="Times New Roman" w:eastAsia="宋体" w:hAnsi="Times New Roman"/>
          <w:color w:val="000000"/>
          <w:sz w:val="20"/>
          <w:szCs w:val="20"/>
        </w:rPr>
        <w:t>On March 12, 2020, we issued long-term debt in an underwritten registered public offering, which consisted of $500 million of 2.000% Senior Notes (the “2027 notes”) due March 2027, $750 million of 2.250% Senior Notes (the “2030 notes”) due</w:t>
      </w:r>
      <w:r>
        <w:rPr>
          <w:rFonts w:ascii="Times New Roman" w:eastAsia="宋体" w:hAnsi="Times New Roman"/>
          <w:color w:val="000000"/>
          <w:sz w:val="20"/>
          <w:szCs w:val="20"/>
        </w:rPr>
        <w:t xml:space="preserve"> March 2030 and $500 million of 3.350% Senior Notes (the “2050 notes”) due March 2050. We are using the net proceeds from the offering for general corporate purposes, including the repayment of outstanding borrowings under our commercial paper program. We </w:t>
      </w:r>
      <w:r>
        <w:rPr>
          <w:rFonts w:ascii="Times New Roman" w:eastAsia="宋体" w:hAnsi="Times New Roman"/>
          <w:color w:val="000000"/>
          <w:sz w:val="20"/>
          <w:szCs w:val="20"/>
        </w:rPr>
        <w:t>may temporarily invest funds that are not immediately needed for these purposes in short-term investments, including marketable securities. Interest on the 2027 notes, the 2030 notes and the 2050 notes is payable semi-annually on March 12 and September 12,</w:t>
      </w:r>
      <w:r>
        <w:rPr>
          <w:rFonts w:ascii="Times New Roman" w:eastAsia="宋体" w:hAnsi="Times New Roman"/>
          <w:color w:val="000000"/>
          <w:sz w:val="20"/>
          <w:szCs w:val="20"/>
        </w:rPr>
        <w:t xml:space="preserve"> commencing on September 12, 2020.</w:t>
      </w:r>
    </w:p>
    <w:p w14:paraId="00BAE2D6" w14:textId="77777777" w:rsidR="00871BDF" w:rsidRDefault="005C5088">
      <w:pPr>
        <w:spacing w:before="120"/>
      </w:pPr>
      <w:r>
        <w:rPr>
          <w:rFonts w:ascii="Times New Roman" w:eastAsia="宋体" w:hAnsi="Times New Roman"/>
          <w:color w:val="000000"/>
          <w:sz w:val="20"/>
          <w:szCs w:val="20"/>
        </w:rPr>
        <w:t xml:space="preserve">See </w:t>
      </w:r>
      <w:hyperlink r:id="rId104" w:anchor="i54ccc64cb5384be5a4849ef1cdef4dde_163"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Debt, to the consolidated financial statements include</w:t>
      </w:r>
      <w:r>
        <w:rPr>
          <w:rFonts w:ascii="Times New Roman" w:eastAsia="宋体" w:hAnsi="Times New Roman"/>
          <w:color w:val="000000"/>
          <w:sz w:val="20"/>
          <w:szCs w:val="20"/>
        </w:rPr>
        <w:t>d in Item 8 of Part II of this 10-K for details of the components of our long-term debt.</w:t>
      </w:r>
    </w:p>
    <w:p w14:paraId="00BAE2D7" w14:textId="77777777" w:rsidR="00871BDF" w:rsidRDefault="005C5088">
      <w:pPr>
        <w:spacing w:before="120"/>
      </w:pPr>
      <w:r>
        <w:rPr>
          <w:rFonts w:ascii="Times New Roman" w:eastAsia="宋体" w:hAnsi="Times New Roman"/>
          <w:color w:val="000000"/>
          <w:sz w:val="20"/>
          <w:szCs w:val="20"/>
        </w:rPr>
        <w:t>Our ability to incur new liens and conduct sale and leaseback transactions on certain material properties is subject to compliance with terms of the indentures under w</w:t>
      </w:r>
      <w:r>
        <w:rPr>
          <w:rFonts w:ascii="Times New Roman" w:eastAsia="宋体" w:hAnsi="Times New Roman"/>
          <w:color w:val="000000"/>
          <w:sz w:val="20"/>
          <w:szCs w:val="20"/>
        </w:rPr>
        <w:t xml:space="preserve">hich the Senior Notes were issued. As of September 27, 2020, we were in compliance with all applicable covenants. </w:t>
      </w:r>
    </w:p>
    <w:p w14:paraId="00BAE2D8" w14:textId="77777777" w:rsidR="00871BDF" w:rsidRDefault="005C5088">
      <w:pPr>
        <w:spacing w:before="120"/>
      </w:pPr>
      <w:r>
        <w:rPr>
          <w:rFonts w:ascii="Times New Roman" w:eastAsia="宋体" w:hAnsi="Times New Roman"/>
          <w:b/>
          <w:bCs/>
          <w:color w:val="000000"/>
          <w:sz w:val="20"/>
          <w:szCs w:val="20"/>
        </w:rPr>
        <w:t>Use of Cash</w:t>
      </w:r>
    </w:p>
    <w:p w14:paraId="00BAE2D9" w14:textId="77777777" w:rsidR="00871BDF" w:rsidRDefault="005C5088">
      <w:pPr>
        <w:spacing w:before="120"/>
      </w:pPr>
      <w:r>
        <w:rPr>
          <w:rFonts w:ascii="Times New Roman" w:eastAsia="宋体" w:hAnsi="Times New Roman"/>
          <w:color w:val="000000"/>
          <w:sz w:val="20"/>
          <w:szCs w:val="20"/>
        </w:rPr>
        <w:t>We expect to use our available cash and investments, including, but not limited to, additional potential future borrowings under the credit facilities, commercial paper program and the issuance of debt to support and invest in our core businesses, includin</w:t>
      </w:r>
      <w:r>
        <w:rPr>
          <w:rFonts w:ascii="Times New Roman" w:eastAsia="宋体" w:hAnsi="Times New Roman"/>
          <w:color w:val="000000"/>
          <w:sz w:val="20"/>
          <w:szCs w:val="20"/>
        </w:rPr>
        <w:t xml:space="preserve">g </w:t>
      </w:r>
    </w:p>
    <w:p w14:paraId="00BAE2DA" w14:textId="77777777" w:rsidR="00871BDF" w:rsidRDefault="005C5088">
      <w:pPr>
        <w:jc w:val="center"/>
      </w:pPr>
      <w:r>
        <w:rPr>
          <w:rFonts w:ascii="Times New Roman" w:eastAsia="宋体" w:hAnsi="Times New Roman"/>
          <w:color w:val="000000"/>
          <w:sz w:val="20"/>
          <w:szCs w:val="20"/>
        </w:rPr>
        <w:t>39</w:t>
      </w:r>
    </w:p>
    <w:p w14:paraId="00BAE2DB" w14:textId="77777777" w:rsidR="00871BDF" w:rsidRDefault="005C5088">
      <w:r>
        <w:pict w14:anchorId="00BB148C">
          <v:rect id="_x0000_i1066" style="width:415.3pt;height:1.5pt" o:hralign="center" o:hrstd="t" o:hr="t" fillcolor="#a0a0a0" stroked="f"/>
        </w:pict>
      </w:r>
    </w:p>
    <w:p w14:paraId="00BAE2DC" w14:textId="77777777" w:rsidR="00871BDF" w:rsidRDefault="005C5088">
      <w:hyperlink r:id="rId105" w:anchor="i54ccc64cb5384be5a4849ef1cdef4dde_7" w:history="1">
        <w:r>
          <w:rPr>
            <w:rStyle w:val="a5"/>
            <w:rFonts w:ascii="Times New Roman" w:eastAsia="宋体" w:hAnsi="Times New Roman"/>
            <w:sz w:val="20"/>
            <w:szCs w:val="20"/>
          </w:rPr>
          <w:t>Table of Contents</w:t>
        </w:r>
      </w:hyperlink>
    </w:p>
    <w:p w14:paraId="00BAE2DD" w14:textId="77777777" w:rsidR="00871BDF" w:rsidRDefault="005C5088">
      <w:pPr>
        <w:spacing w:before="120"/>
      </w:pPr>
      <w:r>
        <w:rPr>
          <w:rFonts w:ascii="Times New Roman" w:eastAsia="宋体" w:hAnsi="Times New Roman"/>
          <w:color w:val="000000"/>
          <w:sz w:val="20"/>
          <w:szCs w:val="20"/>
        </w:rPr>
        <w:t>investing in new ways to serve our customers and supporting our store partner</w:t>
      </w:r>
      <w:r>
        <w:rPr>
          <w:rFonts w:ascii="Times New Roman" w:eastAsia="宋体" w:hAnsi="Times New Roman"/>
          <w:color w:val="000000"/>
          <w:sz w:val="20"/>
          <w:szCs w:val="20"/>
        </w:rPr>
        <w:t>s, repaying maturing debts, as well as returning cash to shareholders through common stock cash dividend payments and discretionary share repurchases and investing in new business opportunities related to our core and developing businesses. Further, we may</w:t>
      </w:r>
      <w:r>
        <w:rPr>
          <w:rFonts w:ascii="Times New Roman" w:eastAsia="宋体" w:hAnsi="Times New Roman"/>
          <w:color w:val="000000"/>
          <w:sz w:val="20"/>
          <w:szCs w:val="20"/>
        </w:rPr>
        <w:t xml:space="preserve"> use our available cash resources to make proportionate capital contributions to our investees. We may also seek strategic acquisitions to leverage existing capabilities and further build our business in support of our “Growth at Scale” agenda. Acquisition</w:t>
      </w:r>
      <w:r>
        <w:rPr>
          <w:rFonts w:ascii="Times New Roman" w:eastAsia="宋体" w:hAnsi="Times New Roman"/>
          <w:color w:val="000000"/>
          <w:sz w:val="20"/>
          <w:szCs w:val="20"/>
        </w:rPr>
        <w:t>s may include increasing our ownership interests in our investees. Any decisions to increase such ownership interests will be driven by valuation and fit with our ownership strategy.</w:t>
      </w:r>
    </w:p>
    <w:p w14:paraId="00BAE2DE" w14:textId="77777777" w:rsidR="00871BDF" w:rsidRDefault="005C5088">
      <w:pPr>
        <w:spacing w:before="120"/>
      </w:pPr>
      <w:r>
        <w:rPr>
          <w:rFonts w:ascii="Times New Roman" w:eastAsia="宋体" w:hAnsi="Times New Roman"/>
          <w:color w:val="000000"/>
          <w:sz w:val="20"/>
          <w:szCs w:val="20"/>
        </w:rPr>
        <w:t>We believe that net future cash flows generated from operations and exist</w:t>
      </w:r>
      <w:r>
        <w:rPr>
          <w:rFonts w:ascii="Times New Roman" w:eastAsia="宋体" w:hAnsi="Times New Roman"/>
          <w:color w:val="000000"/>
          <w:sz w:val="20"/>
          <w:szCs w:val="20"/>
        </w:rPr>
        <w:t>ing cash and investments both domestically and internationally combined with our ability to leverage our balance sheet through the issuance of debt will be sufficient to finance capital requirements for our core businesses as well as shareholder distributi</w:t>
      </w:r>
      <w:r>
        <w:rPr>
          <w:rFonts w:ascii="Times New Roman" w:eastAsia="宋体" w:hAnsi="Times New Roman"/>
          <w:color w:val="000000"/>
          <w:sz w:val="20"/>
          <w:szCs w:val="20"/>
        </w:rPr>
        <w:t xml:space="preserve">ons for the foreseeable future. Significant new joint ventures, acquisitions and/or other new business opportunities may require additional outside funding. We have borrowed funds and continue to believe we have the ability to do so at reasonable interest </w:t>
      </w:r>
      <w:r>
        <w:rPr>
          <w:rFonts w:ascii="Times New Roman" w:eastAsia="宋体" w:hAnsi="Times New Roman"/>
          <w:color w:val="000000"/>
          <w:sz w:val="20"/>
          <w:szCs w:val="20"/>
        </w:rPr>
        <w:t xml:space="preserve">rates; however, additional borrowings would result in increased interest expense in the future. In this regard, we may incur additional debt, within targeted levels, as part of our plans to fund our capital programs, including cash returns to shareholders </w:t>
      </w:r>
      <w:r>
        <w:rPr>
          <w:rFonts w:ascii="Times New Roman" w:eastAsia="宋体" w:hAnsi="Times New Roman"/>
          <w:color w:val="000000"/>
          <w:sz w:val="20"/>
          <w:szCs w:val="20"/>
        </w:rPr>
        <w:t>through future dividends and discretionary share repurchases. To further strengthen our liquidity in the near term, we currently expect the suspension of share repurchases to continue through the end of fiscal 2021. If necessary, we may pursue additional s</w:t>
      </w:r>
      <w:r>
        <w:rPr>
          <w:rFonts w:ascii="Times New Roman" w:eastAsia="宋体" w:hAnsi="Times New Roman"/>
          <w:color w:val="000000"/>
          <w:sz w:val="20"/>
          <w:szCs w:val="20"/>
        </w:rPr>
        <w:t>ources of financing, including both short-term and long-term borrowings and debt issuances.</w:t>
      </w:r>
    </w:p>
    <w:p w14:paraId="00BAE2DF" w14:textId="77777777" w:rsidR="00871BDF" w:rsidRDefault="005C5088">
      <w:pPr>
        <w:spacing w:before="120"/>
      </w:pPr>
      <w:r>
        <w:rPr>
          <w:rFonts w:ascii="Times New Roman" w:eastAsia="宋体" w:hAnsi="Times New Roman"/>
          <w:color w:val="000000"/>
          <w:sz w:val="20"/>
          <w:szCs w:val="20"/>
        </w:rPr>
        <w:t>We regularly review our cash positions and our determination of indefinite reinvestment of foreign earnings. In the event we determine that all or a portion of such</w:t>
      </w:r>
      <w:r>
        <w:rPr>
          <w:rFonts w:ascii="Times New Roman" w:eastAsia="宋体" w:hAnsi="Times New Roman"/>
          <w:color w:val="000000"/>
          <w:sz w:val="20"/>
          <w:szCs w:val="20"/>
        </w:rPr>
        <w:t xml:space="preserve"> foreign earnings are no longer indefinitely reinvested, we may be subject to additional foreign withholding taxes and U.S. state income taxes, which could be material. We do not anticipate the need for repatriated funds to the U.S. to satisfy domestic liq</w:t>
      </w:r>
      <w:r>
        <w:rPr>
          <w:rFonts w:ascii="Times New Roman" w:eastAsia="宋体" w:hAnsi="Times New Roman"/>
          <w:color w:val="000000"/>
          <w:sz w:val="20"/>
          <w:szCs w:val="20"/>
        </w:rPr>
        <w:t xml:space="preserve">uidity needs. See </w:t>
      </w:r>
      <w:hyperlink r:id="rId106" w:anchor="i54ccc64cb5384be5a4849ef1cdef4dde_181" w:history="1">
        <w:r>
          <w:rPr>
            <w:rStyle w:val="a5"/>
            <w:rFonts w:ascii="Times New Roman" w:eastAsia="宋体" w:hAnsi="Times New Roman"/>
            <w:sz w:val="20"/>
            <w:szCs w:val="20"/>
          </w:rPr>
          <w:t>Note 14</w:t>
        </w:r>
      </w:hyperlink>
      <w:r>
        <w:rPr>
          <w:rFonts w:ascii="Times New Roman" w:eastAsia="宋体" w:hAnsi="Times New Roman"/>
          <w:color w:val="000000"/>
          <w:sz w:val="20"/>
          <w:szCs w:val="20"/>
        </w:rPr>
        <w:t>, Income Taxes, for further discussion.</w:t>
      </w:r>
    </w:p>
    <w:p w14:paraId="00BAE2E0" w14:textId="77777777" w:rsidR="00871BDF" w:rsidRDefault="005C5088">
      <w:pPr>
        <w:spacing w:before="120"/>
      </w:pPr>
      <w:r>
        <w:rPr>
          <w:rFonts w:ascii="Times New Roman" w:eastAsia="宋体" w:hAnsi="Times New Roman"/>
          <w:color w:val="000000"/>
          <w:sz w:val="20"/>
          <w:szCs w:val="20"/>
        </w:rPr>
        <w:t xml:space="preserve">During fiscal 2020, we entered into </w:t>
      </w:r>
      <w:r>
        <w:rPr>
          <w:rFonts w:ascii="Times New Roman" w:eastAsia="宋体" w:hAnsi="Times New Roman"/>
          <w:color w:val="000000"/>
          <w:sz w:val="20"/>
          <w:szCs w:val="20"/>
        </w:rPr>
        <w:t>a new $500 million unsecured 364-day term-loan facility (“the 2020 term-loan facility”) which we drew on and subsequently repaid within the fiscal year. The 2020 term-loan facility was originally set to mature on March 19, 2021.</w:t>
      </w:r>
    </w:p>
    <w:p w14:paraId="00BAE2E1" w14:textId="77777777" w:rsidR="00871BDF" w:rsidRDefault="005C5088">
      <w:pPr>
        <w:spacing w:before="120"/>
      </w:pPr>
      <w:r>
        <w:rPr>
          <w:rFonts w:ascii="Times New Roman" w:eastAsia="宋体" w:hAnsi="Times New Roman"/>
          <w:color w:val="000000"/>
          <w:sz w:val="20"/>
          <w:szCs w:val="20"/>
        </w:rPr>
        <w:t>During each of the first th</w:t>
      </w:r>
      <w:r>
        <w:rPr>
          <w:rFonts w:ascii="Times New Roman" w:eastAsia="宋体" w:hAnsi="Times New Roman"/>
          <w:color w:val="000000"/>
          <w:sz w:val="20"/>
          <w:szCs w:val="20"/>
        </w:rPr>
        <w:t>ree quarters of fiscal 2019, we declared a cash dividend to shareholders of $0.36 per share. In the fourth quarter of fiscal 2019 and each of the first three quarters of fiscal 2020, we declared a cash dividend of $0.41 per share. Dividends are paid in the</w:t>
      </w:r>
      <w:r>
        <w:rPr>
          <w:rFonts w:ascii="Times New Roman" w:eastAsia="宋体" w:hAnsi="Times New Roman"/>
          <w:color w:val="000000"/>
          <w:sz w:val="20"/>
          <w:szCs w:val="20"/>
        </w:rPr>
        <w:t xml:space="preserve"> quarter following the declaration date. Cash returned to shareholders through dividends in fiscal 2020 and 2019 totaled $1.9 billion and $1.8 billion, respectively. Subsequent to the fourth quarter of fiscal 2020, we declared a cash dividend of $0.45 per </w:t>
      </w:r>
      <w:r>
        <w:rPr>
          <w:rFonts w:ascii="Times New Roman" w:eastAsia="宋体" w:hAnsi="Times New Roman"/>
          <w:color w:val="000000"/>
          <w:sz w:val="20"/>
          <w:szCs w:val="20"/>
        </w:rPr>
        <w:t>share to be paid on November 27, 2020 with an expected payout of approximately $527.9 million. As of the date of this report, we do not expect to reduce our quarterly dividend as a result of the COVID-19 pandemic.</w:t>
      </w:r>
    </w:p>
    <w:p w14:paraId="00BAE2E2" w14:textId="77777777" w:rsidR="00871BDF" w:rsidRDefault="005C5088">
      <w:pPr>
        <w:spacing w:before="120"/>
      </w:pPr>
      <w:r>
        <w:rPr>
          <w:rFonts w:ascii="Times New Roman" w:eastAsia="宋体" w:hAnsi="Times New Roman"/>
          <w:color w:val="000000"/>
          <w:sz w:val="20"/>
          <w:szCs w:val="20"/>
        </w:rPr>
        <w:t>In September 2018, we entered into acceler</w:t>
      </w:r>
      <w:r>
        <w:rPr>
          <w:rFonts w:ascii="Times New Roman" w:eastAsia="宋体" w:hAnsi="Times New Roman"/>
          <w:color w:val="000000"/>
          <w:sz w:val="20"/>
          <w:szCs w:val="20"/>
        </w:rPr>
        <w:t>ated share repurchase agreements (“ASR agreements”) with third-party financial institutions totaling $5.0 billion, effective October 1, 2018. We made a $5.0 billion up-front payment to the financial institutions and received an initial delivery of 72.0 mil</w:t>
      </w:r>
      <w:r>
        <w:rPr>
          <w:rFonts w:ascii="Times New Roman" w:eastAsia="宋体" w:hAnsi="Times New Roman"/>
          <w:color w:val="000000"/>
          <w:sz w:val="20"/>
          <w:szCs w:val="20"/>
        </w:rPr>
        <w:t>lion shares of our common stock. In March 2019, we received an additional 4.9 million shares upon the completion of the program based on a volume-weighted average share price (less discount) of $65.03.</w:t>
      </w:r>
    </w:p>
    <w:p w14:paraId="00BAE2E3" w14:textId="77777777" w:rsidR="00871BDF" w:rsidRDefault="005C5088">
      <w:pPr>
        <w:spacing w:before="120"/>
      </w:pPr>
      <w:r>
        <w:rPr>
          <w:rFonts w:ascii="Times New Roman" w:eastAsia="宋体" w:hAnsi="Times New Roman"/>
          <w:color w:val="000000"/>
          <w:sz w:val="20"/>
          <w:szCs w:val="20"/>
        </w:rPr>
        <w:t>Additionally, in March 2019, we entered into ASR agree</w:t>
      </w:r>
      <w:r>
        <w:rPr>
          <w:rFonts w:ascii="Times New Roman" w:eastAsia="宋体" w:hAnsi="Times New Roman"/>
          <w:color w:val="000000"/>
          <w:sz w:val="20"/>
          <w:szCs w:val="20"/>
        </w:rPr>
        <w:t xml:space="preserve">ments with third-party financial institutions totaling $2.0 billion, effective March 22, 2019. We made a $2.0 billion up-front payment to the financial institutions and received an initial delivery of 22.2 million shares of our common stock. In June 2019, </w:t>
      </w:r>
      <w:r>
        <w:rPr>
          <w:rFonts w:ascii="Times New Roman" w:eastAsia="宋体" w:hAnsi="Times New Roman"/>
          <w:color w:val="000000"/>
          <w:sz w:val="20"/>
          <w:szCs w:val="20"/>
        </w:rPr>
        <w:t xml:space="preserve">we received an additional 3.9 million shares upon the completion of the program based on a volume-weighted average share price (less discount) of $76.50. </w:t>
      </w:r>
    </w:p>
    <w:p w14:paraId="00BAE2E4" w14:textId="77777777" w:rsidR="00871BDF" w:rsidRDefault="005C5088">
      <w:pPr>
        <w:spacing w:before="120"/>
      </w:pPr>
      <w:r>
        <w:rPr>
          <w:rFonts w:ascii="Times New Roman" w:eastAsia="宋体" w:hAnsi="Times New Roman"/>
          <w:color w:val="000000"/>
          <w:sz w:val="20"/>
          <w:szCs w:val="20"/>
        </w:rPr>
        <w:t>Outside of the ASR agreements noted above, we repurchased 36.6 million shares of common stock for $3.</w:t>
      </w:r>
      <w:r>
        <w:rPr>
          <w:rFonts w:ascii="Times New Roman" w:eastAsia="宋体" w:hAnsi="Times New Roman"/>
          <w:color w:val="000000"/>
          <w:sz w:val="20"/>
          <w:szCs w:val="20"/>
        </w:rPr>
        <w:t>1 billion on the open market during the fiscal year ended September 29, 2019. In total, we repurchased 139.6 million shares at a total cost of $10.1 billion for the fiscal year ended September 29, 2019.</w:t>
      </w:r>
    </w:p>
    <w:p w14:paraId="00BAE2E5" w14:textId="77777777" w:rsidR="00871BDF" w:rsidRDefault="005C5088">
      <w:pPr>
        <w:spacing w:before="120"/>
      </w:pPr>
      <w:r>
        <w:rPr>
          <w:rFonts w:ascii="Times New Roman" w:eastAsia="宋体" w:hAnsi="Times New Roman"/>
          <w:color w:val="000000"/>
          <w:sz w:val="20"/>
          <w:szCs w:val="20"/>
        </w:rPr>
        <w:t>Our Board of Directors approved an increase of 120 mi</w:t>
      </w:r>
      <w:r>
        <w:rPr>
          <w:rFonts w:ascii="Times New Roman" w:eastAsia="宋体" w:hAnsi="Times New Roman"/>
          <w:color w:val="000000"/>
          <w:sz w:val="20"/>
          <w:szCs w:val="20"/>
        </w:rPr>
        <w:t>llion and 40 million shares to our ongoing share repurchase program during the fiscal first quarter of 2019 and fiscal second quarter of 2020, respectively. We temporarily suspended our share repurchase program in March 2020. Prior to the suspension, we re</w:t>
      </w:r>
      <w:r>
        <w:rPr>
          <w:rFonts w:ascii="Times New Roman" w:eastAsia="宋体" w:hAnsi="Times New Roman"/>
          <w:color w:val="000000"/>
          <w:sz w:val="20"/>
          <w:szCs w:val="20"/>
        </w:rPr>
        <w:t>purchased 20.3 million shares of common stock for $1.7 billion on the open market during the year ended September 27, 2020. As of September 27, 2020, 48.9 million shares remained available for repurchase under current authorizations. The existing share rep</w:t>
      </w:r>
      <w:r>
        <w:rPr>
          <w:rFonts w:ascii="Times New Roman" w:eastAsia="宋体" w:hAnsi="Times New Roman"/>
          <w:color w:val="000000"/>
          <w:sz w:val="20"/>
          <w:szCs w:val="20"/>
        </w:rPr>
        <w:t>urchase program remains authorized by the Board of Directors. The suspension of the share repurchases is currently expected to continue through fiscal 2021, and we may resume share repurchases in the future at any time, depending upon operating results, ou</w:t>
      </w:r>
      <w:r>
        <w:rPr>
          <w:rFonts w:ascii="Times New Roman" w:eastAsia="宋体" w:hAnsi="Times New Roman"/>
          <w:color w:val="000000"/>
          <w:sz w:val="20"/>
          <w:szCs w:val="20"/>
        </w:rPr>
        <w:t>r capital needs and other factors.</w:t>
      </w:r>
    </w:p>
    <w:p w14:paraId="00BAE2E6" w14:textId="77777777" w:rsidR="00871BDF" w:rsidRDefault="005C5088">
      <w:pPr>
        <w:spacing w:before="120"/>
      </w:pPr>
      <w:r>
        <w:rPr>
          <w:rFonts w:ascii="Times New Roman" w:eastAsia="宋体" w:hAnsi="Times New Roman"/>
          <w:color w:val="000000"/>
          <w:sz w:val="20"/>
          <w:szCs w:val="20"/>
        </w:rPr>
        <w:t>Other than normal operating expenses, cash requirements for fiscal 2021 are expected to consist primarily of capital expenditures for investments in our new and existing stores and our supply chain and corporate facilitie</w:t>
      </w:r>
      <w:r>
        <w:rPr>
          <w:rFonts w:ascii="Times New Roman" w:eastAsia="宋体" w:hAnsi="Times New Roman"/>
          <w:color w:val="000000"/>
          <w:sz w:val="20"/>
          <w:szCs w:val="20"/>
        </w:rPr>
        <w:t>s. Total capital expenditures for fiscal 2021 are expected to be approximately $1.9 billion.</w:t>
      </w:r>
    </w:p>
    <w:p w14:paraId="00BAE2E7" w14:textId="77777777" w:rsidR="00871BDF" w:rsidRDefault="005C5088">
      <w:pPr>
        <w:jc w:val="center"/>
      </w:pPr>
      <w:r>
        <w:rPr>
          <w:rFonts w:ascii="Times New Roman" w:eastAsia="宋体" w:hAnsi="Times New Roman"/>
          <w:color w:val="000000"/>
          <w:sz w:val="20"/>
          <w:szCs w:val="20"/>
        </w:rPr>
        <w:t>40</w:t>
      </w:r>
    </w:p>
    <w:p w14:paraId="00BAE2E8" w14:textId="77777777" w:rsidR="00871BDF" w:rsidRDefault="005C5088">
      <w:r>
        <w:pict w14:anchorId="00BB148D">
          <v:rect id="_x0000_i1067" style="width:415.3pt;height:1.5pt" o:hralign="center" o:hrstd="t" o:hr="t" fillcolor="#a0a0a0" stroked="f"/>
        </w:pict>
      </w:r>
    </w:p>
    <w:p w14:paraId="00BAE2E9" w14:textId="77777777" w:rsidR="00871BDF" w:rsidRDefault="005C5088">
      <w:hyperlink r:id="rId107" w:anchor="i54ccc64cb5384be5a4849ef1cdef4dde_7" w:history="1">
        <w:r>
          <w:rPr>
            <w:rStyle w:val="a5"/>
            <w:rFonts w:ascii="Times New Roman" w:eastAsia="宋体" w:hAnsi="Times New Roman"/>
            <w:sz w:val="20"/>
            <w:szCs w:val="20"/>
          </w:rPr>
          <w:t>Table of Contents</w:t>
        </w:r>
      </w:hyperlink>
    </w:p>
    <w:p w14:paraId="00BAE2EA" w14:textId="77777777" w:rsidR="00871BDF" w:rsidRDefault="005C5088">
      <w:pPr>
        <w:spacing w:before="120"/>
      </w:pPr>
      <w:r>
        <w:rPr>
          <w:rFonts w:ascii="Times New Roman" w:eastAsia="宋体" w:hAnsi="Times New Roman"/>
          <w:b/>
          <w:bCs/>
          <w:color w:val="000000"/>
          <w:sz w:val="20"/>
          <w:szCs w:val="20"/>
        </w:rPr>
        <w:t>Cash Flows</w:t>
      </w:r>
    </w:p>
    <w:p w14:paraId="00BAE2EB" w14:textId="77777777" w:rsidR="00871BDF" w:rsidRDefault="005C5088">
      <w:pPr>
        <w:spacing w:before="120"/>
      </w:pPr>
      <w:r>
        <w:rPr>
          <w:rFonts w:ascii="Times New Roman" w:eastAsia="宋体" w:hAnsi="Times New Roman"/>
          <w:color w:val="000000"/>
          <w:sz w:val="20"/>
          <w:szCs w:val="20"/>
        </w:rPr>
        <w:t>Cash provided by operating activities was $1.6 billion for fiscal 2020, co</w:t>
      </w:r>
      <w:r>
        <w:rPr>
          <w:rFonts w:ascii="Times New Roman" w:eastAsia="宋体" w:hAnsi="Times New Roman"/>
          <w:color w:val="000000"/>
          <w:sz w:val="20"/>
          <w:szCs w:val="20"/>
        </w:rPr>
        <w:t>mpared to $5.0 billion for fiscal 2019. The change was primarily due to temporary retail store closures resulting from the COVID-19 pandemic, the U.S. federal tax payment related to the Nestlé transaction and the timing of other tax payments and refunds.</w:t>
      </w:r>
    </w:p>
    <w:p w14:paraId="00BAE2EC" w14:textId="77777777" w:rsidR="00871BDF" w:rsidRDefault="005C5088">
      <w:pPr>
        <w:spacing w:before="120"/>
      </w:pPr>
      <w:r>
        <w:rPr>
          <w:rFonts w:ascii="Times New Roman" w:eastAsia="宋体" w:hAnsi="Times New Roman"/>
          <w:color w:val="000000"/>
          <w:sz w:val="20"/>
          <w:szCs w:val="20"/>
        </w:rPr>
        <w:t>C</w:t>
      </w:r>
      <w:r>
        <w:rPr>
          <w:rFonts w:ascii="Times New Roman" w:eastAsia="宋体" w:hAnsi="Times New Roman"/>
          <w:color w:val="000000"/>
          <w:sz w:val="20"/>
          <w:szCs w:val="20"/>
        </w:rPr>
        <w:t>ash used in investing activities totaled $1.7 billion for fiscal 2020, compared to $1.0 billion for fiscal 2019. The change was primarily driven by lapping proceeds from the divestiture of certain operations related to the conversions of our retail busines</w:t>
      </w:r>
      <w:r>
        <w:rPr>
          <w:rFonts w:ascii="Times New Roman" w:eastAsia="宋体" w:hAnsi="Times New Roman"/>
          <w:color w:val="000000"/>
          <w:sz w:val="20"/>
          <w:szCs w:val="20"/>
        </w:rPr>
        <w:t>ses in Thailand, France and the Netherlands to fully licensed markets during 2019 and an increase in purchase of investments in fiscal 2020. This was partially offset by lower capital expenditures for new and existing stores.</w:t>
      </w:r>
    </w:p>
    <w:p w14:paraId="00BAE2ED" w14:textId="77777777" w:rsidR="00871BDF" w:rsidRDefault="005C5088">
      <w:pPr>
        <w:spacing w:before="120"/>
      </w:pPr>
      <w:r>
        <w:rPr>
          <w:rFonts w:ascii="Times New Roman" w:eastAsia="宋体" w:hAnsi="Times New Roman"/>
          <w:color w:val="000000"/>
          <w:sz w:val="20"/>
          <w:szCs w:val="20"/>
        </w:rPr>
        <w:t>Cash provided by financing act</w:t>
      </w:r>
      <w:r>
        <w:rPr>
          <w:rFonts w:ascii="Times New Roman" w:eastAsia="宋体" w:hAnsi="Times New Roman"/>
          <w:color w:val="000000"/>
          <w:sz w:val="20"/>
          <w:szCs w:val="20"/>
        </w:rPr>
        <w:t>ivities for fiscal 2020 totaled $1.7 billion, compared to cash used in financing activities of $10.1 billion for fiscal 2019. The change was primarily due to higher repurchases of our common stock under accelerated share repurchase agreements in fiscal 201</w:t>
      </w:r>
      <w:r>
        <w:rPr>
          <w:rFonts w:ascii="Times New Roman" w:eastAsia="宋体" w:hAnsi="Times New Roman"/>
          <w:color w:val="000000"/>
          <w:sz w:val="20"/>
          <w:szCs w:val="20"/>
        </w:rPr>
        <w:t>9 and higher proceeds from issuance of long-term debt in fiscal 2020.</w:t>
      </w:r>
    </w:p>
    <w:p w14:paraId="00BAE2EE" w14:textId="77777777" w:rsidR="00871BDF" w:rsidRDefault="005C5088">
      <w:pPr>
        <w:spacing w:before="120"/>
      </w:pPr>
      <w:r>
        <w:rPr>
          <w:rFonts w:ascii="Times New Roman" w:eastAsia="宋体" w:hAnsi="Times New Roman"/>
          <w:b/>
          <w:bCs/>
          <w:color w:val="000000"/>
          <w:sz w:val="20"/>
          <w:szCs w:val="20"/>
        </w:rPr>
        <w:t>Contractual Obligations</w:t>
      </w:r>
    </w:p>
    <w:p w14:paraId="00BAE2EF" w14:textId="77777777" w:rsidR="00871BDF" w:rsidRDefault="005C5088">
      <w:pPr>
        <w:spacing w:before="120"/>
      </w:pPr>
      <w:r>
        <w:rPr>
          <w:rFonts w:ascii="Times New Roman" w:eastAsia="宋体" w:hAnsi="Times New Roman"/>
          <w:color w:val="000000"/>
          <w:sz w:val="20"/>
          <w:szCs w:val="20"/>
        </w:rPr>
        <w:t>The following table summarizes our contractual obligations and borrowings as of September 27, 2020, and the timing and effect that such commitments are expected t</w:t>
      </w:r>
      <w:r>
        <w:rPr>
          <w:rFonts w:ascii="Times New Roman" w:eastAsia="宋体" w:hAnsi="Times New Roman"/>
          <w:color w:val="000000"/>
          <w:sz w:val="20"/>
          <w:szCs w:val="20"/>
        </w:rPr>
        <w:t>o have on our liquidity and capital requirements in future periods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1" w:type="pct"/>
        <w:tblCellMar>
          <w:top w:w="15" w:type="dxa"/>
          <w:left w:w="15" w:type="dxa"/>
          <w:bottom w:w="15" w:type="dxa"/>
          <w:right w:w="15" w:type="dxa"/>
        </w:tblCellMar>
        <w:tblLook w:val="04A0" w:firstRow="1" w:lastRow="0" w:firstColumn="1" w:lastColumn="0" w:noHBand="0" w:noVBand="1"/>
      </w:tblPr>
      <w:tblGrid>
        <w:gridCol w:w="37"/>
        <w:gridCol w:w="2692"/>
        <w:gridCol w:w="36"/>
        <w:gridCol w:w="120"/>
        <w:gridCol w:w="893"/>
        <w:gridCol w:w="36"/>
        <w:gridCol w:w="36"/>
        <w:gridCol w:w="36"/>
        <w:gridCol w:w="36"/>
        <w:gridCol w:w="121"/>
        <w:gridCol w:w="848"/>
        <w:gridCol w:w="36"/>
        <w:gridCol w:w="36"/>
        <w:gridCol w:w="36"/>
        <w:gridCol w:w="36"/>
        <w:gridCol w:w="120"/>
        <w:gridCol w:w="848"/>
        <w:gridCol w:w="36"/>
        <w:gridCol w:w="36"/>
        <w:gridCol w:w="36"/>
        <w:gridCol w:w="36"/>
        <w:gridCol w:w="120"/>
        <w:gridCol w:w="848"/>
        <w:gridCol w:w="36"/>
        <w:gridCol w:w="36"/>
        <w:gridCol w:w="36"/>
        <w:gridCol w:w="36"/>
        <w:gridCol w:w="120"/>
        <w:gridCol w:w="873"/>
        <w:gridCol w:w="36"/>
      </w:tblGrid>
      <w:tr w:rsidR="00871BDF" w14:paraId="00BAE30E" w14:textId="77777777">
        <w:tc>
          <w:tcPr>
            <w:tcW w:w="50" w:type="pct"/>
            <w:shd w:val="clear" w:color="auto" w:fill="auto"/>
          </w:tcPr>
          <w:p w14:paraId="00BAE2F0" w14:textId="77777777" w:rsidR="00871BDF" w:rsidRDefault="00871BDF">
            <w:pPr>
              <w:rPr>
                <w:rFonts w:ascii="宋体"/>
              </w:rPr>
            </w:pPr>
          </w:p>
        </w:tc>
        <w:tc>
          <w:tcPr>
            <w:tcW w:w="1658" w:type="pct"/>
            <w:shd w:val="clear" w:color="auto" w:fill="auto"/>
          </w:tcPr>
          <w:p w14:paraId="00BAE2F1" w14:textId="77777777" w:rsidR="00871BDF" w:rsidRDefault="00871BDF">
            <w:pPr>
              <w:rPr>
                <w:rFonts w:ascii="宋体"/>
              </w:rPr>
            </w:pPr>
          </w:p>
        </w:tc>
        <w:tc>
          <w:tcPr>
            <w:tcW w:w="5" w:type="pct"/>
            <w:shd w:val="clear" w:color="auto" w:fill="auto"/>
          </w:tcPr>
          <w:p w14:paraId="00BAE2F2" w14:textId="77777777" w:rsidR="00871BDF" w:rsidRDefault="00871BDF">
            <w:pPr>
              <w:rPr>
                <w:rFonts w:ascii="宋体"/>
              </w:rPr>
            </w:pPr>
          </w:p>
        </w:tc>
        <w:tc>
          <w:tcPr>
            <w:tcW w:w="50" w:type="pct"/>
            <w:shd w:val="clear" w:color="auto" w:fill="auto"/>
          </w:tcPr>
          <w:p w14:paraId="00BAE2F3" w14:textId="77777777" w:rsidR="00871BDF" w:rsidRDefault="00871BDF">
            <w:pPr>
              <w:rPr>
                <w:rFonts w:ascii="宋体"/>
              </w:rPr>
            </w:pPr>
          </w:p>
        </w:tc>
        <w:tc>
          <w:tcPr>
            <w:tcW w:w="570" w:type="pct"/>
            <w:shd w:val="clear" w:color="auto" w:fill="auto"/>
          </w:tcPr>
          <w:p w14:paraId="00BAE2F4" w14:textId="77777777" w:rsidR="00871BDF" w:rsidRDefault="00871BDF">
            <w:pPr>
              <w:rPr>
                <w:rFonts w:ascii="宋体"/>
              </w:rPr>
            </w:pPr>
          </w:p>
        </w:tc>
        <w:tc>
          <w:tcPr>
            <w:tcW w:w="5" w:type="pct"/>
            <w:shd w:val="clear" w:color="auto" w:fill="auto"/>
          </w:tcPr>
          <w:p w14:paraId="00BAE2F5" w14:textId="77777777" w:rsidR="00871BDF" w:rsidRDefault="00871BDF">
            <w:pPr>
              <w:rPr>
                <w:rFonts w:ascii="宋体"/>
              </w:rPr>
            </w:pPr>
          </w:p>
        </w:tc>
        <w:tc>
          <w:tcPr>
            <w:tcW w:w="5" w:type="pct"/>
            <w:shd w:val="clear" w:color="auto" w:fill="auto"/>
          </w:tcPr>
          <w:p w14:paraId="00BAE2F6" w14:textId="77777777" w:rsidR="00871BDF" w:rsidRDefault="00871BDF">
            <w:pPr>
              <w:rPr>
                <w:rFonts w:ascii="宋体"/>
              </w:rPr>
            </w:pPr>
          </w:p>
        </w:tc>
        <w:tc>
          <w:tcPr>
            <w:tcW w:w="26" w:type="pct"/>
            <w:shd w:val="clear" w:color="auto" w:fill="auto"/>
          </w:tcPr>
          <w:p w14:paraId="00BAE2F7" w14:textId="77777777" w:rsidR="00871BDF" w:rsidRDefault="00871BDF">
            <w:pPr>
              <w:rPr>
                <w:rFonts w:ascii="宋体"/>
              </w:rPr>
            </w:pPr>
          </w:p>
        </w:tc>
        <w:tc>
          <w:tcPr>
            <w:tcW w:w="5" w:type="pct"/>
            <w:shd w:val="clear" w:color="auto" w:fill="auto"/>
          </w:tcPr>
          <w:p w14:paraId="00BAE2F8" w14:textId="77777777" w:rsidR="00871BDF" w:rsidRDefault="00871BDF">
            <w:pPr>
              <w:rPr>
                <w:rFonts w:ascii="宋体"/>
              </w:rPr>
            </w:pPr>
          </w:p>
        </w:tc>
        <w:tc>
          <w:tcPr>
            <w:tcW w:w="50" w:type="pct"/>
            <w:shd w:val="clear" w:color="auto" w:fill="auto"/>
          </w:tcPr>
          <w:p w14:paraId="00BAE2F9" w14:textId="77777777" w:rsidR="00871BDF" w:rsidRDefault="00871BDF">
            <w:pPr>
              <w:rPr>
                <w:rFonts w:ascii="宋体"/>
              </w:rPr>
            </w:pPr>
          </w:p>
        </w:tc>
        <w:tc>
          <w:tcPr>
            <w:tcW w:w="570" w:type="pct"/>
            <w:shd w:val="clear" w:color="auto" w:fill="auto"/>
          </w:tcPr>
          <w:p w14:paraId="00BAE2FA" w14:textId="77777777" w:rsidR="00871BDF" w:rsidRDefault="00871BDF">
            <w:pPr>
              <w:rPr>
                <w:rFonts w:ascii="宋体"/>
              </w:rPr>
            </w:pPr>
          </w:p>
        </w:tc>
        <w:tc>
          <w:tcPr>
            <w:tcW w:w="5" w:type="pct"/>
            <w:shd w:val="clear" w:color="auto" w:fill="auto"/>
          </w:tcPr>
          <w:p w14:paraId="00BAE2FB" w14:textId="77777777" w:rsidR="00871BDF" w:rsidRDefault="00871BDF">
            <w:pPr>
              <w:rPr>
                <w:rFonts w:ascii="宋体"/>
              </w:rPr>
            </w:pPr>
          </w:p>
        </w:tc>
        <w:tc>
          <w:tcPr>
            <w:tcW w:w="5" w:type="pct"/>
            <w:shd w:val="clear" w:color="auto" w:fill="auto"/>
          </w:tcPr>
          <w:p w14:paraId="00BAE2FC" w14:textId="77777777" w:rsidR="00871BDF" w:rsidRDefault="00871BDF">
            <w:pPr>
              <w:rPr>
                <w:rFonts w:ascii="宋体"/>
              </w:rPr>
            </w:pPr>
          </w:p>
        </w:tc>
        <w:tc>
          <w:tcPr>
            <w:tcW w:w="26" w:type="pct"/>
            <w:shd w:val="clear" w:color="auto" w:fill="auto"/>
          </w:tcPr>
          <w:p w14:paraId="00BAE2FD" w14:textId="77777777" w:rsidR="00871BDF" w:rsidRDefault="00871BDF">
            <w:pPr>
              <w:rPr>
                <w:rFonts w:ascii="宋体"/>
              </w:rPr>
            </w:pPr>
          </w:p>
        </w:tc>
        <w:tc>
          <w:tcPr>
            <w:tcW w:w="5" w:type="pct"/>
            <w:shd w:val="clear" w:color="auto" w:fill="auto"/>
          </w:tcPr>
          <w:p w14:paraId="00BAE2FE" w14:textId="77777777" w:rsidR="00871BDF" w:rsidRDefault="00871BDF">
            <w:pPr>
              <w:rPr>
                <w:rFonts w:ascii="宋体"/>
              </w:rPr>
            </w:pPr>
          </w:p>
        </w:tc>
        <w:tc>
          <w:tcPr>
            <w:tcW w:w="50" w:type="pct"/>
            <w:shd w:val="clear" w:color="auto" w:fill="auto"/>
          </w:tcPr>
          <w:p w14:paraId="00BAE2FF" w14:textId="77777777" w:rsidR="00871BDF" w:rsidRDefault="00871BDF">
            <w:pPr>
              <w:rPr>
                <w:rFonts w:ascii="宋体"/>
              </w:rPr>
            </w:pPr>
          </w:p>
        </w:tc>
        <w:tc>
          <w:tcPr>
            <w:tcW w:w="570" w:type="pct"/>
            <w:shd w:val="clear" w:color="auto" w:fill="auto"/>
          </w:tcPr>
          <w:p w14:paraId="00BAE300" w14:textId="77777777" w:rsidR="00871BDF" w:rsidRDefault="00871BDF">
            <w:pPr>
              <w:rPr>
                <w:rFonts w:ascii="宋体"/>
              </w:rPr>
            </w:pPr>
          </w:p>
        </w:tc>
        <w:tc>
          <w:tcPr>
            <w:tcW w:w="5" w:type="pct"/>
            <w:shd w:val="clear" w:color="auto" w:fill="auto"/>
          </w:tcPr>
          <w:p w14:paraId="00BAE301" w14:textId="77777777" w:rsidR="00871BDF" w:rsidRDefault="00871BDF">
            <w:pPr>
              <w:rPr>
                <w:rFonts w:ascii="宋体"/>
              </w:rPr>
            </w:pPr>
          </w:p>
        </w:tc>
        <w:tc>
          <w:tcPr>
            <w:tcW w:w="5" w:type="pct"/>
            <w:shd w:val="clear" w:color="auto" w:fill="auto"/>
          </w:tcPr>
          <w:p w14:paraId="00BAE302" w14:textId="77777777" w:rsidR="00871BDF" w:rsidRDefault="00871BDF">
            <w:pPr>
              <w:rPr>
                <w:rFonts w:ascii="宋体"/>
              </w:rPr>
            </w:pPr>
          </w:p>
        </w:tc>
        <w:tc>
          <w:tcPr>
            <w:tcW w:w="26" w:type="pct"/>
            <w:shd w:val="clear" w:color="auto" w:fill="auto"/>
          </w:tcPr>
          <w:p w14:paraId="00BAE303" w14:textId="77777777" w:rsidR="00871BDF" w:rsidRDefault="00871BDF">
            <w:pPr>
              <w:rPr>
                <w:rFonts w:ascii="宋体"/>
              </w:rPr>
            </w:pPr>
          </w:p>
        </w:tc>
        <w:tc>
          <w:tcPr>
            <w:tcW w:w="5" w:type="pct"/>
            <w:shd w:val="clear" w:color="auto" w:fill="auto"/>
          </w:tcPr>
          <w:p w14:paraId="00BAE304" w14:textId="77777777" w:rsidR="00871BDF" w:rsidRDefault="00871BDF">
            <w:pPr>
              <w:rPr>
                <w:rFonts w:ascii="宋体"/>
              </w:rPr>
            </w:pPr>
          </w:p>
        </w:tc>
        <w:tc>
          <w:tcPr>
            <w:tcW w:w="50" w:type="pct"/>
            <w:shd w:val="clear" w:color="auto" w:fill="auto"/>
          </w:tcPr>
          <w:p w14:paraId="00BAE305" w14:textId="77777777" w:rsidR="00871BDF" w:rsidRDefault="00871BDF">
            <w:pPr>
              <w:rPr>
                <w:rFonts w:ascii="宋体"/>
              </w:rPr>
            </w:pPr>
          </w:p>
        </w:tc>
        <w:tc>
          <w:tcPr>
            <w:tcW w:w="570" w:type="pct"/>
            <w:shd w:val="clear" w:color="auto" w:fill="auto"/>
          </w:tcPr>
          <w:p w14:paraId="00BAE306" w14:textId="77777777" w:rsidR="00871BDF" w:rsidRDefault="00871BDF">
            <w:pPr>
              <w:rPr>
                <w:rFonts w:ascii="宋体"/>
              </w:rPr>
            </w:pPr>
          </w:p>
        </w:tc>
        <w:tc>
          <w:tcPr>
            <w:tcW w:w="5" w:type="pct"/>
            <w:shd w:val="clear" w:color="auto" w:fill="auto"/>
          </w:tcPr>
          <w:p w14:paraId="00BAE307" w14:textId="77777777" w:rsidR="00871BDF" w:rsidRDefault="00871BDF">
            <w:pPr>
              <w:rPr>
                <w:rFonts w:ascii="宋体"/>
              </w:rPr>
            </w:pPr>
          </w:p>
        </w:tc>
        <w:tc>
          <w:tcPr>
            <w:tcW w:w="5" w:type="pct"/>
            <w:shd w:val="clear" w:color="auto" w:fill="auto"/>
          </w:tcPr>
          <w:p w14:paraId="00BAE308" w14:textId="77777777" w:rsidR="00871BDF" w:rsidRDefault="00871BDF">
            <w:pPr>
              <w:rPr>
                <w:rFonts w:ascii="宋体"/>
              </w:rPr>
            </w:pPr>
          </w:p>
        </w:tc>
        <w:tc>
          <w:tcPr>
            <w:tcW w:w="26" w:type="pct"/>
            <w:shd w:val="clear" w:color="auto" w:fill="auto"/>
          </w:tcPr>
          <w:p w14:paraId="00BAE309" w14:textId="77777777" w:rsidR="00871BDF" w:rsidRDefault="00871BDF">
            <w:pPr>
              <w:rPr>
                <w:rFonts w:ascii="宋体"/>
              </w:rPr>
            </w:pPr>
          </w:p>
        </w:tc>
        <w:tc>
          <w:tcPr>
            <w:tcW w:w="5" w:type="pct"/>
            <w:shd w:val="clear" w:color="auto" w:fill="auto"/>
          </w:tcPr>
          <w:p w14:paraId="00BAE30A" w14:textId="77777777" w:rsidR="00871BDF" w:rsidRDefault="00871BDF">
            <w:pPr>
              <w:rPr>
                <w:rFonts w:ascii="宋体"/>
              </w:rPr>
            </w:pPr>
          </w:p>
        </w:tc>
        <w:tc>
          <w:tcPr>
            <w:tcW w:w="50" w:type="pct"/>
            <w:shd w:val="clear" w:color="auto" w:fill="auto"/>
          </w:tcPr>
          <w:p w14:paraId="00BAE30B" w14:textId="77777777" w:rsidR="00871BDF" w:rsidRDefault="00871BDF">
            <w:pPr>
              <w:rPr>
                <w:rFonts w:ascii="宋体"/>
              </w:rPr>
            </w:pPr>
          </w:p>
        </w:tc>
        <w:tc>
          <w:tcPr>
            <w:tcW w:w="584" w:type="pct"/>
            <w:shd w:val="clear" w:color="auto" w:fill="auto"/>
          </w:tcPr>
          <w:p w14:paraId="00BAE30C" w14:textId="77777777" w:rsidR="00871BDF" w:rsidRDefault="00871BDF">
            <w:pPr>
              <w:rPr>
                <w:rFonts w:ascii="宋体"/>
              </w:rPr>
            </w:pPr>
          </w:p>
        </w:tc>
        <w:tc>
          <w:tcPr>
            <w:tcW w:w="5" w:type="pct"/>
            <w:shd w:val="clear" w:color="auto" w:fill="auto"/>
          </w:tcPr>
          <w:p w14:paraId="00BAE30D" w14:textId="77777777" w:rsidR="00871BDF" w:rsidRDefault="00871BDF">
            <w:pPr>
              <w:rPr>
                <w:rFonts w:ascii="宋体"/>
              </w:rPr>
            </w:pPr>
          </w:p>
        </w:tc>
      </w:tr>
      <w:tr w:rsidR="00871BDF" w14:paraId="00BAE311" w14:textId="77777777">
        <w:tc>
          <w:tcPr>
            <w:tcW w:w="0" w:type="auto"/>
            <w:gridSpan w:val="3"/>
            <w:shd w:val="clear" w:color="auto" w:fill="auto"/>
            <w:tcMar>
              <w:top w:w="40" w:type="dxa"/>
              <w:left w:w="20" w:type="dxa"/>
              <w:bottom w:w="40" w:type="dxa"/>
              <w:right w:w="20" w:type="dxa"/>
            </w:tcMar>
            <w:vAlign w:val="bottom"/>
          </w:tcPr>
          <w:p w14:paraId="00BAE30F" w14:textId="77777777" w:rsidR="00871BDF" w:rsidRDefault="005C5088">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00BAE310" w14:textId="77777777" w:rsidR="00871BDF" w:rsidRDefault="005C5088">
            <w:pPr>
              <w:jc w:val="center"/>
              <w:textAlignment w:val="bottom"/>
            </w:pPr>
            <w:r>
              <w:rPr>
                <w:rFonts w:ascii="Times New Roman" w:eastAsia="宋体" w:hAnsi="Times New Roman"/>
                <w:b/>
                <w:bCs/>
                <w:color w:val="FFFFFF"/>
                <w:sz w:val="16"/>
                <w:szCs w:val="16"/>
              </w:rPr>
              <w:t>Payments Due by Period</w:t>
            </w:r>
          </w:p>
        </w:tc>
      </w:tr>
      <w:tr w:rsidR="00871BDF" w14:paraId="00BAE320" w14:textId="77777777">
        <w:tc>
          <w:tcPr>
            <w:tcW w:w="0" w:type="auto"/>
            <w:gridSpan w:val="3"/>
            <w:shd w:val="clear" w:color="auto" w:fill="auto"/>
            <w:tcMar>
              <w:top w:w="40" w:type="dxa"/>
              <w:left w:w="20" w:type="dxa"/>
              <w:bottom w:w="40" w:type="dxa"/>
              <w:right w:w="20" w:type="dxa"/>
            </w:tcMar>
            <w:vAlign w:val="bottom"/>
          </w:tcPr>
          <w:p w14:paraId="00BAE312" w14:textId="77777777" w:rsidR="00871BDF" w:rsidRDefault="005C5088">
            <w:pPr>
              <w:textAlignment w:val="bottom"/>
            </w:pPr>
            <w:r>
              <w:rPr>
                <w:rFonts w:ascii="Times New Roman" w:eastAsia="宋体" w:hAnsi="Times New Roman"/>
                <w:b/>
                <w:bCs/>
                <w:color w:val="000000"/>
                <w:sz w:val="20"/>
                <w:szCs w:val="20"/>
                <w:u w:val="single"/>
              </w:rPr>
              <w:t>Contractual Obligations</w:t>
            </w:r>
            <w:r>
              <w:rPr>
                <w:rFonts w:ascii="Times New Roman" w:eastAsia="宋体" w:hAnsi="Times New Roman"/>
                <w:color w:val="000000"/>
                <w:sz w:val="13"/>
                <w:szCs w:val="13"/>
              </w:rPr>
              <w:t>(1)</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313" w14:textId="77777777" w:rsidR="00871BDF" w:rsidRDefault="005C5088">
            <w:pPr>
              <w:jc w:val="center"/>
              <w:textAlignment w:val="bottom"/>
            </w:pPr>
            <w:r>
              <w:rPr>
                <w:rFonts w:ascii="Times New Roman" w:eastAsia="宋体" w:hAnsi="Times New Roman"/>
                <w:b/>
                <w:bCs/>
                <w:color w:val="FFFFFF"/>
                <w:sz w:val="16"/>
                <w:szCs w:val="16"/>
              </w:rPr>
              <w:t>Total</w:t>
            </w:r>
          </w:p>
        </w:tc>
        <w:tc>
          <w:tcPr>
            <w:tcW w:w="0" w:type="auto"/>
            <w:gridSpan w:val="3"/>
            <w:tcBorders>
              <w:top w:val="single" w:sz="8" w:space="0" w:color="000000"/>
            </w:tcBorders>
            <w:shd w:val="clear" w:color="auto" w:fill="auto"/>
            <w:tcMar>
              <w:top w:w="0" w:type="dxa"/>
              <w:left w:w="20" w:type="dxa"/>
              <w:bottom w:w="0" w:type="dxa"/>
              <w:right w:w="20" w:type="dxa"/>
            </w:tcMar>
          </w:tcPr>
          <w:p w14:paraId="00BAE314"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315" w14:textId="77777777" w:rsidR="00871BDF" w:rsidRDefault="005C5088">
            <w:pPr>
              <w:jc w:val="center"/>
              <w:textAlignment w:val="bottom"/>
            </w:pPr>
            <w:r>
              <w:rPr>
                <w:rFonts w:ascii="Times New Roman" w:eastAsia="宋体" w:hAnsi="Times New Roman"/>
                <w:b/>
                <w:bCs/>
                <w:color w:val="FFFFFF"/>
                <w:sz w:val="16"/>
                <w:szCs w:val="16"/>
              </w:rPr>
              <w:t>Less than 1</w:t>
            </w:r>
          </w:p>
          <w:p w14:paraId="00BAE316" w14:textId="77777777" w:rsidR="00871BDF" w:rsidRDefault="005C5088">
            <w:pPr>
              <w:jc w:val="center"/>
              <w:textAlignment w:val="bottom"/>
            </w:pPr>
            <w:r>
              <w:rPr>
                <w:rFonts w:ascii="Times New Roman" w:eastAsia="宋体" w:hAnsi="Times New Roman"/>
                <w:b/>
                <w:bCs/>
                <w:color w:val="FFFFFF"/>
                <w:sz w:val="16"/>
                <w:szCs w:val="16"/>
              </w:rPr>
              <w:t>Year</w:t>
            </w:r>
          </w:p>
        </w:tc>
        <w:tc>
          <w:tcPr>
            <w:tcW w:w="0" w:type="auto"/>
            <w:gridSpan w:val="3"/>
            <w:tcBorders>
              <w:top w:val="single" w:sz="8" w:space="0" w:color="000000"/>
            </w:tcBorders>
            <w:shd w:val="clear" w:color="auto" w:fill="auto"/>
            <w:tcMar>
              <w:top w:w="0" w:type="dxa"/>
              <w:left w:w="20" w:type="dxa"/>
              <w:bottom w:w="0" w:type="dxa"/>
              <w:right w:w="20" w:type="dxa"/>
            </w:tcMar>
          </w:tcPr>
          <w:p w14:paraId="00BAE317"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318" w14:textId="77777777" w:rsidR="00871BDF" w:rsidRDefault="005C5088">
            <w:pPr>
              <w:jc w:val="center"/>
              <w:textAlignment w:val="bottom"/>
            </w:pPr>
            <w:r>
              <w:rPr>
                <w:rFonts w:ascii="Times New Roman" w:eastAsia="宋体" w:hAnsi="Times New Roman"/>
                <w:b/>
                <w:bCs/>
                <w:color w:val="FFFFFF"/>
                <w:sz w:val="16"/>
                <w:szCs w:val="16"/>
              </w:rPr>
              <w:t>1 - 3</w:t>
            </w:r>
          </w:p>
          <w:p w14:paraId="00BAE319" w14:textId="77777777" w:rsidR="00871BDF" w:rsidRDefault="005C5088">
            <w:pPr>
              <w:jc w:val="center"/>
              <w:textAlignment w:val="bottom"/>
            </w:pPr>
            <w:r>
              <w:rPr>
                <w:rFonts w:ascii="Times New Roman" w:eastAsia="宋体" w:hAnsi="Times New Roman"/>
                <w:b/>
                <w:bCs/>
                <w:color w:val="FFFFFF"/>
                <w:sz w:val="16"/>
                <w:szCs w:val="16"/>
              </w:rPr>
              <w:t>Years</w:t>
            </w:r>
          </w:p>
        </w:tc>
        <w:tc>
          <w:tcPr>
            <w:tcW w:w="0" w:type="auto"/>
            <w:gridSpan w:val="3"/>
            <w:tcBorders>
              <w:top w:val="single" w:sz="8" w:space="0" w:color="000000"/>
            </w:tcBorders>
            <w:shd w:val="clear" w:color="auto" w:fill="auto"/>
            <w:tcMar>
              <w:top w:w="0" w:type="dxa"/>
              <w:left w:w="20" w:type="dxa"/>
              <w:bottom w:w="0" w:type="dxa"/>
              <w:right w:w="20" w:type="dxa"/>
            </w:tcMar>
          </w:tcPr>
          <w:p w14:paraId="00BAE31A"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31B" w14:textId="77777777" w:rsidR="00871BDF" w:rsidRDefault="005C5088">
            <w:pPr>
              <w:jc w:val="center"/>
              <w:textAlignment w:val="bottom"/>
            </w:pPr>
            <w:r>
              <w:rPr>
                <w:rFonts w:ascii="Times New Roman" w:eastAsia="宋体" w:hAnsi="Times New Roman"/>
                <w:b/>
                <w:bCs/>
                <w:color w:val="FFFFFF"/>
                <w:sz w:val="16"/>
                <w:szCs w:val="16"/>
              </w:rPr>
              <w:t>3 - 5</w:t>
            </w:r>
          </w:p>
          <w:p w14:paraId="00BAE31C" w14:textId="77777777" w:rsidR="00871BDF" w:rsidRDefault="005C5088">
            <w:pPr>
              <w:jc w:val="center"/>
              <w:textAlignment w:val="bottom"/>
            </w:pPr>
            <w:r>
              <w:rPr>
                <w:rFonts w:ascii="Times New Roman" w:eastAsia="宋体" w:hAnsi="Times New Roman"/>
                <w:b/>
                <w:bCs/>
                <w:color w:val="FFFFFF"/>
                <w:sz w:val="16"/>
                <w:szCs w:val="16"/>
              </w:rPr>
              <w:t>Years</w:t>
            </w:r>
          </w:p>
        </w:tc>
        <w:tc>
          <w:tcPr>
            <w:tcW w:w="0" w:type="auto"/>
            <w:gridSpan w:val="3"/>
            <w:tcBorders>
              <w:top w:val="single" w:sz="8" w:space="0" w:color="000000"/>
            </w:tcBorders>
            <w:shd w:val="clear" w:color="auto" w:fill="auto"/>
            <w:tcMar>
              <w:top w:w="0" w:type="dxa"/>
              <w:left w:w="20" w:type="dxa"/>
              <w:bottom w:w="0" w:type="dxa"/>
              <w:right w:w="20" w:type="dxa"/>
            </w:tcMar>
          </w:tcPr>
          <w:p w14:paraId="00BAE31D"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31E" w14:textId="77777777" w:rsidR="00871BDF" w:rsidRDefault="005C5088">
            <w:pPr>
              <w:jc w:val="center"/>
              <w:textAlignment w:val="bottom"/>
            </w:pPr>
            <w:r>
              <w:rPr>
                <w:rFonts w:ascii="Times New Roman" w:eastAsia="宋体" w:hAnsi="Times New Roman"/>
                <w:b/>
                <w:bCs/>
                <w:color w:val="FFFFFF"/>
                <w:sz w:val="16"/>
                <w:szCs w:val="16"/>
              </w:rPr>
              <w:t>More than</w:t>
            </w:r>
          </w:p>
          <w:p w14:paraId="00BAE31F" w14:textId="77777777" w:rsidR="00871BDF" w:rsidRDefault="005C5088">
            <w:pPr>
              <w:jc w:val="center"/>
              <w:textAlignment w:val="bottom"/>
            </w:pPr>
            <w:r>
              <w:rPr>
                <w:rFonts w:ascii="Times New Roman" w:eastAsia="宋体" w:hAnsi="Times New Roman"/>
                <w:b/>
                <w:bCs/>
                <w:color w:val="FFFFFF"/>
                <w:sz w:val="16"/>
                <w:szCs w:val="16"/>
              </w:rPr>
              <w:t>5 Years</w:t>
            </w:r>
          </w:p>
        </w:tc>
      </w:tr>
      <w:tr w:rsidR="00871BDF" w14:paraId="00BAE335" w14:textId="77777777">
        <w:tc>
          <w:tcPr>
            <w:tcW w:w="0" w:type="auto"/>
            <w:gridSpan w:val="3"/>
            <w:shd w:val="clear" w:color="auto" w:fill="D7E4BC"/>
            <w:tcMar>
              <w:top w:w="40" w:type="dxa"/>
              <w:left w:w="20" w:type="dxa"/>
              <w:bottom w:w="40" w:type="dxa"/>
              <w:right w:w="20" w:type="dxa"/>
            </w:tcMar>
            <w:vAlign w:val="bottom"/>
          </w:tcPr>
          <w:p w14:paraId="00BAE321" w14:textId="77777777" w:rsidR="00871BDF" w:rsidRDefault="005C5088">
            <w:pPr>
              <w:textAlignment w:val="bottom"/>
            </w:pPr>
            <w:r>
              <w:rPr>
                <w:rFonts w:ascii="Times New Roman" w:eastAsia="宋体" w:hAnsi="Times New Roman"/>
                <w:color w:val="000000"/>
                <w:sz w:val="20"/>
                <w:szCs w:val="20"/>
              </w:rPr>
              <w:t>Operating lease obligations</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E322"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323" w14:textId="77777777" w:rsidR="00871BDF" w:rsidRDefault="005C5088">
            <w:pPr>
              <w:jc w:val="right"/>
              <w:textAlignment w:val="bottom"/>
            </w:pPr>
            <w:r>
              <w:rPr>
                <w:rFonts w:ascii="Times New Roman" w:eastAsia="宋体" w:hAnsi="Times New Roman"/>
                <w:color w:val="000000"/>
                <w:sz w:val="20"/>
                <w:szCs w:val="20"/>
              </w:rPr>
              <w:t>10,089.6 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32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25"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32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327" w14:textId="77777777" w:rsidR="00871BDF" w:rsidRDefault="005C5088">
            <w:pPr>
              <w:jc w:val="right"/>
              <w:textAlignment w:val="bottom"/>
            </w:pPr>
            <w:r>
              <w:rPr>
                <w:rFonts w:ascii="Times New Roman" w:eastAsia="宋体" w:hAnsi="Times New Roman"/>
                <w:color w:val="000000"/>
                <w:sz w:val="20"/>
                <w:szCs w:val="20"/>
              </w:rPr>
              <w:t>1,528.1 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32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29"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32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32B" w14:textId="77777777" w:rsidR="00871BDF" w:rsidRDefault="005C5088">
            <w:pPr>
              <w:jc w:val="right"/>
              <w:textAlignment w:val="bottom"/>
            </w:pPr>
            <w:r>
              <w:rPr>
                <w:rFonts w:ascii="Times New Roman" w:eastAsia="宋体" w:hAnsi="Times New Roman"/>
                <w:color w:val="000000"/>
                <w:sz w:val="20"/>
                <w:szCs w:val="20"/>
              </w:rPr>
              <w:t>2,668.7 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32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2D"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32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32F" w14:textId="77777777" w:rsidR="00871BDF" w:rsidRDefault="005C5088">
            <w:pPr>
              <w:jc w:val="right"/>
              <w:textAlignment w:val="bottom"/>
            </w:pPr>
            <w:r>
              <w:rPr>
                <w:rFonts w:ascii="Times New Roman" w:eastAsia="宋体" w:hAnsi="Times New Roman"/>
                <w:color w:val="000000"/>
                <w:sz w:val="20"/>
                <w:szCs w:val="20"/>
              </w:rPr>
              <w:t>2,112.6 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33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31"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332"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333" w14:textId="77777777" w:rsidR="00871BDF" w:rsidRDefault="005C5088">
            <w:pPr>
              <w:jc w:val="right"/>
              <w:textAlignment w:val="bottom"/>
            </w:pPr>
            <w:r>
              <w:rPr>
                <w:rFonts w:ascii="Times New Roman" w:eastAsia="宋体" w:hAnsi="Times New Roman"/>
                <w:color w:val="000000"/>
                <w:sz w:val="20"/>
                <w:szCs w:val="20"/>
              </w:rPr>
              <w:t>3,780.2 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334" w14:textId="77777777" w:rsidR="00871BDF" w:rsidRDefault="00871BDF">
            <w:pPr>
              <w:jc w:val="right"/>
              <w:rPr>
                <w:rFonts w:ascii="宋体"/>
              </w:rPr>
            </w:pPr>
          </w:p>
        </w:tc>
      </w:tr>
      <w:tr w:rsidR="00871BDF" w14:paraId="00BAE340" w14:textId="77777777">
        <w:trPr>
          <w:hidden/>
        </w:trPr>
        <w:tc>
          <w:tcPr>
            <w:tcW w:w="0" w:type="auto"/>
            <w:gridSpan w:val="3"/>
            <w:shd w:val="clear" w:color="auto" w:fill="auto"/>
          </w:tcPr>
          <w:p w14:paraId="00BAE336" w14:textId="77777777" w:rsidR="00871BDF" w:rsidRDefault="00871BDF">
            <w:pPr>
              <w:rPr>
                <w:rFonts w:ascii="宋体"/>
                <w:vanish/>
              </w:rPr>
            </w:pPr>
          </w:p>
        </w:tc>
        <w:tc>
          <w:tcPr>
            <w:tcW w:w="0" w:type="auto"/>
            <w:gridSpan w:val="3"/>
            <w:shd w:val="clear" w:color="auto" w:fill="auto"/>
          </w:tcPr>
          <w:p w14:paraId="00BAE337" w14:textId="77777777" w:rsidR="00871BDF" w:rsidRDefault="00871BDF">
            <w:pPr>
              <w:rPr>
                <w:rFonts w:ascii="宋体"/>
                <w:vanish/>
              </w:rPr>
            </w:pPr>
          </w:p>
        </w:tc>
        <w:tc>
          <w:tcPr>
            <w:tcW w:w="0" w:type="auto"/>
            <w:gridSpan w:val="3"/>
            <w:shd w:val="clear" w:color="auto" w:fill="auto"/>
          </w:tcPr>
          <w:p w14:paraId="00BAE338" w14:textId="77777777" w:rsidR="00871BDF" w:rsidRDefault="00871BDF">
            <w:pPr>
              <w:rPr>
                <w:rFonts w:ascii="宋体"/>
                <w:vanish/>
              </w:rPr>
            </w:pPr>
          </w:p>
        </w:tc>
        <w:tc>
          <w:tcPr>
            <w:tcW w:w="0" w:type="auto"/>
            <w:gridSpan w:val="3"/>
            <w:shd w:val="clear" w:color="auto" w:fill="auto"/>
          </w:tcPr>
          <w:p w14:paraId="00BAE339" w14:textId="77777777" w:rsidR="00871BDF" w:rsidRDefault="00871BDF">
            <w:pPr>
              <w:rPr>
                <w:rFonts w:ascii="宋体"/>
                <w:vanish/>
              </w:rPr>
            </w:pPr>
          </w:p>
        </w:tc>
        <w:tc>
          <w:tcPr>
            <w:tcW w:w="0" w:type="auto"/>
            <w:gridSpan w:val="3"/>
            <w:shd w:val="clear" w:color="auto" w:fill="auto"/>
          </w:tcPr>
          <w:p w14:paraId="00BAE33A" w14:textId="77777777" w:rsidR="00871BDF" w:rsidRDefault="00871BDF">
            <w:pPr>
              <w:rPr>
                <w:rFonts w:ascii="宋体"/>
                <w:vanish/>
              </w:rPr>
            </w:pPr>
          </w:p>
        </w:tc>
        <w:tc>
          <w:tcPr>
            <w:tcW w:w="0" w:type="auto"/>
            <w:gridSpan w:val="3"/>
            <w:shd w:val="clear" w:color="auto" w:fill="auto"/>
          </w:tcPr>
          <w:p w14:paraId="00BAE33B" w14:textId="77777777" w:rsidR="00871BDF" w:rsidRDefault="00871BDF">
            <w:pPr>
              <w:rPr>
                <w:rFonts w:ascii="宋体"/>
                <w:vanish/>
              </w:rPr>
            </w:pPr>
          </w:p>
        </w:tc>
        <w:tc>
          <w:tcPr>
            <w:tcW w:w="0" w:type="auto"/>
            <w:gridSpan w:val="3"/>
            <w:shd w:val="clear" w:color="auto" w:fill="auto"/>
          </w:tcPr>
          <w:p w14:paraId="00BAE33C" w14:textId="77777777" w:rsidR="00871BDF" w:rsidRDefault="00871BDF">
            <w:pPr>
              <w:rPr>
                <w:rFonts w:ascii="宋体"/>
                <w:vanish/>
              </w:rPr>
            </w:pPr>
          </w:p>
        </w:tc>
        <w:tc>
          <w:tcPr>
            <w:tcW w:w="0" w:type="auto"/>
            <w:gridSpan w:val="3"/>
            <w:shd w:val="clear" w:color="auto" w:fill="auto"/>
          </w:tcPr>
          <w:p w14:paraId="00BAE33D" w14:textId="77777777" w:rsidR="00871BDF" w:rsidRDefault="00871BDF">
            <w:pPr>
              <w:rPr>
                <w:rFonts w:ascii="宋体"/>
                <w:vanish/>
              </w:rPr>
            </w:pPr>
          </w:p>
        </w:tc>
        <w:tc>
          <w:tcPr>
            <w:tcW w:w="0" w:type="auto"/>
            <w:gridSpan w:val="3"/>
            <w:shd w:val="clear" w:color="auto" w:fill="auto"/>
          </w:tcPr>
          <w:p w14:paraId="00BAE33E" w14:textId="77777777" w:rsidR="00871BDF" w:rsidRDefault="00871BDF">
            <w:pPr>
              <w:rPr>
                <w:rFonts w:ascii="宋体"/>
                <w:vanish/>
              </w:rPr>
            </w:pPr>
          </w:p>
        </w:tc>
        <w:tc>
          <w:tcPr>
            <w:tcW w:w="0" w:type="auto"/>
            <w:gridSpan w:val="3"/>
            <w:shd w:val="clear" w:color="auto" w:fill="auto"/>
          </w:tcPr>
          <w:p w14:paraId="00BAE33F" w14:textId="77777777" w:rsidR="00871BDF" w:rsidRDefault="00871BDF">
            <w:pPr>
              <w:rPr>
                <w:rFonts w:ascii="宋体"/>
                <w:vanish/>
              </w:rPr>
            </w:pPr>
          </w:p>
        </w:tc>
      </w:tr>
      <w:tr w:rsidR="00871BDF" w14:paraId="00BAE34B" w14:textId="77777777">
        <w:tc>
          <w:tcPr>
            <w:tcW w:w="0" w:type="auto"/>
            <w:gridSpan w:val="3"/>
            <w:shd w:val="clear" w:color="auto" w:fill="FFFFFF"/>
            <w:tcMar>
              <w:top w:w="40" w:type="dxa"/>
              <w:left w:w="20" w:type="dxa"/>
              <w:bottom w:w="40" w:type="dxa"/>
              <w:right w:w="20" w:type="dxa"/>
            </w:tcMar>
            <w:vAlign w:val="bottom"/>
          </w:tcPr>
          <w:p w14:paraId="00BAE341" w14:textId="77777777" w:rsidR="00871BDF" w:rsidRDefault="005C5088">
            <w:pPr>
              <w:textAlignment w:val="bottom"/>
            </w:pPr>
            <w:r>
              <w:rPr>
                <w:rFonts w:ascii="Times New Roman" w:eastAsia="宋体" w:hAnsi="Times New Roman"/>
                <w:color w:val="000000"/>
                <w:sz w:val="20"/>
                <w:szCs w:val="20"/>
              </w:rPr>
              <w:t>Debt obligations</w:t>
            </w:r>
          </w:p>
        </w:tc>
        <w:tc>
          <w:tcPr>
            <w:tcW w:w="0" w:type="auto"/>
            <w:gridSpan w:val="3"/>
            <w:shd w:val="clear" w:color="auto" w:fill="FFFFFF"/>
            <w:tcMar>
              <w:top w:w="0" w:type="dxa"/>
              <w:left w:w="20" w:type="dxa"/>
              <w:bottom w:w="0" w:type="dxa"/>
              <w:right w:w="20" w:type="dxa"/>
            </w:tcMar>
          </w:tcPr>
          <w:p w14:paraId="00BAE34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34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34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34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34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34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348"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34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34A" w14:textId="77777777" w:rsidR="00871BDF" w:rsidRDefault="00871BDF">
            <w:pPr>
              <w:rPr>
                <w:rFonts w:ascii="宋体"/>
              </w:rPr>
            </w:pPr>
          </w:p>
        </w:tc>
      </w:tr>
      <w:tr w:rsidR="00871BDF" w14:paraId="00BAE35B" w14:textId="77777777">
        <w:tc>
          <w:tcPr>
            <w:tcW w:w="0" w:type="auto"/>
            <w:gridSpan w:val="3"/>
            <w:shd w:val="clear" w:color="auto" w:fill="D7E4BC"/>
            <w:tcMar>
              <w:top w:w="40" w:type="dxa"/>
              <w:left w:w="155" w:type="dxa"/>
              <w:bottom w:w="40" w:type="dxa"/>
              <w:right w:w="20" w:type="dxa"/>
            </w:tcMar>
            <w:vAlign w:val="bottom"/>
          </w:tcPr>
          <w:p w14:paraId="00BAE34C" w14:textId="77777777" w:rsidR="00871BDF" w:rsidRDefault="005C5088">
            <w:pPr>
              <w:textAlignment w:val="bottom"/>
            </w:pPr>
            <w:r>
              <w:rPr>
                <w:rFonts w:ascii="Times New Roman" w:eastAsia="宋体" w:hAnsi="Times New Roman"/>
                <w:color w:val="000000"/>
                <w:sz w:val="20"/>
                <w:szCs w:val="20"/>
              </w:rPr>
              <w:t>Principal payments</w:t>
            </w:r>
          </w:p>
        </w:tc>
        <w:tc>
          <w:tcPr>
            <w:tcW w:w="0" w:type="auto"/>
            <w:gridSpan w:val="2"/>
            <w:shd w:val="clear" w:color="auto" w:fill="D7E4BC"/>
            <w:tcMar>
              <w:top w:w="40" w:type="dxa"/>
              <w:left w:w="20" w:type="dxa"/>
              <w:bottom w:w="40" w:type="dxa"/>
              <w:right w:w="0" w:type="dxa"/>
            </w:tcMar>
            <w:vAlign w:val="bottom"/>
          </w:tcPr>
          <w:p w14:paraId="00BAE34D" w14:textId="77777777" w:rsidR="00871BDF" w:rsidRDefault="005C5088">
            <w:pPr>
              <w:jc w:val="right"/>
              <w:textAlignment w:val="bottom"/>
            </w:pPr>
            <w:r>
              <w:rPr>
                <w:rFonts w:ascii="Times New Roman" w:eastAsia="宋体" w:hAnsi="Times New Roman"/>
                <w:color w:val="000000"/>
                <w:sz w:val="20"/>
                <w:szCs w:val="20"/>
              </w:rPr>
              <w:t>16,445.2 </w:t>
            </w:r>
          </w:p>
        </w:tc>
        <w:tc>
          <w:tcPr>
            <w:tcW w:w="0" w:type="auto"/>
            <w:shd w:val="clear" w:color="auto" w:fill="D7E4BC"/>
            <w:tcMar>
              <w:top w:w="40" w:type="dxa"/>
              <w:left w:w="0" w:type="dxa"/>
              <w:bottom w:w="40" w:type="dxa"/>
              <w:right w:w="20" w:type="dxa"/>
            </w:tcMar>
            <w:vAlign w:val="bottom"/>
          </w:tcPr>
          <w:p w14:paraId="00BAE34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4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350" w14:textId="77777777" w:rsidR="00871BDF" w:rsidRDefault="005C5088">
            <w:pPr>
              <w:jc w:val="right"/>
              <w:textAlignment w:val="bottom"/>
            </w:pPr>
            <w:r>
              <w:rPr>
                <w:rFonts w:ascii="Times New Roman" w:eastAsia="宋体" w:hAnsi="Times New Roman"/>
                <w:color w:val="000000"/>
                <w:sz w:val="20"/>
                <w:szCs w:val="20"/>
              </w:rPr>
              <w:t>1,688.8 </w:t>
            </w:r>
          </w:p>
        </w:tc>
        <w:tc>
          <w:tcPr>
            <w:tcW w:w="0" w:type="auto"/>
            <w:shd w:val="clear" w:color="auto" w:fill="D7E4BC"/>
            <w:tcMar>
              <w:top w:w="40" w:type="dxa"/>
              <w:left w:w="0" w:type="dxa"/>
              <w:bottom w:w="40" w:type="dxa"/>
              <w:right w:w="20" w:type="dxa"/>
            </w:tcMar>
            <w:vAlign w:val="bottom"/>
          </w:tcPr>
          <w:p w14:paraId="00BAE35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5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353" w14:textId="77777777" w:rsidR="00871BDF" w:rsidRDefault="005C5088">
            <w:pPr>
              <w:jc w:val="right"/>
              <w:textAlignment w:val="bottom"/>
            </w:pPr>
            <w:r>
              <w:rPr>
                <w:rFonts w:ascii="Times New Roman" w:eastAsia="宋体" w:hAnsi="Times New Roman"/>
                <w:color w:val="000000"/>
                <w:sz w:val="20"/>
                <w:szCs w:val="20"/>
              </w:rPr>
              <w:t>2,000.0 </w:t>
            </w:r>
          </w:p>
        </w:tc>
        <w:tc>
          <w:tcPr>
            <w:tcW w:w="0" w:type="auto"/>
            <w:shd w:val="clear" w:color="auto" w:fill="D7E4BC"/>
            <w:tcMar>
              <w:top w:w="40" w:type="dxa"/>
              <w:left w:w="0" w:type="dxa"/>
              <w:bottom w:w="40" w:type="dxa"/>
              <w:right w:w="20" w:type="dxa"/>
            </w:tcMar>
            <w:vAlign w:val="bottom"/>
          </w:tcPr>
          <w:p w14:paraId="00BAE35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5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356" w14:textId="77777777" w:rsidR="00871BDF" w:rsidRDefault="005C5088">
            <w:pPr>
              <w:jc w:val="right"/>
              <w:textAlignment w:val="bottom"/>
            </w:pPr>
            <w:r>
              <w:rPr>
                <w:rFonts w:ascii="Times New Roman" w:eastAsia="宋体" w:hAnsi="Times New Roman"/>
                <w:color w:val="000000"/>
                <w:sz w:val="20"/>
                <w:szCs w:val="20"/>
              </w:rPr>
              <w:t>2,806.4 </w:t>
            </w:r>
          </w:p>
        </w:tc>
        <w:tc>
          <w:tcPr>
            <w:tcW w:w="0" w:type="auto"/>
            <w:shd w:val="clear" w:color="auto" w:fill="D7E4BC"/>
            <w:tcMar>
              <w:top w:w="40" w:type="dxa"/>
              <w:left w:w="0" w:type="dxa"/>
              <w:bottom w:w="40" w:type="dxa"/>
              <w:right w:w="20" w:type="dxa"/>
            </w:tcMar>
            <w:vAlign w:val="bottom"/>
          </w:tcPr>
          <w:p w14:paraId="00BAE35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5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359" w14:textId="77777777" w:rsidR="00871BDF" w:rsidRDefault="005C5088">
            <w:pPr>
              <w:jc w:val="right"/>
              <w:textAlignment w:val="bottom"/>
            </w:pPr>
            <w:r>
              <w:rPr>
                <w:rFonts w:ascii="Times New Roman" w:eastAsia="宋体" w:hAnsi="Times New Roman"/>
                <w:color w:val="000000"/>
                <w:sz w:val="20"/>
                <w:szCs w:val="20"/>
              </w:rPr>
              <w:t>9,950.0 </w:t>
            </w:r>
          </w:p>
        </w:tc>
        <w:tc>
          <w:tcPr>
            <w:tcW w:w="0" w:type="auto"/>
            <w:shd w:val="clear" w:color="auto" w:fill="D7E4BC"/>
            <w:tcMar>
              <w:top w:w="40" w:type="dxa"/>
              <w:left w:w="0" w:type="dxa"/>
              <w:bottom w:w="40" w:type="dxa"/>
              <w:right w:w="20" w:type="dxa"/>
            </w:tcMar>
            <w:vAlign w:val="bottom"/>
          </w:tcPr>
          <w:p w14:paraId="00BAE35A" w14:textId="77777777" w:rsidR="00871BDF" w:rsidRDefault="00871BDF">
            <w:pPr>
              <w:jc w:val="right"/>
              <w:rPr>
                <w:rFonts w:ascii="宋体"/>
              </w:rPr>
            </w:pPr>
          </w:p>
        </w:tc>
      </w:tr>
      <w:tr w:rsidR="00871BDF" w14:paraId="00BAE36B" w14:textId="77777777">
        <w:tc>
          <w:tcPr>
            <w:tcW w:w="0" w:type="auto"/>
            <w:gridSpan w:val="3"/>
            <w:shd w:val="clear" w:color="auto" w:fill="FFFFFF"/>
            <w:tcMar>
              <w:top w:w="40" w:type="dxa"/>
              <w:left w:w="155" w:type="dxa"/>
              <w:bottom w:w="40" w:type="dxa"/>
              <w:right w:w="20" w:type="dxa"/>
            </w:tcMar>
            <w:vAlign w:val="bottom"/>
          </w:tcPr>
          <w:p w14:paraId="00BAE35C" w14:textId="77777777" w:rsidR="00871BDF" w:rsidRDefault="005C5088">
            <w:pPr>
              <w:textAlignment w:val="bottom"/>
            </w:pPr>
            <w:r>
              <w:rPr>
                <w:rFonts w:ascii="Times New Roman" w:eastAsia="宋体" w:hAnsi="Times New Roman"/>
                <w:color w:val="000000"/>
                <w:sz w:val="20"/>
                <w:szCs w:val="20"/>
              </w:rPr>
              <w:t>Interest payments</w:t>
            </w:r>
          </w:p>
        </w:tc>
        <w:tc>
          <w:tcPr>
            <w:tcW w:w="0" w:type="auto"/>
            <w:gridSpan w:val="2"/>
            <w:shd w:val="clear" w:color="auto" w:fill="FFFFFF"/>
            <w:tcMar>
              <w:top w:w="40" w:type="dxa"/>
              <w:left w:w="20" w:type="dxa"/>
              <w:bottom w:w="40" w:type="dxa"/>
              <w:right w:w="0" w:type="dxa"/>
            </w:tcMar>
            <w:vAlign w:val="bottom"/>
          </w:tcPr>
          <w:p w14:paraId="00BAE35D" w14:textId="77777777" w:rsidR="00871BDF" w:rsidRDefault="005C5088">
            <w:pPr>
              <w:jc w:val="right"/>
              <w:textAlignment w:val="bottom"/>
            </w:pPr>
            <w:r>
              <w:rPr>
                <w:rFonts w:ascii="Times New Roman" w:eastAsia="宋体" w:hAnsi="Times New Roman"/>
                <w:color w:val="000000"/>
                <w:sz w:val="20"/>
                <w:szCs w:val="20"/>
              </w:rPr>
              <w:t>7,140.5 </w:t>
            </w:r>
          </w:p>
        </w:tc>
        <w:tc>
          <w:tcPr>
            <w:tcW w:w="0" w:type="auto"/>
            <w:shd w:val="clear" w:color="auto" w:fill="FFFFFF"/>
            <w:tcMar>
              <w:top w:w="40" w:type="dxa"/>
              <w:left w:w="0" w:type="dxa"/>
              <w:bottom w:w="40" w:type="dxa"/>
              <w:right w:w="20" w:type="dxa"/>
            </w:tcMar>
            <w:vAlign w:val="bottom"/>
          </w:tcPr>
          <w:p w14:paraId="00BAE35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35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360" w14:textId="77777777" w:rsidR="00871BDF" w:rsidRDefault="005C5088">
            <w:pPr>
              <w:jc w:val="right"/>
              <w:textAlignment w:val="bottom"/>
            </w:pPr>
            <w:r>
              <w:rPr>
                <w:rFonts w:ascii="Times New Roman" w:eastAsia="宋体" w:hAnsi="Times New Roman"/>
                <w:color w:val="000000"/>
                <w:sz w:val="20"/>
                <w:szCs w:val="20"/>
              </w:rPr>
              <w:t>501.2 </w:t>
            </w:r>
          </w:p>
        </w:tc>
        <w:tc>
          <w:tcPr>
            <w:tcW w:w="0" w:type="auto"/>
            <w:shd w:val="clear" w:color="auto" w:fill="FFFFFF"/>
            <w:tcMar>
              <w:top w:w="40" w:type="dxa"/>
              <w:left w:w="0" w:type="dxa"/>
              <w:bottom w:w="40" w:type="dxa"/>
              <w:right w:w="20" w:type="dxa"/>
            </w:tcMar>
            <w:vAlign w:val="bottom"/>
          </w:tcPr>
          <w:p w14:paraId="00BAE36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36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363" w14:textId="77777777" w:rsidR="00871BDF" w:rsidRDefault="005C5088">
            <w:pPr>
              <w:jc w:val="right"/>
              <w:textAlignment w:val="bottom"/>
            </w:pPr>
            <w:r>
              <w:rPr>
                <w:rFonts w:ascii="Times New Roman" w:eastAsia="宋体" w:hAnsi="Times New Roman"/>
                <w:color w:val="000000"/>
                <w:sz w:val="20"/>
                <w:szCs w:val="20"/>
              </w:rPr>
              <w:t>893.4 </w:t>
            </w:r>
          </w:p>
        </w:tc>
        <w:tc>
          <w:tcPr>
            <w:tcW w:w="0" w:type="auto"/>
            <w:shd w:val="clear" w:color="auto" w:fill="FFFFFF"/>
            <w:tcMar>
              <w:top w:w="40" w:type="dxa"/>
              <w:left w:w="0" w:type="dxa"/>
              <w:bottom w:w="40" w:type="dxa"/>
              <w:right w:w="20" w:type="dxa"/>
            </w:tcMar>
            <w:vAlign w:val="bottom"/>
          </w:tcPr>
          <w:p w14:paraId="00BAE36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36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366" w14:textId="77777777" w:rsidR="00871BDF" w:rsidRDefault="005C5088">
            <w:pPr>
              <w:jc w:val="right"/>
              <w:textAlignment w:val="bottom"/>
            </w:pPr>
            <w:r>
              <w:rPr>
                <w:rFonts w:ascii="Times New Roman" w:eastAsia="宋体" w:hAnsi="Times New Roman"/>
                <w:color w:val="000000"/>
                <w:sz w:val="20"/>
                <w:szCs w:val="20"/>
              </w:rPr>
              <w:t>793.5 </w:t>
            </w:r>
          </w:p>
        </w:tc>
        <w:tc>
          <w:tcPr>
            <w:tcW w:w="0" w:type="auto"/>
            <w:shd w:val="clear" w:color="auto" w:fill="FFFFFF"/>
            <w:tcMar>
              <w:top w:w="40" w:type="dxa"/>
              <w:left w:w="0" w:type="dxa"/>
              <w:bottom w:w="40" w:type="dxa"/>
              <w:right w:w="20" w:type="dxa"/>
            </w:tcMar>
            <w:vAlign w:val="bottom"/>
          </w:tcPr>
          <w:p w14:paraId="00BAE36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36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369" w14:textId="77777777" w:rsidR="00871BDF" w:rsidRDefault="005C5088">
            <w:pPr>
              <w:jc w:val="right"/>
              <w:textAlignment w:val="bottom"/>
            </w:pPr>
            <w:r>
              <w:rPr>
                <w:rFonts w:ascii="Times New Roman" w:eastAsia="宋体" w:hAnsi="Times New Roman"/>
                <w:color w:val="000000"/>
                <w:sz w:val="20"/>
                <w:szCs w:val="20"/>
              </w:rPr>
              <w:t>4,952.4 </w:t>
            </w:r>
          </w:p>
        </w:tc>
        <w:tc>
          <w:tcPr>
            <w:tcW w:w="0" w:type="auto"/>
            <w:shd w:val="clear" w:color="auto" w:fill="FFFFFF"/>
            <w:tcMar>
              <w:top w:w="40" w:type="dxa"/>
              <w:left w:w="0" w:type="dxa"/>
              <w:bottom w:w="40" w:type="dxa"/>
              <w:right w:w="20" w:type="dxa"/>
            </w:tcMar>
            <w:vAlign w:val="bottom"/>
          </w:tcPr>
          <w:p w14:paraId="00BAE36A" w14:textId="77777777" w:rsidR="00871BDF" w:rsidRDefault="00871BDF">
            <w:pPr>
              <w:jc w:val="right"/>
              <w:rPr>
                <w:rFonts w:ascii="宋体"/>
              </w:rPr>
            </w:pPr>
          </w:p>
        </w:tc>
      </w:tr>
      <w:tr w:rsidR="00871BDF" w14:paraId="00BAE37B" w14:textId="77777777">
        <w:tc>
          <w:tcPr>
            <w:tcW w:w="0" w:type="auto"/>
            <w:gridSpan w:val="3"/>
            <w:shd w:val="clear" w:color="auto" w:fill="D7E4BC"/>
            <w:tcMar>
              <w:top w:w="40" w:type="dxa"/>
              <w:left w:w="20" w:type="dxa"/>
              <w:bottom w:w="40" w:type="dxa"/>
              <w:right w:w="20" w:type="dxa"/>
            </w:tcMar>
            <w:vAlign w:val="bottom"/>
          </w:tcPr>
          <w:p w14:paraId="00BAE36C" w14:textId="77777777" w:rsidR="00871BDF" w:rsidRDefault="005C5088">
            <w:pPr>
              <w:textAlignment w:val="bottom"/>
            </w:pPr>
            <w:r>
              <w:rPr>
                <w:rFonts w:ascii="Times New Roman" w:eastAsia="宋体" w:hAnsi="Times New Roman"/>
                <w:color w:val="000000"/>
                <w:sz w:val="20"/>
                <w:szCs w:val="20"/>
              </w:rPr>
              <w:t>Purchase obligations</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00BAE36D" w14:textId="77777777" w:rsidR="00871BDF" w:rsidRDefault="005C5088">
            <w:pPr>
              <w:jc w:val="right"/>
              <w:textAlignment w:val="bottom"/>
            </w:pPr>
            <w:r>
              <w:rPr>
                <w:rFonts w:ascii="Times New Roman" w:eastAsia="宋体" w:hAnsi="Times New Roman"/>
                <w:color w:val="000000"/>
                <w:sz w:val="20"/>
                <w:szCs w:val="20"/>
              </w:rPr>
              <w:t>1,237.1 </w:t>
            </w:r>
          </w:p>
        </w:tc>
        <w:tc>
          <w:tcPr>
            <w:tcW w:w="0" w:type="auto"/>
            <w:shd w:val="clear" w:color="auto" w:fill="D7E4BC"/>
            <w:tcMar>
              <w:top w:w="40" w:type="dxa"/>
              <w:left w:w="0" w:type="dxa"/>
              <w:bottom w:w="40" w:type="dxa"/>
              <w:right w:w="20" w:type="dxa"/>
            </w:tcMar>
            <w:vAlign w:val="bottom"/>
          </w:tcPr>
          <w:p w14:paraId="00BAE36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6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370" w14:textId="77777777" w:rsidR="00871BDF" w:rsidRDefault="005C5088">
            <w:pPr>
              <w:jc w:val="right"/>
              <w:textAlignment w:val="bottom"/>
            </w:pPr>
            <w:r>
              <w:rPr>
                <w:rFonts w:ascii="Times New Roman" w:eastAsia="宋体" w:hAnsi="Times New Roman"/>
                <w:color w:val="000000"/>
                <w:sz w:val="20"/>
                <w:szCs w:val="20"/>
              </w:rPr>
              <w:t>750.3 </w:t>
            </w:r>
          </w:p>
        </w:tc>
        <w:tc>
          <w:tcPr>
            <w:tcW w:w="0" w:type="auto"/>
            <w:shd w:val="clear" w:color="auto" w:fill="D7E4BC"/>
            <w:tcMar>
              <w:top w:w="40" w:type="dxa"/>
              <w:left w:w="0" w:type="dxa"/>
              <w:bottom w:w="40" w:type="dxa"/>
              <w:right w:w="20" w:type="dxa"/>
            </w:tcMar>
            <w:vAlign w:val="bottom"/>
          </w:tcPr>
          <w:p w14:paraId="00BAE37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7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373" w14:textId="77777777" w:rsidR="00871BDF" w:rsidRDefault="005C5088">
            <w:pPr>
              <w:jc w:val="right"/>
              <w:textAlignment w:val="bottom"/>
            </w:pPr>
            <w:r>
              <w:rPr>
                <w:rFonts w:ascii="Times New Roman" w:eastAsia="宋体" w:hAnsi="Times New Roman"/>
                <w:color w:val="000000"/>
                <w:sz w:val="20"/>
                <w:szCs w:val="20"/>
              </w:rPr>
              <w:t>423.4 </w:t>
            </w:r>
          </w:p>
        </w:tc>
        <w:tc>
          <w:tcPr>
            <w:tcW w:w="0" w:type="auto"/>
            <w:shd w:val="clear" w:color="auto" w:fill="D7E4BC"/>
            <w:tcMar>
              <w:top w:w="40" w:type="dxa"/>
              <w:left w:w="0" w:type="dxa"/>
              <w:bottom w:w="40" w:type="dxa"/>
              <w:right w:w="20" w:type="dxa"/>
            </w:tcMar>
            <w:vAlign w:val="bottom"/>
          </w:tcPr>
          <w:p w14:paraId="00BAE37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7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376" w14:textId="77777777" w:rsidR="00871BDF" w:rsidRDefault="005C5088">
            <w:pPr>
              <w:jc w:val="right"/>
              <w:textAlignment w:val="bottom"/>
            </w:pPr>
            <w:r>
              <w:rPr>
                <w:rFonts w:ascii="Times New Roman" w:eastAsia="宋体" w:hAnsi="Times New Roman"/>
                <w:color w:val="000000"/>
                <w:sz w:val="20"/>
                <w:szCs w:val="20"/>
              </w:rPr>
              <w:t>63.4 </w:t>
            </w:r>
          </w:p>
        </w:tc>
        <w:tc>
          <w:tcPr>
            <w:tcW w:w="0" w:type="auto"/>
            <w:shd w:val="clear" w:color="auto" w:fill="D7E4BC"/>
            <w:tcMar>
              <w:top w:w="40" w:type="dxa"/>
              <w:left w:w="0" w:type="dxa"/>
              <w:bottom w:w="40" w:type="dxa"/>
              <w:right w:w="20" w:type="dxa"/>
            </w:tcMar>
            <w:vAlign w:val="bottom"/>
          </w:tcPr>
          <w:p w14:paraId="00BAE37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7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379"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37A" w14:textId="77777777" w:rsidR="00871BDF" w:rsidRDefault="00871BDF">
            <w:pPr>
              <w:jc w:val="right"/>
              <w:rPr>
                <w:rFonts w:ascii="宋体"/>
              </w:rPr>
            </w:pPr>
          </w:p>
        </w:tc>
      </w:tr>
      <w:tr w:rsidR="00871BDF" w14:paraId="00BAE38B" w14:textId="77777777">
        <w:tc>
          <w:tcPr>
            <w:tcW w:w="0" w:type="auto"/>
            <w:gridSpan w:val="3"/>
            <w:shd w:val="clear" w:color="auto" w:fill="FFFFFF"/>
            <w:tcMar>
              <w:top w:w="40" w:type="dxa"/>
              <w:left w:w="20" w:type="dxa"/>
              <w:bottom w:w="40" w:type="dxa"/>
              <w:right w:w="20" w:type="dxa"/>
            </w:tcMar>
            <w:vAlign w:val="bottom"/>
          </w:tcPr>
          <w:p w14:paraId="00BAE37C" w14:textId="77777777" w:rsidR="00871BDF" w:rsidRDefault="005C5088">
            <w:pPr>
              <w:textAlignment w:val="bottom"/>
            </w:pPr>
            <w:r>
              <w:rPr>
                <w:rFonts w:ascii="Times New Roman" w:eastAsia="宋体" w:hAnsi="Times New Roman"/>
                <w:color w:val="000000"/>
                <w:sz w:val="20"/>
                <w:szCs w:val="20"/>
              </w:rPr>
              <w:t>Other obligations</w:t>
            </w:r>
            <w:r>
              <w:rPr>
                <w:rFonts w:ascii="Times New Roman" w:eastAsia="宋体" w:hAnsi="Times New Roman"/>
                <w:color w:val="000000"/>
                <w:sz w:val="13"/>
                <w:szCs w:val="13"/>
              </w:rPr>
              <w:t>(4)</w:t>
            </w:r>
          </w:p>
        </w:tc>
        <w:tc>
          <w:tcPr>
            <w:tcW w:w="0" w:type="auto"/>
            <w:gridSpan w:val="2"/>
            <w:shd w:val="clear" w:color="auto" w:fill="FFFFFF"/>
            <w:tcMar>
              <w:top w:w="40" w:type="dxa"/>
              <w:left w:w="20" w:type="dxa"/>
              <w:bottom w:w="40" w:type="dxa"/>
              <w:right w:w="0" w:type="dxa"/>
            </w:tcMar>
            <w:vAlign w:val="bottom"/>
          </w:tcPr>
          <w:p w14:paraId="00BAE37D" w14:textId="77777777" w:rsidR="00871BDF" w:rsidRDefault="005C5088">
            <w:pPr>
              <w:jc w:val="right"/>
              <w:textAlignment w:val="bottom"/>
            </w:pPr>
            <w:r>
              <w:rPr>
                <w:rFonts w:ascii="Times New Roman" w:eastAsia="宋体" w:hAnsi="Times New Roman"/>
                <w:color w:val="000000"/>
                <w:sz w:val="20"/>
                <w:szCs w:val="20"/>
              </w:rPr>
              <w:t>498.9 </w:t>
            </w:r>
          </w:p>
        </w:tc>
        <w:tc>
          <w:tcPr>
            <w:tcW w:w="0" w:type="auto"/>
            <w:shd w:val="clear" w:color="auto" w:fill="FFFFFF"/>
            <w:tcMar>
              <w:top w:w="40" w:type="dxa"/>
              <w:left w:w="0" w:type="dxa"/>
              <w:bottom w:w="40" w:type="dxa"/>
              <w:right w:w="20" w:type="dxa"/>
            </w:tcMar>
            <w:vAlign w:val="bottom"/>
          </w:tcPr>
          <w:p w14:paraId="00BAE37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37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380" w14:textId="77777777" w:rsidR="00871BDF" w:rsidRDefault="005C5088">
            <w:pPr>
              <w:jc w:val="right"/>
              <w:textAlignment w:val="bottom"/>
            </w:pPr>
            <w:r>
              <w:rPr>
                <w:rFonts w:ascii="Times New Roman" w:eastAsia="宋体" w:hAnsi="Times New Roman"/>
                <w:color w:val="000000"/>
                <w:sz w:val="20"/>
                <w:szCs w:val="20"/>
              </w:rPr>
              <w:t>101.0 </w:t>
            </w:r>
          </w:p>
        </w:tc>
        <w:tc>
          <w:tcPr>
            <w:tcW w:w="0" w:type="auto"/>
            <w:shd w:val="clear" w:color="auto" w:fill="FFFFFF"/>
            <w:tcMar>
              <w:top w:w="40" w:type="dxa"/>
              <w:left w:w="0" w:type="dxa"/>
              <w:bottom w:w="40" w:type="dxa"/>
              <w:right w:w="20" w:type="dxa"/>
            </w:tcMar>
            <w:vAlign w:val="bottom"/>
          </w:tcPr>
          <w:p w14:paraId="00BAE38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38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383" w14:textId="77777777" w:rsidR="00871BDF" w:rsidRDefault="005C5088">
            <w:pPr>
              <w:jc w:val="right"/>
              <w:textAlignment w:val="bottom"/>
            </w:pPr>
            <w:r>
              <w:rPr>
                <w:rFonts w:ascii="Times New Roman" w:eastAsia="宋体" w:hAnsi="Times New Roman"/>
                <w:color w:val="000000"/>
                <w:sz w:val="20"/>
                <w:szCs w:val="20"/>
              </w:rPr>
              <w:t>71.5 </w:t>
            </w:r>
          </w:p>
        </w:tc>
        <w:tc>
          <w:tcPr>
            <w:tcW w:w="0" w:type="auto"/>
            <w:shd w:val="clear" w:color="auto" w:fill="FFFFFF"/>
            <w:tcMar>
              <w:top w:w="40" w:type="dxa"/>
              <w:left w:w="0" w:type="dxa"/>
              <w:bottom w:w="40" w:type="dxa"/>
              <w:right w:w="20" w:type="dxa"/>
            </w:tcMar>
            <w:vAlign w:val="bottom"/>
          </w:tcPr>
          <w:p w14:paraId="00BAE38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38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386" w14:textId="77777777" w:rsidR="00871BDF" w:rsidRDefault="005C5088">
            <w:pPr>
              <w:jc w:val="right"/>
              <w:textAlignment w:val="bottom"/>
            </w:pPr>
            <w:r>
              <w:rPr>
                <w:rFonts w:ascii="Times New Roman" w:eastAsia="宋体" w:hAnsi="Times New Roman"/>
                <w:color w:val="000000"/>
                <w:sz w:val="20"/>
                <w:szCs w:val="20"/>
              </w:rPr>
              <w:t>115.9 </w:t>
            </w:r>
          </w:p>
        </w:tc>
        <w:tc>
          <w:tcPr>
            <w:tcW w:w="0" w:type="auto"/>
            <w:shd w:val="clear" w:color="auto" w:fill="FFFFFF"/>
            <w:tcMar>
              <w:top w:w="40" w:type="dxa"/>
              <w:left w:w="0" w:type="dxa"/>
              <w:bottom w:w="40" w:type="dxa"/>
              <w:right w:w="20" w:type="dxa"/>
            </w:tcMar>
            <w:vAlign w:val="bottom"/>
          </w:tcPr>
          <w:p w14:paraId="00BAE38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38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389" w14:textId="77777777" w:rsidR="00871BDF" w:rsidRDefault="005C5088">
            <w:pPr>
              <w:jc w:val="right"/>
              <w:textAlignment w:val="bottom"/>
            </w:pPr>
            <w:r>
              <w:rPr>
                <w:rFonts w:ascii="Times New Roman" w:eastAsia="宋体" w:hAnsi="Times New Roman"/>
                <w:color w:val="000000"/>
                <w:sz w:val="20"/>
                <w:szCs w:val="20"/>
              </w:rPr>
              <w:t>210.5 </w:t>
            </w:r>
          </w:p>
        </w:tc>
        <w:tc>
          <w:tcPr>
            <w:tcW w:w="0" w:type="auto"/>
            <w:shd w:val="clear" w:color="auto" w:fill="FFFFFF"/>
            <w:tcMar>
              <w:top w:w="40" w:type="dxa"/>
              <w:left w:w="0" w:type="dxa"/>
              <w:bottom w:w="40" w:type="dxa"/>
              <w:right w:w="20" w:type="dxa"/>
            </w:tcMar>
            <w:vAlign w:val="bottom"/>
          </w:tcPr>
          <w:p w14:paraId="00BAE38A" w14:textId="77777777" w:rsidR="00871BDF" w:rsidRDefault="00871BDF">
            <w:pPr>
              <w:jc w:val="right"/>
              <w:rPr>
                <w:rFonts w:ascii="宋体"/>
              </w:rPr>
            </w:pPr>
          </w:p>
        </w:tc>
      </w:tr>
      <w:tr w:rsidR="00871BDF" w14:paraId="00BAE3A0" w14:textId="77777777">
        <w:tc>
          <w:tcPr>
            <w:tcW w:w="0" w:type="auto"/>
            <w:gridSpan w:val="3"/>
            <w:shd w:val="clear" w:color="auto" w:fill="D7E4BC"/>
            <w:tcMar>
              <w:top w:w="40" w:type="dxa"/>
              <w:left w:w="20" w:type="dxa"/>
              <w:bottom w:w="40" w:type="dxa"/>
              <w:right w:w="20" w:type="dxa"/>
            </w:tcMar>
          </w:tcPr>
          <w:p w14:paraId="00BAE38C" w14:textId="77777777" w:rsidR="00871BDF" w:rsidRDefault="005C5088">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E38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E38E" w14:textId="77777777" w:rsidR="00871BDF" w:rsidRDefault="005C5088">
            <w:pPr>
              <w:jc w:val="right"/>
              <w:textAlignment w:val="bottom"/>
            </w:pPr>
            <w:r>
              <w:rPr>
                <w:rFonts w:ascii="Times New Roman" w:eastAsia="宋体" w:hAnsi="Times New Roman"/>
                <w:color w:val="000000"/>
                <w:sz w:val="20"/>
                <w:szCs w:val="20"/>
              </w:rPr>
              <w:t>35,411.3 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E38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90"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E39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E392" w14:textId="77777777" w:rsidR="00871BDF" w:rsidRDefault="005C5088">
            <w:pPr>
              <w:jc w:val="right"/>
              <w:textAlignment w:val="bottom"/>
            </w:pPr>
            <w:r>
              <w:rPr>
                <w:rFonts w:ascii="Times New Roman" w:eastAsia="宋体" w:hAnsi="Times New Roman"/>
                <w:color w:val="000000"/>
                <w:sz w:val="20"/>
                <w:szCs w:val="20"/>
              </w:rPr>
              <w:t>4,569.4 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E39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94"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E39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E396" w14:textId="77777777" w:rsidR="00871BDF" w:rsidRDefault="005C5088">
            <w:pPr>
              <w:jc w:val="right"/>
              <w:textAlignment w:val="bottom"/>
            </w:pPr>
            <w:r>
              <w:rPr>
                <w:rFonts w:ascii="Times New Roman" w:eastAsia="宋体" w:hAnsi="Times New Roman"/>
                <w:color w:val="000000"/>
                <w:sz w:val="20"/>
                <w:szCs w:val="20"/>
              </w:rPr>
              <w:t>6,057.0 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E39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98"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E39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E39A" w14:textId="77777777" w:rsidR="00871BDF" w:rsidRDefault="005C5088">
            <w:pPr>
              <w:jc w:val="right"/>
              <w:textAlignment w:val="bottom"/>
            </w:pPr>
            <w:r>
              <w:rPr>
                <w:rFonts w:ascii="Times New Roman" w:eastAsia="宋体" w:hAnsi="Times New Roman"/>
                <w:color w:val="000000"/>
                <w:sz w:val="20"/>
                <w:szCs w:val="20"/>
              </w:rPr>
              <w:t>5,891.8 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E39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9C"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E39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E39E" w14:textId="77777777" w:rsidR="00871BDF" w:rsidRDefault="005C5088">
            <w:pPr>
              <w:jc w:val="right"/>
              <w:textAlignment w:val="bottom"/>
            </w:pPr>
            <w:r>
              <w:rPr>
                <w:rFonts w:ascii="Times New Roman" w:eastAsia="宋体" w:hAnsi="Times New Roman"/>
                <w:color w:val="000000"/>
                <w:sz w:val="20"/>
                <w:szCs w:val="20"/>
              </w:rPr>
              <w:t>18,893.1 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E39F" w14:textId="77777777" w:rsidR="00871BDF" w:rsidRDefault="00871BDF">
            <w:pPr>
              <w:jc w:val="right"/>
              <w:rPr>
                <w:rFonts w:ascii="宋体"/>
              </w:rPr>
            </w:pPr>
          </w:p>
        </w:tc>
      </w:tr>
    </w:tbl>
    <w:p w14:paraId="00BAE3A1" w14:textId="77777777" w:rsidR="00871BDF" w:rsidRDefault="005C5088">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We ha</w:t>
      </w:r>
      <w:r>
        <w:rPr>
          <w:rFonts w:ascii="Times New Roman" w:eastAsia="宋体" w:hAnsi="Times New Roman"/>
          <w:color w:val="000000"/>
          <w:sz w:val="20"/>
          <w:szCs w:val="20"/>
        </w:rPr>
        <w:t xml:space="preserve">ve excluded long-term gross unrecognized tax benefits for uncertain tax positions, including interest and penalties of $137.5 million from the amounts presented as the timing of these obligations is uncertain. </w:t>
      </w:r>
    </w:p>
    <w:p w14:paraId="00BAE3A2" w14:textId="77777777" w:rsidR="00871BDF" w:rsidRDefault="005C5088">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Amounts include direct lease obligations, </w:t>
      </w:r>
      <w:r>
        <w:rPr>
          <w:rFonts w:ascii="Times New Roman" w:eastAsia="宋体" w:hAnsi="Times New Roman"/>
          <w:color w:val="000000"/>
          <w:sz w:val="20"/>
          <w:szCs w:val="20"/>
        </w:rPr>
        <w:t>excluding any taxes, insurance and other related expenses.</w:t>
      </w:r>
    </w:p>
    <w:p w14:paraId="00BAE3A3" w14:textId="77777777" w:rsidR="00871BDF" w:rsidRDefault="005C5088">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 xml:space="preserve">Purchase obligations include agreements to purchase goods or services that are enforceable and legally binding on Starbucks and that specify all significant terms. Green coffee purchase </w:t>
      </w:r>
      <w:r>
        <w:rPr>
          <w:rFonts w:ascii="Times New Roman" w:eastAsia="宋体" w:hAnsi="Times New Roman"/>
          <w:color w:val="000000"/>
          <w:sz w:val="20"/>
          <w:szCs w:val="20"/>
        </w:rPr>
        <w:t>commitments comprise 93% of total purchase obligations.</w:t>
      </w:r>
    </w:p>
    <w:p w14:paraId="00BAE3A4" w14:textId="77777777" w:rsidR="00871BDF" w:rsidRDefault="005C5088">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Other obligations include other long-term liabilities primarily consisting of the Tax Act transition tax, asset retirement obligations, Valor Siren Ventures I L.P. (VSV) investment and hedging inst</w:t>
      </w:r>
      <w:r>
        <w:rPr>
          <w:rFonts w:ascii="Times New Roman" w:eastAsia="宋体" w:hAnsi="Times New Roman"/>
          <w:color w:val="000000"/>
          <w:sz w:val="20"/>
          <w:szCs w:val="20"/>
        </w:rPr>
        <w:t>ruments.</w:t>
      </w:r>
    </w:p>
    <w:p w14:paraId="00BAE3A5" w14:textId="77777777" w:rsidR="00871BDF" w:rsidRDefault="005C5088">
      <w:pPr>
        <w:spacing w:before="120"/>
      </w:pPr>
      <w:r>
        <w:rPr>
          <w:rFonts w:ascii="Times New Roman" w:eastAsia="宋体" w:hAnsi="Times New Roman"/>
          <w:color w:val="000000"/>
          <w:sz w:val="20"/>
          <w:szCs w:val="20"/>
        </w:rPr>
        <w:t>Starbucks currently expects to fund these commitments primarily with operating cash flows generated in the normal course of business.</w:t>
      </w:r>
    </w:p>
    <w:p w14:paraId="00BAE3A6" w14:textId="77777777" w:rsidR="00871BDF" w:rsidRDefault="005C5088">
      <w:pPr>
        <w:spacing w:before="120"/>
      </w:pPr>
      <w:r>
        <w:rPr>
          <w:rFonts w:ascii="Times New Roman" w:eastAsia="宋体" w:hAnsi="Times New Roman"/>
          <w:b/>
          <w:bCs/>
          <w:color w:val="000000"/>
          <w:sz w:val="20"/>
          <w:szCs w:val="20"/>
        </w:rPr>
        <w:t>Off-Balance Sheet Arrangements</w:t>
      </w:r>
    </w:p>
    <w:p w14:paraId="00BAE3A7" w14:textId="77777777" w:rsidR="00871BDF" w:rsidRDefault="005C5088">
      <w:pPr>
        <w:spacing w:before="120"/>
      </w:pPr>
      <w:r>
        <w:rPr>
          <w:rFonts w:ascii="Times New Roman" w:eastAsia="宋体" w:hAnsi="Times New Roman"/>
          <w:color w:val="000000"/>
          <w:sz w:val="20"/>
          <w:szCs w:val="20"/>
        </w:rPr>
        <w:t>Off-balance sheet arrangements relate to purchase commitments detailed in the foot</w:t>
      </w:r>
      <w:r>
        <w:rPr>
          <w:rFonts w:ascii="Times New Roman" w:eastAsia="宋体" w:hAnsi="Times New Roman"/>
          <w:color w:val="000000"/>
          <w:sz w:val="20"/>
          <w:szCs w:val="20"/>
        </w:rPr>
        <w:t xml:space="preserve">notes to the consolidated financial statements included in </w:t>
      </w:r>
      <w:hyperlink r:id="rId108" w:anchor="i54ccc64cb5384be5a4849ef1cdef4dde_100" w:history="1">
        <w:r>
          <w:rPr>
            <w:rStyle w:val="a5"/>
            <w:rFonts w:ascii="Times New Roman" w:eastAsia="宋体" w:hAnsi="Times New Roman"/>
            <w:sz w:val="20"/>
            <w:szCs w:val="20"/>
          </w:rPr>
          <w:t>Item 8</w:t>
        </w:r>
      </w:hyperlink>
      <w:r>
        <w:rPr>
          <w:rFonts w:ascii="Times New Roman" w:eastAsia="宋体" w:hAnsi="Times New Roman"/>
          <w:color w:val="000000"/>
          <w:sz w:val="20"/>
          <w:szCs w:val="20"/>
        </w:rPr>
        <w:t xml:space="preserve"> of Part II of this 10-K.</w:t>
      </w:r>
    </w:p>
    <w:p w14:paraId="00BAE3A8" w14:textId="77777777" w:rsidR="00871BDF" w:rsidRDefault="005C5088">
      <w:pPr>
        <w:spacing w:before="120"/>
      </w:pPr>
      <w:r>
        <w:rPr>
          <w:rFonts w:ascii="Times New Roman" w:eastAsia="宋体" w:hAnsi="Times New Roman"/>
          <w:b/>
          <w:bCs/>
          <w:color w:val="000000"/>
          <w:sz w:val="20"/>
          <w:szCs w:val="20"/>
        </w:rPr>
        <w:t>COMMODITY PRICES, AVAILABILITY AND GENERAL RISK CONDITIONS</w:t>
      </w:r>
    </w:p>
    <w:p w14:paraId="00BAE3A9" w14:textId="77777777" w:rsidR="00871BDF" w:rsidRDefault="005C5088">
      <w:pPr>
        <w:spacing w:before="120"/>
      </w:pPr>
      <w:r>
        <w:rPr>
          <w:rFonts w:ascii="Times New Roman" w:eastAsia="宋体" w:hAnsi="Times New Roman"/>
          <w:color w:val="000000"/>
          <w:sz w:val="20"/>
          <w:szCs w:val="20"/>
        </w:rPr>
        <w:t>Commodity price risk represents Starbucks primary market risk, generated by our purchases of green coffee and dairy products, among other items. We purchase, roast and sel</w:t>
      </w:r>
      <w:r>
        <w:rPr>
          <w:rFonts w:ascii="Times New Roman" w:eastAsia="宋体" w:hAnsi="Times New Roman"/>
          <w:color w:val="000000"/>
          <w:sz w:val="20"/>
          <w:szCs w:val="20"/>
        </w:rPr>
        <w:t xml:space="preserve">l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related products and risk arises from the price volatility of green coffee. In addition to coffee, we also purchase significant amounts of dairy products to support the needs of our company-operated stores. The price and a</w:t>
      </w:r>
      <w:r>
        <w:rPr>
          <w:rFonts w:ascii="Times New Roman" w:eastAsia="宋体" w:hAnsi="Times New Roman"/>
          <w:color w:val="000000"/>
          <w:sz w:val="20"/>
          <w:szCs w:val="20"/>
        </w:rPr>
        <w:t xml:space="preserve">vailability of these commodities directly impacts our results of operations, and we expect commodity prices, particularly coffee, to impact future results of operations. For additional details see Product Supply in </w:t>
      </w:r>
      <w:hyperlink r:id="rId109" w:anchor="i54ccc64cb5384be5a4849ef1cdef4dde_16" w:history="1">
        <w:r>
          <w:rPr>
            <w:rStyle w:val="a5"/>
            <w:rFonts w:ascii="Times New Roman" w:eastAsia="宋体" w:hAnsi="Times New Roman"/>
            <w:sz w:val="20"/>
            <w:szCs w:val="20"/>
          </w:rPr>
          <w:t>Item 1</w:t>
        </w:r>
      </w:hyperlink>
      <w:r>
        <w:rPr>
          <w:rFonts w:ascii="Times New Roman" w:eastAsia="宋体" w:hAnsi="Times New Roman"/>
          <w:color w:val="000000"/>
          <w:sz w:val="20"/>
          <w:szCs w:val="20"/>
        </w:rPr>
        <w:t xml:space="preserve">, as well as Risk Factors in </w:t>
      </w:r>
      <w:hyperlink r:id="rId110" w:anchor="i54ccc64cb5384be5a4849ef1cdef4dde_19" w:history="1">
        <w:r>
          <w:rPr>
            <w:rStyle w:val="a5"/>
            <w:rFonts w:ascii="Times New Roman" w:eastAsia="宋体" w:hAnsi="Times New Roman"/>
            <w:sz w:val="20"/>
            <w:szCs w:val="20"/>
          </w:rPr>
          <w:t>Item 1A</w:t>
        </w:r>
      </w:hyperlink>
      <w:r>
        <w:rPr>
          <w:rFonts w:ascii="Times New Roman" w:eastAsia="宋体" w:hAnsi="Times New Roman"/>
          <w:color w:val="000000"/>
          <w:sz w:val="20"/>
          <w:szCs w:val="20"/>
        </w:rPr>
        <w:t xml:space="preserve"> of this 10-K.</w:t>
      </w:r>
    </w:p>
    <w:p w14:paraId="00BAE3AA" w14:textId="77777777" w:rsidR="00871BDF" w:rsidRDefault="005C5088">
      <w:pPr>
        <w:spacing w:before="120"/>
      </w:pPr>
      <w:r>
        <w:rPr>
          <w:rFonts w:ascii="Times New Roman" w:eastAsia="宋体" w:hAnsi="Times New Roman"/>
          <w:b/>
          <w:bCs/>
          <w:color w:val="000000"/>
          <w:sz w:val="20"/>
          <w:szCs w:val="20"/>
        </w:rPr>
        <w:t>FINANCIAL RISK MANAGEMENT</w:t>
      </w:r>
    </w:p>
    <w:p w14:paraId="00BAE3AB" w14:textId="77777777" w:rsidR="00871BDF" w:rsidRDefault="005C5088">
      <w:pPr>
        <w:spacing w:before="120"/>
      </w:pPr>
      <w:r>
        <w:rPr>
          <w:rFonts w:ascii="Times New Roman" w:eastAsia="宋体" w:hAnsi="Times New Roman"/>
          <w:color w:val="000000"/>
          <w:sz w:val="20"/>
          <w:szCs w:val="20"/>
        </w:rPr>
        <w:t>Market risk is defined as the risk of losses due to changes in commodity prices, foreign currency exchange rates, equity security prices and interest rates. We ma</w:t>
      </w:r>
      <w:r>
        <w:rPr>
          <w:rFonts w:ascii="Times New Roman" w:eastAsia="宋体" w:hAnsi="Times New Roman"/>
          <w:color w:val="000000"/>
          <w:sz w:val="20"/>
          <w:szCs w:val="20"/>
        </w:rPr>
        <w:t>nage our exposure to various market-based risks according to a market price risk management policy. Under this policy, market-based risks are quantified and evaluated for potential mitigation strategies, such as entering into hedging transactions. The mark</w:t>
      </w:r>
      <w:r>
        <w:rPr>
          <w:rFonts w:ascii="Times New Roman" w:eastAsia="宋体" w:hAnsi="Times New Roman"/>
          <w:color w:val="000000"/>
          <w:sz w:val="20"/>
          <w:szCs w:val="20"/>
        </w:rPr>
        <w:t xml:space="preserve">et price risk management policy governs how hedging instruments may be used to mitigate </w:t>
      </w:r>
    </w:p>
    <w:p w14:paraId="00BAE3AC" w14:textId="77777777" w:rsidR="00871BDF" w:rsidRDefault="005C5088">
      <w:pPr>
        <w:jc w:val="center"/>
      </w:pPr>
      <w:r>
        <w:rPr>
          <w:rFonts w:ascii="Times New Roman" w:eastAsia="宋体" w:hAnsi="Times New Roman"/>
          <w:color w:val="000000"/>
          <w:sz w:val="20"/>
          <w:szCs w:val="20"/>
        </w:rPr>
        <w:t>41</w:t>
      </w:r>
    </w:p>
    <w:p w14:paraId="00BAE3AD" w14:textId="77777777" w:rsidR="00871BDF" w:rsidRDefault="005C5088">
      <w:r>
        <w:pict w14:anchorId="00BB148E">
          <v:rect id="_x0000_i1068" style="width:415.3pt;height:1.5pt" o:hralign="center" o:hrstd="t" o:hr="t" fillcolor="#a0a0a0" stroked="f"/>
        </w:pict>
      </w:r>
    </w:p>
    <w:p w14:paraId="00BAE3AE" w14:textId="77777777" w:rsidR="00871BDF" w:rsidRDefault="005C5088">
      <w:hyperlink r:id="rId111" w:anchor="i54ccc64cb5384be5a4849ef1cdef4dde_7" w:history="1">
        <w:r>
          <w:rPr>
            <w:rStyle w:val="a5"/>
            <w:rFonts w:ascii="Times New Roman" w:eastAsia="宋体" w:hAnsi="Times New Roman"/>
            <w:sz w:val="20"/>
            <w:szCs w:val="20"/>
          </w:rPr>
          <w:t>Table of Con</w:t>
        </w:r>
        <w:r>
          <w:rPr>
            <w:rStyle w:val="a5"/>
            <w:rFonts w:ascii="Times New Roman" w:eastAsia="宋体" w:hAnsi="Times New Roman"/>
            <w:sz w:val="20"/>
            <w:szCs w:val="20"/>
          </w:rPr>
          <w:t>tents</w:t>
        </w:r>
      </w:hyperlink>
    </w:p>
    <w:p w14:paraId="00BAE3AF" w14:textId="77777777" w:rsidR="00871BDF" w:rsidRDefault="005C5088">
      <w:pPr>
        <w:spacing w:before="120"/>
      </w:pPr>
      <w:r>
        <w:rPr>
          <w:rFonts w:ascii="Times New Roman" w:eastAsia="宋体" w:hAnsi="Times New Roman"/>
          <w:color w:val="000000"/>
          <w:sz w:val="20"/>
          <w:szCs w:val="20"/>
        </w:rPr>
        <w:t>risk. Risk limits are set annually and prohibit speculative trading activity. We also monitor and limit the amount of associated counterparty credit risk, which we consider to be low. We use interest rate swap agreements and treasury locks to prim</w:t>
      </w:r>
      <w:r>
        <w:rPr>
          <w:rFonts w:ascii="Times New Roman" w:eastAsia="宋体" w:hAnsi="Times New Roman"/>
          <w:color w:val="000000"/>
          <w:sz w:val="20"/>
          <w:szCs w:val="20"/>
        </w:rPr>
        <w:t xml:space="preserve">arily hedge against changes in benchmark interest rates related to anticipated debt issuances and cross-currency swaps and foreign exchange debt instruments to hedge against changes in the fair value of our fixed-rate debt and foreign exchange exposure of </w:t>
      </w:r>
      <w:r>
        <w:rPr>
          <w:rFonts w:ascii="Times New Roman" w:eastAsia="宋体" w:hAnsi="Times New Roman"/>
          <w:color w:val="000000"/>
          <w:sz w:val="20"/>
          <w:szCs w:val="20"/>
        </w:rPr>
        <w:t xml:space="preserve">net investments in Japan. Excluding interest rate hedging instruments, cross currency swaps and foreign currency debt, hedging instruments generally do not have maturities in excess of three years. Refer to </w:t>
      </w:r>
      <w:hyperlink r:id="rId112" w:anchor="i54ccc64cb5384be5a4849ef1cdef4dde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and </w:t>
      </w:r>
      <w:hyperlink r:id="rId113" w:anchor="i54ccc64cb5384be5a4849ef1cdef4dde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Financial Instruments, to the consolidated financial statements included in Item 8 of Part II of this 10-K for further discussion of our hedging instruments.</w:t>
      </w:r>
    </w:p>
    <w:p w14:paraId="00BAE3B0" w14:textId="77777777" w:rsidR="00871BDF" w:rsidRDefault="005C5088">
      <w:pPr>
        <w:spacing w:before="120"/>
      </w:pPr>
      <w:r>
        <w:rPr>
          <w:rFonts w:ascii="Times New Roman" w:eastAsia="宋体" w:hAnsi="Times New Roman"/>
          <w:color w:val="000000"/>
          <w:sz w:val="20"/>
          <w:szCs w:val="20"/>
        </w:rPr>
        <w:t>The sensitivity an</w:t>
      </w:r>
      <w:r>
        <w:rPr>
          <w:rFonts w:ascii="Times New Roman" w:eastAsia="宋体" w:hAnsi="Times New Roman"/>
          <w:color w:val="000000"/>
          <w:sz w:val="20"/>
          <w:szCs w:val="20"/>
        </w:rPr>
        <w:t>alyses disclosed below provide only a limited, point-in-time view of the market risk of the financial instruments discussed. The actual impact of the respective underlying rates and price changes on the financial instruments may differ significantly from t</w:t>
      </w:r>
      <w:r>
        <w:rPr>
          <w:rFonts w:ascii="Times New Roman" w:eastAsia="宋体" w:hAnsi="Times New Roman"/>
          <w:color w:val="000000"/>
          <w:sz w:val="20"/>
          <w:szCs w:val="20"/>
        </w:rPr>
        <w:t>hose shown in the sensitivity analyses.</w:t>
      </w:r>
    </w:p>
    <w:p w14:paraId="00BAE3B1" w14:textId="77777777" w:rsidR="00871BDF" w:rsidRDefault="005C5088">
      <w:pPr>
        <w:spacing w:before="120"/>
      </w:pPr>
      <w:r>
        <w:rPr>
          <w:rFonts w:ascii="Times New Roman" w:eastAsia="宋体" w:hAnsi="Times New Roman"/>
          <w:b/>
          <w:bCs/>
          <w:color w:val="000000"/>
          <w:sz w:val="20"/>
          <w:szCs w:val="20"/>
        </w:rPr>
        <w:t>Commodity Price Risk</w:t>
      </w:r>
    </w:p>
    <w:p w14:paraId="00BAE3B2" w14:textId="77777777" w:rsidR="00871BDF" w:rsidRDefault="005C5088">
      <w:pPr>
        <w:spacing w:before="120"/>
      </w:pPr>
      <w:r>
        <w:rPr>
          <w:rFonts w:ascii="Times New Roman" w:eastAsia="宋体" w:hAnsi="Times New Roman"/>
          <w:color w:val="000000"/>
          <w:sz w:val="20"/>
          <w:szCs w:val="20"/>
        </w:rPr>
        <w:t xml:space="preserve">We purchase commodity inputs, primarily coffee, dairy products, diesel, cocoa, sugar and other commodities, that are used in our operations and are subject to price fluctuations that impact </w:t>
      </w:r>
      <w:r>
        <w:rPr>
          <w:rFonts w:ascii="Times New Roman" w:eastAsia="宋体" w:hAnsi="Times New Roman"/>
          <w:color w:val="000000"/>
          <w:sz w:val="20"/>
          <w:szCs w:val="20"/>
        </w:rPr>
        <w:t>our financial results. We use a combination of pricing features embedded within supply contracts, such as fixed-price and price-to-be-fixed contracts for coffee purchases, and financial derivatives to manage our commodity price risk exposure.</w:t>
      </w:r>
    </w:p>
    <w:p w14:paraId="00BAE3B3" w14:textId="77777777" w:rsidR="00871BDF" w:rsidRDefault="005C5088">
      <w:pPr>
        <w:spacing w:before="120"/>
      </w:pPr>
      <w:r>
        <w:rPr>
          <w:rFonts w:ascii="Times New Roman" w:eastAsia="宋体" w:hAnsi="Times New Roman"/>
          <w:color w:val="000000"/>
          <w:sz w:val="20"/>
          <w:szCs w:val="20"/>
        </w:rPr>
        <w:t>The following</w:t>
      </w:r>
      <w:r>
        <w:rPr>
          <w:rFonts w:ascii="Times New Roman" w:eastAsia="宋体" w:hAnsi="Times New Roman"/>
          <w:color w:val="000000"/>
          <w:sz w:val="20"/>
          <w:szCs w:val="20"/>
        </w:rPr>
        <w:t xml:space="preserve"> table summarizes the potential impact as of September 27, 2020 to Starbucks future net earnings and other comprehensive income (“OCI”) from changes in commodity prices. The information provided below relates only to the hedging instruments and does not re</w:t>
      </w:r>
      <w:r>
        <w:rPr>
          <w:rFonts w:ascii="Times New Roman" w:eastAsia="宋体" w:hAnsi="Times New Roman"/>
          <w:color w:val="000000"/>
          <w:sz w:val="20"/>
          <w:szCs w:val="20"/>
        </w:rPr>
        <w:t xml:space="preserve">present the corresponding changes in the underlying hedged items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2791"/>
        <w:gridCol w:w="36"/>
        <w:gridCol w:w="121"/>
        <w:gridCol w:w="1162"/>
        <w:gridCol w:w="37"/>
        <w:gridCol w:w="37"/>
        <w:gridCol w:w="41"/>
        <w:gridCol w:w="37"/>
        <w:gridCol w:w="120"/>
        <w:gridCol w:w="1122"/>
        <w:gridCol w:w="36"/>
        <w:gridCol w:w="36"/>
        <w:gridCol w:w="36"/>
        <w:gridCol w:w="36"/>
        <w:gridCol w:w="122"/>
        <w:gridCol w:w="1092"/>
        <w:gridCol w:w="36"/>
        <w:gridCol w:w="36"/>
        <w:gridCol w:w="36"/>
        <w:gridCol w:w="36"/>
        <w:gridCol w:w="121"/>
        <w:gridCol w:w="1111"/>
        <w:gridCol w:w="36"/>
      </w:tblGrid>
      <w:tr w:rsidR="00871BDF" w14:paraId="00BAE3CC" w14:textId="77777777">
        <w:trPr>
          <w:jc w:val="center"/>
        </w:trPr>
        <w:tc>
          <w:tcPr>
            <w:tcW w:w="50" w:type="pct"/>
            <w:shd w:val="clear" w:color="auto" w:fill="auto"/>
          </w:tcPr>
          <w:p w14:paraId="00BAE3B4" w14:textId="77777777" w:rsidR="00871BDF" w:rsidRDefault="00871BDF">
            <w:pPr>
              <w:rPr>
                <w:rFonts w:ascii="宋体"/>
              </w:rPr>
            </w:pPr>
          </w:p>
        </w:tc>
        <w:tc>
          <w:tcPr>
            <w:tcW w:w="1711" w:type="pct"/>
            <w:shd w:val="clear" w:color="auto" w:fill="auto"/>
          </w:tcPr>
          <w:p w14:paraId="00BAE3B5" w14:textId="77777777" w:rsidR="00871BDF" w:rsidRDefault="00871BDF">
            <w:pPr>
              <w:rPr>
                <w:rFonts w:ascii="宋体"/>
              </w:rPr>
            </w:pPr>
          </w:p>
        </w:tc>
        <w:tc>
          <w:tcPr>
            <w:tcW w:w="5" w:type="pct"/>
            <w:shd w:val="clear" w:color="auto" w:fill="auto"/>
          </w:tcPr>
          <w:p w14:paraId="00BAE3B6" w14:textId="77777777" w:rsidR="00871BDF" w:rsidRDefault="00871BDF">
            <w:pPr>
              <w:rPr>
                <w:rFonts w:ascii="宋体"/>
              </w:rPr>
            </w:pPr>
          </w:p>
        </w:tc>
        <w:tc>
          <w:tcPr>
            <w:tcW w:w="50" w:type="pct"/>
            <w:shd w:val="clear" w:color="auto" w:fill="auto"/>
          </w:tcPr>
          <w:p w14:paraId="00BAE3B7" w14:textId="77777777" w:rsidR="00871BDF" w:rsidRDefault="00871BDF">
            <w:pPr>
              <w:rPr>
                <w:rFonts w:ascii="宋体"/>
              </w:rPr>
            </w:pPr>
          </w:p>
        </w:tc>
        <w:tc>
          <w:tcPr>
            <w:tcW w:w="729" w:type="pct"/>
            <w:shd w:val="clear" w:color="auto" w:fill="auto"/>
          </w:tcPr>
          <w:p w14:paraId="00BAE3B8" w14:textId="77777777" w:rsidR="00871BDF" w:rsidRDefault="00871BDF">
            <w:pPr>
              <w:rPr>
                <w:rFonts w:ascii="宋体"/>
              </w:rPr>
            </w:pPr>
          </w:p>
        </w:tc>
        <w:tc>
          <w:tcPr>
            <w:tcW w:w="5" w:type="pct"/>
            <w:shd w:val="clear" w:color="auto" w:fill="auto"/>
          </w:tcPr>
          <w:p w14:paraId="00BAE3B9" w14:textId="77777777" w:rsidR="00871BDF" w:rsidRDefault="00871BDF">
            <w:pPr>
              <w:rPr>
                <w:rFonts w:ascii="宋体"/>
              </w:rPr>
            </w:pPr>
          </w:p>
        </w:tc>
        <w:tc>
          <w:tcPr>
            <w:tcW w:w="5" w:type="pct"/>
            <w:shd w:val="clear" w:color="auto" w:fill="auto"/>
          </w:tcPr>
          <w:p w14:paraId="00BAE3BA" w14:textId="77777777" w:rsidR="00871BDF" w:rsidRDefault="00871BDF">
            <w:pPr>
              <w:rPr>
                <w:rFonts w:ascii="宋体"/>
              </w:rPr>
            </w:pPr>
          </w:p>
        </w:tc>
        <w:tc>
          <w:tcPr>
            <w:tcW w:w="26" w:type="pct"/>
            <w:shd w:val="clear" w:color="auto" w:fill="auto"/>
          </w:tcPr>
          <w:p w14:paraId="00BAE3BB" w14:textId="77777777" w:rsidR="00871BDF" w:rsidRDefault="00871BDF">
            <w:pPr>
              <w:rPr>
                <w:rFonts w:ascii="宋体"/>
              </w:rPr>
            </w:pPr>
          </w:p>
        </w:tc>
        <w:tc>
          <w:tcPr>
            <w:tcW w:w="5" w:type="pct"/>
            <w:shd w:val="clear" w:color="auto" w:fill="auto"/>
          </w:tcPr>
          <w:p w14:paraId="00BAE3BC" w14:textId="77777777" w:rsidR="00871BDF" w:rsidRDefault="00871BDF">
            <w:pPr>
              <w:rPr>
                <w:rFonts w:ascii="宋体"/>
              </w:rPr>
            </w:pPr>
          </w:p>
        </w:tc>
        <w:tc>
          <w:tcPr>
            <w:tcW w:w="50" w:type="pct"/>
            <w:shd w:val="clear" w:color="auto" w:fill="auto"/>
          </w:tcPr>
          <w:p w14:paraId="00BAE3BD" w14:textId="77777777" w:rsidR="00871BDF" w:rsidRDefault="00871BDF">
            <w:pPr>
              <w:rPr>
                <w:rFonts w:ascii="宋体"/>
              </w:rPr>
            </w:pPr>
          </w:p>
        </w:tc>
        <w:tc>
          <w:tcPr>
            <w:tcW w:w="714" w:type="pct"/>
            <w:shd w:val="clear" w:color="auto" w:fill="auto"/>
          </w:tcPr>
          <w:p w14:paraId="00BAE3BE" w14:textId="77777777" w:rsidR="00871BDF" w:rsidRDefault="00871BDF">
            <w:pPr>
              <w:rPr>
                <w:rFonts w:ascii="宋体"/>
              </w:rPr>
            </w:pPr>
          </w:p>
        </w:tc>
        <w:tc>
          <w:tcPr>
            <w:tcW w:w="5" w:type="pct"/>
            <w:shd w:val="clear" w:color="auto" w:fill="auto"/>
          </w:tcPr>
          <w:p w14:paraId="00BAE3BF" w14:textId="77777777" w:rsidR="00871BDF" w:rsidRDefault="00871BDF">
            <w:pPr>
              <w:rPr>
                <w:rFonts w:ascii="宋体"/>
              </w:rPr>
            </w:pPr>
          </w:p>
        </w:tc>
        <w:tc>
          <w:tcPr>
            <w:tcW w:w="5" w:type="pct"/>
            <w:shd w:val="clear" w:color="auto" w:fill="auto"/>
          </w:tcPr>
          <w:p w14:paraId="00BAE3C0" w14:textId="77777777" w:rsidR="00871BDF" w:rsidRDefault="00871BDF">
            <w:pPr>
              <w:rPr>
                <w:rFonts w:ascii="宋体"/>
              </w:rPr>
            </w:pPr>
          </w:p>
        </w:tc>
        <w:tc>
          <w:tcPr>
            <w:tcW w:w="26" w:type="pct"/>
            <w:shd w:val="clear" w:color="auto" w:fill="auto"/>
          </w:tcPr>
          <w:p w14:paraId="00BAE3C1" w14:textId="77777777" w:rsidR="00871BDF" w:rsidRDefault="00871BDF">
            <w:pPr>
              <w:rPr>
                <w:rFonts w:ascii="宋体"/>
              </w:rPr>
            </w:pPr>
          </w:p>
        </w:tc>
        <w:tc>
          <w:tcPr>
            <w:tcW w:w="5" w:type="pct"/>
            <w:shd w:val="clear" w:color="auto" w:fill="auto"/>
          </w:tcPr>
          <w:p w14:paraId="00BAE3C2" w14:textId="77777777" w:rsidR="00871BDF" w:rsidRDefault="00871BDF">
            <w:pPr>
              <w:rPr>
                <w:rFonts w:ascii="宋体"/>
              </w:rPr>
            </w:pPr>
          </w:p>
        </w:tc>
        <w:tc>
          <w:tcPr>
            <w:tcW w:w="50" w:type="pct"/>
            <w:shd w:val="clear" w:color="auto" w:fill="auto"/>
          </w:tcPr>
          <w:p w14:paraId="00BAE3C3" w14:textId="77777777" w:rsidR="00871BDF" w:rsidRDefault="00871BDF">
            <w:pPr>
              <w:rPr>
                <w:rFonts w:ascii="宋体"/>
              </w:rPr>
            </w:pPr>
          </w:p>
        </w:tc>
        <w:tc>
          <w:tcPr>
            <w:tcW w:w="729" w:type="pct"/>
            <w:shd w:val="clear" w:color="auto" w:fill="auto"/>
          </w:tcPr>
          <w:p w14:paraId="00BAE3C4" w14:textId="77777777" w:rsidR="00871BDF" w:rsidRDefault="00871BDF">
            <w:pPr>
              <w:rPr>
                <w:rFonts w:ascii="宋体"/>
              </w:rPr>
            </w:pPr>
          </w:p>
        </w:tc>
        <w:tc>
          <w:tcPr>
            <w:tcW w:w="5" w:type="pct"/>
            <w:shd w:val="clear" w:color="auto" w:fill="auto"/>
          </w:tcPr>
          <w:p w14:paraId="00BAE3C5" w14:textId="77777777" w:rsidR="00871BDF" w:rsidRDefault="00871BDF">
            <w:pPr>
              <w:rPr>
                <w:rFonts w:ascii="宋体"/>
              </w:rPr>
            </w:pPr>
          </w:p>
        </w:tc>
        <w:tc>
          <w:tcPr>
            <w:tcW w:w="5" w:type="pct"/>
            <w:shd w:val="clear" w:color="auto" w:fill="auto"/>
          </w:tcPr>
          <w:p w14:paraId="00BAE3C6" w14:textId="77777777" w:rsidR="00871BDF" w:rsidRDefault="00871BDF">
            <w:pPr>
              <w:rPr>
                <w:rFonts w:ascii="宋体"/>
              </w:rPr>
            </w:pPr>
          </w:p>
        </w:tc>
        <w:tc>
          <w:tcPr>
            <w:tcW w:w="26" w:type="pct"/>
            <w:shd w:val="clear" w:color="auto" w:fill="auto"/>
          </w:tcPr>
          <w:p w14:paraId="00BAE3C7" w14:textId="77777777" w:rsidR="00871BDF" w:rsidRDefault="00871BDF">
            <w:pPr>
              <w:rPr>
                <w:rFonts w:ascii="宋体"/>
              </w:rPr>
            </w:pPr>
          </w:p>
        </w:tc>
        <w:tc>
          <w:tcPr>
            <w:tcW w:w="5" w:type="pct"/>
            <w:shd w:val="clear" w:color="auto" w:fill="auto"/>
          </w:tcPr>
          <w:p w14:paraId="00BAE3C8" w14:textId="77777777" w:rsidR="00871BDF" w:rsidRDefault="00871BDF">
            <w:pPr>
              <w:rPr>
                <w:rFonts w:ascii="宋体"/>
              </w:rPr>
            </w:pPr>
          </w:p>
        </w:tc>
        <w:tc>
          <w:tcPr>
            <w:tcW w:w="50" w:type="pct"/>
            <w:shd w:val="clear" w:color="auto" w:fill="auto"/>
          </w:tcPr>
          <w:p w14:paraId="00BAE3C9" w14:textId="77777777" w:rsidR="00871BDF" w:rsidRDefault="00871BDF">
            <w:pPr>
              <w:rPr>
                <w:rFonts w:ascii="宋体"/>
              </w:rPr>
            </w:pPr>
          </w:p>
        </w:tc>
        <w:tc>
          <w:tcPr>
            <w:tcW w:w="729" w:type="pct"/>
            <w:shd w:val="clear" w:color="auto" w:fill="auto"/>
          </w:tcPr>
          <w:p w14:paraId="00BAE3CA" w14:textId="77777777" w:rsidR="00871BDF" w:rsidRDefault="00871BDF">
            <w:pPr>
              <w:rPr>
                <w:rFonts w:ascii="宋体"/>
              </w:rPr>
            </w:pPr>
          </w:p>
        </w:tc>
        <w:tc>
          <w:tcPr>
            <w:tcW w:w="5" w:type="pct"/>
            <w:shd w:val="clear" w:color="auto" w:fill="auto"/>
          </w:tcPr>
          <w:p w14:paraId="00BAE3CB" w14:textId="77777777" w:rsidR="00871BDF" w:rsidRDefault="00871BDF">
            <w:pPr>
              <w:rPr>
                <w:rFonts w:ascii="宋体"/>
              </w:rPr>
            </w:pPr>
          </w:p>
        </w:tc>
      </w:tr>
      <w:tr w:rsidR="00871BDF" w14:paraId="00BAE3D1" w14:textId="77777777">
        <w:trPr>
          <w:jc w:val="center"/>
        </w:trPr>
        <w:tc>
          <w:tcPr>
            <w:tcW w:w="0" w:type="auto"/>
            <w:gridSpan w:val="3"/>
            <w:shd w:val="clear" w:color="auto" w:fill="auto"/>
            <w:tcMar>
              <w:top w:w="40" w:type="dxa"/>
              <w:left w:w="20" w:type="dxa"/>
              <w:bottom w:w="40" w:type="dxa"/>
              <w:right w:w="20" w:type="dxa"/>
            </w:tcMar>
            <w:vAlign w:val="bottom"/>
          </w:tcPr>
          <w:p w14:paraId="00BAE3CD" w14:textId="77777777" w:rsidR="00871BDF" w:rsidRDefault="005C5088">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00BAE3CE" w14:textId="77777777" w:rsidR="00871BDF" w:rsidRDefault="005C5088">
            <w:pPr>
              <w:jc w:val="center"/>
              <w:textAlignment w:val="bottom"/>
            </w:pPr>
            <w:r>
              <w:rPr>
                <w:rFonts w:ascii="Times New Roman" w:eastAsia="宋体" w:hAnsi="Times New Roman"/>
                <w:b/>
                <w:bCs/>
                <w:color w:val="FFFFFF"/>
                <w:sz w:val="16"/>
                <w:szCs w:val="16"/>
              </w:rPr>
              <w:t>Increase/(Decrease) to Net Earnings</w:t>
            </w:r>
          </w:p>
        </w:tc>
        <w:tc>
          <w:tcPr>
            <w:tcW w:w="0" w:type="auto"/>
            <w:gridSpan w:val="3"/>
            <w:shd w:val="clear" w:color="auto" w:fill="auto"/>
            <w:tcMar>
              <w:top w:w="0" w:type="dxa"/>
              <w:left w:w="20" w:type="dxa"/>
              <w:bottom w:w="0" w:type="dxa"/>
              <w:right w:w="20" w:type="dxa"/>
            </w:tcMar>
          </w:tcPr>
          <w:p w14:paraId="00BAE3CF" w14:textId="77777777" w:rsidR="00871BDF" w:rsidRDefault="00871BDF">
            <w:pPr>
              <w:rPr>
                <w:rFonts w:ascii="宋体"/>
              </w:rPr>
            </w:pPr>
          </w:p>
        </w:tc>
        <w:tc>
          <w:tcPr>
            <w:tcW w:w="0" w:type="auto"/>
            <w:gridSpan w:val="9"/>
            <w:shd w:val="clear" w:color="auto" w:fill="00704A"/>
            <w:tcMar>
              <w:top w:w="40" w:type="dxa"/>
              <w:left w:w="20" w:type="dxa"/>
              <w:bottom w:w="40" w:type="dxa"/>
              <w:right w:w="20" w:type="dxa"/>
            </w:tcMar>
            <w:vAlign w:val="bottom"/>
          </w:tcPr>
          <w:p w14:paraId="00BAE3D0" w14:textId="77777777" w:rsidR="00871BDF" w:rsidRDefault="005C5088">
            <w:pPr>
              <w:jc w:val="center"/>
              <w:textAlignment w:val="bottom"/>
            </w:pPr>
            <w:r>
              <w:rPr>
                <w:rFonts w:ascii="Times New Roman" w:eastAsia="宋体" w:hAnsi="Times New Roman"/>
                <w:b/>
                <w:bCs/>
                <w:color w:val="FFFFFF"/>
                <w:sz w:val="16"/>
                <w:szCs w:val="16"/>
              </w:rPr>
              <w:t>Increase/(Decrease) to OCI</w:t>
            </w:r>
          </w:p>
        </w:tc>
      </w:tr>
      <w:tr w:rsidR="00871BDF" w14:paraId="00BAE3DB" w14:textId="77777777">
        <w:trPr>
          <w:jc w:val="center"/>
        </w:trPr>
        <w:tc>
          <w:tcPr>
            <w:tcW w:w="0" w:type="auto"/>
            <w:gridSpan w:val="3"/>
            <w:shd w:val="clear" w:color="auto" w:fill="auto"/>
            <w:tcMar>
              <w:top w:w="40" w:type="dxa"/>
              <w:left w:w="20" w:type="dxa"/>
              <w:bottom w:w="40" w:type="dxa"/>
              <w:right w:w="20" w:type="dxa"/>
            </w:tcMar>
            <w:vAlign w:val="bottom"/>
          </w:tcPr>
          <w:p w14:paraId="00BAE3D2" w14:textId="77777777" w:rsidR="00871BDF" w:rsidRDefault="005C5088">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3D3" w14:textId="77777777" w:rsidR="00871BDF" w:rsidRDefault="005C5088">
            <w:pPr>
              <w:jc w:val="center"/>
              <w:textAlignment w:val="bottom"/>
            </w:pPr>
            <w:r>
              <w:rPr>
                <w:rFonts w:ascii="Times New Roman" w:eastAsia="宋体" w:hAnsi="Times New Roman"/>
                <w:b/>
                <w:bCs/>
                <w:color w:val="FFFFFF"/>
                <w:sz w:val="16"/>
                <w:szCs w:val="16"/>
              </w:rPr>
              <w:t>10% Increase in</w:t>
            </w:r>
          </w:p>
          <w:p w14:paraId="00BAE3D4" w14:textId="77777777" w:rsidR="00871BDF" w:rsidRDefault="005C5088">
            <w:pPr>
              <w:jc w:val="center"/>
              <w:textAlignment w:val="bottom"/>
            </w:pPr>
            <w:r>
              <w:rPr>
                <w:rFonts w:ascii="Times New Roman" w:eastAsia="宋体" w:hAnsi="Times New Roman"/>
                <w:b/>
                <w:bCs/>
                <w:color w:val="FFFFFF"/>
                <w:sz w:val="16"/>
                <w:szCs w:val="16"/>
              </w:rPr>
              <w:t>Underlying Rate</w:t>
            </w:r>
          </w:p>
        </w:tc>
        <w:tc>
          <w:tcPr>
            <w:tcW w:w="0" w:type="auto"/>
            <w:gridSpan w:val="3"/>
            <w:tcBorders>
              <w:top w:val="single" w:sz="8" w:space="0" w:color="000000"/>
            </w:tcBorders>
            <w:shd w:val="clear" w:color="auto" w:fill="auto"/>
            <w:tcMar>
              <w:top w:w="0" w:type="dxa"/>
              <w:left w:w="20" w:type="dxa"/>
              <w:bottom w:w="0" w:type="dxa"/>
              <w:right w:w="20" w:type="dxa"/>
            </w:tcMar>
          </w:tcPr>
          <w:p w14:paraId="00BAE3D5"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3D6" w14:textId="77777777" w:rsidR="00871BDF" w:rsidRDefault="005C5088">
            <w:pPr>
              <w:jc w:val="center"/>
              <w:textAlignment w:val="bottom"/>
            </w:pPr>
            <w:r>
              <w:rPr>
                <w:rFonts w:ascii="Times New Roman" w:eastAsia="宋体" w:hAnsi="Times New Roman"/>
                <w:b/>
                <w:bCs/>
                <w:color w:val="FFFFFF"/>
                <w:sz w:val="16"/>
                <w:szCs w:val="16"/>
              </w:rPr>
              <w:t>10% Decrease in</w:t>
            </w:r>
            <w:r>
              <w:rPr>
                <w:rFonts w:ascii="Times New Roman" w:eastAsia="宋体" w:hAnsi="Times New Roman"/>
                <w:b/>
                <w:bCs/>
                <w:color w:val="FFFFFF"/>
                <w:sz w:val="16"/>
                <w:szCs w:val="16"/>
              </w:rPr>
              <w:br/>
              <w:t>Underlying Rate</w:t>
            </w:r>
          </w:p>
        </w:tc>
        <w:tc>
          <w:tcPr>
            <w:tcW w:w="0" w:type="auto"/>
            <w:gridSpan w:val="3"/>
            <w:shd w:val="clear" w:color="auto" w:fill="auto"/>
            <w:tcMar>
              <w:top w:w="0" w:type="dxa"/>
              <w:left w:w="20" w:type="dxa"/>
              <w:bottom w:w="0" w:type="dxa"/>
              <w:right w:w="20" w:type="dxa"/>
            </w:tcMar>
          </w:tcPr>
          <w:p w14:paraId="00BAE3D7"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3D8" w14:textId="77777777" w:rsidR="00871BDF" w:rsidRDefault="005C5088">
            <w:pPr>
              <w:jc w:val="center"/>
              <w:textAlignment w:val="bottom"/>
            </w:pPr>
            <w:r>
              <w:rPr>
                <w:rFonts w:ascii="Times New Roman" w:eastAsia="宋体" w:hAnsi="Times New Roman"/>
                <w:b/>
                <w:bCs/>
                <w:color w:val="FFFFFF"/>
                <w:sz w:val="16"/>
                <w:szCs w:val="16"/>
              </w:rPr>
              <w:t>10% Increase in</w:t>
            </w:r>
            <w:r>
              <w:rPr>
                <w:rFonts w:ascii="Times New Roman" w:eastAsia="宋体" w:hAnsi="Times New Roman"/>
                <w:b/>
                <w:bCs/>
                <w:color w:val="FFFFFF"/>
                <w:sz w:val="16"/>
                <w:szCs w:val="16"/>
              </w:rPr>
              <w:br/>
              <w:t>Underlying Rate</w:t>
            </w:r>
          </w:p>
        </w:tc>
        <w:tc>
          <w:tcPr>
            <w:tcW w:w="0" w:type="auto"/>
            <w:gridSpan w:val="3"/>
            <w:tcBorders>
              <w:top w:val="single" w:sz="8" w:space="0" w:color="000000"/>
            </w:tcBorders>
            <w:shd w:val="clear" w:color="auto" w:fill="auto"/>
            <w:tcMar>
              <w:top w:w="0" w:type="dxa"/>
              <w:left w:w="20" w:type="dxa"/>
              <w:bottom w:w="0" w:type="dxa"/>
              <w:right w:w="20" w:type="dxa"/>
            </w:tcMar>
          </w:tcPr>
          <w:p w14:paraId="00BAE3D9"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3DA" w14:textId="77777777" w:rsidR="00871BDF" w:rsidRDefault="005C5088">
            <w:pPr>
              <w:jc w:val="center"/>
              <w:textAlignment w:val="bottom"/>
            </w:pPr>
            <w:r>
              <w:rPr>
                <w:rFonts w:ascii="Times New Roman" w:eastAsia="宋体" w:hAnsi="Times New Roman"/>
                <w:b/>
                <w:bCs/>
                <w:color w:val="FFFFFF"/>
                <w:sz w:val="16"/>
                <w:szCs w:val="16"/>
              </w:rPr>
              <w:t>10% Decrease in</w:t>
            </w:r>
            <w:r>
              <w:rPr>
                <w:rFonts w:ascii="Times New Roman" w:eastAsia="宋体" w:hAnsi="Times New Roman"/>
                <w:b/>
                <w:bCs/>
                <w:color w:val="FFFFFF"/>
                <w:sz w:val="16"/>
                <w:szCs w:val="16"/>
              </w:rPr>
              <w:br/>
              <w:t>Underlying Rate</w:t>
            </w:r>
          </w:p>
        </w:tc>
      </w:tr>
      <w:tr w:rsidR="00871BDF" w14:paraId="00BAE3EC" w14:textId="77777777">
        <w:trPr>
          <w:jc w:val="center"/>
        </w:trPr>
        <w:tc>
          <w:tcPr>
            <w:tcW w:w="0" w:type="auto"/>
            <w:gridSpan w:val="3"/>
            <w:shd w:val="clear" w:color="auto" w:fill="D7E4BC"/>
            <w:tcMar>
              <w:top w:w="40" w:type="dxa"/>
              <w:left w:w="20" w:type="dxa"/>
              <w:bottom w:w="40" w:type="dxa"/>
              <w:right w:w="20" w:type="dxa"/>
            </w:tcMar>
          </w:tcPr>
          <w:p w14:paraId="00BAE3DC" w14:textId="77777777" w:rsidR="00871BDF" w:rsidRDefault="005C5088">
            <w:pPr>
              <w:textAlignment w:val="top"/>
            </w:pPr>
            <w:r>
              <w:rPr>
                <w:rFonts w:ascii="Times New Roman" w:eastAsia="宋体" w:hAnsi="Times New Roman"/>
                <w:color w:val="000000"/>
                <w:sz w:val="20"/>
                <w:szCs w:val="20"/>
              </w:rPr>
              <w:t>Commodity hedges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E3D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3DE" w14:textId="77777777" w:rsidR="00871BDF" w:rsidRDefault="005C5088">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3D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E0"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3E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3E2" w14:textId="77777777" w:rsidR="00871BDF" w:rsidRDefault="005C5088">
            <w:pPr>
              <w:jc w:val="right"/>
              <w:textAlignment w:val="bottom"/>
            </w:pPr>
            <w:r>
              <w:rPr>
                <w:rFonts w:ascii="Times New Roman" w:eastAsia="宋体" w:hAnsi="Times New Roman"/>
                <w:color w:val="000000"/>
                <w:sz w:val="20"/>
                <w:szCs w:val="20"/>
              </w:rPr>
              <w:t>(1)</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3E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E4"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3E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3E6" w14:textId="77777777" w:rsidR="00871BDF" w:rsidRDefault="005C5088">
            <w:pPr>
              <w:jc w:val="right"/>
              <w:textAlignment w:val="bottom"/>
            </w:pPr>
            <w:r>
              <w:rPr>
                <w:rFonts w:ascii="Times New Roman" w:eastAsia="宋体" w:hAnsi="Times New Roman"/>
                <w:color w:val="000000"/>
                <w:sz w:val="20"/>
                <w:szCs w:val="20"/>
              </w:rPr>
              <w:t>13 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3E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3E8"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3E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3EA" w14:textId="77777777" w:rsidR="00871BDF" w:rsidRDefault="005C5088">
            <w:pPr>
              <w:jc w:val="right"/>
              <w:textAlignment w:val="bottom"/>
            </w:pPr>
            <w:r>
              <w:rPr>
                <w:rFonts w:ascii="Times New Roman" w:eastAsia="宋体" w:hAnsi="Times New Roman"/>
                <w:color w:val="000000"/>
                <w:sz w:val="20"/>
                <w:szCs w:val="20"/>
              </w:rPr>
              <w:t>(13)</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3EB" w14:textId="77777777" w:rsidR="00871BDF" w:rsidRDefault="00871BDF">
            <w:pPr>
              <w:jc w:val="right"/>
              <w:rPr>
                <w:rFonts w:ascii="宋体"/>
              </w:rPr>
            </w:pPr>
          </w:p>
        </w:tc>
      </w:tr>
    </w:tbl>
    <w:p w14:paraId="00BAE3ED" w14:textId="77777777" w:rsidR="00871BDF" w:rsidRDefault="005C5088">
      <w:pPr>
        <w:spacing w:before="120"/>
      </w:pPr>
      <w:r>
        <w:rPr>
          <w:rFonts w:ascii="Times New Roman" w:eastAsia="宋体" w:hAnsi="Times New Roman"/>
          <w:b/>
          <w:bCs/>
          <w:color w:val="000000"/>
          <w:sz w:val="20"/>
          <w:szCs w:val="20"/>
        </w:rPr>
        <w:t>Foreign Currency Exchange Risk</w:t>
      </w:r>
    </w:p>
    <w:p w14:paraId="00BAE3EE" w14:textId="77777777" w:rsidR="00871BDF" w:rsidRDefault="005C5088">
      <w:pPr>
        <w:spacing w:before="120"/>
      </w:pPr>
      <w:r>
        <w:rPr>
          <w:rFonts w:ascii="Times New Roman" w:eastAsia="宋体" w:hAnsi="Times New Roman"/>
          <w:color w:val="000000"/>
          <w:sz w:val="20"/>
          <w:szCs w:val="20"/>
        </w:rPr>
        <w:t>The majority of our revenue, expense and capital purchasing activiti</w:t>
      </w:r>
      <w:r>
        <w:rPr>
          <w:rFonts w:ascii="Times New Roman" w:eastAsia="宋体" w:hAnsi="Times New Roman"/>
          <w:color w:val="000000"/>
          <w:sz w:val="20"/>
          <w:szCs w:val="20"/>
        </w:rPr>
        <w:t>es are transacted in U.S. dollars. However, because a portion of our operations consists of activities outside of the U.S., we have transactions in other currencies, primarily the Chinese renminbi, Japanese yen, Canadian dollar, British pound, South Korean</w:t>
      </w:r>
      <w:r>
        <w:rPr>
          <w:rFonts w:ascii="Times New Roman" w:eastAsia="宋体" w:hAnsi="Times New Roman"/>
          <w:color w:val="000000"/>
          <w:sz w:val="20"/>
          <w:szCs w:val="20"/>
        </w:rPr>
        <w:t xml:space="preserve"> won and euro. To reduce cash flow volatility from foreign currency fluctuations, we enter into derivative instruments to hedge portions of cash flows of anticipated intercompany royalty payments, inventory purchases, intercompany borrowing and lending act</w:t>
      </w:r>
      <w:r>
        <w:rPr>
          <w:rFonts w:ascii="Times New Roman" w:eastAsia="宋体" w:hAnsi="Times New Roman"/>
          <w:color w:val="000000"/>
          <w:sz w:val="20"/>
          <w:szCs w:val="20"/>
        </w:rPr>
        <w:t xml:space="preserve">ivities and certain other transactions in currencies other than the functional currency of the entity that enters into the arrangements, as well as the translation risk of certain balance sheet items. The volatility in the foreign exchange market may lead </w:t>
      </w:r>
      <w:r>
        <w:rPr>
          <w:rFonts w:ascii="Times New Roman" w:eastAsia="宋体" w:hAnsi="Times New Roman"/>
          <w:color w:val="000000"/>
          <w:sz w:val="20"/>
          <w:szCs w:val="20"/>
        </w:rPr>
        <w:t xml:space="preserve">to significant fluctuation in foreign currency exchange rates and adversely impact our financial results in the case of weakening foreign currencies relative to the U.S. dollar. See </w:t>
      </w:r>
      <w:hyperlink r:id="rId114" w:anchor="i54ccc64cb5384be5a4849ef1cdef4dde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Financial Instruments, to the consolidated financial statements included in Item 8 of Part II of this 10-K for further discussion.</w:t>
      </w:r>
    </w:p>
    <w:p w14:paraId="00BAE3EF" w14:textId="77777777" w:rsidR="00871BDF" w:rsidRDefault="005C5088">
      <w:pPr>
        <w:spacing w:before="120"/>
      </w:pPr>
      <w:r>
        <w:rPr>
          <w:rFonts w:ascii="Times New Roman" w:eastAsia="宋体" w:hAnsi="Times New Roman"/>
          <w:color w:val="000000"/>
          <w:sz w:val="20"/>
          <w:szCs w:val="20"/>
        </w:rPr>
        <w:t xml:space="preserve">The following table </w:t>
      </w:r>
      <w:r>
        <w:rPr>
          <w:rFonts w:ascii="Times New Roman" w:eastAsia="宋体" w:hAnsi="Times New Roman"/>
          <w:color w:val="000000"/>
          <w:sz w:val="20"/>
          <w:szCs w:val="20"/>
        </w:rPr>
        <w:t>summarizes the potential impact as of September 27, 2020 to Starbucks future net earnings and other comprehensive income from changes in the fair value of these derivative financial instruments due to a change in the value of the U.S. dollar as compared to</w:t>
      </w:r>
      <w:r>
        <w:rPr>
          <w:rFonts w:ascii="Times New Roman" w:eastAsia="宋体" w:hAnsi="Times New Roman"/>
          <w:color w:val="000000"/>
          <w:sz w:val="20"/>
          <w:szCs w:val="20"/>
        </w:rPr>
        <w:t xml:space="preserve"> foreign exchange rates. The information provided below relates only to the hedging instruments and does not represent the corresponding changes in the underlying hedged items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37"/>
        <w:gridCol w:w="2791"/>
        <w:gridCol w:w="36"/>
        <w:gridCol w:w="121"/>
        <w:gridCol w:w="1162"/>
        <w:gridCol w:w="37"/>
        <w:gridCol w:w="37"/>
        <w:gridCol w:w="41"/>
        <w:gridCol w:w="37"/>
        <w:gridCol w:w="120"/>
        <w:gridCol w:w="1122"/>
        <w:gridCol w:w="36"/>
        <w:gridCol w:w="36"/>
        <w:gridCol w:w="36"/>
        <w:gridCol w:w="36"/>
        <w:gridCol w:w="122"/>
        <w:gridCol w:w="1092"/>
        <w:gridCol w:w="36"/>
        <w:gridCol w:w="36"/>
        <w:gridCol w:w="36"/>
        <w:gridCol w:w="36"/>
        <w:gridCol w:w="121"/>
        <w:gridCol w:w="1111"/>
        <w:gridCol w:w="36"/>
      </w:tblGrid>
      <w:tr w:rsidR="00871BDF" w14:paraId="00BAE408" w14:textId="77777777">
        <w:tc>
          <w:tcPr>
            <w:tcW w:w="50" w:type="pct"/>
            <w:shd w:val="clear" w:color="auto" w:fill="auto"/>
          </w:tcPr>
          <w:p w14:paraId="00BAE3F0" w14:textId="77777777" w:rsidR="00871BDF" w:rsidRDefault="00871BDF">
            <w:pPr>
              <w:rPr>
                <w:rFonts w:ascii="宋体"/>
              </w:rPr>
            </w:pPr>
          </w:p>
        </w:tc>
        <w:tc>
          <w:tcPr>
            <w:tcW w:w="1711" w:type="pct"/>
            <w:shd w:val="clear" w:color="auto" w:fill="auto"/>
          </w:tcPr>
          <w:p w14:paraId="00BAE3F1" w14:textId="77777777" w:rsidR="00871BDF" w:rsidRDefault="00871BDF">
            <w:pPr>
              <w:rPr>
                <w:rFonts w:ascii="宋体"/>
              </w:rPr>
            </w:pPr>
          </w:p>
        </w:tc>
        <w:tc>
          <w:tcPr>
            <w:tcW w:w="5" w:type="pct"/>
            <w:shd w:val="clear" w:color="auto" w:fill="auto"/>
          </w:tcPr>
          <w:p w14:paraId="00BAE3F2" w14:textId="77777777" w:rsidR="00871BDF" w:rsidRDefault="00871BDF">
            <w:pPr>
              <w:rPr>
                <w:rFonts w:ascii="宋体"/>
              </w:rPr>
            </w:pPr>
          </w:p>
        </w:tc>
        <w:tc>
          <w:tcPr>
            <w:tcW w:w="50" w:type="pct"/>
            <w:shd w:val="clear" w:color="auto" w:fill="auto"/>
          </w:tcPr>
          <w:p w14:paraId="00BAE3F3" w14:textId="77777777" w:rsidR="00871BDF" w:rsidRDefault="00871BDF">
            <w:pPr>
              <w:rPr>
                <w:rFonts w:ascii="宋体"/>
              </w:rPr>
            </w:pPr>
          </w:p>
        </w:tc>
        <w:tc>
          <w:tcPr>
            <w:tcW w:w="729" w:type="pct"/>
            <w:shd w:val="clear" w:color="auto" w:fill="auto"/>
          </w:tcPr>
          <w:p w14:paraId="00BAE3F4" w14:textId="77777777" w:rsidR="00871BDF" w:rsidRDefault="00871BDF">
            <w:pPr>
              <w:rPr>
                <w:rFonts w:ascii="宋体"/>
              </w:rPr>
            </w:pPr>
          </w:p>
        </w:tc>
        <w:tc>
          <w:tcPr>
            <w:tcW w:w="5" w:type="pct"/>
            <w:shd w:val="clear" w:color="auto" w:fill="auto"/>
          </w:tcPr>
          <w:p w14:paraId="00BAE3F5" w14:textId="77777777" w:rsidR="00871BDF" w:rsidRDefault="00871BDF">
            <w:pPr>
              <w:rPr>
                <w:rFonts w:ascii="宋体"/>
              </w:rPr>
            </w:pPr>
          </w:p>
        </w:tc>
        <w:tc>
          <w:tcPr>
            <w:tcW w:w="5" w:type="pct"/>
            <w:shd w:val="clear" w:color="auto" w:fill="auto"/>
          </w:tcPr>
          <w:p w14:paraId="00BAE3F6" w14:textId="77777777" w:rsidR="00871BDF" w:rsidRDefault="00871BDF">
            <w:pPr>
              <w:rPr>
                <w:rFonts w:ascii="宋体"/>
              </w:rPr>
            </w:pPr>
          </w:p>
        </w:tc>
        <w:tc>
          <w:tcPr>
            <w:tcW w:w="26" w:type="pct"/>
            <w:shd w:val="clear" w:color="auto" w:fill="auto"/>
          </w:tcPr>
          <w:p w14:paraId="00BAE3F7" w14:textId="77777777" w:rsidR="00871BDF" w:rsidRDefault="00871BDF">
            <w:pPr>
              <w:rPr>
                <w:rFonts w:ascii="宋体"/>
              </w:rPr>
            </w:pPr>
          </w:p>
        </w:tc>
        <w:tc>
          <w:tcPr>
            <w:tcW w:w="5" w:type="pct"/>
            <w:shd w:val="clear" w:color="auto" w:fill="auto"/>
          </w:tcPr>
          <w:p w14:paraId="00BAE3F8" w14:textId="77777777" w:rsidR="00871BDF" w:rsidRDefault="00871BDF">
            <w:pPr>
              <w:rPr>
                <w:rFonts w:ascii="宋体"/>
              </w:rPr>
            </w:pPr>
          </w:p>
        </w:tc>
        <w:tc>
          <w:tcPr>
            <w:tcW w:w="50" w:type="pct"/>
            <w:shd w:val="clear" w:color="auto" w:fill="auto"/>
          </w:tcPr>
          <w:p w14:paraId="00BAE3F9" w14:textId="77777777" w:rsidR="00871BDF" w:rsidRDefault="00871BDF">
            <w:pPr>
              <w:rPr>
                <w:rFonts w:ascii="宋体"/>
              </w:rPr>
            </w:pPr>
          </w:p>
        </w:tc>
        <w:tc>
          <w:tcPr>
            <w:tcW w:w="714" w:type="pct"/>
            <w:shd w:val="clear" w:color="auto" w:fill="auto"/>
          </w:tcPr>
          <w:p w14:paraId="00BAE3FA" w14:textId="77777777" w:rsidR="00871BDF" w:rsidRDefault="00871BDF">
            <w:pPr>
              <w:rPr>
                <w:rFonts w:ascii="宋体"/>
              </w:rPr>
            </w:pPr>
          </w:p>
        </w:tc>
        <w:tc>
          <w:tcPr>
            <w:tcW w:w="5" w:type="pct"/>
            <w:shd w:val="clear" w:color="auto" w:fill="auto"/>
          </w:tcPr>
          <w:p w14:paraId="00BAE3FB" w14:textId="77777777" w:rsidR="00871BDF" w:rsidRDefault="00871BDF">
            <w:pPr>
              <w:rPr>
                <w:rFonts w:ascii="宋体"/>
              </w:rPr>
            </w:pPr>
          </w:p>
        </w:tc>
        <w:tc>
          <w:tcPr>
            <w:tcW w:w="5" w:type="pct"/>
            <w:shd w:val="clear" w:color="auto" w:fill="auto"/>
          </w:tcPr>
          <w:p w14:paraId="00BAE3FC" w14:textId="77777777" w:rsidR="00871BDF" w:rsidRDefault="00871BDF">
            <w:pPr>
              <w:rPr>
                <w:rFonts w:ascii="宋体"/>
              </w:rPr>
            </w:pPr>
          </w:p>
        </w:tc>
        <w:tc>
          <w:tcPr>
            <w:tcW w:w="26" w:type="pct"/>
            <w:shd w:val="clear" w:color="auto" w:fill="auto"/>
          </w:tcPr>
          <w:p w14:paraId="00BAE3FD" w14:textId="77777777" w:rsidR="00871BDF" w:rsidRDefault="00871BDF">
            <w:pPr>
              <w:rPr>
                <w:rFonts w:ascii="宋体"/>
              </w:rPr>
            </w:pPr>
          </w:p>
        </w:tc>
        <w:tc>
          <w:tcPr>
            <w:tcW w:w="5" w:type="pct"/>
            <w:shd w:val="clear" w:color="auto" w:fill="auto"/>
          </w:tcPr>
          <w:p w14:paraId="00BAE3FE" w14:textId="77777777" w:rsidR="00871BDF" w:rsidRDefault="00871BDF">
            <w:pPr>
              <w:rPr>
                <w:rFonts w:ascii="宋体"/>
              </w:rPr>
            </w:pPr>
          </w:p>
        </w:tc>
        <w:tc>
          <w:tcPr>
            <w:tcW w:w="50" w:type="pct"/>
            <w:shd w:val="clear" w:color="auto" w:fill="auto"/>
          </w:tcPr>
          <w:p w14:paraId="00BAE3FF" w14:textId="77777777" w:rsidR="00871BDF" w:rsidRDefault="00871BDF">
            <w:pPr>
              <w:rPr>
                <w:rFonts w:ascii="宋体"/>
              </w:rPr>
            </w:pPr>
          </w:p>
        </w:tc>
        <w:tc>
          <w:tcPr>
            <w:tcW w:w="729" w:type="pct"/>
            <w:shd w:val="clear" w:color="auto" w:fill="auto"/>
          </w:tcPr>
          <w:p w14:paraId="00BAE400" w14:textId="77777777" w:rsidR="00871BDF" w:rsidRDefault="00871BDF">
            <w:pPr>
              <w:rPr>
                <w:rFonts w:ascii="宋体"/>
              </w:rPr>
            </w:pPr>
          </w:p>
        </w:tc>
        <w:tc>
          <w:tcPr>
            <w:tcW w:w="5" w:type="pct"/>
            <w:shd w:val="clear" w:color="auto" w:fill="auto"/>
          </w:tcPr>
          <w:p w14:paraId="00BAE401" w14:textId="77777777" w:rsidR="00871BDF" w:rsidRDefault="00871BDF">
            <w:pPr>
              <w:rPr>
                <w:rFonts w:ascii="宋体"/>
              </w:rPr>
            </w:pPr>
          </w:p>
        </w:tc>
        <w:tc>
          <w:tcPr>
            <w:tcW w:w="5" w:type="pct"/>
            <w:shd w:val="clear" w:color="auto" w:fill="auto"/>
          </w:tcPr>
          <w:p w14:paraId="00BAE402" w14:textId="77777777" w:rsidR="00871BDF" w:rsidRDefault="00871BDF">
            <w:pPr>
              <w:rPr>
                <w:rFonts w:ascii="宋体"/>
              </w:rPr>
            </w:pPr>
          </w:p>
        </w:tc>
        <w:tc>
          <w:tcPr>
            <w:tcW w:w="26" w:type="pct"/>
            <w:shd w:val="clear" w:color="auto" w:fill="auto"/>
          </w:tcPr>
          <w:p w14:paraId="00BAE403" w14:textId="77777777" w:rsidR="00871BDF" w:rsidRDefault="00871BDF">
            <w:pPr>
              <w:rPr>
                <w:rFonts w:ascii="宋体"/>
              </w:rPr>
            </w:pPr>
          </w:p>
        </w:tc>
        <w:tc>
          <w:tcPr>
            <w:tcW w:w="5" w:type="pct"/>
            <w:shd w:val="clear" w:color="auto" w:fill="auto"/>
          </w:tcPr>
          <w:p w14:paraId="00BAE404" w14:textId="77777777" w:rsidR="00871BDF" w:rsidRDefault="00871BDF">
            <w:pPr>
              <w:rPr>
                <w:rFonts w:ascii="宋体"/>
              </w:rPr>
            </w:pPr>
          </w:p>
        </w:tc>
        <w:tc>
          <w:tcPr>
            <w:tcW w:w="50" w:type="pct"/>
            <w:shd w:val="clear" w:color="auto" w:fill="auto"/>
          </w:tcPr>
          <w:p w14:paraId="00BAE405" w14:textId="77777777" w:rsidR="00871BDF" w:rsidRDefault="00871BDF">
            <w:pPr>
              <w:rPr>
                <w:rFonts w:ascii="宋体"/>
              </w:rPr>
            </w:pPr>
          </w:p>
        </w:tc>
        <w:tc>
          <w:tcPr>
            <w:tcW w:w="729" w:type="pct"/>
            <w:shd w:val="clear" w:color="auto" w:fill="auto"/>
          </w:tcPr>
          <w:p w14:paraId="00BAE406" w14:textId="77777777" w:rsidR="00871BDF" w:rsidRDefault="00871BDF">
            <w:pPr>
              <w:rPr>
                <w:rFonts w:ascii="宋体"/>
              </w:rPr>
            </w:pPr>
          </w:p>
        </w:tc>
        <w:tc>
          <w:tcPr>
            <w:tcW w:w="5" w:type="pct"/>
            <w:shd w:val="clear" w:color="auto" w:fill="auto"/>
          </w:tcPr>
          <w:p w14:paraId="00BAE407" w14:textId="77777777" w:rsidR="00871BDF" w:rsidRDefault="00871BDF">
            <w:pPr>
              <w:rPr>
                <w:rFonts w:ascii="宋体"/>
              </w:rPr>
            </w:pPr>
          </w:p>
        </w:tc>
      </w:tr>
      <w:tr w:rsidR="00871BDF" w14:paraId="00BAE40D" w14:textId="77777777">
        <w:tc>
          <w:tcPr>
            <w:tcW w:w="0" w:type="auto"/>
            <w:gridSpan w:val="3"/>
            <w:shd w:val="clear" w:color="auto" w:fill="auto"/>
            <w:tcMar>
              <w:top w:w="40" w:type="dxa"/>
              <w:left w:w="20" w:type="dxa"/>
              <w:bottom w:w="40" w:type="dxa"/>
              <w:right w:w="20" w:type="dxa"/>
            </w:tcMar>
            <w:vAlign w:val="bottom"/>
          </w:tcPr>
          <w:p w14:paraId="00BAE409" w14:textId="77777777" w:rsidR="00871BDF" w:rsidRDefault="005C5088">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00BAE40A" w14:textId="77777777" w:rsidR="00871BDF" w:rsidRDefault="005C5088">
            <w:pPr>
              <w:jc w:val="center"/>
              <w:textAlignment w:val="bottom"/>
            </w:pPr>
            <w:r>
              <w:rPr>
                <w:rFonts w:ascii="Times New Roman" w:eastAsia="宋体" w:hAnsi="Times New Roman"/>
                <w:b/>
                <w:bCs/>
                <w:color w:val="FFFFFF"/>
                <w:sz w:val="16"/>
                <w:szCs w:val="16"/>
              </w:rPr>
              <w:t>Increase/(Decrease) to Net Earnings</w:t>
            </w:r>
          </w:p>
        </w:tc>
        <w:tc>
          <w:tcPr>
            <w:tcW w:w="0" w:type="auto"/>
            <w:gridSpan w:val="3"/>
            <w:shd w:val="clear" w:color="auto" w:fill="auto"/>
            <w:tcMar>
              <w:top w:w="0" w:type="dxa"/>
              <w:left w:w="20" w:type="dxa"/>
              <w:bottom w:w="0" w:type="dxa"/>
              <w:right w:w="20" w:type="dxa"/>
            </w:tcMar>
          </w:tcPr>
          <w:p w14:paraId="00BAE40B" w14:textId="77777777" w:rsidR="00871BDF" w:rsidRDefault="00871BDF">
            <w:pPr>
              <w:rPr>
                <w:rFonts w:ascii="宋体"/>
              </w:rPr>
            </w:pPr>
          </w:p>
        </w:tc>
        <w:tc>
          <w:tcPr>
            <w:tcW w:w="0" w:type="auto"/>
            <w:gridSpan w:val="9"/>
            <w:shd w:val="clear" w:color="auto" w:fill="00704A"/>
            <w:tcMar>
              <w:top w:w="40" w:type="dxa"/>
              <w:left w:w="20" w:type="dxa"/>
              <w:bottom w:w="40" w:type="dxa"/>
              <w:right w:w="20" w:type="dxa"/>
            </w:tcMar>
            <w:vAlign w:val="bottom"/>
          </w:tcPr>
          <w:p w14:paraId="00BAE40C" w14:textId="77777777" w:rsidR="00871BDF" w:rsidRDefault="005C5088">
            <w:pPr>
              <w:jc w:val="center"/>
              <w:textAlignment w:val="bottom"/>
            </w:pPr>
            <w:r>
              <w:rPr>
                <w:rFonts w:ascii="Times New Roman" w:eastAsia="宋体" w:hAnsi="Times New Roman"/>
                <w:b/>
                <w:bCs/>
                <w:color w:val="FFFFFF"/>
                <w:sz w:val="16"/>
                <w:szCs w:val="16"/>
              </w:rPr>
              <w:t>Increase/(Decrease) to OCI</w:t>
            </w:r>
          </w:p>
        </w:tc>
      </w:tr>
      <w:tr w:rsidR="00871BDF" w14:paraId="00BAE416" w14:textId="77777777">
        <w:tc>
          <w:tcPr>
            <w:tcW w:w="0" w:type="auto"/>
            <w:gridSpan w:val="3"/>
            <w:shd w:val="clear" w:color="auto" w:fill="auto"/>
            <w:tcMar>
              <w:top w:w="40" w:type="dxa"/>
              <w:left w:w="20" w:type="dxa"/>
              <w:bottom w:w="40" w:type="dxa"/>
              <w:right w:w="20" w:type="dxa"/>
            </w:tcMar>
            <w:vAlign w:val="bottom"/>
          </w:tcPr>
          <w:p w14:paraId="00BAE40E" w14:textId="77777777" w:rsidR="00871BDF" w:rsidRDefault="005C5088">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40F" w14:textId="77777777" w:rsidR="00871BDF" w:rsidRDefault="005C5088">
            <w:pPr>
              <w:jc w:val="center"/>
              <w:textAlignment w:val="bottom"/>
            </w:pPr>
            <w:r>
              <w:rPr>
                <w:rFonts w:ascii="Times New Roman" w:eastAsia="宋体" w:hAnsi="Times New Roman"/>
                <w:b/>
                <w:bCs/>
                <w:color w:val="FFFFFF"/>
                <w:sz w:val="16"/>
                <w:szCs w:val="16"/>
              </w:rPr>
              <w:t>10% Increase in</w:t>
            </w:r>
            <w:r>
              <w:rPr>
                <w:rFonts w:ascii="Times New Roman" w:eastAsia="宋体" w:hAnsi="Times New Roman"/>
                <w:b/>
                <w:bCs/>
                <w:color w:val="FFFFFF"/>
                <w:sz w:val="16"/>
                <w:szCs w:val="16"/>
              </w:rPr>
              <w:br/>
              <w:t>Underlying Rate</w:t>
            </w:r>
          </w:p>
        </w:tc>
        <w:tc>
          <w:tcPr>
            <w:tcW w:w="0" w:type="auto"/>
            <w:gridSpan w:val="3"/>
            <w:tcBorders>
              <w:top w:val="single" w:sz="8" w:space="0" w:color="000000"/>
            </w:tcBorders>
            <w:shd w:val="clear" w:color="auto" w:fill="auto"/>
            <w:tcMar>
              <w:top w:w="0" w:type="dxa"/>
              <w:left w:w="20" w:type="dxa"/>
              <w:bottom w:w="0" w:type="dxa"/>
              <w:right w:w="20" w:type="dxa"/>
            </w:tcMar>
          </w:tcPr>
          <w:p w14:paraId="00BAE410"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411" w14:textId="77777777" w:rsidR="00871BDF" w:rsidRDefault="005C5088">
            <w:pPr>
              <w:jc w:val="center"/>
              <w:textAlignment w:val="bottom"/>
            </w:pPr>
            <w:r>
              <w:rPr>
                <w:rFonts w:ascii="Times New Roman" w:eastAsia="宋体" w:hAnsi="Times New Roman"/>
                <w:b/>
                <w:bCs/>
                <w:color w:val="FFFFFF"/>
                <w:sz w:val="16"/>
                <w:szCs w:val="16"/>
              </w:rPr>
              <w:t>10% Decrease in</w:t>
            </w:r>
            <w:r>
              <w:rPr>
                <w:rFonts w:ascii="Times New Roman" w:eastAsia="宋体" w:hAnsi="Times New Roman"/>
                <w:b/>
                <w:bCs/>
                <w:color w:val="FFFFFF"/>
                <w:sz w:val="16"/>
                <w:szCs w:val="16"/>
              </w:rPr>
              <w:br/>
              <w:t>Underlying Rate</w:t>
            </w:r>
          </w:p>
        </w:tc>
        <w:tc>
          <w:tcPr>
            <w:tcW w:w="0" w:type="auto"/>
            <w:gridSpan w:val="3"/>
            <w:shd w:val="clear" w:color="auto" w:fill="auto"/>
            <w:tcMar>
              <w:top w:w="0" w:type="dxa"/>
              <w:left w:w="20" w:type="dxa"/>
              <w:bottom w:w="0" w:type="dxa"/>
              <w:right w:w="20" w:type="dxa"/>
            </w:tcMar>
          </w:tcPr>
          <w:p w14:paraId="00BAE412"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413" w14:textId="77777777" w:rsidR="00871BDF" w:rsidRDefault="005C5088">
            <w:pPr>
              <w:jc w:val="center"/>
              <w:textAlignment w:val="bottom"/>
            </w:pPr>
            <w:r>
              <w:rPr>
                <w:rFonts w:ascii="Times New Roman" w:eastAsia="宋体" w:hAnsi="Times New Roman"/>
                <w:b/>
                <w:bCs/>
                <w:color w:val="FFFFFF"/>
                <w:sz w:val="16"/>
                <w:szCs w:val="16"/>
              </w:rPr>
              <w:t>10% Increase in</w:t>
            </w:r>
            <w:r>
              <w:rPr>
                <w:rFonts w:ascii="Times New Roman" w:eastAsia="宋体" w:hAnsi="Times New Roman"/>
                <w:b/>
                <w:bCs/>
                <w:color w:val="FFFFFF"/>
                <w:sz w:val="16"/>
                <w:szCs w:val="16"/>
              </w:rPr>
              <w:br/>
              <w:t>Underlying Rate</w:t>
            </w:r>
          </w:p>
        </w:tc>
        <w:tc>
          <w:tcPr>
            <w:tcW w:w="0" w:type="auto"/>
            <w:gridSpan w:val="3"/>
            <w:tcBorders>
              <w:top w:val="single" w:sz="8" w:space="0" w:color="000000"/>
            </w:tcBorders>
            <w:shd w:val="clear" w:color="auto" w:fill="auto"/>
            <w:tcMar>
              <w:top w:w="0" w:type="dxa"/>
              <w:left w:w="20" w:type="dxa"/>
              <w:bottom w:w="0" w:type="dxa"/>
              <w:right w:w="20" w:type="dxa"/>
            </w:tcMar>
          </w:tcPr>
          <w:p w14:paraId="00BAE414"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415" w14:textId="77777777" w:rsidR="00871BDF" w:rsidRDefault="005C5088">
            <w:pPr>
              <w:jc w:val="center"/>
              <w:textAlignment w:val="bottom"/>
            </w:pPr>
            <w:r>
              <w:rPr>
                <w:rFonts w:ascii="Times New Roman" w:eastAsia="宋体" w:hAnsi="Times New Roman"/>
                <w:b/>
                <w:bCs/>
                <w:color w:val="FFFFFF"/>
                <w:sz w:val="16"/>
                <w:szCs w:val="16"/>
              </w:rPr>
              <w:t>10% Decrease in</w:t>
            </w:r>
            <w:r>
              <w:rPr>
                <w:rFonts w:ascii="Times New Roman" w:eastAsia="宋体" w:hAnsi="Times New Roman"/>
                <w:b/>
                <w:bCs/>
                <w:color w:val="FFFFFF"/>
                <w:sz w:val="16"/>
                <w:szCs w:val="16"/>
              </w:rPr>
              <w:br/>
              <w:t>Underlying Rate</w:t>
            </w:r>
          </w:p>
        </w:tc>
      </w:tr>
      <w:tr w:rsidR="00871BDF" w14:paraId="00BAE427" w14:textId="77777777">
        <w:tc>
          <w:tcPr>
            <w:tcW w:w="0" w:type="auto"/>
            <w:gridSpan w:val="3"/>
            <w:shd w:val="clear" w:color="auto" w:fill="D7E4BC"/>
            <w:tcMar>
              <w:top w:w="40" w:type="dxa"/>
              <w:left w:w="20" w:type="dxa"/>
              <w:bottom w:w="40" w:type="dxa"/>
              <w:right w:w="20" w:type="dxa"/>
            </w:tcMar>
          </w:tcPr>
          <w:p w14:paraId="00BAE417" w14:textId="77777777" w:rsidR="00871BDF" w:rsidRDefault="005C5088">
            <w:pPr>
              <w:textAlignment w:val="top"/>
            </w:pPr>
            <w:r>
              <w:rPr>
                <w:rFonts w:ascii="Times New Roman" w:eastAsia="宋体" w:hAnsi="Times New Roman"/>
                <w:color w:val="000000"/>
                <w:sz w:val="20"/>
                <w:szCs w:val="20"/>
              </w:rPr>
              <w:t xml:space="preserve">Foreign currency </w:t>
            </w:r>
            <w:r>
              <w:rPr>
                <w:rFonts w:ascii="Times New Roman" w:eastAsia="宋体" w:hAnsi="Times New Roman"/>
                <w:color w:val="000000"/>
                <w:sz w:val="20"/>
                <w:szCs w:val="20"/>
              </w:rPr>
              <w:t>hedges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E418"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419" w14:textId="77777777" w:rsidR="00871BDF" w:rsidRDefault="005C5088">
            <w:pPr>
              <w:jc w:val="right"/>
              <w:textAlignment w:val="bottom"/>
            </w:pPr>
            <w:r>
              <w:rPr>
                <w:rFonts w:ascii="Times New Roman" w:eastAsia="宋体" w:hAnsi="Times New Roman"/>
                <w:color w:val="000000"/>
                <w:sz w:val="20"/>
                <w:szCs w:val="20"/>
              </w:rPr>
              <w:t>37 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41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41B"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41C"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41D" w14:textId="77777777" w:rsidR="00871BDF" w:rsidRDefault="005C5088">
            <w:pPr>
              <w:jc w:val="right"/>
              <w:textAlignment w:val="bottom"/>
            </w:pPr>
            <w:r>
              <w:rPr>
                <w:rFonts w:ascii="Times New Roman" w:eastAsia="宋体" w:hAnsi="Times New Roman"/>
                <w:color w:val="000000"/>
                <w:sz w:val="20"/>
                <w:szCs w:val="20"/>
              </w:rPr>
              <w:t>(37)</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41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41F"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420"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421" w14:textId="77777777" w:rsidR="00871BDF" w:rsidRDefault="005C5088">
            <w:pPr>
              <w:jc w:val="right"/>
              <w:textAlignment w:val="bottom"/>
            </w:pPr>
            <w:r>
              <w:rPr>
                <w:rFonts w:ascii="Times New Roman" w:eastAsia="宋体" w:hAnsi="Times New Roman"/>
                <w:color w:val="000000"/>
                <w:sz w:val="20"/>
                <w:szCs w:val="20"/>
              </w:rPr>
              <w:t>164 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42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423"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42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425" w14:textId="77777777" w:rsidR="00871BDF" w:rsidRDefault="005C5088">
            <w:pPr>
              <w:jc w:val="right"/>
              <w:textAlignment w:val="bottom"/>
            </w:pPr>
            <w:r>
              <w:rPr>
                <w:rFonts w:ascii="Times New Roman" w:eastAsia="宋体" w:hAnsi="Times New Roman"/>
                <w:color w:val="000000"/>
                <w:sz w:val="20"/>
                <w:szCs w:val="20"/>
              </w:rPr>
              <w:t>(164)</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426" w14:textId="77777777" w:rsidR="00871BDF" w:rsidRDefault="00871BDF">
            <w:pPr>
              <w:jc w:val="right"/>
              <w:rPr>
                <w:rFonts w:ascii="宋体"/>
              </w:rPr>
            </w:pPr>
          </w:p>
        </w:tc>
      </w:tr>
    </w:tbl>
    <w:p w14:paraId="00BAE428" w14:textId="77777777" w:rsidR="00871BDF" w:rsidRDefault="005C5088">
      <w:pPr>
        <w:spacing w:before="120"/>
      </w:pPr>
      <w:r>
        <w:rPr>
          <w:rFonts w:ascii="Times New Roman" w:eastAsia="宋体" w:hAnsi="Times New Roman"/>
          <w:b/>
          <w:bCs/>
          <w:color w:val="000000"/>
          <w:sz w:val="20"/>
          <w:szCs w:val="20"/>
        </w:rPr>
        <w:t>Equity Security Price Risk</w:t>
      </w:r>
    </w:p>
    <w:p w14:paraId="00BAE429" w14:textId="77777777" w:rsidR="00871BDF" w:rsidRDefault="005C5088">
      <w:pPr>
        <w:spacing w:before="120"/>
      </w:pPr>
      <w:r>
        <w:rPr>
          <w:rFonts w:ascii="Times New Roman" w:eastAsia="宋体" w:hAnsi="Times New Roman"/>
          <w:color w:val="000000"/>
          <w:sz w:val="20"/>
          <w:szCs w:val="20"/>
        </w:rPr>
        <w:t xml:space="preserve">We have minimal exposure to price fluctuations on equity mutual funds and equity exchange-traded funds </w:t>
      </w:r>
      <w:r>
        <w:rPr>
          <w:rFonts w:ascii="Times New Roman" w:eastAsia="宋体" w:hAnsi="Times New Roman"/>
          <w:color w:val="000000"/>
          <w:sz w:val="20"/>
          <w:szCs w:val="20"/>
        </w:rPr>
        <w:t>within our marketable equity securities portfolio. Marketable equity securities are recorded at fair value and approximates a portion of our liability under our Management Deferred Compensation Plan (“MDCP”). Gains and losses from the portfolio and the cha</w:t>
      </w:r>
      <w:r>
        <w:rPr>
          <w:rFonts w:ascii="Times New Roman" w:eastAsia="宋体" w:hAnsi="Times New Roman"/>
          <w:color w:val="000000"/>
          <w:sz w:val="20"/>
          <w:szCs w:val="20"/>
        </w:rPr>
        <w:t>nge in our MDCP liability are recorded in our consolidated statements of earnings.</w:t>
      </w:r>
    </w:p>
    <w:p w14:paraId="00BAE42A" w14:textId="77777777" w:rsidR="00871BDF" w:rsidRDefault="005C5088">
      <w:pPr>
        <w:spacing w:before="120"/>
      </w:pPr>
      <w:r>
        <w:rPr>
          <w:rFonts w:ascii="Times New Roman" w:eastAsia="宋体" w:hAnsi="Times New Roman"/>
          <w:color w:val="000000"/>
          <w:sz w:val="20"/>
          <w:szCs w:val="20"/>
        </w:rPr>
        <w:t>We performed a sensitivity analysis based on a 10% change in the underlying equity prices of our investments as of September 27, 2020 and determined that such a change would</w:t>
      </w:r>
      <w:r>
        <w:rPr>
          <w:rFonts w:ascii="Times New Roman" w:eastAsia="宋体" w:hAnsi="Times New Roman"/>
          <w:color w:val="000000"/>
          <w:sz w:val="20"/>
          <w:szCs w:val="20"/>
        </w:rPr>
        <w:t xml:space="preserve"> not have a significant impact on the fair value of these instruments.</w:t>
      </w:r>
    </w:p>
    <w:p w14:paraId="00BAE42B" w14:textId="77777777" w:rsidR="00871BDF" w:rsidRDefault="005C5088">
      <w:pPr>
        <w:jc w:val="center"/>
      </w:pPr>
      <w:r>
        <w:rPr>
          <w:rFonts w:ascii="Times New Roman" w:eastAsia="宋体" w:hAnsi="Times New Roman"/>
          <w:color w:val="000000"/>
          <w:sz w:val="20"/>
          <w:szCs w:val="20"/>
        </w:rPr>
        <w:t>42</w:t>
      </w:r>
    </w:p>
    <w:p w14:paraId="00BAE42C" w14:textId="77777777" w:rsidR="00871BDF" w:rsidRDefault="005C5088">
      <w:r>
        <w:pict w14:anchorId="00BB148F">
          <v:rect id="_x0000_i1069" style="width:415.3pt;height:1.5pt" o:hralign="center" o:hrstd="t" o:hr="t" fillcolor="#a0a0a0" stroked="f"/>
        </w:pict>
      </w:r>
    </w:p>
    <w:p w14:paraId="00BAE42D" w14:textId="77777777" w:rsidR="00871BDF" w:rsidRDefault="005C5088">
      <w:hyperlink r:id="rId115" w:anchor="i54ccc64cb5384be5a4849ef1cdef4dde_7" w:history="1">
        <w:r>
          <w:rPr>
            <w:rStyle w:val="a5"/>
            <w:rFonts w:ascii="Times New Roman" w:eastAsia="宋体" w:hAnsi="Times New Roman"/>
            <w:sz w:val="20"/>
            <w:szCs w:val="20"/>
          </w:rPr>
          <w:t>Table of Contents</w:t>
        </w:r>
      </w:hyperlink>
    </w:p>
    <w:p w14:paraId="00BAE42E" w14:textId="77777777" w:rsidR="00871BDF" w:rsidRDefault="005C5088">
      <w:pPr>
        <w:spacing w:before="120"/>
      </w:pPr>
      <w:r>
        <w:rPr>
          <w:rFonts w:ascii="Times New Roman" w:eastAsia="宋体" w:hAnsi="Times New Roman"/>
          <w:b/>
          <w:bCs/>
          <w:color w:val="000000"/>
          <w:sz w:val="20"/>
          <w:szCs w:val="20"/>
        </w:rPr>
        <w:t>Interest Rate Risk</w:t>
      </w:r>
    </w:p>
    <w:p w14:paraId="00BAE42F" w14:textId="77777777" w:rsidR="00871BDF" w:rsidRDefault="005C5088">
      <w:pPr>
        <w:spacing w:before="120"/>
      </w:pPr>
      <w:r>
        <w:rPr>
          <w:rFonts w:ascii="Times New Roman" w:eastAsia="宋体" w:hAnsi="Times New Roman"/>
          <w:i/>
          <w:iCs/>
          <w:color w:val="000000"/>
          <w:sz w:val="20"/>
          <w:szCs w:val="20"/>
        </w:rPr>
        <w:t>Long-term Debt</w:t>
      </w:r>
    </w:p>
    <w:p w14:paraId="00BAE430" w14:textId="77777777" w:rsidR="00871BDF" w:rsidRDefault="005C5088">
      <w:pPr>
        <w:spacing w:before="120"/>
      </w:pPr>
      <w:r>
        <w:rPr>
          <w:rFonts w:ascii="Times New Roman" w:eastAsia="宋体" w:hAnsi="Times New Roman"/>
          <w:color w:val="000000"/>
          <w:sz w:val="20"/>
          <w:szCs w:val="20"/>
        </w:rPr>
        <w:t>We utilize short-term and long-term financing and may use interest rate hedges to manage our overall interest expense related to our existing fixed-rate debt, as well as to hedge the variability in cash flows due to change</w:t>
      </w:r>
      <w:r>
        <w:rPr>
          <w:rFonts w:ascii="Times New Roman" w:eastAsia="宋体" w:hAnsi="Times New Roman"/>
          <w:color w:val="000000"/>
          <w:sz w:val="20"/>
          <w:szCs w:val="20"/>
        </w:rPr>
        <w:t xml:space="preserve">s in benchmark interest rates related to anticipated debt issuances. See </w:t>
      </w:r>
      <w:hyperlink r:id="rId116" w:anchor="i54ccc64cb5384be5a4849ef1cdef4dde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Financial</w:t>
      </w:r>
      <w:r>
        <w:rPr>
          <w:rFonts w:ascii="Times New Roman" w:eastAsia="宋体" w:hAnsi="Times New Roman"/>
          <w:color w:val="000000"/>
          <w:sz w:val="20"/>
          <w:szCs w:val="20"/>
        </w:rPr>
        <w:t xml:space="preserve"> Instruments and </w:t>
      </w:r>
      <w:hyperlink r:id="rId117" w:anchor="i54ccc64cb5384be5a4849ef1cdef4dde_163"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Debt, to the consolidated financial statements included in Item 8 of Part II</w:t>
      </w:r>
      <w:r>
        <w:rPr>
          <w:rFonts w:ascii="Times New Roman" w:eastAsia="宋体" w:hAnsi="Times New Roman"/>
          <w:color w:val="000000"/>
          <w:sz w:val="20"/>
          <w:szCs w:val="20"/>
        </w:rPr>
        <w:t xml:space="preserve"> of this 10-K for further discussion of our interest rate hedge agreements and details of the components of our long-term debt, respectively, as of September 27, 2020.</w:t>
      </w:r>
    </w:p>
    <w:p w14:paraId="00BAE431" w14:textId="77777777" w:rsidR="00871BDF" w:rsidRDefault="005C5088">
      <w:pPr>
        <w:spacing w:before="120"/>
      </w:pPr>
      <w:r>
        <w:rPr>
          <w:rFonts w:ascii="Times New Roman" w:eastAsia="宋体" w:hAnsi="Times New Roman"/>
          <w:color w:val="000000"/>
          <w:sz w:val="20"/>
          <w:szCs w:val="20"/>
        </w:rPr>
        <w:t>The following table summarizes the impact of a change in interest rates as of September </w:t>
      </w:r>
      <w:r>
        <w:rPr>
          <w:rFonts w:ascii="Times New Roman" w:eastAsia="宋体" w:hAnsi="Times New Roman"/>
          <w:color w:val="000000"/>
          <w:sz w:val="20"/>
          <w:szCs w:val="20"/>
        </w:rPr>
        <w:t xml:space="preserve">27, 2020 on the fair value of Starbucks debt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93" w:type="pct"/>
        <w:tblCellMar>
          <w:top w:w="15" w:type="dxa"/>
          <w:left w:w="15" w:type="dxa"/>
          <w:bottom w:w="15" w:type="dxa"/>
          <w:right w:w="15" w:type="dxa"/>
        </w:tblCellMar>
        <w:tblLook w:val="04A0" w:firstRow="1" w:lastRow="0" w:firstColumn="1" w:lastColumn="0" w:noHBand="0" w:noVBand="1"/>
      </w:tblPr>
      <w:tblGrid>
        <w:gridCol w:w="37"/>
        <w:gridCol w:w="2547"/>
        <w:gridCol w:w="36"/>
        <w:gridCol w:w="121"/>
        <w:gridCol w:w="1435"/>
        <w:gridCol w:w="36"/>
        <w:gridCol w:w="36"/>
        <w:gridCol w:w="36"/>
        <w:gridCol w:w="36"/>
        <w:gridCol w:w="121"/>
        <w:gridCol w:w="1775"/>
        <w:gridCol w:w="36"/>
        <w:gridCol w:w="36"/>
        <w:gridCol w:w="36"/>
        <w:gridCol w:w="36"/>
        <w:gridCol w:w="121"/>
        <w:gridCol w:w="1807"/>
        <w:gridCol w:w="36"/>
      </w:tblGrid>
      <w:tr w:rsidR="00871BDF" w14:paraId="00BAE444" w14:textId="77777777">
        <w:tc>
          <w:tcPr>
            <w:tcW w:w="50" w:type="pct"/>
            <w:shd w:val="clear" w:color="auto" w:fill="auto"/>
          </w:tcPr>
          <w:p w14:paraId="00BAE432" w14:textId="77777777" w:rsidR="00871BDF" w:rsidRDefault="00871BDF">
            <w:pPr>
              <w:rPr>
                <w:rFonts w:ascii="宋体"/>
              </w:rPr>
            </w:pPr>
          </w:p>
        </w:tc>
        <w:tc>
          <w:tcPr>
            <w:tcW w:w="1709" w:type="pct"/>
            <w:shd w:val="clear" w:color="auto" w:fill="auto"/>
          </w:tcPr>
          <w:p w14:paraId="00BAE433" w14:textId="77777777" w:rsidR="00871BDF" w:rsidRDefault="00871BDF">
            <w:pPr>
              <w:rPr>
                <w:rFonts w:ascii="宋体"/>
              </w:rPr>
            </w:pPr>
          </w:p>
        </w:tc>
        <w:tc>
          <w:tcPr>
            <w:tcW w:w="5" w:type="pct"/>
            <w:shd w:val="clear" w:color="auto" w:fill="auto"/>
          </w:tcPr>
          <w:p w14:paraId="00BAE434" w14:textId="77777777" w:rsidR="00871BDF" w:rsidRDefault="00871BDF">
            <w:pPr>
              <w:rPr>
                <w:rFonts w:ascii="宋体"/>
              </w:rPr>
            </w:pPr>
          </w:p>
        </w:tc>
        <w:tc>
          <w:tcPr>
            <w:tcW w:w="50" w:type="pct"/>
            <w:shd w:val="clear" w:color="auto" w:fill="auto"/>
          </w:tcPr>
          <w:p w14:paraId="00BAE435" w14:textId="77777777" w:rsidR="00871BDF" w:rsidRDefault="00871BDF">
            <w:pPr>
              <w:rPr>
                <w:rFonts w:ascii="宋体"/>
              </w:rPr>
            </w:pPr>
          </w:p>
        </w:tc>
        <w:tc>
          <w:tcPr>
            <w:tcW w:w="999" w:type="pct"/>
            <w:shd w:val="clear" w:color="auto" w:fill="auto"/>
          </w:tcPr>
          <w:p w14:paraId="00BAE436" w14:textId="77777777" w:rsidR="00871BDF" w:rsidRDefault="00871BDF">
            <w:pPr>
              <w:rPr>
                <w:rFonts w:ascii="宋体"/>
              </w:rPr>
            </w:pPr>
          </w:p>
        </w:tc>
        <w:tc>
          <w:tcPr>
            <w:tcW w:w="5" w:type="pct"/>
            <w:shd w:val="clear" w:color="auto" w:fill="auto"/>
          </w:tcPr>
          <w:p w14:paraId="00BAE437" w14:textId="77777777" w:rsidR="00871BDF" w:rsidRDefault="00871BDF">
            <w:pPr>
              <w:rPr>
                <w:rFonts w:ascii="宋体"/>
              </w:rPr>
            </w:pPr>
          </w:p>
        </w:tc>
        <w:tc>
          <w:tcPr>
            <w:tcW w:w="5" w:type="pct"/>
            <w:shd w:val="clear" w:color="auto" w:fill="auto"/>
          </w:tcPr>
          <w:p w14:paraId="00BAE438" w14:textId="77777777" w:rsidR="00871BDF" w:rsidRDefault="00871BDF">
            <w:pPr>
              <w:rPr>
                <w:rFonts w:ascii="宋体"/>
              </w:rPr>
            </w:pPr>
          </w:p>
        </w:tc>
        <w:tc>
          <w:tcPr>
            <w:tcW w:w="26" w:type="pct"/>
            <w:shd w:val="clear" w:color="auto" w:fill="auto"/>
          </w:tcPr>
          <w:p w14:paraId="00BAE439" w14:textId="77777777" w:rsidR="00871BDF" w:rsidRDefault="00871BDF">
            <w:pPr>
              <w:rPr>
                <w:rFonts w:ascii="宋体"/>
              </w:rPr>
            </w:pPr>
          </w:p>
        </w:tc>
        <w:tc>
          <w:tcPr>
            <w:tcW w:w="5" w:type="pct"/>
            <w:shd w:val="clear" w:color="auto" w:fill="auto"/>
          </w:tcPr>
          <w:p w14:paraId="00BAE43A" w14:textId="77777777" w:rsidR="00871BDF" w:rsidRDefault="00871BDF">
            <w:pPr>
              <w:rPr>
                <w:rFonts w:ascii="宋体"/>
              </w:rPr>
            </w:pPr>
          </w:p>
        </w:tc>
        <w:tc>
          <w:tcPr>
            <w:tcW w:w="50" w:type="pct"/>
            <w:shd w:val="clear" w:color="auto" w:fill="auto"/>
          </w:tcPr>
          <w:p w14:paraId="00BAE43B" w14:textId="77777777" w:rsidR="00871BDF" w:rsidRDefault="00871BDF">
            <w:pPr>
              <w:rPr>
                <w:rFonts w:ascii="宋体"/>
              </w:rPr>
            </w:pPr>
          </w:p>
        </w:tc>
        <w:tc>
          <w:tcPr>
            <w:tcW w:w="999" w:type="pct"/>
            <w:shd w:val="clear" w:color="auto" w:fill="auto"/>
          </w:tcPr>
          <w:p w14:paraId="00BAE43C" w14:textId="77777777" w:rsidR="00871BDF" w:rsidRDefault="00871BDF">
            <w:pPr>
              <w:rPr>
                <w:rFonts w:ascii="宋体"/>
              </w:rPr>
            </w:pPr>
          </w:p>
        </w:tc>
        <w:tc>
          <w:tcPr>
            <w:tcW w:w="5" w:type="pct"/>
            <w:shd w:val="clear" w:color="auto" w:fill="auto"/>
          </w:tcPr>
          <w:p w14:paraId="00BAE43D" w14:textId="77777777" w:rsidR="00871BDF" w:rsidRDefault="00871BDF">
            <w:pPr>
              <w:rPr>
                <w:rFonts w:ascii="宋体"/>
              </w:rPr>
            </w:pPr>
          </w:p>
        </w:tc>
        <w:tc>
          <w:tcPr>
            <w:tcW w:w="5" w:type="pct"/>
            <w:shd w:val="clear" w:color="auto" w:fill="auto"/>
          </w:tcPr>
          <w:p w14:paraId="00BAE43E" w14:textId="77777777" w:rsidR="00871BDF" w:rsidRDefault="00871BDF">
            <w:pPr>
              <w:rPr>
                <w:rFonts w:ascii="宋体"/>
              </w:rPr>
            </w:pPr>
          </w:p>
        </w:tc>
        <w:tc>
          <w:tcPr>
            <w:tcW w:w="26" w:type="pct"/>
            <w:shd w:val="clear" w:color="auto" w:fill="auto"/>
          </w:tcPr>
          <w:p w14:paraId="00BAE43F" w14:textId="77777777" w:rsidR="00871BDF" w:rsidRDefault="00871BDF">
            <w:pPr>
              <w:rPr>
                <w:rFonts w:ascii="宋体"/>
              </w:rPr>
            </w:pPr>
          </w:p>
        </w:tc>
        <w:tc>
          <w:tcPr>
            <w:tcW w:w="5" w:type="pct"/>
            <w:shd w:val="clear" w:color="auto" w:fill="auto"/>
          </w:tcPr>
          <w:p w14:paraId="00BAE440" w14:textId="77777777" w:rsidR="00871BDF" w:rsidRDefault="00871BDF">
            <w:pPr>
              <w:rPr>
                <w:rFonts w:ascii="宋体"/>
              </w:rPr>
            </w:pPr>
          </w:p>
        </w:tc>
        <w:tc>
          <w:tcPr>
            <w:tcW w:w="50" w:type="pct"/>
            <w:shd w:val="clear" w:color="auto" w:fill="auto"/>
          </w:tcPr>
          <w:p w14:paraId="00BAE441" w14:textId="77777777" w:rsidR="00871BDF" w:rsidRDefault="00871BDF">
            <w:pPr>
              <w:rPr>
                <w:rFonts w:ascii="宋体"/>
              </w:rPr>
            </w:pPr>
          </w:p>
        </w:tc>
        <w:tc>
          <w:tcPr>
            <w:tcW w:w="999" w:type="pct"/>
            <w:shd w:val="clear" w:color="auto" w:fill="auto"/>
          </w:tcPr>
          <w:p w14:paraId="00BAE442" w14:textId="77777777" w:rsidR="00871BDF" w:rsidRDefault="00871BDF">
            <w:pPr>
              <w:rPr>
                <w:rFonts w:ascii="宋体"/>
              </w:rPr>
            </w:pPr>
          </w:p>
        </w:tc>
        <w:tc>
          <w:tcPr>
            <w:tcW w:w="5" w:type="pct"/>
            <w:shd w:val="clear" w:color="auto" w:fill="auto"/>
          </w:tcPr>
          <w:p w14:paraId="00BAE443" w14:textId="77777777" w:rsidR="00871BDF" w:rsidRDefault="00871BDF">
            <w:pPr>
              <w:rPr>
                <w:rFonts w:ascii="宋体"/>
              </w:rPr>
            </w:pPr>
          </w:p>
        </w:tc>
      </w:tr>
      <w:tr w:rsidR="00871BDF" w14:paraId="00BAE449" w14:textId="77777777">
        <w:tc>
          <w:tcPr>
            <w:tcW w:w="0" w:type="auto"/>
            <w:gridSpan w:val="3"/>
            <w:shd w:val="clear" w:color="auto" w:fill="auto"/>
            <w:tcMar>
              <w:top w:w="0" w:type="dxa"/>
              <w:left w:w="20" w:type="dxa"/>
              <w:bottom w:w="0" w:type="dxa"/>
              <w:right w:w="20" w:type="dxa"/>
            </w:tcMar>
          </w:tcPr>
          <w:p w14:paraId="00BAE445"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E446"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E447" w14:textId="77777777" w:rsidR="00871BDF" w:rsidRDefault="00871BDF">
            <w:pPr>
              <w:rPr>
                <w:rFonts w:ascii="宋体"/>
              </w:rPr>
            </w:pPr>
          </w:p>
        </w:tc>
        <w:tc>
          <w:tcPr>
            <w:tcW w:w="0" w:type="auto"/>
            <w:gridSpan w:val="9"/>
            <w:shd w:val="clear" w:color="auto" w:fill="00704A"/>
            <w:tcMar>
              <w:top w:w="40" w:type="dxa"/>
              <w:left w:w="20" w:type="dxa"/>
              <w:bottom w:w="40" w:type="dxa"/>
              <w:right w:w="20" w:type="dxa"/>
            </w:tcMar>
            <w:vAlign w:val="bottom"/>
          </w:tcPr>
          <w:p w14:paraId="00BAE448" w14:textId="77777777" w:rsidR="00871BDF" w:rsidRDefault="005C5088">
            <w:pPr>
              <w:jc w:val="center"/>
              <w:textAlignment w:val="bottom"/>
            </w:pPr>
            <w:r>
              <w:rPr>
                <w:rFonts w:ascii="Times New Roman" w:eastAsia="宋体" w:hAnsi="Times New Roman"/>
                <w:b/>
                <w:bCs/>
                <w:color w:val="FFFFFF"/>
                <w:sz w:val="16"/>
                <w:szCs w:val="16"/>
              </w:rPr>
              <w:t>Change in Fair Value</w:t>
            </w:r>
          </w:p>
        </w:tc>
      </w:tr>
      <w:tr w:rsidR="00871BDF" w14:paraId="00BAE452" w14:textId="77777777">
        <w:trPr>
          <w:trHeight w:val="300"/>
        </w:trPr>
        <w:tc>
          <w:tcPr>
            <w:tcW w:w="0" w:type="auto"/>
            <w:gridSpan w:val="3"/>
            <w:shd w:val="clear" w:color="auto" w:fill="auto"/>
            <w:tcMar>
              <w:top w:w="0" w:type="dxa"/>
              <w:left w:w="20" w:type="dxa"/>
              <w:bottom w:w="0" w:type="dxa"/>
              <w:right w:w="20" w:type="dxa"/>
            </w:tcMar>
          </w:tcPr>
          <w:p w14:paraId="00BAE44A"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0BAE44B" w14:textId="77777777" w:rsidR="00871BDF" w:rsidRDefault="005C5088">
            <w:pPr>
              <w:jc w:val="center"/>
              <w:textAlignment w:val="bottom"/>
            </w:pPr>
            <w:r>
              <w:rPr>
                <w:rFonts w:ascii="Times New Roman" w:eastAsia="宋体" w:hAnsi="Times New Roman"/>
                <w:b/>
                <w:bCs/>
                <w:color w:val="FFFFFF"/>
                <w:sz w:val="16"/>
                <w:szCs w:val="16"/>
              </w:rPr>
              <w:t>Fair Value</w:t>
            </w:r>
          </w:p>
        </w:tc>
        <w:tc>
          <w:tcPr>
            <w:tcW w:w="0" w:type="auto"/>
            <w:gridSpan w:val="3"/>
            <w:shd w:val="clear" w:color="auto" w:fill="auto"/>
            <w:tcMar>
              <w:top w:w="0" w:type="dxa"/>
              <w:left w:w="20" w:type="dxa"/>
              <w:bottom w:w="0" w:type="dxa"/>
              <w:right w:w="20" w:type="dxa"/>
            </w:tcMar>
          </w:tcPr>
          <w:p w14:paraId="00BAE44C" w14:textId="77777777" w:rsidR="00871BDF" w:rsidRDefault="00871BDF">
            <w:pPr>
              <w:rPr>
                <w:rFonts w:ascii="宋体"/>
              </w:rPr>
            </w:pP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00BAE44D" w14:textId="77777777" w:rsidR="00871BDF" w:rsidRDefault="005C5088">
            <w:pPr>
              <w:jc w:val="center"/>
              <w:textAlignment w:val="bottom"/>
            </w:pPr>
            <w:r>
              <w:rPr>
                <w:rFonts w:ascii="Times New Roman" w:eastAsia="宋体" w:hAnsi="Times New Roman"/>
                <w:b/>
                <w:bCs/>
                <w:color w:val="FFFFFF"/>
                <w:sz w:val="16"/>
                <w:szCs w:val="16"/>
              </w:rPr>
              <w:t>100 Basis Point Increase in</w:t>
            </w:r>
          </w:p>
          <w:p w14:paraId="00BAE44E" w14:textId="77777777" w:rsidR="00871BDF" w:rsidRDefault="005C5088">
            <w:pPr>
              <w:jc w:val="center"/>
              <w:textAlignment w:val="bottom"/>
            </w:pPr>
            <w:r>
              <w:rPr>
                <w:rFonts w:ascii="Times New Roman" w:eastAsia="宋体" w:hAnsi="Times New Roman"/>
                <w:b/>
                <w:bCs/>
                <w:color w:val="FFFFFF"/>
                <w:sz w:val="16"/>
                <w:szCs w:val="16"/>
              </w:rPr>
              <w:t>Underlying Rate</w:t>
            </w:r>
          </w:p>
        </w:tc>
        <w:tc>
          <w:tcPr>
            <w:tcW w:w="0" w:type="auto"/>
            <w:gridSpan w:val="3"/>
            <w:vMerge w:val="restart"/>
            <w:tcBorders>
              <w:top w:val="single" w:sz="8" w:space="0" w:color="000000"/>
            </w:tcBorders>
            <w:shd w:val="clear" w:color="auto" w:fill="auto"/>
            <w:tcMar>
              <w:top w:w="0" w:type="dxa"/>
              <w:left w:w="20" w:type="dxa"/>
              <w:bottom w:w="0" w:type="dxa"/>
              <w:right w:w="20" w:type="dxa"/>
            </w:tcMar>
          </w:tcPr>
          <w:p w14:paraId="00BAE44F" w14:textId="77777777" w:rsidR="00871BDF" w:rsidRDefault="00871BDF">
            <w:pPr>
              <w:rPr>
                <w:rFonts w:ascii="宋体"/>
              </w:rPr>
            </w:pP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00BAE450" w14:textId="77777777" w:rsidR="00871BDF" w:rsidRDefault="005C5088">
            <w:pPr>
              <w:jc w:val="center"/>
              <w:textAlignment w:val="bottom"/>
            </w:pPr>
            <w:r>
              <w:rPr>
                <w:rFonts w:ascii="Times New Roman" w:eastAsia="宋体" w:hAnsi="Times New Roman"/>
                <w:b/>
                <w:bCs/>
                <w:color w:val="FFFFFF"/>
                <w:sz w:val="16"/>
                <w:szCs w:val="16"/>
              </w:rPr>
              <w:t>100 Basis Point Decrease in</w:t>
            </w:r>
          </w:p>
          <w:p w14:paraId="00BAE451" w14:textId="77777777" w:rsidR="00871BDF" w:rsidRDefault="005C5088">
            <w:pPr>
              <w:jc w:val="center"/>
              <w:textAlignment w:val="bottom"/>
            </w:pPr>
            <w:r>
              <w:rPr>
                <w:rFonts w:ascii="Times New Roman" w:eastAsia="宋体" w:hAnsi="Times New Roman"/>
                <w:b/>
                <w:bCs/>
                <w:color w:val="FFFFFF"/>
                <w:sz w:val="16"/>
                <w:szCs w:val="16"/>
              </w:rPr>
              <w:t>Underlying Rate</w:t>
            </w:r>
          </w:p>
        </w:tc>
      </w:tr>
      <w:tr w:rsidR="00871BDF" w14:paraId="00BAE459" w14:textId="77777777">
        <w:trPr>
          <w:trHeight w:val="300"/>
        </w:trPr>
        <w:tc>
          <w:tcPr>
            <w:tcW w:w="0" w:type="auto"/>
            <w:gridSpan w:val="3"/>
            <w:shd w:val="clear" w:color="auto" w:fill="auto"/>
            <w:tcMar>
              <w:top w:w="0" w:type="dxa"/>
              <w:left w:w="20" w:type="dxa"/>
              <w:bottom w:w="0" w:type="dxa"/>
              <w:right w:w="20" w:type="dxa"/>
            </w:tcMar>
          </w:tcPr>
          <w:p w14:paraId="00BAE453"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bottom"/>
          </w:tcPr>
          <w:p w14:paraId="00BAE454" w14:textId="77777777" w:rsidR="00871BDF" w:rsidRDefault="00871BDF">
            <w:pPr>
              <w:jc w:val="center"/>
              <w:rPr>
                <w:rFonts w:ascii="宋体"/>
              </w:rPr>
            </w:pPr>
          </w:p>
        </w:tc>
        <w:tc>
          <w:tcPr>
            <w:tcW w:w="0" w:type="auto"/>
            <w:gridSpan w:val="3"/>
            <w:shd w:val="clear" w:color="auto" w:fill="auto"/>
            <w:tcMar>
              <w:top w:w="0" w:type="dxa"/>
              <w:left w:w="20" w:type="dxa"/>
              <w:bottom w:w="0" w:type="dxa"/>
              <w:right w:w="20" w:type="dxa"/>
            </w:tcMar>
          </w:tcPr>
          <w:p w14:paraId="00BAE455" w14:textId="77777777" w:rsidR="00871BDF" w:rsidRDefault="00871BDF">
            <w:pPr>
              <w:rPr>
                <w:rFonts w:ascii="宋体"/>
              </w:rPr>
            </w:pP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00BAE456" w14:textId="77777777" w:rsidR="00871BDF" w:rsidRDefault="00871BDF">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tcPr>
          <w:p w14:paraId="00BAE457" w14:textId="77777777" w:rsidR="00871BDF" w:rsidRDefault="00871BDF">
            <w:pPr>
              <w:rPr>
                <w:rFonts w:ascii="宋体"/>
              </w:rPr>
            </w:pP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00BAE458" w14:textId="77777777" w:rsidR="00871BDF" w:rsidRDefault="00871BDF">
            <w:pPr>
              <w:rPr>
                <w:rFonts w:ascii="宋体"/>
              </w:rPr>
            </w:pPr>
          </w:p>
        </w:tc>
      </w:tr>
      <w:tr w:rsidR="00871BDF" w14:paraId="00BAE466" w14:textId="77777777">
        <w:tc>
          <w:tcPr>
            <w:tcW w:w="0" w:type="auto"/>
            <w:gridSpan w:val="3"/>
            <w:shd w:val="clear" w:color="auto" w:fill="D7E4BC"/>
            <w:tcMar>
              <w:top w:w="40" w:type="dxa"/>
              <w:left w:w="20" w:type="dxa"/>
              <w:bottom w:w="40" w:type="dxa"/>
              <w:right w:w="20" w:type="dxa"/>
            </w:tcMar>
            <w:vAlign w:val="bottom"/>
          </w:tcPr>
          <w:p w14:paraId="00BAE45A" w14:textId="77777777" w:rsidR="00871BDF" w:rsidRDefault="005C5088">
            <w:pPr>
              <w:textAlignment w:val="bottom"/>
            </w:pPr>
            <w:r>
              <w:rPr>
                <w:rFonts w:ascii="Times New Roman" w:eastAsia="宋体" w:hAnsi="Times New Roman"/>
                <w:color w:val="000000"/>
                <w:sz w:val="20"/>
                <w:szCs w:val="20"/>
              </w:rPr>
              <w:t>Long-term debt</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E45B"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45C" w14:textId="77777777" w:rsidR="00871BDF" w:rsidRDefault="005C5088">
            <w:pPr>
              <w:jc w:val="right"/>
              <w:textAlignment w:val="bottom"/>
            </w:pPr>
            <w:r>
              <w:rPr>
                <w:rFonts w:ascii="Times New Roman" w:eastAsia="宋体" w:hAnsi="Times New Roman"/>
                <w:color w:val="000000"/>
                <w:sz w:val="20"/>
                <w:szCs w:val="20"/>
              </w:rPr>
              <w:t>17,500 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45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45E"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45F"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460" w14:textId="77777777" w:rsidR="00871BDF" w:rsidRDefault="005C5088">
            <w:pPr>
              <w:jc w:val="right"/>
              <w:textAlignment w:val="bottom"/>
            </w:pPr>
            <w:r>
              <w:rPr>
                <w:rFonts w:ascii="Times New Roman" w:eastAsia="宋体" w:hAnsi="Times New Roman"/>
                <w:color w:val="000000"/>
                <w:sz w:val="20"/>
                <w:szCs w:val="20"/>
              </w:rPr>
              <w:t>1,294 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46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462"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463"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464" w14:textId="77777777" w:rsidR="00871BDF" w:rsidRDefault="005C5088">
            <w:pPr>
              <w:jc w:val="right"/>
              <w:textAlignment w:val="bottom"/>
            </w:pPr>
            <w:r>
              <w:rPr>
                <w:rFonts w:ascii="Times New Roman" w:eastAsia="宋体" w:hAnsi="Times New Roman"/>
                <w:color w:val="000000"/>
                <w:sz w:val="20"/>
                <w:szCs w:val="20"/>
              </w:rPr>
              <w:t>(1,294)</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465" w14:textId="77777777" w:rsidR="00871BDF" w:rsidRDefault="00871BDF">
            <w:pPr>
              <w:jc w:val="right"/>
              <w:rPr>
                <w:rFonts w:ascii="宋体"/>
              </w:rPr>
            </w:pPr>
          </w:p>
        </w:tc>
      </w:tr>
    </w:tbl>
    <w:p w14:paraId="00BAE467" w14:textId="77777777" w:rsidR="00871BDF" w:rsidRDefault="005C5088">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Amount disclosed is net of $23 million change in the fair value of our designated interest rate swap. Refer to </w:t>
      </w:r>
      <w:hyperlink r:id="rId118" w:anchor="i54ccc64cb5384be5a4849ef1cdef4dde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Financial Instruments, for additional information on our interest rate swap designated as a fair value hedge.</w:t>
      </w:r>
    </w:p>
    <w:p w14:paraId="00BAE468" w14:textId="77777777" w:rsidR="00871BDF" w:rsidRDefault="005C5088">
      <w:pPr>
        <w:spacing w:before="120"/>
      </w:pPr>
      <w:r>
        <w:rPr>
          <w:rFonts w:ascii="Times New Roman" w:eastAsia="宋体" w:hAnsi="Times New Roman"/>
          <w:i/>
          <w:iCs/>
          <w:color w:val="000000"/>
          <w:sz w:val="20"/>
          <w:szCs w:val="20"/>
        </w:rPr>
        <w:t>Available-for-Sale Debt Securities</w:t>
      </w:r>
    </w:p>
    <w:p w14:paraId="00BAE469" w14:textId="77777777" w:rsidR="00871BDF" w:rsidRDefault="005C5088">
      <w:pPr>
        <w:spacing w:before="120"/>
      </w:pPr>
      <w:r>
        <w:rPr>
          <w:rFonts w:ascii="Times New Roman" w:eastAsia="宋体" w:hAnsi="Times New Roman"/>
          <w:color w:val="000000"/>
          <w:sz w:val="20"/>
          <w:szCs w:val="20"/>
        </w:rPr>
        <w:t xml:space="preserve">Our </w:t>
      </w:r>
      <w:r>
        <w:rPr>
          <w:rFonts w:ascii="Times New Roman" w:eastAsia="宋体" w:hAnsi="Times New Roman"/>
          <w:color w:val="000000"/>
          <w:sz w:val="20"/>
          <w:szCs w:val="20"/>
        </w:rPr>
        <w:t>available-for-sale securities comprise a diversified portfolio consisting mainly of investment-grade debt securities. The primary objective of these investments is to preserve capital and liquidity. Available-for-sale securities are recorded on the consoli</w:t>
      </w:r>
      <w:r>
        <w:rPr>
          <w:rFonts w:ascii="Times New Roman" w:eastAsia="宋体" w:hAnsi="Times New Roman"/>
          <w:color w:val="000000"/>
          <w:sz w:val="20"/>
          <w:szCs w:val="20"/>
        </w:rPr>
        <w:t>dated balance sheets at fair value with unrealized gains and losses reported as a component of accumulated other comprehensive income. We do not hedge the interest rate exposure on our investments. We performed a sensitivity analysis based on a 100 basis p</w:t>
      </w:r>
      <w:r>
        <w:rPr>
          <w:rFonts w:ascii="Times New Roman" w:eastAsia="宋体" w:hAnsi="Times New Roman"/>
          <w:color w:val="000000"/>
          <w:sz w:val="20"/>
          <w:szCs w:val="20"/>
        </w:rPr>
        <w:t>oint change in the underlying interest rate of our available-for-sale securities as of September 27, 2020 and determined that such a change would not have a significant impact on the fair value of these instruments.</w:t>
      </w:r>
    </w:p>
    <w:p w14:paraId="00BAE46A" w14:textId="77777777" w:rsidR="00871BDF" w:rsidRDefault="005C5088">
      <w:pPr>
        <w:spacing w:before="120"/>
      </w:pPr>
      <w:r>
        <w:rPr>
          <w:rFonts w:ascii="Times New Roman" w:eastAsia="宋体" w:hAnsi="Times New Roman"/>
          <w:b/>
          <w:bCs/>
          <w:color w:val="000000"/>
          <w:sz w:val="20"/>
          <w:szCs w:val="20"/>
        </w:rPr>
        <w:t>APPLICATION OF CRITICAL ACCOUNTING POLIC</w:t>
      </w:r>
      <w:r>
        <w:rPr>
          <w:rFonts w:ascii="Times New Roman" w:eastAsia="宋体" w:hAnsi="Times New Roman"/>
          <w:b/>
          <w:bCs/>
          <w:color w:val="000000"/>
          <w:sz w:val="20"/>
          <w:szCs w:val="20"/>
        </w:rPr>
        <w:t>IES</w:t>
      </w:r>
    </w:p>
    <w:p w14:paraId="00BAE46B" w14:textId="77777777" w:rsidR="00871BDF" w:rsidRDefault="005C5088">
      <w:pPr>
        <w:spacing w:before="120"/>
      </w:pPr>
      <w:r>
        <w:rPr>
          <w:rFonts w:ascii="Times New Roman" w:eastAsia="宋体" w:hAnsi="Times New Roman"/>
          <w:color w:val="000000"/>
          <w:sz w:val="20"/>
          <w:szCs w:val="20"/>
        </w:rPr>
        <w:t>Critical accounting policies are those that management believes are both most important to the portrayal of our financial condition and results and require the most difficult, subjective or complex judgments, often as a result of the need to make estim</w:t>
      </w:r>
      <w:r>
        <w:rPr>
          <w:rFonts w:ascii="Times New Roman" w:eastAsia="宋体" w:hAnsi="Times New Roman"/>
          <w:color w:val="000000"/>
          <w:sz w:val="20"/>
          <w:szCs w:val="20"/>
        </w:rPr>
        <w:t>ates about the effect of matters that are inherently uncertain, especially in light of the current economic environment due to the COVID-19 pandemic. Judgments and uncertainties affecting the application of those policies may result in materially different</w:t>
      </w:r>
      <w:r>
        <w:rPr>
          <w:rFonts w:ascii="Times New Roman" w:eastAsia="宋体" w:hAnsi="Times New Roman"/>
          <w:color w:val="000000"/>
          <w:sz w:val="20"/>
          <w:szCs w:val="20"/>
        </w:rPr>
        <w:t xml:space="preserve"> amounts being reported under different conditions or using different assumptions.</w:t>
      </w:r>
    </w:p>
    <w:p w14:paraId="00BAE46C" w14:textId="77777777" w:rsidR="00871BDF" w:rsidRDefault="005C5088">
      <w:pPr>
        <w:spacing w:before="120"/>
      </w:pPr>
      <w:r>
        <w:rPr>
          <w:rFonts w:ascii="Times New Roman" w:eastAsia="宋体" w:hAnsi="Times New Roman"/>
          <w:color w:val="000000"/>
          <w:sz w:val="20"/>
          <w:szCs w:val="20"/>
        </w:rPr>
        <w:t xml:space="preserve">Our significant accounting policies are discussed in </w:t>
      </w:r>
      <w:hyperlink r:id="rId119" w:anchor="i54ccc64cb5384be5a4849ef1cdef4dde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to the consolidated financial statements included in Item 8 of Part II of this 10-K. We believe that of our significant accounting policies, the following policies invol</w:t>
      </w:r>
      <w:r>
        <w:rPr>
          <w:rFonts w:ascii="Times New Roman" w:eastAsia="宋体" w:hAnsi="Times New Roman"/>
          <w:color w:val="000000"/>
          <w:sz w:val="20"/>
          <w:szCs w:val="20"/>
        </w:rPr>
        <w:t>ve a higher degree of judgment and/or complexity.</w:t>
      </w:r>
    </w:p>
    <w:p w14:paraId="00BAE46D" w14:textId="77777777" w:rsidR="00871BDF" w:rsidRDefault="005C5088">
      <w:pPr>
        <w:spacing w:before="120"/>
      </w:pPr>
      <w:r>
        <w:rPr>
          <w:rFonts w:ascii="Times New Roman" w:eastAsia="宋体" w:hAnsi="Times New Roman"/>
          <w:color w:val="000000"/>
          <w:sz w:val="20"/>
          <w:szCs w:val="20"/>
        </w:rPr>
        <w:t>We consider financial reporting and disclosure practices and accounting policies quarterly to ensure that they provide accurate and transparent information relative to the current economic and business envi</w:t>
      </w:r>
      <w:r>
        <w:rPr>
          <w:rFonts w:ascii="Times New Roman" w:eastAsia="宋体" w:hAnsi="Times New Roman"/>
          <w:color w:val="000000"/>
          <w:sz w:val="20"/>
          <w:szCs w:val="20"/>
        </w:rPr>
        <w:t>ronment. During the past five fiscal years, we have not made any material changes to the accounting methodologies used to assess the areas discussed below, unless noted otherwise.</w:t>
      </w:r>
    </w:p>
    <w:p w14:paraId="00BAE46E" w14:textId="77777777" w:rsidR="00871BDF" w:rsidRDefault="005C5088">
      <w:pPr>
        <w:jc w:val="center"/>
      </w:pPr>
      <w:r>
        <w:rPr>
          <w:rFonts w:ascii="Times New Roman" w:eastAsia="宋体" w:hAnsi="Times New Roman"/>
          <w:color w:val="000000"/>
          <w:sz w:val="20"/>
          <w:szCs w:val="20"/>
        </w:rPr>
        <w:t>43</w:t>
      </w:r>
    </w:p>
    <w:p w14:paraId="00BAE46F" w14:textId="77777777" w:rsidR="00871BDF" w:rsidRDefault="005C5088">
      <w:r>
        <w:pict w14:anchorId="00BB1490">
          <v:rect id="_x0000_i1070" style="width:415.3pt;height:1.5pt" o:hralign="center" o:hrstd="t" o:hr="t" fillcolor="#a0a0a0" stroked="f"/>
        </w:pict>
      </w:r>
    </w:p>
    <w:p w14:paraId="00BAE470" w14:textId="77777777" w:rsidR="00871BDF" w:rsidRDefault="005C5088">
      <w:hyperlink r:id="rId120" w:anchor="i54ccc64cb5384be5a4849ef1cdef4dde_7" w:history="1">
        <w:r>
          <w:rPr>
            <w:rStyle w:val="a5"/>
            <w:rFonts w:ascii="Times New Roman" w:eastAsia="宋体" w:hAnsi="Times New Roman"/>
            <w:sz w:val="20"/>
            <w:szCs w:val="20"/>
          </w:rPr>
          <w:t>Table of Contents</w:t>
        </w:r>
      </w:hyperlink>
    </w:p>
    <w:p w14:paraId="00BAE471" w14:textId="77777777" w:rsidR="00871BDF" w:rsidRDefault="005C5088">
      <w:pPr>
        <w:spacing w:before="120"/>
      </w:pPr>
      <w:r>
        <w:rPr>
          <w:rFonts w:ascii="Times New Roman" w:eastAsia="宋体" w:hAnsi="Times New Roman"/>
          <w:b/>
          <w:bCs/>
          <w:color w:val="000000"/>
          <w:sz w:val="20"/>
          <w:szCs w:val="20"/>
        </w:rPr>
        <w:t>Property, Plant and Equipment and Other Finite-Lived Assets</w:t>
      </w:r>
    </w:p>
    <w:p w14:paraId="00BAE472" w14:textId="77777777" w:rsidR="00871BDF" w:rsidRDefault="005C5088">
      <w:pPr>
        <w:spacing w:before="120"/>
      </w:pPr>
      <w:r>
        <w:rPr>
          <w:rFonts w:ascii="Times New Roman" w:eastAsia="宋体" w:hAnsi="Times New Roman"/>
          <w:color w:val="000000"/>
          <w:sz w:val="20"/>
          <w:szCs w:val="20"/>
        </w:rPr>
        <w:t>We evaluate property, plant and equipment, operating lease right-of-use (“ROU”) assets and other finite-lived assets for impairment when facts and circumstances indicate that the carrying values of such assets may not be recoverable. When evaluating for im</w:t>
      </w:r>
      <w:r>
        <w:rPr>
          <w:rFonts w:ascii="Times New Roman" w:eastAsia="宋体" w:hAnsi="Times New Roman"/>
          <w:color w:val="000000"/>
          <w:sz w:val="20"/>
          <w:szCs w:val="20"/>
        </w:rPr>
        <w:t>pairment, we first compare the carrying value of the asset to the asset’s estimated future undiscounted cash flows. If the estimated undiscounted future cash flows are less than the carrying value of the asset, we determine if we have an impairment loss by</w:t>
      </w:r>
      <w:r>
        <w:rPr>
          <w:rFonts w:ascii="Times New Roman" w:eastAsia="宋体" w:hAnsi="Times New Roman"/>
          <w:color w:val="000000"/>
          <w:sz w:val="20"/>
          <w:szCs w:val="20"/>
        </w:rPr>
        <w:t xml:space="preserve"> comparing the carrying value of the asset to the asset's estimated fair value and recognize an impairment charge when the asset’s carrying value exceeds its estimated fair value. The adjusted carrying amount of the asset becomes its new cost basis and is </w:t>
      </w:r>
      <w:r>
        <w:rPr>
          <w:rFonts w:ascii="Times New Roman" w:eastAsia="宋体" w:hAnsi="Times New Roman"/>
          <w:color w:val="000000"/>
          <w:sz w:val="20"/>
          <w:szCs w:val="20"/>
        </w:rPr>
        <w:t xml:space="preserve">depreciated over the asset's remaining useful life. </w:t>
      </w:r>
    </w:p>
    <w:p w14:paraId="00BAE473" w14:textId="77777777" w:rsidR="00871BDF" w:rsidRDefault="005C5088">
      <w:pPr>
        <w:spacing w:before="120"/>
      </w:pPr>
      <w:r>
        <w:rPr>
          <w:rFonts w:ascii="Times New Roman" w:eastAsia="宋体" w:hAnsi="Times New Roman"/>
          <w:color w:val="000000"/>
          <w:sz w:val="20"/>
          <w:szCs w:val="20"/>
        </w:rPr>
        <w:t>Long-lived assets are grouped with other assets and liabilities at the lowest level for which identifiable cash flows are largely independent of the cash flows of other assets and liabilities. For compan</w:t>
      </w:r>
      <w:r>
        <w:rPr>
          <w:rFonts w:ascii="Times New Roman" w:eastAsia="宋体" w:hAnsi="Times New Roman"/>
          <w:color w:val="000000"/>
          <w:sz w:val="20"/>
          <w:szCs w:val="20"/>
        </w:rPr>
        <w:t>y-operated store assets, the impairment test is performed at the individual store asset group level, which is inclusive of property, plant and equipment and lease ROU assets. The fair value of a store’s assets is estimated using a discounted cash flow mode</w:t>
      </w:r>
      <w:r>
        <w:rPr>
          <w:rFonts w:ascii="Times New Roman" w:eastAsia="宋体" w:hAnsi="Times New Roman"/>
          <w:color w:val="000000"/>
          <w:sz w:val="20"/>
          <w:szCs w:val="20"/>
        </w:rPr>
        <w:t>l. For other long-lived assets, fair value is determined using an approach that is appropriate based on the relevant facts and circumstances, which may include discounted cash flows, comparable transactions, or comparable company analyses.</w:t>
      </w:r>
    </w:p>
    <w:p w14:paraId="00BAE474" w14:textId="77777777" w:rsidR="00871BDF" w:rsidRDefault="005C5088">
      <w:pPr>
        <w:spacing w:before="120"/>
      </w:pPr>
      <w:r>
        <w:rPr>
          <w:rFonts w:ascii="Times New Roman" w:eastAsia="宋体" w:hAnsi="Times New Roman"/>
          <w:color w:val="000000"/>
          <w:sz w:val="20"/>
          <w:szCs w:val="20"/>
        </w:rPr>
        <w:t>Our impairment c</w:t>
      </w:r>
      <w:r>
        <w:rPr>
          <w:rFonts w:ascii="Times New Roman" w:eastAsia="宋体" w:hAnsi="Times New Roman"/>
          <w:color w:val="000000"/>
          <w:sz w:val="20"/>
          <w:szCs w:val="20"/>
        </w:rPr>
        <w:t>alculations contain uncertainties because they require management to make assumptions and to apply judgment to estimate future cash flows and asset fair values. Key assumptions used in estimating future cash flows and asset fair values include projected re</w:t>
      </w:r>
      <w:r>
        <w:rPr>
          <w:rFonts w:ascii="Times New Roman" w:eastAsia="宋体" w:hAnsi="Times New Roman"/>
          <w:color w:val="000000"/>
          <w:sz w:val="20"/>
          <w:szCs w:val="20"/>
        </w:rPr>
        <w:t>venue growth and operating expenses, as well as forecasting asset useful lives and selecting an appropriate discount rate. For company-operated stores, estimates of revenue growth and operating expenses are based on internal projections and consider the st</w:t>
      </w:r>
      <w:r>
        <w:rPr>
          <w:rFonts w:ascii="Times New Roman" w:eastAsia="宋体" w:hAnsi="Times New Roman"/>
          <w:color w:val="000000"/>
          <w:sz w:val="20"/>
          <w:szCs w:val="20"/>
        </w:rPr>
        <w:t>ore’s historical performance, the local market economics and the business environment impacting the store’s performance. The discount rate is selected based on what we believe a buyer would assume when determining a purchase price for the store. These esti</w:t>
      </w:r>
      <w:r>
        <w:rPr>
          <w:rFonts w:ascii="Times New Roman" w:eastAsia="宋体" w:hAnsi="Times New Roman"/>
          <w:color w:val="000000"/>
          <w:sz w:val="20"/>
          <w:szCs w:val="20"/>
        </w:rPr>
        <w:t xml:space="preserve">mates are subjective and our ability to realize future cash flows and asset fair values is affected by factors such as ongoing maintenance and improvement of the assets, changes in economic conditions and changes in operating performance. </w:t>
      </w:r>
    </w:p>
    <w:p w14:paraId="00BAE475" w14:textId="77777777" w:rsidR="00871BDF" w:rsidRDefault="005C5088">
      <w:pPr>
        <w:spacing w:before="120"/>
      </w:pPr>
      <w:r>
        <w:rPr>
          <w:rFonts w:ascii="Times New Roman" w:eastAsia="宋体" w:hAnsi="Times New Roman"/>
          <w:color w:val="000000"/>
          <w:sz w:val="20"/>
          <w:szCs w:val="20"/>
        </w:rPr>
        <w:t>In each of the t</w:t>
      </w:r>
      <w:r>
        <w:rPr>
          <w:rFonts w:ascii="Times New Roman" w:eastAsia="宋体" w:hAnsi="Times New Roman"/>
          <w:color w:val="000000"/>
          <w:sz w:val="20"/>
          <w:szCs w:val="20"/>
        </w:rPr>
        <w:t>hree fiscal years prior to fiscal 2020, our business has operated at levels of growth and profitability that have not required material numbers of our store assets to be reviewed for potential impairment. Given the substantial reduction in our revenues and</w:t>
      </w:r>
      <w:r>
        <w:rPr>
          <w:rFonts w:ascii="Times New Roman" w:eastAsia="宋体" w:hAnsi="Times New Roman"/>
          <w:color w:val="000000"/>
          <w:sz w:val="20"/>
          <w:szCs w:val="20"/>
        </w:rPr>
        <w:t xml:space="preserve"> cash flows as a result of the COVID-19 pandemic, primarily in the third quarter of fiscal 2020, along with our announced restructuring plans to close up to 800 of our company-operated stores in the U.S. and Canada in the next 18 months, we identified trig</w:t>
      </w:r>
      <w:r>
        <w:rPr>
          <w:rFonts w:ascii="Times New Roman" w:eastAsia="宋体" w:hAnsi="Times New Roman"/>
          <w:color w:val="000000"/>
          <w:sz w:val="20"/>
          <w:szCs w:val="20"/>
        </w:rPr>
        <w:t>gering events that required us to assess the need for potential impairment charges for a larger number of company-operated stores in fiscal 2020 than in prior years. As a result of these activities, we recorded store impairment charges of $298.9 million in</w:t>
      </w:r>
      <w:r>
        <w:rPr>
          <w:rFonts w:ascii="Times New Roman" w:eastAsia="宋体" w:hAnsi="Times New Roman"/>
          <w:color w:val="000000"/>
          <w:sz w:val="20"/>
          <w:szCs w:val="20"/>
        </w:rPr>
        <w:t xml:space="preserve"> fiscal 2020, of which $239.3 million was included in restructuring and impairment expenses on our consolidated statement of earnings. The magnitude of these charges was not particularly sensitive to variations in fair value inputs, as the majority of char</w:t>
      </w:r>
      <w:r>
        <w:rPr>
          <w:rFonts w:ascii="Times New Roman" w:eastAsia="宋体" w:hAnsi="Times New Roman"/>
          <w:color w:val="000000"/>
          <w:sz w:val="20"/>
          <w:szCs w:val="20"/>
        </w:rPr>
        <w:t>ges recorded were the result of full impairments of stores identified for closure, based on factors such as the format and location of the store or its current operating performance. Excluding stores in areas impacted by our restructuring plans, our compan</w:t>
      </w:r>
      <w:r>
        <w:rPr>
          <w:rFonts w:ascii="Times New Roman" w:eastAsia="宋体" w:hAnsi="Times New Roman"/>
          <w:color w:val="000000"/>
          <w:sz w:val="20"/>
          <w:szCs w:val="20"/>
        </w:rPr>
        <w:t>y-operated store portfolio is projecting a return to pre-COVID-19 levels of operations and cash flow recoverability within the next 12 months. However, irrespective of the above, our expectations of business recovery trends may vary materially in future pe</w:t>
      </w:r>
      <w:r>
        <w:rPr>
          <w:rFonts w:ascii="Times New Roman" w:eastAsia="宋体" w:hAnsi="Times New Roman"/>
          <w:color w:val="000000"/>
          <w:sz w:val="20"/>
          <w:szCs w:val="20"/>
        </w:rPr>
        <w:t>riods based on the pace of global and market-specific recovery from the COVID-19 pandemic.</w:t>
      </w:r>
    </w:p>
    <w:p w14:paraId="00BAE476" w14:textId="77777777" w:rsidR="00871BDF" w:rsidRDefault="005C5088">
      <w:pPr>
        <w:spacing w:before="120"/>
      </w:pPr>
      <w:r>
        <w:rPr>
          <w:rFonts w:ascii="Times New Roman" w:eastAsia="宋体" w:hAnsi="Times New Roman"/>
          <w:color w:val="000000"/>
          <w:sz w:val="20"/>
          <w:szCs w:val="20"/>
        </w:rPr>
        <w:t>As of September 27, 2020, we had identified 405 stores in the U.S. and Canada for closure under our restructuring plans. We expect to potentially identify up to anot</w:t>
      </w:r>
      <w:r>
        <w:rPr>
          <w:rFonts w:ascii="Times New Roman" w:eastAsia="宋体" w:hAnsi="Times New Roman"/>
          <w:color w:val="000000"/>
          <w:sz w:val="20"/>
          <w:szCs w:val="20"/>
        </w:rPr>
        <w:t>her 395 stores for closure. We expect total future restructuring costs, which are attributable to our Americas segment, to range from approximately $260 million to $400 million. These restructuring costs include accelerated amortization or impairments of R</w:t>
      </w:r>
      <w:r>
        <w:rPr>
          <w:rFonts w:ascii="Times New Roman" w:eastAsia="宋体" w:hAnsi="Times New Roman"/>
          <w:color w:val="000000"/>
          <w:sz w:val="20"/>
          <w:szCs w:val="20"/>
        </w:rPr>
        <w:t>OU assets due to planned store closures prior to the end of contractual lease terms ($150 million to $190 million), store asset impairment and disposal costs not previously recorded as part of our ongoing store impairment process ($100 million to $190 mill</w:t>
      </w:r>
      <w:r>
        <w:rPr>
          <w:rFonts w:ascii="Times New Roman" w:eastAsia="宋体" w:hAnsi="Times New Roman"/>
          <w:color w:val="000000"/>
          <w:sz w:val="20"/>
          <w:szCs w:val="20"/>
        </w:rPr>
        <w:t xml:space="preserve">ion) and the remaining amount relates to employee termination costs. Our estimates of future restructuring costs are based on actual costs incurred for recently closed stores of similar profile under the restructuring plans. As we have previously recorded </w:t>
      </w:r>
      <w:r>
        <w:rPr>
          <w:rFonts w:ascii="Times New Roman" w:eastAsia="宋体" w:hAnsi="Times New Roman"/>
          <w:color w:val="000000"/>
          <w:sz w:val="20"/>
          <w:szCs w:val="20"/>
        </w:rPr>
        <w:t>impairment charges in fiscal 2020 for stores that may be identified for closure under our plans, and because store closure decisions are still subject to change, the final costs associated with these store closures may be different from the initial estimat</w:t>
      </w:r>
      <w:r>
        <w:rPr>
          <w:rFonts w:ascii="Times New Roman" w:eastAsia="宋体" w:hAnsi="Times New Roman"/>
          <w:color w:val="000000"/>
          <w:sz w:val="20"/>
          <w:szCs w:val="20"/>
        </w:rPr>
        <w:t xml:space="preserve">es. These costs will depend on the asset carrying value and remaining lease term for each store identified. Future restructuring costs are expected to be incurred over the next 18 months as stores are specifically identified for closure or, in the case of </w:t>
      </w:r>
      <w:r>
        <w:rPr>
          <w:rFonts w:ascii="Times New Roman" w:eastAsia="宋体" w:hAnsi="Times New Roman"/>
          <w:color w:val="000000"/>
          <w:sz w:val="20"/>
          <w:szCs w:val="20"/>
        </w:rPr>
        <w:t>lease exit costs, when the stores cease operations.</w:t>
      </w:r>
    </w:p>
    <w:p w14:paraId="00BAE477" w14:textId="77777777" w:rsidR="00871BDF" w:rsidRDefault="005C5088">
      <w:pPr>
        <w:spacing w:before="120"/>
      </w:pPr>
      <w:r>
        <w:rPr>
          <w:rFonts w:ascii="Times New Roman" w:eastAsia="宋体" w:hAnsi="Times New Roman"/>
          <w:color w:val="000000"/>
          <w:sz w:val="20"/>
          <w:szCs w:val="20"/>
        </w:rPr>
        <w:t xml:space="preserve">Asset impairment charges are discussed in </w:t>
      </w:r>
      <w:hyperlink r:id="rId121" w:anchor="i54ccc64cb5384be5a4849ef1cdef4dde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w:t>
      </w:r>
      <w:r>
        <w:rPr>
          <w:rFonts w:ascii="Times New Roman" w:eastAsia="宋体" w:hAnsi="Times New Roman"/>
          <w:color w:val="000000"/>
          <w:sz w:val="20"/>
          <w:szCs w:val="20"/>
        </w:rPr>
        <w:t xml:space="preserve"> Summary of Significant Accounting Policies, to the consolidated financial statements included in Item 8 of Part II of this 10-K. </w:t>
      </w:r>
    </w:p>
    <w:p w14:paraId="00BAE478" w14:textId="77777777" w:rsidR="00871BDF" w:rsidRDefault="005C5088">
      <w:pPr>
        <w:spacing w:before="120"/>
      </w:pPr>
      <w:r>
        <w:rPr>
          <w:rFonts w:ascii="Times New Roman" w:eastAsia="宋体" w:hAnsi="Times New Roman"/>
          <w:b/>
          <w:bCs/>
          <w:color w:val="000000"/>
          <w:sz w:val="20"/>
          <w:szCs w:val="20"/>
        </w:rPr>
        <w:t>Goodwill and Indefinite-Lived Intangible Assets</w:t>
      </w:r>
    </w:p>
    <w:p w14:paraId="00BAE479" w14:textId="77777777" w:rsidR="00871BDF" w:rsidRDefault="005C5088">
      <w:pPr>
        <w:spacing w:before="120"/>
      </w:pPr>
      <w:r>
        <w:rPr>
          <w:rFonts w:ascii="Times New Roman" w:eastAsia="宋体" w:hAnsi="Times New Roman"/>
          <w:color w:val="000000"/>
          <w:sz w:val="20"/>
          <w:szCs w:val="20"/>
        </w:rPr>
        <w:t>We evaluate goodwill and indefinite-lived intangible assets for impairment annually during our third fiscal quarter, or more frequently if an event occurs or circumstances change that would indicate impairment may exist. When evaluating these assets for im</w:t>
      </w:r>
      <w:r>
        <w:rPr>
          <w:rFonts w:ascii="Times New Roman" w:eastAsia="宋体" w:hAnsi="Times New Roman"/>
          <w:color w:val="000000"/>
          <w:sz w:val="20"/>
          <w:szCs w:val="20"/>
        </w:rPr>
        <w:t xml:space="preserve">pairment, we may first perform a qualitative assessment to determine whether it is more likely than not that a reporting unit is impaired. If we do not perform a qualitative assessment, or if we determine that it is not more likely than not that the fair </w:t>
      </w:r>
    </w:p>
    <w:p w14:paraId="00BAE47A" w14:textId="77777777" w:rsidR="00871BDF" w:rsidRDefault="005C5088">
      <w:pPr>
        <w:jc w:val="center"/>
      </w:pPr>
      <w:r>
        <w:rPr>
          <w:rFonts w:ascii="Times New Roman" w:eastAsia="宋体" w:hAnsi="Times New Roman"/>
          <w:color w:val="000000"/>
          <w:sz w:val="20"/>
          <w:szCs w:val="20"/>
        </w:rPr>
        <w:t>44</w:t>
      </w:r>
    </w:p>
    <w:p w14:paraId="00BAE47B" w14:textId="77777777" w:rsidR="00871BDF" w:rsidRDefault="005C5088">
      <w:r>
        <w:pict w14:anchorId="00BB1491">
          <v:rect id="_x0000_i1071" style="width:415.3pt;height:1.5pt" o:hralign="center" o:hrstd="t" o:hr="t" fillcolor="#a0a0a0" stroked="f"/>
        </w:pict>
      </w:r>
    </w:p>
    <w:p w14:paraId="00BAE47C" w14:textId="77777777" w:rsidR="00871BDF" w:rsidRDefault="005C5088">
      <w:hyperlink r:id="rId122" w:anchor="i54ccc64cb5384be5a4849ef1cdef4dde_7" w:history="1">
        <w:r>
          <w:rPr>
            <w:rStyle w:val="a5"/>
            <w:rFonts w:ascii="Times New Roman" w:eastAsia="宋体" w:hAnsi="Times New Roman"/>
            <w:sz w:val="20"/>
            <w:szCs w:val="20"/>
          </w:rPr>
          <w:t>Table of Contents</w:t>
        </w:r>
      </w:hyperlink>
    </w:p>
    <w:p w14:paraId="00BAE47D" w14:textId="77777777" w:rsidR="00871BDF" w:rsidRDefault="005C5088">
      <w:pPr>
        <w:spacing w:before="120"/>
      </w:pPr>
      <w:r>
        <w:rPr>
          <w:rFonts w:ascii="Times New Roman" w:eastAsia="宋体" w:hAnsi="Times New Roman"/>
          <w:color w:val="000000"/>
          <w:sz w:val="20"/>
          <w:szCs w:val="20"/>
        </w:rPr>
        <w:t>value of the reporting unit exceeds its carrying amount, we calculate the estima</w:t>
      </w:r>
      <w:r>
        <w:rPr>
          <w:rFonts w:ascii="Times New Roman" w:eastAsia="宋体" w:hAnsi="Times New Roman"/>
          <w:color w:val="000000"/>
          <w:sz w:val="20"/>
          <w:szCs w:val="20"/>
        </w:rPr>
        <w:t>ted fair value of the reporting unit using discounted cash flows or a combination of discounted cash flow and market approaches.</w:t>
      </w:r>
    </w:p>
    <w:p w14:paraId="00BAE47E" w14:textId="77777777" w:rsidR="00871BDF" w:rsidRDefault="005C5088">
      <w:pPr>
        <w:spacing w:before="120"/>
      </w:pPr>
      <w:r>
        <w:rPr>
          <w:rFonts w:ascii="Times New Roman" w:eastAsia="宋体" w:hAnsi="Times New Roman"/>
          <w:color w:val="000000"/>
          <w:sz w:val="20"/>
          <w:szCs w:val="20"/>
        </w:rPr>
        <w:t>When assessing goodwill for impairment, our decision to perform a qualitative impairment assessment for an individual reporting</w:t>
      </w:r>
      <w:r>
        <w:rPr>
          <w:rFonts w:ascii="Times New Roman" w:eastAsia="宋体" w:hAnsi="Times New Roman"/>
          <w:color w:val="000000"/>
          <w:sz w:val="20"/>
          <w:szCs w:val="20"/>
        </w:rPr>
        <w:t xml:space="preserve"> unit in a given year is influenced by a number of factors, inclusive of the carrying value of the reporting unit's goodwill, the significance of the excess of the reporting unit's estimated fair value over carrying value at the last quantitative assessmen</w:t>
      </w:r>
      <w:r>
        <w:rPr>
          <w:rFonts w:ascii="Times New Roman" w:eastAsia="宋体" w:hAnsi="Times New Roman"/>
          <w:color w:val="000000"/>
          <w:sz w:val="20"/>
          <w:szCs w:val="20"/>
        </w:rPr>
        <w:t>t date, the amount of time in between quantitative fair value assessments and the date of acquisition. If we perform a quantitative assessment of an individual reporting unit’s goodwill, our impairment calculations contain uncertainties because they requir</w:t>
      </w:r>
      <w:r>
        <w:rPr>
          <w:rFonts w:ascii="Times New Roman" w:eastAsia="宋体" w:hAnsi="Times New Roman"/>
          <w:color w:val="000000"/>
          <w:sz w:val="20"/>
          <w:szCs w:val="20"/>
        </w:rPr>
        <w:t xml:space="preserve">e management to make assumptions and to apply judgment when estimating future cash flows and asset fair values, including projected revenue growth and operating expenses related to existing businesses, product innovation and new store concepts, as well as </w:t>
      </w:r>
      <w:r>
        <w:rPr>
          <w:rFonts w:ascii="Times New Roman" w:eastAsia="宋体" w:hAnsi="Times New Roman"/>
          <w:color w:val="000000"/>
          <w:sz w:val="20"/>
          <w:szCs w:val="20"/>
        </w:rPr>
        <w:t>utilizing valuation multiples of similar publicly traded companies and selecting an appropriate discount rate. Estimates of revenue growth and operating expenses are based on internal projections considering the reporting unit’s past performance and foreca</w:t>
      </w:r>
      <w:r>
        <w:rPr>
          <w:rFonts w:ascii="Times New Roman" w:eastAsia="宋体" w:hAnsi="Times New Roman"/>
          <w:color w:val="000000"/>
          <w:sz w:val="20"/>
          <w:szCs w:val="20"/>
        </w:rPr>
        <w:t xml:space="preserve">sted growth, including assumptions regarding business recovery post COVID-19, strategic initiatives, local market economics and the local business environment impacting the reporting unit’s performance. The discount rate is selected based on the estimated </w:t>
      </w:r>
      <w:r>
        <w:rPr>
          <w:rFonts w:ascii="Times New Roman" w:eastAsia="宋体" w:hAnsi="Times New Roman"/>
          <w:color w:val="000000"/>
          <w:sz w:val="20"/>
          <w:szCs w:val="20"/>
        </w:rPr>
        <w:t xml:space="preserve">cost of capital for a market participant to operate the reporting unit in the region. These estimates, as well as the selection of comparable companies and valuation multiples used in the market approaches are highly subjective, and our ability to realize </w:t>
      </w:r>
      <w:r>
        <w:rPr>
          <w:rFonts w:ascii="Times New Roman" w:eastAsia="宋体" w:hAnsi="Times New Roman"/>
          <w:color w:val="000000"/>
          <w:sz w:val="20"/>
          <w:szCs w:val="20"/>
        </w:rPr>
        <w:t>the future cash flows used in our fair value calculations is affected by factors such as the success of strategic initiatives, changes in economic conditions, changes in our operating performance and changes in our business strategies, including retail ini</w:t>
      </w:r>
      <w:r>
        <w:rPr>
          <w:rFonts w:ascii="Times New Roman" w:eastAsia="宋体" w:hAnsi="Times New Roman"/>
          <w:color w:val="000000"/>
          <w:sz w:val="20"/>
          <w:szCs w:val="20"/>
        </w:rPr>
        <w:t>tiatives and international expansion. Our goodwill impairment assessments were not significantly altered as a result of the COVID-19 pandemic. We continue to believe the fair value of each of our reporting units is significantly in excess of its carrying v</w:t>
      </w:r>
      <w:r>
        <w:rPr>
          <w:rFonts w:ascii="Times New Roman" w:eastAsia="宋体" w:hAnsi="Times New Roman"/>
          <w:color w:val="000000"/>
          <w:sz w:val="20"/>
          <w:szCs w:val="20"/>
        </w:rPr>
        <w:t>alue, and absent a sustained multi-year global decline in our business in key markets such as the U.S. and China, we do not anticipate incurring significant goodwill impairment in the next 12 months.</w:t>
      </w:r>
    </w:p>
    <w:p w14:paraId="00BAE47F" w14:textId="77777777" w:rsidR="00871BDF" w:rsidRDefault="005C5088">
      <w:r>
        <w:rPr>
          <w:rFonts w:ascii="Times New Roman" w:eastAsia="宋体" w:hAnsi="Times New Roman"/>
          <w:color w:val="000000"/>
          <w:sz w:val="20"/>
          <w:szCs w:val="20"/>
        </w:rPr>
        <w:t>When assessing indefinite-lived intangible assets for im</w:t>
      </w:r>
      <w:r>
        <w:rPr>
          <w:rFonts w:ascii="Times New Roman" w:eastAsia="宋体" w:hAnsi="Times New Roman"/>
          <w:color w:val="000000"/>
          <w:sz w:val="20"/>
          <w:szCs w:val="20"/>
        </w:rPr>
        <w:t>pairment, where we perform a qualitative assessment, we evaluate if changes in events or circumstances have occurred that indicate that impairment may exist. If we do not perform a qualitative impairment assessment or if changes in events and circumstances</w:t>
      </w:r>
      <w:r>
        <w:rPr>
          <w:rFonts w:ascii="Times New Roman" w:eastAsia="宋体" w:hAnsi="Times New Roman"/>
          <w:color w:val="000000"/>
          <w:sz w:val="20"/>
          <w:szCs w:val="20"/>
        </w:rPr>
        <w:t xml:space="preserve"> indicate that a quantitative assessment should be performed, management is required to calculate the fair value of the intangible asset group. The fair value calculation includes estimates of revenue growth, which are based on past performance and interna</w:t>
      </w:r>
      <w:r>
        <w:rPr>
          <w:rFonts w:ascii="Times New Roman" w:eastAsia="宋体" w:hAnsi="Times New Roman"/>
          <w:color w:val="000000"/>
          <w:sz w:val="20"/>
          <w:szCs w:val="20"/>
        </w:rPr>
        <w:t xml:space="preserve">l projections for the intangible asset group's forecasted growth, including assumptions regarding business recovery post COVID-19, and royalty rates, which are adjusted for our particular facts and circumstances. The discount rate is selected based on the </w:t>
      </w:r>
      <w:r>
        <w:rPr>
          <w:rFonts w:ascii="Times New Roman" w:eastAsia="宋体" w:hAnsi="Times New Roman"/>
          <w:color w:val="000000"/>
          <w:sz w:val="20"/>
          <w:szCs w:val="20"/>
        </w:rPr>
        <w:t xml:space="preserve">estimated cost of capital that reflects the risk profile of the related business. These estimates are highly subjective, and our ability to achieve the forecasted cash flows used in our fair value calculations is affected by factors such as the success of </w:t>
      </w:r>
      <w:r>
        <w:rPr>
          <w:rFonts w:ascii="Times New Roman" w:eastAsia="宋体" w:hAnsi="Times New Roman"/>
          <w:color w:val="000000"/>
          <w:sz w:val="20"/>
          <w:szCs w:val="20"/>
        </w:rPr>
        <w:t>strategic initiatives, changes in economic conditions, changes in our operating performance and changes in our business strategies, including retail initiatives and international expansion. During fiscal 2020, we recorded a charge of $22.1 million relating</w:t>
      </w:r>
      <w:r>
        <w:rPr>
          <w:rFonts w:ascii="Times New Roman" w:eastAsia="宋体" w:hAnsi="Times New Roman"/>
          <w:color w:val="000000"/>
          <w:sz w:val="20"/>
          <w:szCs w:val="20"/>
        </w:rPr>
        <w:t xml:space="preserve"> to the impairment of an indefinite-lived intangible asset due to changes in branding and marketing strategy. The amount of charge taken was not materially impacted by our choice of fair value assumptions, and we do not anticipate recording significant imp</w:t>
      </w:r>
      <w:r>
        <w:rPr>
          <w:rFonts w:ascii="Times New Roman" w:eastAsia="宋体" w:hAnsi="Times New Roman"/>
          <w:color w:val="000000"/>
          <w:sz w:val="20"/>
          <w:szCs w:val="20"/>
        </w:rPr>
        <w:t>airment charges in the next 12 months.</w:t>
      </w:r>
    </w:p>
    <w:p w14:paraId="00BAE480" w14:textId="77777777" w:rsidR="00871BDF" w:rsidRDefault="005C5088">
      <w:pPr>
        <w:spacing w:before="120"/>
      </w:pPr>
      <w:r>
        <w:rPr>
          <w:rFonts w:ascii="Times New Roman" w:eastAsia="宋体" w:hAnsi="Times New Roman"/>
          <w:color w:val="000000"/>
          <w:sz w:val="20"/>
          <w:szCs w:val="20"/>
        </w:rPr>
        <w:t xml:space="preserve">Definite-lived intangible asset impairment charges are discussed in </w:t>
      </w:r>
      <w:hyperlink r:id="rId123" w:anchor="i54ccc64cb5384be5a4849ef1cdef4dde_160"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Other Intangible Assets and Goodwill, to the consolidated financial statements included in Item 8 of Part II of this 10-K. </w:t>
      </w:r>
    </w:p>
    <w:p w14:paraId="00BAE481" w14:textId="77777777" w:rsidR="00871BDF" w:rsidRDefault="005C5088">
      <w:pPr>
        <w:spacing w:before="120"/>
      </w:pPr>
      <w:r>
        <w:rPr>
          <w:rFonts w:ascii="Times New Roman" w:eastAsia="宋体" w:hAnsi="Times New Roman"/>
          <w:b/>
          <w:bCs/>
          <w:color w:val="000000"/>
          <w:sz w:val="20"/>
          <w:szCs w:val="20"/>
        </w:rPr>
        <w:t>Income Taxes</w:t>
      </w:r>
    </w:p>
    <w:p w14:paraId="00BAE482" w14:textId="77777777" w:rsidR="00871BDF" w:rsidRDefault="005C5088">
      <w:pPr>
        <w:spacing w:before="120"/>
      </w:pPr>
      <w:r>
        <w:rPr>
          <w:rFonts w:ascii="Times New Roman" w:eastAsia="宋体" w:hAnsi="Times New Roman"/>
          <w:color w:val="000000"/>
          <w:sz w:val="20"/>
          <w:szCs w:val="20"/>
        </w:rPr>
        <w:t>We recognize deferred tax assets and liabilities based on the differences between the financial statement</w:t>
      </w:r>
      <w:r>
        <w:rPr>
          <w:rFonts w:ascii="Times New Roman" w:eastAsia="宋体" w:hAnsi="Times New Roman"/>
          <w:color w:val="000000"/>
          <w:sz w:val="20"/>
          <w:szCs w:val="20"/>
        </w:rPr>
        <w:t xml:space="preserve"> carrying amounts and the respective tax bases of our assets and liabilities. Deferred tax assets and liabilities are measured using current enacted tax rates expected to apply to taxable income in the years in which we expect the temporary differences to </w:t>
      </w:r>
      <w:r>
        <w:rPr>
          <w:rFonts w:ascii="Times New Roman" w:eastAsia="宋体" w:hAnsi="Times New Roman"/>
          <w:color w:val="000000"/>
          <w:sz w:val="20"/>
          <w:szCs w:val="20"/>
        </w:rPr>
        <w:t>reverse. We routinely evaluate the likelihood of realizing the benefit of our deferred tax assets and may record a valuation allowance if, based on all available evidence, we determine that some portion of the tax benefit will not be realized.</w:t>
      </w:r>
    </w:p>
    <w:p w14:paraId="00BAE483" w14:textId="77777777" w:rsidR="00871BDF" w:rsidRDefault="005C5088">
      <w:pPr>
        <w:spacing w:before="120"/>
      </w:pPr>
      <w:r>
        <w:rPr>
          <w:rFonts w:ascii="Times New Roman" w:eastAsia="宋体" w:hAnsi="Times New Roman"/>
          <w:color w:val="000000"/>
          <w:sz w:val="20"/>
          <w:szCs w:val="20"/>
        </w:rPr>
        <w:t>In evaluatin</w:t>
      </w:r>
      <w:r>
        <w:rPr>
          <w:rFonts w:ascii="Times New Roman" w:eastAsia="宋体" w:hAnsi="Times New Roman"/>
          <w:color w:val="000000"/>
          <w:sz w:val="20"/>
          <w:szCs w:val="20"/>
        </w:rPr>
        <w:t>g our ability to recover our deferred tax assets within the jurisdiction from which they arise, we consider all available positive and negative evidence, including scheduled reversals of deferred tax liabilities, projected future taxable income, tax-planni</w:t>
      </w:r>
      <w:r>
        <w:rPr>
          <w:rFonts w:ascii="Times New Roman" w:eastAsia="宋体" w:hAnsi="Times New Roman"/>
          <w:color w:val="000000"/>
          <w:sz w:val="20"/>
          <w:szCs w:val="20"/>
        </w:rPr>
        <w:t>ng strategies and results of operations. In projecting future taxable income, we consider historical results and incorporate assumptions about the amount of future state, federal and foreign pretax operating income adjusted for items that do not have tax c</w:t>
      </w:r>
      <w:r>
        <w:rPr>
          <w:rFonts w:ascii="Times New Roman" w:eastAsia="宋体" w:hAnsi="Times New Roman"/>
          <w:color w:val="000000"/>
          <w:sz w:val="20"/>
          <w:szCs w:val="20"/>
        </w:rPr>
        <w:t>onsequences. Our assumptions regarding future taxable income are consistent with the plans and estimates we use to manage our underlying businesses. In evaluating the objective evidence that historical results provide, we consider three years of cumulative</w:t>
      </w:r>
      <w:r>
        <w:rPr>
          <w:rFonts w:ascii="Times New Roman" w:eastAsia="宋体" w:hAnsi="Times New Roman"/>
          <w:color w:val="000000"/>
          <w:sz w:val="20"/>
          <w:szCs w:val="20"/>
        </w:rPr>
        <w:t xml:space="preserve"> operating income/(loss). During fiscal 2020, we recorded valuation allowances of $56.5 million to reduce our deferred tax asset balance as of the beginning of the fiscal year relating to certain foreign jurisdictions not expected to generate enough future</w:t>
      </w:r>
      <w:r>
        <w:rPr>
          <w:rFonts w:ascii="Times New Roman" w:eastAsia="宋体" w:hAnsi="Times New Roman"/>
          <w:color w:val="000000"/>
          <w:sz w:val="20"/>
          <w:szCs w:val="20"/>
        </w:rPr>
        <w:t xml:space="preserve"> income to offset accumulated losses. Absent a sustained multi-year global decline in our business in key markets such as the U.S., China and Japan, we do not anticipate incurring significant additional valuation allowances against our remaining deferred t</w:t>
      </w:r>
      <w:r>
        <w:rPr>
          <w:rFonts w:ascii="Times New Roman" w:eastAsia="宋体" w:hAnsi="Times New Roman"/>
          <w:color w:val="000000"/>
          <w:sz w:val="20"/>
          <w:szCs w:val="20"/>
        </w:rPr>
        <w:t>ax assets as of September 27, 2020 in the next 12 months.</w:t>
      </w:r>
    </w:p>
    <w:p w14:paraId="00BAE484" w14:textId="77777777" w:rsidR="00871BDF" w:rsidRDefault="005C5088">
      <w:pPr>
        <w:spacing w:before="120"/>
      </w:pPr>
      <w:r>
        <w:rPr>
          <w:rFonts w:ascii="Times New Roman" w:eastAsia="宋体" w:hAnsi="Times New Roman"/>
          <w:color w:val="000000"/>
          <w:sz w:val="20"/>
          <w:szCs w:val="20"/>
        </w:rPr>
        <w:t>In addition, our income tax returns are periodically audited by domestic and foreign tax authorities. These audits include review of our tax filing positions, including the timing and amount of dedu</w:t>
      </w:r>
      <w:r>
        <w:rPr>
          <w:rFonts w:ascii="Times New Roman" w:eastAsia="宋体" w:hAnsi="Times New Roman"/>
          <w:color w:val="000000"/>
          <w:sz w:val="20"/>
          <w:szCs w:val="20"/>
        </w:rPr>
        <w:t xml:space="preserve">ctions taken and the allocation of income between tax jurisdictions. We evaluate our exposures associated with our various tax filing positions and recognize a tax benefit only if it is </w:t>
      </w:r>
    </w:p>
    <w:p w14:paraId="00BAE485" w14:textId="77777777" w:rsidR="00871BDF" w:rsidRDefault="005C5088">
      <w:pPr>
        <w:jc w:val="center"/>
      </w:pPr>
      <w:r>
        <w:rPr>
          <w:rFonts w:ascii="Times New Roman" w:eastAsia="宋体" w:hAnsi="Times New Roman"/>
          <w:color w:val="000000"/>
          <w:sz w:val="20"/>
          <w:szCs w:val="20"/>
        </w:rPr>
        <w:t>45</w:t>
      </w:r>
    </w:p>
    <w:p w14:paraId="00BAE486" w14:textId="77777777" w:rsidR="00871BDF" w:rsidRDefault="005C5088">
      <w:r>
        <w:pict w14:anchorId="00BB1492">
          <v:rect id="_x0000_i1072" style="width:415.3pt;height:1.5pt" o:hralign="center" o:hrstd="t" o:hr="t" fillcolor="#a0a0a0" stroked="f"/>
        </w:pict>
      </w:r>
    </w:p>
    <w:p w14:paraId="00BAE487" w14:textId="77777777" w:rsidR="00871BDF" w:rsidRDefault="005C5088">
      <w:hyperlink r:id="rId124" w:anchor="i54ccc64cb5384be5a4849ef1cdef4dde_7" w:history="1">
        <w:r>
          <w:rPr>
            <w:rStyle w:val="a5"/>
            <w:rFonts w:ascii="Times New Roman" w:eastAsia="宋体" w:hAnsi="Times New Roman"/>
            <w:sz w:val="20"/>
            <w:szCs w:val="20"/>
          </w:rPr>
          <w:t>Table of Contents</w:t>
        </w:r>
      </w:hyperlink>
    </w:p>
    <w:p w14:paraId="00BAE488" w14:textId="77777777" w:rsidR="00871BDF" w:rsidRDefault="005C5088">
      <w:pPr>
        <w:spacing w:before="120"/>
      </w:pPr>
      <w:r>
        <w:rPr>
          <w:rFonts w:ascii="Times New Roman" w:eastAsia="宋体" w:hAnsi="Times New Roman"/>
          <w:color w:val="000000"/>
          <w:sz w:val="20"/>
          <w:szCs w:val="20"/>
        </w:rPr>
        <w:t>more likely than not that the tax position will be sustained upon examination by the relevant taxing authorities, including resolutions of any relate</w:t>
      </w:r>
      <w:r>
        <w:rPr>
          <w:rFonts w:ascii="Times New Roman" w:eastAsia="宋体" w:hAnsi="Times New Roman"/>
          <w:color w:val="000000"/>
          <w:sz w:val="20"/>
          <w:szCs w:val="20"/>
        </w:rPr>
        <w:t>d appeals or litigation processes, based on the technical merits of our position. For uncertain tax positions that do not meet this threshold, we record a related liability. We adjust our unrecognized tax benefit liability and income tax expense in the per</w:t>
      </w:r>
      <w:r>
        <w:rPr>
          <w:rFonts w:ascii="Times New Roman" w:eastAsia="宋体" w:hAnsi="Times New Roman"/>
          <w:color w:val="000000"/>
          <w:sz w:val="20"/>
          <w:szCs w:val="20"/>
        </w:rPr>
        <w:t xml:space="preserve">iod in which the uncertain tax position is effectively settled, the statute of limitations expires for the relevant taxing authority to examine the tax position or when new information becomes available. As discussed in </w:t>
      </w:r>
      <w:hyperlink r:id="rId125" w:anchor="i54ccc64cb5384be5a4849ef1cdef4dde_181" w:history="1">
        <w:r>
          <w:rPr>
            <w:rStyle w:val="a5"/>
            <w:rFonts w:ascii="Times New Roman" w:eastAsia="宋体" w:hAnsi="Times New Roman"/>
            <w:sz w:val="20"/>
            <w:szCs w:val="20"/>
          </w:rPr>
          <w:t>Note</w:t>
        </w:r>
      </w:hyperlink>
      <w:hyperlink r:id="rId126" w:anchor="i54ccc64cb5384be5a4849ef1cdef4dde_181" w:history="1">
        <w:r>
          <w:rPr>
            <w:rStyle w:val="a5"/>
            <w:rFonts w:ascii="Times New Roman" w:eastAsia="宋体" w:hAnsi="Times New Roman"/>
            <w:sz w:val="20"/>
            <w:szCs w:val="20"/>
          </w:rPr>
          <w:t xml:space="preserve"> 1</w:t>
        </w:r>
      </w:hyperlink>
      <w:hyperlink r:id="rId127" w:anchor="i54ccc64cb5384be5a4849ef1cdef4dde_181" w:history="1">
        <w:r>
          <w:rPr>
            <w:rStyle w:val="a5"/>
            <w:rFonts w:ascii="Times New Roman" w:eastAsia="宋体" w:hAnsi="Times New Roman"/>
            <w:sz w:val="20"/>
            <w:szCs w:val="20"/>
          </w:rPr>
          <w:t>4</w:t>
        </w:r>
      </w:hyperlink>
      <w:r>
        <w:rPr>
          <w:rFonts w:ascii="Times New Roman" w:eastAsia="宋体" w:hAnsi="Times New Roman"/>
          <w:color w:val="000000"/>
          <w:sz w:val="20"/>
          <w:szCs w:val="20"/>
        </w:rPr>
        <w:t xml:space="preserve">, Income Taxes, to the consolidated financial statements included in Item 8 </w:t>
      </w:r>
      <w:r>
        <w:rPr>
          <w:rFonts w:ascii="Times New Roman" w:eastAsia="宋体" w:hAnsi="Times New Roman"/>
          <w:color w:val="000000"/>
          <w:sz w:val="20"/>
          <w:szCs w:val="20"/>
        </w:rPr>
        <w:t>of Part II of this 10-K, there is a reasonable possibility that our unrecognized tax benefit liability will be adjusted within 12 months due to the expiration of a statute of limitations and/or resolution of examinations with taxing authorities.</w:t>
      </w:r>
    </w:p>
    <w:p w14:paraId="00BAE489" w14:textId="77777777" w:rsidR="00871BDF" w:rsidRDefault="005C5088">
      <w:pPr>
        <w:spacing w:before="120"/>
      </w:pPr>
      <w:r>
        <w:rPr>
          <w:rFonts w:ascii="Times New Roman" w:eastAsia="宋体" w:hAnsi="Times New Roman"/>
          <w:color w:val="000000"/>
          <w:sz w:val="20"/>
          <w:szCs w:val="20"/>
        </w:rPr>
        <w:t>We have ge</w:t>
      </w:r>
      <w:r>
        <w:rPr>
          <w:rFonts w:ascii="Times New Roman" w:eastAsia="宋体" w:hAnsi="Times New Roman"/>
          <w:color w:val="000000"/>
          <w:sz w:val="20"/>
          <w:szCs w:val="20"/>
        </w:rPr>
        <w:t>nerated income in certain foreign jurisdictions that may be subject to additional foreign withholding taxes and U.S. state income taxes. We regularly review our plans for reinvestment or repatriation of unremitted foreign earnings. These plans have been un</w:t>
      </w:r>
      <w:r>
        <w:rPr>
          <w:rFonts w:ascii="Times New Roman" w:eastAsia="宋体" w:hAnsi="Times New Roman"/>
          <w:color w:val="000000"/>
          <w:sz w:val="20"/>
          <w:szCs w:val="20"/>
        </w:rPr>
        <w:t>altered as a result of the COVID-19 pandemic. While we do not expect to repatriate cash to the U.S. to satisfy domestic liquidity needs, if these amounts were distributed to the U.S., in the form of dividends or otherwise, we may be subject to additional f</w:t>
      </w:r>
      <w:r>
        <w:rPr>
          <w:rFonts w:ascii="Times New Roman" w:eastAsia="宋体" w:hAnsi="Times New Roman"/>
          <w:color w:val="000000"/>
          <w:sz w:val="20"/>
          <w:szCs w:val="20"/>
        </w:rPr>
        <w:t>oreign withholding taxes and U.S. state income taxes, which could be material.</w:t>
      </w:r>
    </w:p>
    <w:p w14:paraId="00BAE48A" w14:textId="77777777" w:rsidR="00871BDF" w:rsidRDefault="005C5088">
      <w:pPr>
        <w:spacing w:before="120"/>
      </w:pPr>
      <w:r>
        <w:rPr>
          <w:rFonts w:ascii="Times New Roman" w:eastAsia="宋体" w:hAnsi="Times New Roman"/>
          <w:color w:val="000000"/>
          <w:sz w:val="20"/>
          <w:szCs w:val="20"/>
        </w:rPr>
        <w:t xml:space="preserve">Our income tax expense, deferred tax assets and liabilities and liabilities for unrecognized tax benefits reflect management’s best assessment of estimated current and </w:t>
      </w:r>
      <w:r>
        <w:rPr>
          <w:rFonts w:ascii="Times New Roman" w:eastAsia="宋体" w:hAnsi="Times New Roman"/>
          <w:color w:val="000000"/>
          <w:sz w:val="20"/>
          <w:szCs w:val="20"/>
        </w:rPr>
        <w:t>future taxes to be paid. Deferred tax asset valuation allowances and our liabilities for unrecognized tax benefits require significant management judgment regarding applicable statutes and their related interpretation, the status of various income tax audi</w:t>
      </w:r>
      <w:r>
        <w:rPr>
          <w:rFonts w:ascii="Times New Roman" w:eastAsia="宋体" w:hAnsi="Times New Roman"/>
          <w:color w:val="000000"/>
          <w:sz w:val="20"/>
          <w:szCs w:val="20"/>
        </w:rPr>
        <w:t>ts and our particular facts and circumstances. Although we believe that the judgments and estimates discussed herein are reasonable, actual results, including forecasted COVID-19 business recovery, could differ, and we may be exposed to losses or gains tha</w:t>
      </w:r>
      <w:r>
        <w:rPr>
          <w:rFonts w:ascii="Times New Roman" w:eastAsia="宋体" w:hAnsi="Times New Roman"/>
          <w:color w:val="000000"/>
          <w:sz w:val="20"/>
          <w:szCs w:val="20"/>
        </w:rPr>
        <w:t>t could be material. To the extent we prevail in matters for which a liability has been established or are required to pay amounts in excess of our established liability, our effective income tax rate in a given financial statement period could be material</w:t>
      </w:r>
      <w:r>
        <w:rPr>
          <w:rFonts w:ascii="Times New Roman" w:eastAsia="宋体" w:hAnsi="Times New Roman"/>
          <w:color w:val="000000"/>
          <w:sz w:val="20"/>
          <w:szCs w:val="20"/>
        </w:rPr>
        <w:t>ly affected.</w:t>
      </w:r>
    </w:p>
    <w:p w14:paraId="00BAE48B" w14:textId="77777777" w:rsidR="00871BDF" w:rsidRDefault="005C5088">
      <w:pPr>
        <w:spacing w:before="120"/>
      </w:pPr>
      <w:r>
        <w:rPr>
          <w:rFonts w:ascii="Times New Roman" w:eastAsia="宋体" w:hAnsi="Times New Roman"/>
          <w:b/>
          <w:bCs/>
          <w:color w:val="000000"/>
          <w:sz w:val="20"/>
          <w:szCs w:val="20"/>
        </w:rPr>
        <w:t>RECENT ACCOUNTING PRONOUNCEMENTS</w:t>
      </w:r>
    </w:p>
    <w:p w14:paraId="00BAE48C" w14:textId="77777777" w:rsidR="00871BDF" w:rsidRDefault="005C5088">
      <w:pPr>
        <w:spacing w:before="120"/>
      </w:pPr>
      <w:r>
        <w:rPr>
          <w:rFonts w:ascii="Times New Roman" w:eastAsia="宋体" w:hAnsi="Times New Roman"/>
          <w:color w:val="000000"/>
          <w:sz w:val="20"/>
          <w:szCs w:val="20"/>
        </w:rPr>
        <w:t xml:space="preserve">See </w:t>
      </w:r>
      <w:hyperlink r:id="rId128" w:anchor="i54ccc64cb5384be5a4849ef1cdef4dde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w:t>
      </w:r>
      <w:r>
        <w:rPr>
          <w:rFonts w:ascii="Times New Roman" w:eastAsia="宋体" w:hAnsi="Times New Roman"/>
          <w:color w:val="000000"/>
          <w:sz w:val="20"/>
          <w:szCs w:val="20"/>
        </w:rPr>
        <w:t xml:space="preserve"> to the consolidated financial statements included in Item 8 of Part II of this 10-K for a detailed description of recent accounting pronouncements. </w:t>
      </w:r>
    </w:p>
    <w:p w14:paraId="00BAE48D" w14:textId="77777777" w:rsidR="00871BDF" w:rsidRDefault="005C5088">
      <w:pPr>
        <w:spacing w:before="120"/>
        <w:ind w:hanging="720"/>
      </w:pPr>
      <w:r>
        <w:rPr>
          <w:rFonts w:ascii="Times New Roman" w:eastAsia="宋体" w:hAnsi="Times New Roman"/>
          <w:b/>
          <w:bCs/>
          <w:color w:val="00704A"/>
          <w:sz w:val="20"/>
          <w:szCs w:val="20"/>
        </w:rPr>
        <w:t xml:space="preserve">Item 7A. </w:t>
      </w:r>
      <w:r>
        <w:rPr>
          <w:rFonts w:ascii="Times New Roman" w:eastAsia="宋体" w:hAnsi="Times New Roman"/>
          <w:b/>
          <w:bCs/>
          <w:i/>
          <w:iCs/>
          <w:color w:val="00704A"/>
          <w:sz w:val="20"/>
          <w:szCs w:val="20"/>
        </w:rPr>
        <w:t>Quantitative and Qualitative Disclosures About Market Risk</w:t>
      </w:r>
    </w:p>
    <w:p w14:paraId="00BAE48E" w14:textId="77777777" w:rsidR="00871BDF" w:rsidRDefault="005C5088">
      <w:pPr>
        <w:spacing w:before="120"/>
      </w:pPr>
      <w:r>
        <w:rPr>
          <w:rFonts w:ascii="Times New Roman" w:eastAsia="宋体" w:hAnsi="Times New Roman"/>
          <w:color w:val="000000"/>
          <w:sz w:val="20"/>
          <w:szCs w:val="20"/>
        </w:rPr>
        <w:t xml:space="preserve">The information required by this </w:t>
      </w:r>
      <w:r>
        <w:rPr>
          <w:rFonts w:ascii="Times New Roman" w:eastAsia="宋体" w:hAnsi="Times New Roman"/>
          <w:color w:val="000000"/>
          <w:sz w:val="20"/>
          <w:szCs w:val="20"/>
        </w:rPr>
        <w:t>item is incorporated by reference to the section entitled “Management’s Discussion and Analysis of Financial Condition and Results of Operations — Commodity Prices, Availability and General Risk Conditions” and “Management’s Discussion and Analysis of Fina</w:t>
      </w:r>
      <w:r>
        <w:rPr>
          <w:rFonts w:ascii="Times New Roman" w:eastAsia="宋体" w:hAnsi="Times New Roman"/>
          <w:color w:val="000000"/>
          <w:sz w:val="20"/>
          <w:szCs w:val="20"/>
        </w:rPr>
        <w:t>ncial Condition and Results of Operations — Financial Risk Management” in Item 7 of this Report.</w:t>
      </w:r>
    </w:p>
    <w:p w14:paraId="00BAE48F" w14:textId="77777777" w:rsidR="00871BDF" w:rsidRDefault="005C5088">
      <w:pPr>
        <w:jc w:val="center"/>
      </w:pPr>
      <w:r>
        <w:rPr>
          <w:rFonts w:ascii="Times New Roman" w:eastAsia="宋体" w:hAnsi="Times New Roman"/>
          <w:color w:val="000000"/>
          <w:sz w:val="20"/>
          <w:szCs w:val="20"/>
        </w:rPr>
        <w:t>46</w:t>
      </w:r>
    </w:p>
    <w:p w14:paraId="00BAE490" w14:textId="77777777" w:rsidR="00871BDF" w:rsidRDefault="005C5088">
      <w:r>
        <w:pict w14:anchorId="00BB1493">
          <v:rect id="_x0000_i1073" style="width:415.3pt;height:1.5pt" o:hralign="center" o:hrstd="t" o:hr="t" fillcolor="#a0a0a0" stroked="f"/>
        </w:pict>
      </w:r>
    </w:p>
    <w:p w14:paraId="00BAE491" w14:textId="77777777" w:rsidR="00871BDF" w:rsidRDefault="005C5088">
      <w:hyperlink r:id="rId129" w:anchor="i54ccc64cb5384be5a4849ef1cdef4dde_7" w:history="1">
        <w:r>
          <w:rPr>
            <w:rStyle w:val="a5"/>
            <w:rFonts w:ascii="Times New Roman" w:eastAsia="宋体" w:hAnsi="Times New Roman"/>
            <w:sz w:val="20"/>
            <w:szCs w:val="20"/>
          </w:rPr>
          <w:t>Tabl</w:t>
        </w:r>
        <w:r>
          <w:rPr>
            <w:rStyle w:val="a5"/>
            <w:rFonts w:ascii="Times New Roman" w:eastAsia="宋体" w:hAnsi="Times New Roman"/>
            <w:sz w:val="20"/>
            <w:szCs w:val="20"/>
          </w:rPr>
          <w:t>e of Contents</w:t>
        </w:r>
      </w:hyperlink>
    </w:p>
    <w:p w14:paraId="00BAE492" w14:textId="77777777" w:rsidR="00871BDF" w:rsidRDefault="005C5088">
      <w:pPr>
        <w:spacing w:before="120"/>
        <w:ind w:hanging="720"/>
      </w:pPr>
      <w:r>
        <w:rPr>
          <w:rFonts w:ascii="Times New Roman" w:eastAsia="宋体" w:hAnsi="Times New Roman"/>
          <w:b/>
          <w:bCs/>
          <w:color w:val="00704A"/>
          <w:sz w:val="20"/>
          <w:szCs w:val="20"/>
        </w:rPr>
        <w:t>Item 8.</w:t>
      </w:r>
      <w:r>
        <w:rPr>
          <w:rFonts w:ascii="Times New Roman" w:eastAsia="宋体" w:hAnsi="Times New Roman"/>
          <w:b/>
          <w:bCs/>
          <w:i/>
          <w:iCs/>
          <w:color w:val="00704A"/>
          <w:sz w:val="20"/>
          <w:szCs w:val="20"/>
        </w:rPr>
        <w:t xml:space="preserve"> Financial Statements and Supplementary Data</w:t>
      </w:r>
    </w:p>
    <w:p w14:paraId="00BAE493" w14:textId="77777777" w:rsidR="00871BDF" w:rsidRDefault="005C5088">
      <w:pPr>
        <w:spacing w:before="280"/>
        <w:jc w:val="center"/>
      </w:pPr>
      <w:r>
        <w:rPr>
          <w:rFonts w:ascii="Times New Roman" w:eastAsia="宋体" w:hAnsi="Times New Roman"/>
          <w:b/>
          <w:bCs/>
          <w:color w:val="000000"/>
          <w:sz w:val="20"/>
          <w:szCs w:val="20"/>
        </w:rPr>
        <w:t>STARBUCKS CORPORATION</w:t>
      </w:r>
    </w:p>
    <w:p w14:paraId="00BAE494" w14:textId="77777777" w:rsidR="00871BDF" w:rsidRDefault="005C5088">
      <w:pPr>
        <w:jc w:val="center"/>
      </w:pPr>
      <w:r>
        <w:rPr>
          <w:rFonts w:ascii="Times New Roman" w:eastAsia="宋体" w:hAnsi="Times New Roman"/>
          <w:b/>
          <w:bCs/>
          <w:color w:val="000000"/>
          <w:sz w:val="20"/>
          <w:szCs w:val="20"/>
        </w:rPr>
        <w:t>CONSOLIDATED STATEMENTS OF EARNINGS</w:t>
      </w:r>
    </w:p>
    <w:p w14:paraId="00BAE495" w14:textId="77777777" w:rsidR="00871BDF" w:rsidRDefault="005C5088">
      <w:pPr>
        <w:jc w:val="center"/>
      </w:pPr>
      <w:r>
        <w:rPr>
          <w:rFonts w:ascii="Times New Roman" w:eastAsia="宋体" w:hAnsi="Times New Roman"/>
          <w:i/>
          <w:iCs/>
          <w:color w:val="000000"/>
          <w:sz w:val="20"/>
          <w:szCs w:val="20"/>
        </w:rPr>
        <w:t>(in millions, except per share data)</w:t>
      </w:r>
    </w:p>
    <w:p w14:paraId="00BAE496" w14:textId="77777777" w:rsidR="00871BDF" w:rsidRDefault="005C5088">
      <w:r>
        <w:rPr>
          <w:rFonts w:ascii="Times New Roman" w:eastAsia="宋体" w:hAnsi="Times New Roman"/>
          <w:color w:val="000000"/>
          <w:sz w:val="18"/>
          <w:szCs w:val="18"/>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391"/>
        <w:gridCol w:w="37"/>
        <w:gridCol w:w="120"/>
        <w:gridCol w:w="1080"/>
        <w:gridCol w:w="36"/>
        <w:gridCol w:w="36"/>
        <w:gridCol w:w="36"/>
        <w:gridCol w:w="36"/>
        <w:gridCol w:w="120"/>
        <w:gridCol w:w="1040"/>
        <w:gridCol w:w="36"/>
        <w:gridCol w:w="36"/>
        <w:gridCol w:w="36"/>
        <w:gridCol w:w="36"/>
        <w:gridCol w:w="120"/>
        <w:gridCol w:w="1040"/>
        <w:gridCol w:w="36"/>
      </w:tblGrid>
      <w:tr w:rsidR="00871BDF" w14:paraId="00BAE4A9" w14:textId="77777777">
        <w:trPr>
          <w:jc w:val="center"/>
        </w:trPr>
        <w:tc>
          <w:tcPr>
            <w:tcW w:w="50" w:type="pct"/>
            <w:shd w:val="clear" w:color="auto" w:fill="auto"/>
          </w:tcPr>
          <w:p w14:paraId="00BAE497" w14:textId="77777777" w:rsidR="00871BDF" w:rsidRDefault="00871BDF">
            <w:pPr>
              <w:rPr>
                <w:rFonts w:ascii="宋体"/>
              </w:rPr>
            </w:pPr>
          </w:p>
        </w:tc>
        <w:tc>
          <w:tcPr>
            <w:tcW w:w="2672" w:type="pct"/>
            <w:shd w:val="clear" w:color="auto" w:fill="auto"/>
          </w:tcPr>
          <w:p w14:paraId="00BAE498" w14:textId="77777777" w:rsidR="00871BDF" w:rsidRDefault="00871BDF">
            <w:pPr>
              <w:rPr>
                <w:rFonts w:ascii="宋体"/>
              </w:rPr>
            </w:pPr>
          </w:p>
        </w:tc>
        <w:tc>
          <w:tcPr>
            <w:tcW w:w="5" w:type="pct"/>
            <w:shd w:val="clear" w:color="auto" w:fill="auto"/>
          </w:tcPr>
          <w:p w14:paraId="00BAE499" w14:textId="77777777" w:rsidR="00871BDF" w:rsidRDefault="00871BDF">
            <w:pPr>
              <w:rPr>
                <w:rFonts w:ascii="宋体"/>
              </w:rPr>
            </w:pPr>
          </w:p>
        </w:tc>
        <w:tc>
          <w:tcPr>
            <w:tcW w:w="50" w:type="pct"/>
            <w:shd w:val="clear" w:color="auto" w:fill="auto"/>
          </w:tcPr>
          <w:p w14:paraId="00BAE49A" w14:textId="77777777" w:rsidR="00871BDF" w:rsidRDefault="00871BDF">
            <w:pPr>
              <w:rPr>
                <w:rFonts w:ascii="宋体"/>
              </w:rPr>
            </w:pPr>
          </w:p>
        </w:tc>
        <w:tc>
          <w:tcPr>
            <w:tcW w:w="678" w:type="pct"/>
            <w:shd w:val="clear" w:color="auto" w:fill="auto"/>
          </w:tcPr>
          <w:p w14:paraId="00BAE49B" w14:textId="77777777" w:rsidR="00871BDF" w:rsidRDefault="00871BDF">
            <w:pPr>
              <w:rPr>
                <w:rFonts w:ascii="宋体"/>
              </w:rPr>
            </w:pPr>
          </w:p>
        </w:tc>
        <w:tc>
          <w:tcPr>
            <w:tcW w:w="5" w:type="pct"/>
            <w:shd w:val="clear" w:color="auto" w:fill="auto"/>
          </w:tcPr>
          <w:p w14:paraId="00BAE49C" w14:textId="77777777" w:rsidR="00871BDF" w:rsidRDefault="00871BDF">
            <w:pPr>
              <w:rPr>
                <w:rFonts w:ascii="宋体"/>
              </w:rPr>
            </w:pPr>
          </w:p>
        </w:tc>
        <w:tc>
          <w:tcPr>
            <w:tcW w:w="5" w:type="pct"/>
            <w:shd w:val="clear" w:color="auto" w:fill="auto"/>
          </w:tcPr>
          <w:p w14:paraId="00BAE49D" w14:textId="77777777" w:rsidR="00871BDF" w:rsidRDefault="00871BDF">
            <w:pPr>
              <w:rPr>
                <w:rFonts w:ascii="宋体"/>
              </w:rPr>
            </w:pPr>
          </w:p>
        </w:tc>
        <w:tc>
          <w:tcPr>
            <w:tcW w:w="26" w:type="pct"/>
            <w:shd w:val="clear" w:color="auto" w:fill="auto"/>
          </w:tcPr>
          <w:p w14:paraId="00BAE49E" w14:textId="77777777" w:rsidR="00871BDF" w:rsidRDefault="00871BDF">
            <w:pPr>
              <w:rPr>
                <w:rFonts w:ascii="宋体"/>
              </w:rPr>
            </w:pPr>
          </w:p>
        </w:tc>
        <w:tc>
          <w:tcPr>
            <w:tcW w:w="5" w:type="pct"/>
            <w:shd w:val="clear" w:color="auto" w:fill="auto"/>
          </w:tcPr>
          <w:p w14:paraId="00BAE49F" w14:textId="77777777" w:rsidR="00871BDF" w:rsidRDefault="00871BDF">
            <w:pPr>
              <w:rPr>
                <w:rFonts w:ascii="宋体"/>
              </w:rPr>
            </w:pPr>
          </w:p>
        </w:tc>
        <w:tc>
          <w:tcPr>
            <w:tcW w:w="50" w:type="pct"/>
            <w:shd w:val="clear" w:color="auto" w:fill="auto"/>
          </w:tcPr>
          <w:p w14:paraId="00BAE4A0" w14:textId="77777777" w:rsidR="00871BDF" w:rsidRDefault="00871BDF">
            <w:pPr>
              <w:rPr>
                <w:rFonts w:ascii="宋体"/>
              </w:rPr>
            </w:pPr>
          </w:p>
        </w:tc>
        <w:tc>
          <w:tcPr>
            <w:tcW w:w="678" w:type="pct"/>
            <w:shd w:val="clear" w:color="auto" w:fill="auto"/>
          </w:tcPr>
          <w:p w14:paraId="00BAE4A1" w14:textId="77777777" w:rsidR="00871BDF" w:rsidRDefault="00871BDF">
            <w:pPr>
              <w:rPr>
                <w:rFonts w:ascii="宋体"/>
              </w:rPr>
            </w:pPr>
          </w:p>
        </w:tc>
        <w:tc>
          <w:tcPr>
            <w:tcW w:w="5" w:type="pct"/>
            <w:shd w:val="clear" w:color="auto" w:fill="auto"/>
          </w:tcPr>
          <w:p w14:paraId="00BAE4A2" w14:textId="77777777" w:rsidR="00871BDF" w:rsidRDefault="00871BDF">
            <w:pPr>
              <w:rPr>
                <w:rFonts w:ascii="宋体"/>
              </w:rPr>
            </w:pPr>
          </w:p>
        </w:tc>
        <w:tc>
          <w:tcPr>
            <w:tcW w:w="5" w:type="pct"/>
            <w:shd w:val="clear" w:color="auto" w:fill="auto"/>
          </w:tcPr>
          <w:p w14:paraId="00BAE4A3" w14:textId="77777777" w:rsidR="00871BDF" w:rsidRDefault="00871BDF">
            <w:pPr>
              <w:rPr>
                <w:rFonts w:ascii="宋体"/>
              </w:rPr>
            </w:pPr>
          </w:p>
        </w:tc>
        <w:tc>
          <w:tcPr>
            <w:tcW w:w="26" w:type="pct"/>
            <w:shd w:val="clear" w:color="auto" w:fill="auto"/>
          </w:tcPr>
          <w:p w14:paraId="00BAE4A4" w14:textId="77777777" w:rsidR="00871BDF" w:rsidRDefault="00871BDF">
            <w:pPr>
              <w:rPr>
                <w:rFonts w:ascii="宋体"/>
              </w:rPr>
            </w:pPr>
          </w:p>
        </w:tc>
        <w:tc>
          <w:tcPr>
            <w:tcW w:w="5" w:type="pct"/>
            <w:shd w:val="clear" w:color="auto" w:fill="auto"/>
          </w:tcPr>
          <w:p w14:paraId="00BAE4A5" w14:textId="77777777" w:rsidR="00871BDF" w:rsidRDefault="00871BDF">
            <w:pPr>
              <w:rPr>
                <w:rFonts w:ascii="宋体"/>
              </w:rPr>
            </w:pPr>
          </w:p>
        </w:tc>
        <w:tc>
          <w:tcPr>
            <w:tcW w:w="50" w:type="pct"/>
            <w:shd w:val="clear" w:color="auto" w:fill="auto"/>
          </w:tcPr>
          <w:p w14:paraId="00BAE4A6" w14:textId="77777777" w:rsidR="00871BDF" w:rsidRDefault="00871BDF">
            <w:pPr>
              <w:rPr>
                <w:rFonts w:ascii="宋体"/>
              </w:rPr>
            </w:pPr>
          </w:p>
        </w:tc>
        <w:tc>
          <w:tcPr>
            <w:tcW w:w="678" w:type="pct"/>
            <w:shd w:val="clear" w:color="auto" w:fill="auto"/>
          </w:tcPr>
          <w:p w14:paraId="00BAE4A7" w14:textId="77777777" w:rsidR="00871BDF" w:rsidRDefault="00871BDF">
            <w:pPr>
              <w:rPr>
                <w:rFonts w:ascii="宋体"/>
              </w:rPr>
            </w:pPr>
          </w:p>
        </w:tc>
        <w:tc>
          <w:tcPr>
            <w:tcW w:w="5" w:type="pct"/>
            <w:shd w:val="clear" w:color="auto" w:fill="auto"/>
          </w:tcPr>
          <w:p w14:paraId="00BAE4A8" w14:textId="77777777" w:rsidR="00871BDF" w:rsidRDefault="00871BDF">
            <w:pPr>
              <w:rPr>
                <w:rFonts w:ascii="宋体"/>
              </w:rPr>
            </w:pPr>
          </w:p>
        </w:tc>
      </w:tr>
      <w:tr w:rsidR="00871BDF" w14:paraId="00BAE4B0" w14:textId="77777777">
        <w:trPr>
          <w:jc w:val="center"/>
        </w:trPr>
        <w:tc>
          <w:tcPr>
            <w:tcW w:w="0" w:type="auto"/>
            <w:gridSpan w:val="3"/>
            <w:shd w:val="clear" w:color="auto" w:fill="auto"/>
            <w:tcMar>
              <w:top w:w="40" w:type="dxa"/>
              <w:left w:w="20" w:type="dxa"/>
              <w:bottom w:w="40" w:type="dxa"/>
              <w:right w:w="20" w:type="dxa"/>
            </w:tcMar>
            <w:vAlign w:val="bottom"/>
          </w:tcPr>
          <w:p w14:paraId="00BAE4AA"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E4AB"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E4A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4AD"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E4AE"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4AF"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r>
      <w:tr w:rsidR="00871BDF" w14:paraId="00BAE4B7" w14:textId="77777777">
        <w:trPr>
          <w:jc w:val="center"/>
        </w:trPr>
        <w:tc>
          <w:tcPr>
            <w:tcW w:w="0" w:type="auto"/>
            <w:gridSpan w:val="3"/>
            <w:shd w:val="clear" w:color="auto" w:fill="D7E4BC"/>
            <w:tcMar>
              <w:top w:w="40" w:type="dxa"/>
              <w:left w:w="20" w:type="dxa"/>
              <w:bottom w:w="40" w:type="dxa"/>
              <w:right w:w="20" w:type="dxa"/>
            </w:tcMar>
          </w:tcPr>
          <w:p w14:paraId="00BAE4B1" w14:textId="77777777" w:rsidR="00871BDF" w:rsidRDefault="005C5088">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revenues:</w:t>
            </w:r>
          </w:p>
        </w:tc>
        <w:tc>
          <w:tcPr>
            <w:tcW w:w="0" w:type="auto"/>
            <w:gridSpan w:val="3"/>
            <w:tcBorders>
              <w:top w:val="single" w:sz="8" w:space="0" w:color="000000"/>
            </w:tcBorders>
            <w:shd w:val="clear" w:color="auto" w:fill="D7E4BC"/>
            <w:tcMar>
              <w:top w:w="0" w:type="dxa"/>
              <w:left w:w="20" w:type="dxa"/>
              <w:bottom w:w="0" w:type="dxa"/>
              <w:right w:w="20" w:type="dxa"/>
            </w:tcMar>
          </w:tcPr>
          <w:p w14:paraId="00BAE4B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4B3"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4B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4B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4B6" w14:textId="77777777" w:rsidR="00871BDF" w:rsidRDefault="00871BDF">
            <w:pPr>
              <w:rPr>
                <w:rFonts w:ascii="宋体"/>
              </w:rPr>
            </w:pPr>
          </w:p>
        </w:tc>
      </w:tr>
      <w:tr w:rsidR="00871BDF" w14:paraId="00BAE4C4" w14:textId="77777777">
        <w:trPr>
          <w:jc w:val="center"/>
        </w:trPr>
        <w:tc>
          <w:tcPr>
            <w:tcW w:w="0" w:type="auto"/>
            <w:gridSpan w:val="3"/>
            <w:shd w:val="clear" w:color="auto" w:fill="FFFFFF"/>
            <w:tcMar>
              <w:top w:w="40" w:type="dxa"/>
              <w:left w:w="155" w:type="dxa"/>
              <w:bottom w:w="40" w:type="dxa"/>
              <w:right w:w="20" w:type="dxa"/>
            </w:tcMar>
          </w:tcPr>
          <w:p w14:paraId="00BAE4B8" w14:textId="77777777" w:rsidR="00871BDF" w:rsidRDefault="005C5088">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00BAE4B9"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4BA" w14:textId="77777777" w:rsidR="00871BDF" w:rsidRDefault="005C5088">
            <w:pPr>
              <w:jc w:val="right"/>
              <w:textAlignment w:val="bottom"/>
            </w:pPr>
            <w:r>
              <w:rPr>
                <w:rFonts w:ascii="Times New Roman" w:eastAsia="宋体" w:hAnsi="Times New Roman"/>
                <w:color w:val="000000"/>
                <w:sz w:val="20"/>
                <w:szCs w:val="20"/>
              </w:rPr>
              <w:t>19,164.6 </w:t>
            </w:r>
          </w:p>
        </w:tc>
        <w:tc>
          <w:tcPr>
            <w:tcW w:w="0" w:type="auto"/>
            <w:shd w:val="clear" w:color="auto" w:fill="FFFFFF"/>
            <w:tcMar>
              <w:top w:w="40" w:type="dxa"/>
              <w:left w:w="0" w:type="dxa"/>
              <w:bottom w:w="40" w:type="dxa"/>
              <w:right w:w="20" w:type="dxa"/>
            </w:tcMar>
            <w:vAlign w:val="bottom"/>
          </w:tcPr>
          <w:p w14:paraId="00BAE4B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4BC"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E4BD"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4BE" w14:textId="77777777" w:rsidR="00871BDF" w:rsidRDefault="005C5088">
            <w:pPr>
              <w:jc w:val="right"/>
              <w:textAlignment w:val="bottom"/>
            </w:pPr>
            <w:r>
              <w:rPr>
                <w:rFonts w:ascii="Times New Roman" w:eastAsia="宋体" w:hAnsi="Times New Roman"/>
                <w:color w:val="000000"/>
                <w:sz w:val="20"/>
                <w:szCs w:val="20"/>
              </w:rPr>
              <w:t>21,544.4 </w:t>
            </w:r>
          </w:p>
        </w:tc>
        <w:tc>
          <w:tcPr>
            <w:tcW w:w="0" w:type="auto"/>
            <w:shd w:val="clear" w:color="auto" w:fill="FFFFFF"/>
            <w:tcMar>
              <w:top w:w="40" w:type="dxa"/>
              <w:left w:w="0" w:type="dxa"/>
              <w:bottom w:w="40" w:type="dxa"/>
              <w:right w:w="20" w:type="dxa"/>
            </w:tcMar>
            <w:vAlign w:val="bottom"/>
          </w:tcPr>
          <w:p w14:paraId="00BAE4B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4C0"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E4C1"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4C2" w14:textId="77777777" w:rsidR="00871BDF" w:rsidRDefault="005C5088">
            <w:pPr>
              <w:jc w:val="right"/>
              <w:textAlignment w:val="bottom"/>
            </w:pPr>
            <w:r>
              <w:rPr>
                <w:rFonts w:ascii="Times New Roman" w:eastAsia="宋体" w:hAnsi="Times New Roman"/>
                <w:color w:val="000000"/>
                <w:sz w:val="20"/>
                <w:szCs w:val="20"/>
              </w:rPr>
              <w:t>19,690.3 </w:t>
            </w:r>
          </w:p>
        </w:tc>
        <w:tc>
          <w:tcPr>
            <w:tcW w:w="0" w:type="auto"/>
            <w:shd w:val="clear" w:color="auto" w:fill="FFFFFF"/>
            <w:tcMar>
              <w:top w:w="40" w:type="dxa"/>
              <w:left w:w="0" w:type="dxa"/>
              <w:bottom w:w="40" w:type="dxa"/>
              <w:right w:w="20" w:type="dxa"/>
            </w:tcMar>
            <w:vAlign w:val="bottom"/>
          </w:tcPr>
          <w:p w14:paraId="00BAE4C3" w14:textId="77777777" w:rsidR="00871BDF" w:rsidRDefault="00871BDF">
            <w:pPr>
              <w:jc w:val="right"/>
              <w:rPr>
                <w:rFonts w:ascii="宋体"/>
              </w:rPr>
            </w:pPr>
          </w:p>
        </w:tc>
      </w:tr>
      <w:tr w:rsidR="00871BDF" w14:paraId="00BAE4CE" w14:textId="77777777">
        <w:trPr>
          <w:jc w:val="center"/>
        </w:trPr>
        <w:tc>
          <w:tcPr>
            <w:tcW w:w="0" w:type="auto"/>
            <w:gridSpan w:val="3"/>
            <w:shd w:val="clear" w:color="auto" w:fill="D7E4BC"/>
            <w:tcMar>
              <w:top w:w="40" w:type="dxa"/>
              <w:left w:w="155" w:type="dxa"/>
              <w:bottom w:w="40" w:type="dxa"/>
              <w:right w:w="20" w:type="dxa"/>
            </w:tcMar>
          </w:tcPr>
          <w:p w14:paraId="00BAE4C5" w14:textId="77777777" w:rsidR="00871BDF" w:rsidRDefault="005C5088">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00BAE4C6" w14:textId="77777777" w:rsidR="00871BDF" w:rsidRDefault="005C5088">
            <w:pPr>
              <w:jc w:val="right"/>
              <w:textAlignment w:val="bottom"/>
            </w:pPr>
            <w:r>
              <w:rPr>
                <w:rFonts w:ascii="Times New Roman" w:eastAsia="宋体" w:hAnsi="Times New Roman"/>
                <w:color w:val="000000"/>
                <w:sz w:val="20"/>
                <w:szCs w:val="20"/>
              </w:rPr>
              <w:t>2,327.1 </w:t>
            </w:r>
          </w:p>
        </w:tc>
        <w:tc>
          <w:tcPr>
            <w:tcW w:w="0" w:type="auto"/>
            <w:shd w:val="clear" w:color="auto" w:fill="D7E4BC"/>
            <w:tcMar>
              <w:top w:w="40" w:type="dxa"/>
              <w:left w:w="0" w:type="dxa"/>
              <w:bottom w:w="40" w:type="dxa"/>
              <w:right w:w="20" w:type="dxa"/>
            </w:tcMar>
            <w:vAlign w:val="bottom"/>
          </w:tcPr>
          <w:p w14:paraId="00BAE4C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4C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4C9" w14:textId="77777777" w:rsidR="00871BDF" w:rsidRDefault="005C5088">
            <w:pPr>
              <w:jc w:val="right"/>
              <w:textAlignment w:val="bottom"/>
            </w:pPr>
            <w:r>
              <w:rPr>
                <w:rFonts w:ascii="Times New Roman" w:eastAsia="宋体" w:hAnsi="Times New Roman"/>
                <w:color w:val="000000"/>
                <w:sz w:val="20"/>
                <w:szCs w:val="20"/>
              </w:rPr>
              <w:t>2,875.0 </w:t>
            </w:r>
          </w:p>
        </w:tc>
        <w:tc>
          <w:tcPr>
            <w:tcW w:w="0" w:type="auto"/>
            <w:shd w:val="clear" w:color="auto" w:fill="D7E4BC"/>
            <w:tcMar>
              <w:top w:w="40" w:type="dxa"/>
              <w:left w:w="0" w:type="dxa"/>
              <w:bottom w:w="40" w:type="dxa"/>
              <w:right w:w="20" w:type="dxa"/>
            </w:tcMar>
            <w:vAlign w:val="bottom"/>
          </w:tcPr>
          <w:p w14:paraId="00BAE4C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4C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4CC" w14:textId="77777777" w:rsidR="00871BDF" w:rsidRDefault="005C5088">
            <w:pPr>
              <w:jc w:val="right"/>
              <w:textAlignment w:val="bottom"/>
            </w:pPr>
            <w:r>
              <w:rPr>
                <w:rFonts w:ascii="Times New Roman" w:eastAsia="宋体" w:hAnsi="Times New Roman"/>
                <w:color w:val="000000"/>
                <w:sz w:val="20"/>
                <w:szCs w:val="20"/>
              </w:rPr>
              <w:t>2,652.2 </w:t>
            </w:r>
          </w:p>
        </w:tc>
        <w:tc>
          <w:tcPr>
            <w:tcW w:w="0" w:type="auto"/>
            <w:shd w:val="clear" w:color="auto" w:fill="D7E4BC"/>
            <w:tcMar>
              <w:top w:w="40" w:type="dxa"/>
              <w:left w:w="0" w:type="dxa"/>
              <w:bottom w:w="40" w:type="dxa"/>
              <w:right w:w="20" w:type="dxa"/>
            </w:tcMar>
            <w:vAlign w:val="bottom"/>
          </w:tcPr>
          <w:p w14:paraId="00BAE4CD" w14:textId="77777777" w:rsidR="00871BDF" w:rsidRDefault="00871BDF">
            <w:pPr>
              <w:jc w:val="right"/>
              <w:rPr>
                <w:rFonts w:ascii="宋体"/>
              </w:rPr>
            </w:pPr>
          </w:p>
        </w:tc>
      </w:tr>
      <w:tr w:rsidR="00871BDF" w14:paraId="00BAE4D8" w14:textId="77777777">
        <w:trPr>
          <w:jc w:val="center"/>
        </w:trPr>
        <w:tc>
          <w:tcPr>
            <w:tcW w:w="0" w:type="auto"/>
            <w:gridSpan w:val="3"/>
            <w:shd w:val="clear" w:color="auto" w:fill="FFFFFF"/>
            <w:tcMar>
              <w:top w:w="40" w:type="dxa"/>
              <w:left w:w="155" w:type="dxa"/>
              <w:bottom w:w="40" w:type="dxa"/>
              <w:right w:w="20" w:type="dxa"/>
            </w:tcMar>
          </w:tcPr>
          <w:p w14:paraId="00BAE4CF" w14:textId="77777777" w:rsidR="00871BDF" w:rsidRDefault="005C5088">
            <w:pPr>
              <w:textAlignment w:val="top"/>
            </w:pPr>
            <w:r>
              <w:rPr>
                <w:rFonts w:ascii="Times New Roman" w:eastAsia="宋体" w:hAnsi="Times New Roman"/>
                <w:color w:val="000000"/>
                <w:sz w:val="20"/>
                <w:szCs w:val="20"/>
              </w:rPr>
              <w:t xml:space="preserve">Other </w:t>
            </w:r>
          </w:p>
        </w:tc>
        <w:tc>
          <w:tcPr>
            <w:tcW w:w="0" w:type="auto"/>
            <w:gridSpan w:val="2"/>
            <w:shd w:val="clear" w:color="auto" w:fill="FFFFFF"/>
            <w:tcMar>
              <w:top w:w="40" w:type="dxa"/>
              <w:left w:w="20" w:type="dxa"/>
              <w:bottom w:w="40" w:type="dxa"/>
              <w:right w:w="0" w:type="dxa"/>
            </w:tcMar>
            <w:vAlign w:val="bottom"/>
          </w:tcPr>
          <w:p w14:paraId="00BAE4D0" w14:textId="77777777" w:rsidR="00871BDF" w:rsidRDefault="005C5088">
            <w:pPr>
              <w:jc w:val="right"/>
              <w:textAlignment w:val="bottom"/>
            </w:pPr>
            <w:r>
              <w:rPr>
                <w:rFonts w:ascii="Times New Roman" w:eastAsia="宋体" w:hAnsi="Times New Roman"/>
                <w:color w:val="000000"/>
                <w:sz w:val="20"/>
                <w:szCs w:val="20"/>
              </w:rPr>
              <w:t>2,026.3 </w:t>
            </w:r>
          </w:p>
        </w:tc>
        <w:tc>
          <w:tcPr>
            <w:tcW w:w="0" w:type="auto"/>
            <w:shd w:val="clear" w:color="auto" w:fill="FFFFFF"/>
            <w:tcMar>
              <w:top w:w="40" w:type="dxa"/>
              <w:left w:w="0" w:type="dxa"/>
              <w:bottom w:w="40" w:type="dxa"/>
              <w:right w:w="20" w:type="dxa"/>
            </w:tcMar>
            <w:vAlign w:val="bottom"/>
          </w:tcPr>
          <w:p w14:paraId="00BAE4D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4D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4D3" w14:textId="77777777" w:rsidR="00871BDF" w:rsidRDefault="005C5088">
            <w:pPr>
              <w:jc w:val="right"/>
              <w:textAlignment w:val="bottom"/>
            </w:pPr>
            <w:r>
              <w:rPr>
                <w:rFonts w:ascii="Times New Roman" w:eastAsia="宋体" w:hAnsi="Times New Roman"/>
                <w:color w:val="000000"/>
                <w:sz w:val="20"/>
                <w:szCs w:val="20"/>
              </w:rPr>
              <w:t>2,089.2 </w:t>
            </w:r>
          </w:p>
        </w:tc>
        <w:tc>
          <w:tcPr>
            <w:tcW w:w="0" w:type="auto"/>
            <w:shd w:val="clear" w:color="auto" w:fill="FFFFFF"/>
            <w:tcMar>
              <w:top w:w="40" w:type="dxa"/>
              <w:left w:w="0" w:type="dxa"/>
              <w:bottom w:w="40" w:type="dxa"/>
              <w:right w:w="20" w:type="dxa"/>
            </w:tcMar>
            <w:vAlign w:val="bottom"/>
          </w:tcPr>
          <w:p w14:paraId="00BAE4D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4D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4D6" w14:textId="77777777" w:rsidR="00871BDF" w:rsidRDefault="005C5088">
            <w:pPr>
              <w:jc w:val="right"/>
              <w:textAlignment w:val="bottom"/>
            </w:pPr>
            <w:r>
              <w:rPr>
                <w:rFonts w:ascii="Times New Roman" w:eastAsia="宋体" w:hAnsi="Times New Roman"/>
                <w:color w:val="000000"/>
                <w:sz w:val="20"/>
                <w:szCs w:val="20"/>
              </w:rPr>
              <w:t>2,377.0 </w:t>
            </w:r>
          </w:p>
        </w:tc>
        <w:tc>
          <w:tcPr>
            <w:tcW w:w="0" w:type="auto"/>
            <w:shd w:val="clear" w:color="auto" w:fill="FFFFFF"/>
            <w:tcMar>
              <w:top w:w="40" w:type="dxa"/>
              <w:left w:w="0" w:type="dxa"/>
              <w:bottom w:w="40" w:type="dxa"/>
              <w:right w:w="20" w:type="dxa"/>
            </w:tcMar>
            <w:vAlign w:val="bottom"/>
          </w:tcPr>
          <w:p w14:paraId="00BAE4D7" w14:textId="77777777" w:rsidR="00871BDF" w:rsidRDefault="00871BDF">
            <w:pPr>
              <w:jc w:val="right"/>
              <w:rPr>
                <w:rFonts w:ascii="宋体"/>
              </w:rPr>
            </w:pPr>
          </w:p>
        </w:tc>
      </w:tr>
      <w:tr w:rsidR="00871BDF" w14:paraId="00BAE4E2" w14:textId="77777777">
        <w:trPr>
          <w:jc w:val="center"/>
        </w:trPr>
        <w:tc>
          <w:tcPr>
            <w:tcW w:w="0" w:type="auto"/>
            <w:gridSpan w:val="3"/>
            <w:shd w:val="clear" w:color="auto" w:fill="D7E4BC"/>
            <w:tcMar>
              <w:top w:w="40" w:type="dxa"/>
              <w:left w:w="20" w:type="dxa"/>
              <w:bottom w:w="40" w:type="dxa"/>
              <w:right w:w="20" w:type="dxa"/>
            </w:tcMar>
          </w:tcPr>
          <w:p w14:paraId="00BAE4D9" w14:textId="77777777" w:rsidR="00871BDF" w:rsidRDefault="005C5088">
            <w:pPr>
              <w:textAlignment w:val="top"/>
            </w:pPr>
            <w:r>
              <w:rPr>
                <w:rFonts w:ascii="Times New Roman" w:eastAsia="宋体" w:hAnsi="Times New Roman"/>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4DA" w14:textId="77777777" w:rsidR="00871BDF" w:rsidRDefault="005C5088">
            <w:pPr>
              <w:jc w:val="right"/>
              <w:textAlignment w:val="bottom"/>
            </w:pPr>
            <w:r>
              <w:rPr>
                <w:rFonts w:ascii="Times New Roman" w:eastAsia="宋体" w:hAnsi="Times New Roman"/>
                <w:color w:val="000000"/>
                <w:sz w:val="20"/>
                <w:szCs w:val="20"/>
              </w:rPr>
              <w:t>23,518.0 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4D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4DC"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4DD" w14:textId="77777777" w:rsidR="00871BDF" w:rsidRDefault="005C5088">
            <w:pPr>
              <w:jc w:val="right"/>
              <w:textAlignment w:val="bottom"/>
            </w:pPr>
            <w:r>
              <w:rPr>
                <w:rFonts w:ascii="Times New Roman" w:eastAsia="宋体" w:hAnsi="Times New Roman"/>
                <w:color w:val="000000"/>
                <w:sz w:val="20"/>
                <w:szCs w:val="20"/>
              </w:rPr>
              <w:t>26,508.6 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4D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4DF"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4E0" w14:textId="77777777" w:rsidR="00871BDF" w:rsidRDefault="005C5088">
            <w:pPr>
              <w:jc w:val="right"/>
              <w:textAlignment w:val="bottom"/>
            </w:pPr>
            <w:r>
              <w:rPr>
                <w:rFonts w:ascii="Times New Roman" w:eastAsia="宋体" w:hAnsi="Times New Roman"/>
                <w:color w:val="000000"/>
                <w:sz w:val="20"/>
                <w:szCs w:val="20"/>
              </w:rPr>
              <w:t>24,719.5 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4E1" w14:textId="77777777" w:rsidR="00871BDF" w:rsidRDefault="00871BDF">
            <w:pPr>
              <w:jc w:val="right"/>
              <w:rPr>
                <w:rFonts w:ascii="宋体"/>
              </w:rPr>
            </w:pPr>
          </w:p>
        </w:tc>
      </w:tr>
      <w:tr w:rsidR="00871BDF" w14:paraId="00BAE4EC" w14:textId="77777777">
        <w:trPr>
          <w:jc w:val="center"/>
        </w:trPr>
        <w:tc>
          <w:tcPr>
            <w:tcW w:w="0" w:type="auto"/>
            <w:gridSpan w:val="3"/>
            <w:shd w:val="clear" w:color="auto" w:fill="FFFFFF"/>
            <w:tcMar>
              <w:top w:w="40" w:type="dxa"/>
              <w:left w:w="20" w:type="dxa"/>
              <w:bottom w:w="40" w:type="dxa"/>
              <w:right w:w="20" w:type="dxa"/>
            </w:tcMar>
          </w:tcPr>
          <w:p w14:paraId="00BAE4E3" w14:textId="77777777" w:rsidR="00871BDF" w:rsidRDefault="005C5088">
            <w:pPr>
              <w:textAlignment w:val="top"/>
            </w:pPr>
            <w:r>
              <w:rPr>
                <w:rFonts w:ascii="Times New Roman" w:eastAsia="宋体" w:hAnsi="Times New Roman"/>
                <w:color w:val="000000"/>
                <w:sz w:val="20"/>
                <w:szCs w:val="20"/>
              </w:rPr>
              <w:t>Product an</w:t>
            </w:r>
            <w:r>
              <w:rPr>
                <w:rFonts w:ascii="Times New Roman" w:eastAsia="宋体" w:hAnsi="Times New Roman"/>
                <w:color w:val="000000"/>
                <w:sz w:val="20"/>
                <w:szCs w:val="20"/>
              </w:rPr>
              <w:t>d distribution costs</w:t>
            </w:r>
          </w:p>
        </w:tc>
        <w:tc>
          <w:tcPr>
            <w:tcW w:w="0" w:type="auto"/>
            <w:gridSpan w:val="2"/>
            <w:shd w:val="clear" w:color="auto" w:fill="FFFFFF"/>
            <w:tcMar>
              <w:top w:w="40" w:type="dxa"/>
              <w:left w:w="20" w:type="dxa"/>
              <w:bottom w:w="40" w:type="dxa"/>
              <w:right w:w="0" w:type="dxa"/>
            </w:tcMar>
            <w:vAlign w:val="bottom"/>
          </w:tcPr>
          <w:p w14:paraId="00BAE4E4" w14:textId="77777777" w:rsidR="00871BDF" w:rsidRDefault="005C5088">
            <w:pPr>
              <w:jc w:val="right"/>
              <w:textAlignment w:val="bottom"/>
            </w:pPr>
            <w:r>
              <w:rPr>
                <w:rFonts w:ascii="Times New Roman" w:eastAsia="宋体" w:hAnsi="Times New Roman"/>
                <w:color w:val="000000"/>
                <w:sz w:val="20"/>
                <w:szCs w:val="20"/>
              </w:rPr>
              <w:t>7,694.9 </w:t>
            </w:r>
          </w:p>
        </w:tc>
        <w:tc>
          <w:tcPr>
            <w:tcW w:w="0" w:type="auto"/>
            <w:shd w:val="clear" w:color="auto" w:fill="FFFFFF"/>
            <w:tcMar>
              <w:top w:w="40" w:type="dxa"/>
              <w:left w:w="0" w:type="dxa"/>
              <w:bottom w:w="40" w:type="dxa"/>
              <w:right w:w="20" w:type="dxa"/>
            </w:tcMar>
            <w:vAlign w:val="bottom"/>
          </w:tcPr>
          <w:p w14:paraId="00BAE4E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4E6"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E4E7" w14:textId="77777777" w:rsidR="00871BDF" w:rsidRDefault="005C5088">
            <w:pPr>
              <w:jc w:val="right"/>
              <w:textAlignment w:val="bottom"/>
            </w:pPr>
            <w:r>
              <w:rPr>
                <w:rFonts w:ascii="Times New Roman" w:eastAsia="宋体" w:hAnsi="Times New Roman"/>
                <w:color w:val="000000"/>
                <w:sz w:val="20"/>
                <w:szCs w:val="20"/>
              </w:rPr>
              <w:t>8,526.9 </w:t>
            </w:r>
          </w:p>
        </w:tc>
        <w:tc>
          <w:tcPr>
            <w:tcW w:w="0" w:type="auto"/>
            <w:shd w:val="clear" w:color="auto" w:fill="auto"/>
            <w:tcMar>
              <w:top w:w="40" w:type="dxa"/>
              <w:left w:w="0" w:type="dxa"/>
              <w:bottom w:w="40" w:type="dxa"/>
              <w:right w:w="20" w:type="dxa"/>
            </w:tcMar>
            <w:vAlign w:val="bottom"/>
          </w:tcPr>
          <w:p w14:paraId="00BAE4E8"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E4E9"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E4EA" w14:textId="77777777" w:rsidR="00871BDF" w:rsidRDefault="005C5088">
            <w:pPr>
              <w:jc w:val="right"/>
              <w:textAlignment w:val="bottom"/>
            </w:pPr>
            <w:r>
              <w:rPr>
                <w:rFonts w:ascii="Times New Roman" w:eastAsia="宋体" w:hAnsi="Times New Roman"/>
                <w:color w:val="000000"/>
                <w:sz w:val="20"/>
                <w:szCs w:val="20"/>
              </w:rPr>
              <w:t>7,930.7 </w:t>
            </w:r>
          </w:p>
        </w:tc>
        <w:tc>
          <w:tcPr>
            <w:tcW w:w="0" w:type="auto"/>
            <w:shd w:val="clear" w:color="auto" w:fill="auto"/>
            <w:tcMar>
              <w:top w:w="40" w:type="dxa"/>
              <w:left w:w="0" w:type="dxa"/>
              <w:bottom w:w="40" w:type="dxa"/>
              <w:right w:w="20" w:type="dxa"/>
            </w:tcMar>
            <w:vAlign w:val="bottom"/>
          </w:tcPr>
          <w:p w14:paraId="00BAE4EB" w14:textId="77777777" w:rsidR="00871BDF" w:rsidRDefault="00871BDF">
            <w:pPr>
              <w:jc w:val="right"/>
              <w:rPr>
                <w:rFonts w:ascii="宋体"/>
              </w:rPr>
            </w:pPr>
          </w:p>
        </w:tc>
      </w:tr>
      <w:tr w:rsidR="00871BDF" w14:paraId="00BAE4F6" w14:textId="77777777">
        <w:trPr>
          <w:jc w:val="center"/>
        </w:trPr>
        <w:tc>
          <w:tcPr>
            <w:tcW w:w="0" w:type="auto"/>
            <w:gridSpan w:val="3"/>
            <w:shd w:val="clear" w:color="auto" w:fill="D7E4BC"/>
            <w:tcMar>
              <w:top w:w="40" w:type="dxa"/>
              <w:left w:w="20" w:type="dxa"/>
              <w:bottom w:w="40" w:type="dxa"/>
              <w:right w:w="20" w:type="dxa"/>
            </w:tcMar>
          </w:tcPr>
          <w:p w14:paraId="00BAE4ED" w14:textId="77777777" w:rsidR="00871BDF" w:rsidRDefault="005C5088">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00BAE4EE" w14:textId="77777777" w:rsidR="00871BDF" w:rsidRDefault="005C5088">
            <w:pPr>
              <w:jc w:val="right"/>
              <w:textAlignment w:val="bottom"/>
            </w:pPr>
            <w:r>
              <w:rPr>
                <w:rFonts w:ascii="Times New Roman" w:eastAsia="宋体" w:hAnsi="Times New Roman"/>
                <w:color w:val="000000"/>
                <w:sz w:val="20"/>
                <w:szCs w:val="20"/>
              </w:rPr>
              <w:t>10,764.0 </w:t>
            </w:r>
          </w:p>
        </w:tc>
        <w:tc>
          <w:tcPr>
            <w:tcW w:w="0" w:type="auto"/>
            <w:shd w:val="clear" w:color="auto" w:fill="D7E4BC"/>
            <w:tcMar>
              <w:top w:w="40" w:type="dxa"/>
              <w:left w:w="0" w:type="dxa"/>
              <w:bottom w:w="40" w:type="dxa"/>
              <w:right w:w="20" w:type="dxa"/>
            </w:tcMar>
            <w:vAlign w:val="bottom"/>
          </w:tcPr>
          <w:p w14:paraId="00BAE4E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4F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4F1" w14:textId="77777777" w:rsidR="00871BDF" w:rsidRDefault="005C5088">
            <w:pPr>
              <w:jc w:val="right"/>
              <w:textAlignment w:val="bottom"/>
            </w:pPr>
            <w:r>
              <w:rPr>
                <w:rFonts w:ascii="Times New Roman" w:eastAsia="宋体" w:hAnsi="Times New Roman"/>
                <w:color w:val="000000"/>
                <w:sz w:val="20"/>
                <w:szCs w:val="20"/>
              </w:rPr>
              <w:t>10,493.6 </w:t>
            </w:r>
          </w:p>
        </w:tc>
        <w:tc>
          <w:tcPr>
            <w:tcW w:w="0" w:type="auto"/>
            <w:shd w:val="clear" w:color="auto" w:fill="D7E4BC"/>
            <w:tcMar>
              <w:top w:w="40" w:type="dxa"/>
              <w:left w:w="0" w:type="dxa"/>
              <w:bottom w:w="40" w:type="dxa"/>
              <w:right w:w="20" w:type="dxa"/>
            </w:tcMar>
            <w:vAlign w:val="bottom"/>
          </w:tcPr>
          <w:p w14:paraId="00BAE4F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4F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4F4" w14:textId="77777777" w:rsidR="00871BDF" w:rsidRDefault="005C5088">
            <w:pPr>
              <w:jc w:val="right"/>
              <w:textAlignment w:val="bottom"/>
            </w:pPr>
            <w:r>
              <w:rPr>
                <w:rFonts w:ascii="Times New Roman" w:eastAsia="宋体" w:hAnsi="Times New Roman"/>
                <w:color w:val="000000"/>
                <w:sz w:val="20"/>
                <w:szCs w:val="20"/>
              </w:rPr>
              <w:t>9,472.2 </w:t>
            </w:r>
          </w:p>
        </w:tc>
        <w:tc>
          <w:tcPr>
            <w:tcW w:w="0" w:type="auto"/>
            <w:shd w:val="clear" w:color="auto" w:fill="D7E4BC"/>
            <w:tcMar>
              <w:top w:w="40" w:type="dxa"/>
              <w:left w:w="0" w:type="dxa"/>
              <w:bottom w:w="40" w:type="dxa"/>
              <w:right w:w="20" w:type="dxa"/>
            </w:tcMar>
            <w:vAlign w:val="bottom"/>
          </w:tcPr>
          <w:p w14:paraId="00BAE4F5" w14:textId="77777777" w:rsidR="00871BDF" w:rsidRDefault="00871BDF">
            <w:pPr>
              <w:jc w:val="right"/>
              <w:rPr>
                <w:rFonts w:ascii="宋体"/>
              </w:rPr>
            </w:pPr>
          </w:p>
        </w:tc>
      </w:tr>
      <w:tr w:rsidR="00871BDF" w14:paraId="00BAE500" w14:textId="77777777">
        <w:trPr>
          <w:jc w:val="center"/>
        </w:trPr>
        <w:tc>
          <w:tcPr>
            <w:tcW w:w="0" w:type="auto"/>
            <w:gridSpan w:val="3"/>
            <w:shd w:val="clear" w:color="auto" w:fill="FFFFFF"/>
            <w:tcMar>
              <w:top w:w="40" w:type="dxa"/>
              <w:left w:w="20" w:type="dxa"/>
              <w:bottom w:w="40" w:type="dxa"/>
              <w:right w:w="20" w:type="dxa"/>
            </w:tcMar>
          </w:tcPr>
          <w:p w14:paraId="00BAE4F7" w14:textId="77777777" w:rsidR="00871BDF" w:rsidRDefault="005C5088">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00BAE4F8" w14:textId="77777777" w:rsidR="00871BDF" w:rsidRDefault="005C5088">
            <w:pPr>
              <w:jc w:val="right"/>
              <w:textAlignment w:val="bottom"/>
            </w:pPr>
            <w:r>
              <w:rPr>
                <w:rFonts w:ascii="Times New Roman" w:eastAsia="宋体" w:hAnsi="Times New Roman"/>
                <w:color w:val="000000"/>
                <w:sz w:val="20"/>
                <w:szCs w:val="20"/>
              </w:rPr>
              <w:t>430.3 </w:t>
            </w:r>
          </w:p>
        </w:tc>
        <w:tc>
          <w:tcPr>
            <w:tcW w:w="0" w:type="auto"/>
            <w:shd w:val="clear" w:color="auto" w:fill="FFFFFF"/>
            <w:tcMar>
              <w:top w:w="40" w:type="dxa"/>
              <w:left w:w="0" w:type="dxa"/>
              <w:bottom w:w="40" w:type="dxa"/>
              <w:right w:w="20" w:type="dxa"/>
            </w:tcMar>
            <w:vAlign w:val="bottom"/>
          </w:tcPr>
          <w:p w14:paraId="00BAE4F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4FA"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E4FB" w14:textId="77777777" w:rsidR="00871BDF" w:rsidRDefault="005C5088">
            <w:pPr>
              <w:jc w:val="right"/>
              <w:textAlignment w:val="bottom"/>
            </w:pPr>
            <w:r>
              <w:rPr>
                <w:rFonts w:ascii="Times New Roman" w:eastAsia="宋体" w:hAnsi="Times New Roman"/>
                <w:color w:val="000000"/>
                <w:sz w:val="20"/>
                <w:szCs w:val="20"/>
              </w:rPr>
              <w:t>371.0 </w:t>
            </w:r>
          </w:p>
        </w:tc>
        <w:tc>
          <w:tcPr>
            <w:tcW w:w="0" w:type="auto"/>
            <w:shd w:val="clear" w:color="auto" w:fill="auto"/>
            <w:tcMar>
              <w:top w:w="40" w:type="dxa"/>
              <w:left w:w="0" w:type="dxa"/>
              <w:bottom w:w="40" w:type="dxa"/>
              <w:right w:w="20" w:type="dxa"/>
            </w:tcMar>
            <w:vAlign w:val="bottom"/>
          </w:tcPr>
          <w:p w14:paraId="00BAE4FC"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E4FD"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E4FE" w14:textId="77777777" w:rsidR="00871BDF" w:rsidRDefault="005C5088">
            <w:pPr>
              <w:jc w:val="right"/>
              <w:textAlignment w:val="bottom"/>
            </w:pPr>
            <w:r>
              <w:rPr>
                <w:rFonts w:ascii="Times New Roman" w:eastAsia="宋体" w:hAnsi="Times New Roman"/>
                <w:color w:val="000000"/>
                <w:sz w:val="20"/>
                <w:szCs w:val="20"/>
              </w:rPr>
              <w:t>554.9 </w:t>
            </w:r>
          </w:p>
        </w:tc>
        <w:tc>
          <w:tcPr>
            <w:tcW w:w="0" w:type="auto"/>
            <w:shd w:val="clear" w:color="auto" w:fill="auto"/>
            <w:tcMar>
              <w:top w:w="40" w:type="dxa"/>
              <w:left w:w="0" w:type="dxa"/>
              <w:bottom w:w="40" w:type="dxa"/>
              <w:right w:w="20" w:type="dxa"/>
            </w:tcMar>
            <w:vAlign w:val="bottom"/>
          </w:tcPr>
          <w:p w14:paraId="00BAE4FF" w14:textId="77777777" w:rsidR="00871BDF" w:rsidRDefault="00871BDF">
            <w:pPr>
              <w:jc w:val="right"/>
              <w:rPr>
                <w:rFonts w:ascii="宋体"/>
              </w:rPr>
            </w:pPr>
          </w:p>
        </w:tc>
      </w:tr>
      <w:tr w:rsidR="00871BDF" w14:paraId="00BAE50A" w14:textId="77777777">
        <w:trPr>
          <w:jc w:val="center"/>
        </w:trPr>
        <w:tc>
          <w:tcPr>
            <w:tcW w:w="0" w:type="auto"/>
            <w:gridSpan w:val="3"/>
            <w:shd w:val="clear" w:color="auto" w:fill="D7E4BC"/>
            <w:tcMar>
              <w:top w:w="40" w:type="dxa"/>
              <w:left w:w="20" w:type="dxa"/>
              <w:bottom w:w="40" w:type="dxa"/>
              <w:right w:w="20" w:type="dxa"/>
            </w:tcMar>
          </w:tcPr>
          <w:p w14:paraId="00BAE501"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0BAE502" w14:textId="77777777" w:rsidR="00871BDF" w:rsidRDefault="005C5088">
            <w:pPr>
              <w:jc w:val="right"/>
              <w:textAlignment w:val="bottom"/>
            </w:pPr>
            <w:r>
              <w:rPr>
                <w:rFonts w:ascii="Times New Roman" w:eastAsia="宋体" w:hAnsi="Times New Roman"/>
                <w:color w:val="000000"/>
                <w:sz w:val="20"/>
                <w:szCs w:val="20"/>
              </w:rPr>
              <w:t>1,431.3 </w:t>
            </w:r>
          </w:p>
        </w:tc>
        <w:tc>
          <w:tcPr>
            <w:tcW w:w="0" w:type="auto"/>
            <w:shd w:val="clear" w:color="auto" w:fill="D7E4BC"/>
            <w:tcMar>
              <w:top w:w="40" w:type="dxa"/>
              <w:left w:w="0" w:type="dxa"/>
              <w:bottom w:w="40" w:type="dxa"/>
              <w:right w:w="20" w:type="dxa"/>
            </w:tcMar>
            <w:vAlign w:val="bottom"/>
          </w:tcPr>
          <w:p w14:paraId="00BAE50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0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505" w14:textId="77777777" w:rsidR="00871BDF" w:rsidRDefault="005C5088">
            <w:pPr>
              <w:jc w:val="right"/>
              <w:textAlignment w:val="bottom"/>
            </w:pPr>
            <w:r>
              <w:rPr>
                <w:rFonts w:ascii="Times New Roman" w:eastAsia="宋体" w:hAnsi="Times New Roman"/>
                <w:color w:val="000000"/>
                <w:sz w:val="20"/>
                <w:szCs w:val="20"/>
              </w:rPr>
              <w:t>1,377.3 </w:t>
            </w:r>
          </w:p>
        </w:tc>
        <w:tc>
          <w:tcPr>
            <w:tcW w:w="0" w:type="auto"/>
            <w:shd w:val="clear" w:color="auto" w:fill="D7E4BC"/>
            <w:tcMar>
              <w:top w:w="40" w:type="dxa"/>
              <w:left w:w="0" w:type="dxa"/>
              <w:bottom w:w="40" w:type="dxa"/>
              <w:right w:w="20" w:type="dxa"/>
            </w:tcMar>
            <w:vAlign w:val="bottom"/>
          </w:tcPr>
          <w:p w14:paraId="00BAE50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0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508" w14:textId="77777777" w:rsidR="00871BDF" w:rsidRDefault="005C5088">
            <w:pPr>
              <w:jc w:val="right"/>
              <w:textAlignment w:val="bottom"/>
            </w:pPr>
            <w:r>
              <w:rPr>
                <w:rFonts w:ascii="Times New Roman" w:eastAsia="宋体" w:hAnsi="Times New Roman"/>
                <w:color w:val="000000"/>
                <w:sz w:val="20"/>
                <w:szCs w:val="20"/>
              </w:rPr>
              <w:t>1,247.0 </w:t>
            </w:r>
          </w:p>
        </w:tc>
        <w:tc>
          <w:tcPr>
            <w:tcW w:w="0" w:type="auto"/>
            <w:shd w:val="clear" w:color="auto" w:fill="D7E4BC"/>
            <w:tcMar>
              <w:top w:w="40" w:type="dxa"/>
              <w:left w:w="0" w:type="dxa"/>
              <w:bottom w:w="40" w:type="dxa"/>
              <w:right w:w="20" w:type="dxa"/>
            </w:tcMar>
            <w:vAlign w:val="bottom"/>
          </w:tcPr>
          <w:p w14:paraId="00BAE509" w14:textId="77777777" w:rsidR="00871BDF" w:rsidRDefault="00871BDF">
            <w:pPr>
              <w:jc w:val="right"/>
              <w:rPr>
                <w:rFonts w:ascii="宋体"/>
              </w:rPr>
            </w:pPr>
          </w:p>
        </w:tc>
      </w:tr>
      <w:tr w:rsidR="00871BDF" w14:paraId="00BAE514" w14:textId="77777777">
        <w:trPr>
          <w:jc w:val="center"/>
        </w:trPr>
        <w:tc>
          <w:tcPr>
            <w:tcW w:w="0" w:type="auto"/>
            <w:gridSpan w:val="3"/>
            <w:shd w:val="clear" w:color="auto" w:fill="FFFFFF"/>
            <w:tcMar>
              <w:top w:w="40" w:type="dxa"/>
              <w:left w:w="20" w:type="dxa"/>
              <w:bottom w:w="40" w:type="dxa"/>
              <w:right w:w="20" w:type="dxa"/>
            </w:tcMar>
          </w:tcPr>
          <w:p w14:paraId="00BAE50B" w14:textId="77777777" w:rsidR="00871BDF" w:rsidRDefault="005C5088">
            <w:pPr>
              <w:textAlignment w:val="top"/>
            </w:pPr>
            <w:r>
              <w:rPr>
                <w:rFonts w:ascii="Times New Roman" w:eastAsia="宋体" w:hAnsi="Times New Roman"/>
                <w:color w:val="000000"/>
                <w:sz w:val="20"/>
                <w:szCs w:val="20"/>
              </w:rPr>
              <w:t xml:space="preserve">General and </w:t>
            </w:r>
            <w:r>
              <w:rPr>
                <w:rFonts w:ascii="Times New Roman" w:eastAsia="宋体" w:hAnsi="Times New Roman"/>
                <w:color w:val="000000"/>
                <w:sz w:val="20"/>
                <w:szCs w:val="20"/>
              </w:rPr>
              <w:t>administrative expenses</w:t>
            </w:r>
          </w:p>
        </w:tc>
        <w:tc>
          <w:tcPr>
            <w:tcW w:w="0" w:type="auto"/>
            <w:gridSpan w:val="2"/>
            <w:shd w:val="clear" w:color="auto" w:fill="FFFFFF"/>
            <w:tcMar>
              <w:top w:w="40" w:type="dxa"/>
              <w:left w:w="20" w:type="dxa"/>
              <w:bottom w:w="40" w:type="dxa"/>
              <w:right w:w="0" w:type="dxa"/>
            </w:tcMar>
            <w:vAlign w:val="bottom"/>
          </w:tcPr>
          <w:p w14:paraId="00BAE50C" w14:textId="77777777" w:rsidR="00871BDF" w:rsidRDefault="005C5088">
            <w:pPr>
              <w:jc w:val="right"/>
              <w:textAlignment w:val="bottom"/>
            </w:pPr>
            <w:r>
              <w:rPr>
                <w:rFonts w:ascii="Times New Roman" w:eastAsia="宋体" w:hAnsi="Times New Roman"/>
                <w:color w:val="000000"/>
                <w:sz w:val="20"/>
                <w:szCs w:val="20"/>
              </w:rPr>
              <w:t>1,679.6 </w:t>
            </w:r>
          </w:p>
        </w:tc>
        <w:tc>
          <w:tcPr>
            <w:tcW w:w="0" w:type="auto"/>
            <w:shd w:val="clear" w:color="auto" w:fill="FFFFFF"/>
            <w:tcMar>
              <w:top w:w="40" w:type="dxa"/>
              <w:left w:w="0" w:type="dxa"/>
              <w:bottom w:w="40" w:type="dxa"/>
              <w:right w:w="20" w:type="dxa"/>
            </w:tcMar>
            <w:vAlign w:val="bottom"/>
          </w:tcPr>
          <w:p w14:paraId="00BAE50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0E"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E50F" w14:textId="77777777" w:rsidR="00871BDF" w:rsidRDefault="005C5088">
            <w:pPr>
              <w:jc w:val="right"/>
              <w:textAlignment w:val="bottom"/>
            </w:pPr>
            <w:r>
              <w:rPr>
                <w:rFonts w:ascii="Times New Roman" w:eastAsia="宋体" w:hAnsi="Times New Roman"/>
                <w:color w:val="000000"/>
                <w:sz w:val="20"/>
                <w:szCs w:val="20"/>
              </w:rPr>
              <w:t>1,824.1 </w:t>
            </w:r>
          </w:p>
        </w:tc>
        <w:tc>
          <w:tcPr>
            <w:tcW w:w="0" w:type="auto"/>
            <w:shd w:val="clear" w:color="auto" w:fill="auto"/>
            <w:tcMar>
              <w:top w:w="40" w:type="dxa"/>
              <w:left w:w="0" w:type="dxa"/>
              <w:bottom w:w="40" w:type="dxa"/>
              <w:right w:w="20" w:type="dxa"/>
            </w:tcMar>
            <w:vAlign w:val="bottom"/>
          </w:tcPr>
          <w:p w14:paraId="00BAE510"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E511"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E512" w14:textId="77777777" w:rsidR="00871BDF" w:rsidRDefault="005C5088">
            <w:pPr>
              <w:jc w:val="right"/>
              <w:textAlignment w:val="bottom"/>
            </w:pPr>
            <w:r>
              <w:rPr>
                <w:rFonts w:ascii="Times New Roman" w:eastAsia="宋体" w:hAnsi="Times New Roman"/>
                <w:color w:val="000000"/>
                <w:sz w:val="20"/>
                <w:szCs w:val="20"/>
              </w:rPr>
              <w:t>1,708.2 </w:t>
            </w:r>
          </w:p>
        </w:tc>
        <w:tc>
          <w:tcPr>
            <w:tcW w:w="0" w:type="auto"/>
            <w:shd w:val="clear" w:color="auto" w:fill="auto"/>
            <w:tcMar>
              <w:top w:w="40" w:type="dxa"/>
              <w:left w:w="0" w:type="dxa"/>
              <w:bottom w:w="40" w:type="dxa"/>
              <w:right w:w="20" w:type="dxa"/>
            </w:tcMar>
            <w:vAlign w:val="bottom"/>
          </w:tcPr>
          <w:p w14:paraId="00BAE513" w14:textId="77777777" w:rsidR="00871BDF" w:rsidRDefault="00871BDF">
            <w:pPr>
              <w:jc w:val="right"/>
              <w:rPr>
                <w:rFonts w:ascii="宋体"/>
              </w:rPr>
            </w:pPr>
          </w:p>
        </w:tc>
      </w:tr>
      <w:tr w:rsidR="00871BDF" w14:paraId="00BAE51E" w14:textId="77777777">
        <w:trPr>
          <w:jc w:val="center"/>
        </w:trPr>
        <w:tc>
          <w:tcPr>
            <w:tcW w:w="0" w:type="auto"/>
            <w:gridSpan w:val="3"/>
            <w:shd w:val="clear" w:color="auto" w:fill="D7E4BC"/>
            <w:tcMar>
              <w:top w:w="40" w:type="dxa"/>
              <w:left w:w="20" w:type="dxa"/>
              <w:bottom w:w="40" w:type="dxa"/>
              <w:right w:w="20" w:type="dxa"/>
            </w:tcMar>
          </w:tcPr>
          <w:p w14:paraId="00BAE515" w14:textId="77777777" w:rsidR="00871BDF" w:rsidRDefault="005C5088">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00BAE516" w14:textId="77777777" w:rsidR="00871BDF" w:rsidRDefault="005C5088">
            <w:pPr>
              <w:jc w:val="right"/>
              <w:textAlignment w:val="bottom"/>
            </w:pPr>
            <w:r>
              <w:rPr>
                <w:rFonts w:ascii="Times New Roman" w:eastAsia="宋体" w:hAnsi="Times New Roman"/>
                <w:color w:val="000000"/>
                <w:sz w:val="20"/>
                <w:szCs w:val="20"/>
              </w:rPr>
              <w:t>278.7 </w:t>
            </w:r>
          </w:p>
        </w:tc>
        <w:tc>
          <w:tcPr>
            <w:tcW w:w="0" w:type="auto"/>
            <w:shd w:val="clear" w:color="auto" w:fill="D7E4BC"/>
            <w:tcMar>
              <w:top w:w="40" w:type="dxa"/>
              <w:left w:w="0" w:type="dxa"/>
              <w:bottom w:w="40" w:type="dxa"/>
              <w:right w:w="20" w:type="dxa"/>
            </w:tcMar>
            <w:vAlign w:val="bottom"/>
          </w:tcPr>
          <w:p w14:paraId="00BAE51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1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519" w14:textId="77777777" w:rsidR="00871BDF" w:rsidRDefault="005C5088">
            <w:pPr>
              <w:jc w:val="right"/>
              <w:textAlignment w:val="bottom"/>
            </w:pPr>
            <w:r>
              <w:rPr>
                <w:rFonts w:ascii="Times New Roman" w:eastAsia="宋体" w:hAnsi="Times New Roman"/>
                <w:color w:val="000000"/>
                <w:sz w:val="20"/>
                <w:szCs w:val="20"/>
              </w:rPr>
              <w:t>135.8 </w:t>
            </w:r>
          </w:p>
        </w:tc>
        <w:tc>
          <w:tcPr>
            <w:tcW w:w="0" w:type="auto"/>
            <w:shd w:val="clear" w:color="auto" w:fill="D7E4BC"/>
            <w:tcMar>
              <w:top w:w="40" w:type="dxa"/>
              <w:left w:w="0" w:type="dxa"/>
              <w:bottom w:w="40" w:type="dxa"/>
              <w:right w:w="20" w:type="dxa"/>
            </w:tcMar>
            <w:vAlign w:val="bottom"/>
          </w:tcPr>
          <w:p w14:paraId="00BAE51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1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51C" w14:textId="77777777" w:rsidR="00871BDF" w:rsidRDefault="005C5088">
            <w:pPr>
              <w:jc w:val="right"/>
              <w:textAlignment w:val="bottom"/>
            </w:pPr>
            <w:r>
              <w:rPr>
                <w:rFonts w:ascii="Times New Roman" w:eastAsia="宋体" w:hAnsi="Times New Roman"/>
                <w:color w:val="000000"/>
                <w:sz w:val="20"/>
                <w:szCs w:val="20"/>
              </w:rPr>
              <w:t>224.4 </w:t>
            </w:r>
          </w:p>
        </w:tc>
        <w:tc>
          <w:tcPr>
            <w:tcW w:w="0" w:type="auto"/>
            <w:shd w:val="clear" w:color="auto" w:fill="D7E4BC"/>
            <w:tcMar>
              <w:top w:w="40" w:type="dxa"/>
              <w:left w:w="0" w:type="dxa"/>
              <w:bottom w:w="40" w:type="dxa"/>
              <w:right w:w="20" w:type="dxa"/>
            </w:tcMar>
            <w:vAlign w:val="bottom"/>
          </w:tcPr>
          <w:p w14:paraId="00BAE51D" w14:textId="77777777" w:rsidR="00871BDF" w:rsidRDefault="00871BDF">
            <w:pPr>
              <w:jc w:val="right"/>
              <w:rPr>
                <w:rFonts w:ascii="宋体"/>
              </w:rPr>
            </w:pPr>
          </w:p>
        </w:tc>
      </w:tr>
      <w:tr w:rsidR="00871BDF" w14:paraId="00BAE528" w14:textId="77777777">
        <w:trPr>
          <w:jc w:val="center"/>
        </w:trPr>
        <w:tc>
          <w:tcPr>
            <w:tcW w:w="0" w:type="auto"/>
            <w:gridSpan w:val="3"/>
            <w:shd w:val="clear" w:color="auto" w:fill="FFFFFF"/>
            <w:tcMar>
              <w:top w:w="40" w:type="dxa"/>
              <w:left w:w="380" w:type="dxa"/>
              <w:bottom w:w="40" w:type="dxa"/>
              <w:right w:w="20" w:type="dxa"/>
            </w:tcMar>
          </w:tcPr>
          <w:p w14:paraId="00BAE51F" w14:textId="77777777" w:rsidR="00871BDF" w:rsidRDefault="005C5088">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520" w14:textId="77777777" w:rsidR="00871BDF" w:rsidRDefault="005C5088">
            <w:pPr>
              <w:jc w:val="right"/>
              <w:textAlignment w:val="bottom"/>
            </w:pPr>
            <w:r>
              <w:rPr>
                <w:rFonts w:ascii="Times New Roman" w:eastAsia="宋体" w:hAnsi="Times New Roman"/>
                <w:color w:val="000000"/>
                <w:sz w:val="20"/>
                <w:szCs w:val="20"/>
              </w:rPr>
              <w:t>22,278.8 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52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22"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523" w14:textId="77777777" w:rsidR="00871BDF" w:rsidRDefault="005C5088">
            <w:pPr>
              <w:jc w:val="right"/>
              <w:textAlignment w:val="bottom"/>
            </w:pPr>
            <w:r>
              <w:rPr>
                <w:rFonts w:ascii="Times New Roman" w:eastAsia="宋体" w:hAnsi="Times New Roman"/>
                <w:color w:val="000000"/>
                <w:sz w:val="20"/>
                <w:szCs w:val="20"/>
              </w:rPr>
              <w:t>22,728.7 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52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25"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526" w14:textId="77777777" w:rsidR="00871BDF" w:rsidRDefault="005C5088">
            <w:pPr>
              <w:jc w:val="right"/>
              <w:textAlignment w:val="bottom"/>
            </w:pPr>
            <w:r>
              <w:rPr>
                <w:rFonts w:ascii="Times New Roman" w:eastAsia="宋体" w:hAnsi="Times New Roman"/>
                <w:color w:val="000000"/>
                <w:sz w:val="20"/>
                <w:szCs w:val="20"/>
              </w:rPr>
              <w:t>21,137.4 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527" w14:textId="77777777" w:rsidR="00871BDF" w:rsidRDefault="00871BDF">
            <w:pPr>
              <w:jc w:val="right"/>
              <w:rPr>
                <w:rFonts w:ascii="宋体"/>
              </w:rPr>
            </w:pPr>
          </w:p>
        </w:tc>
      </w:tr>
      <w:tr w:rsidR="00871BDF" w14:paraId="00BAE532" w14:textId="77777777">
        <w:trPr>
          <w:jc w:val="center"/>
        </w:trPr>
        <w:tc>
          <w:tcPr>
            <w:tcW w:w="0" w:type="auto"/>
            <w:gridSpan w:val="3"/>
            <w:shd w:val="clear" w:color="auto" w:fill="D7E4BC"/>
            <w:tcMar>
              <w:top w:w="40" w:type="dxa"/>
              <w:left w:w="20" w:type="dxa"/>
              <w:bottom w:w="40" w:type="dxa"/>
              <w:right w:w="20" w:type="dxa"/>
            </w:tcMar>
          </w:tcPr>
          <w:p w14:paraId="00BAE529" w14:textId="77777777" w:rsidR="00871BDF" w:rsidRDefault="005C5088">
            <w:pPr>
              <w:textAlignment w:val="top"/>
            </w:pPr>
            <w:r>
              <w:rPr>
                <w:rFonts w:ascii="Times New Roman" w:eastAsia="宋体" w:hAnsi="Times New Roman"/>
                <w:color w:val="000000"/>
                <w:sz w:val="20"/>
                <w:szCs w:val="20"/>
              </w:rPr>
              <w:t>Incom</w:t>
            </w:r>
            <w:r>
              <w:rPr>
                <w:rFonts w:ascii="Times New Roman" w:eastAsia="宋体" w:hAnsi="Times New Roman"/>
                <w:color w:val="000000"/>
                <w:sz w:val="20"/>
                <w:szCs w:val="20"/>
              </w:rPr>
              <w:t>e from equity investees</w:t>
            </w:r>
          </w:p>
        </w:tc>
        <w:tc>
          <w:tcPr>
            <w:tcW w:w="0" w:type="auto"/>
            <w:gridSpan w:val="2"/>
            <w:shd w:val="clear" w:color="auto" w:fill="D7E4BC"/>
            <w:tcMar>
              <w:top w:w="40" w:type="dxa"/>
              <w:left w:w="20" w:type="dxa"/>
              <w:bottom w:w="40" w:type="dxa"/>
              <w:right w:w="0" w:type="dxa"/>
            </w:tcMar>
            <w:vAlign w:val="bottom"/>
          </w:tcPr>
          <w:p w14:paraId="00BAE52A" w14:textId="77777777" w:rsidR="00871BDF" w:rsidRDefault="005C5088">
            <w:pPr>
              <w:jc w:val="right"/>
              <w:textAlignment w:val="bottom"/>
            </w:pPr>
            <w:r>
              <w:rPr>
                <w:rFonts w:ascii="Times New Roman" w:eastAsia="宋体" w:hAnsi="Times New Roman"/>
                <w:color w:val="000000"/>
                <w:sz w:val="20"/>
                <w:szCs w:val="20"/>
              </w:rPr>
              <w:t>322.5 </w:t>
            </w:r>
          </w:p>
        </w:tc>
        <w:tc>
          <w:tcPr>
            <w:tcW w:w="0" w:type="auto"/>
            <w:shd w:val="clear" w:color="auto" w:fill="D7E4BC"/>
            <w:tcMar>
              <w:top w:w="40" w:type="dxa"/>
              <w:left w:w="0" w:type="dxa"/>
              <w:bottom w:w="40" w:type="dxa"/>
              <w:right w:w="20" w:type="dxa"/>
            </w:tcMar>
            <w:vAlign w:val="bottom"/>
          </w:tcPr>
          <w:p w14:paraId="00BAE52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2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52D" w14:textId="77777777" w:rsidR="00871BDF" w:rsidRDefault="005C5088">
            <w:pPr>
              <w:jc w:val="right"/>
              <w:textAlignment w:val="bottom"/>
            </w:pPr>
            <w:r>
              <w:rPr>
                <w:rFonts w:ascii="Times New Roman" w:eastAsia="宋体" w:hAnsi="Times New Roman"/>
                <w:color w:val="000000"/>
                <w:sz w:val="20"/>
                <w:szCs w:val="20"/>
              </w:rPr>
              <w:t>298.0 </w:t>
            </w:r>
          </w:p>
        </w:tc>
        <w:tc>
          <w:tcPr>
            <w:tcW w:w="0" w:type="auto"/>
            <w:shd w:val="clear" w:color="auto" w:fill="D7E4BC"/>
            <w:tcMar>
              <w:top w:w="40" w:type="dxa"/>
              <w:left w:w="0" w:type="dxa"/>
              <w:bottom w:w="40" w:type="dxa"/>
              <w:right w:w="20" w:type="dxa"/>
            </w:tcMar>
            <w:vAlign w:val="bottom"/>
          </w:tcPr>
          <w:p w14:paraId="00BAE52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2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530" w14:textId="77777777" w:rsidR="00871BDF" w:rsidRDefault="005C5088">
            <w:pPr>
              <w:jc w:val="right"/>
              <w:textAlignment w:val="bottom"/>
            </w:pPr>
            <w:r>
              <w:rPr>
                <w:rFonts w:ascii="Times New Roman" w:eastAsia="宋体" w:hAnsi="Times New Roman"/>
                <w:color w:val="000000"/>
                <w:sz w:val="20"/>
                <w:szCs w:val="20"/>
              </w:rPr>
              <w:t>301.2 </w:t>
            </w:r>
          </w:p>
        </w:tc>
        <w:tc>
          <w:tcPr>
            <w:tcW w:w="0" w:type="auto"/>
            <w:shd w:val="clear" w:color="auto" w:fill="D7E4BC"/>
            <w:tcMar>
              <w:top w:w="40" w:type="dxa"/>
              <w:left w:w="0" w:type="dxa"/>
              <w:bottom w:w="40" w:type="dxa"/>
              <w:right w:w="20" w:type="dxa"/>
            </w:tcMar>
            <w:vAlign w:val="bottom"/>
          </w:tcPr>
          <w:p w14:paraId="00BAE531" w14:textId="77777777" w:rsidR="00871BDF" w:rsidRDefault="00871BDF">
            <w:pPr>
              <w:jc w:val="right"/>
              <w:rPr>
                <w:rFonts w:ascii="宋体"/>
              </w:rPr>
            </w:pPr>
          </w:p>
        </w:tc>
      </w:tr>
      <w:tr w:rsidR="00871BDF" w14:paraId="00BAE53C" w14:textId="77777777">
        <w:trPr>
          <w:jc w:val="center"/>
        </w:trPr>
        <w:tc>
          <w:tcPr>
            <w:tcW w:w="0" w:type="auto"/>
            <w:gridSpan w:val="3"/>
            <w:shd w:val="clear" w:color="auto" w:fill="FFFFFF"/>
            <w:tcMar>
              <w:top w:w="40" w:type="dxa"/>
              <w:left w:w="380" w:type="dxa"/>
              <w:bottom w:w="40" w:type="dxa"/>
              <w:right w:w="20" w:type="dxa"/>
            </w:tcMar>
          </w:tcPr>
          <w:p w14:paraId="00BAE533" w14:textId="77777777" w:rsidR="00871BDF" w:rsidRDefault="005C5088">
            <w:pPr>
              <w:textAlignment w:val="top"/>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534" w14:textId="77777777" w:rsidR="00871BDF" w:rsidRDefault="005C5088">
            <w:pPr>
              <w:jc w:val="right"/>
              <w:textAlignment w:val="bottom"/>
            </w:pPr>
            <w:r>
              <w:rPr>
                <w:rFonts w:ascii="Times New Roman" w:eastAsia="宋体" w:hAnsi="Times New Roman"/>
                <w:color w:val="000000"/>
                <w:sz w:val="20"/>
                <w:szCs w:val="20"/>
              </w:rPr>
              <w:t>1,561.7 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53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36"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537" w14:textId="77777777" w:rsidR="00871BDF" w:rsidRDefault="005C5088">
            <w:pPr>
              <w:jc w:val="right"/>
              <w:textAlignment w:val="bottom"/>
            </w:pPr>
            <w:r>
              <w:rPr>
                <w:rFonts w:ascii="Times New Roman" w:eastAsia="宋体" w:hAnsi="Times New Roman"/>
                <w:color w:val="000000"/>
                <w:sz w:val="20"/>
                <w:szCs w:val="20"/>
              </w:rPr>
              <w:t>4,077.9 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53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39"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53A" w14:textId="77777777" w:rsidR="00871BDF" w:rsidRDefault="005C5088">
            <w:pPr>
              <w:jc w:val="right"/>
              <w:textAlignment w:val="bottom"/>
            </w:pPr>
            <w:r>
              <w:rPr>
                <w:rFonts w:ascii="Times New Roman" w:eastAsia="宋体" w:hAnsi="Times New Roman"/>
                <w:color w:val="000000"/>
                <w:sz w:val="20"/>
                <w:szCs w:val="20"/>
              </w:rPr>
              <w:t>3,883.3 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53B" w14:textId="77777777" w:rsidR="00871BDF" w:rsidRDefault="00871BDF">
            <w:pPr>
              <w:jc w:val="right"/>
              <w:rPr>
                <w:rFonts w:ascii="宋体"/>
              </w:rPr>
            </w:pPr>
          </w:p>
        </w:tc>
      </w:tr>
      <w:tr w:rsidR="00871BDF" w14:paraId="00BAE546" w14:textId="77777777">
        <w:trPr>
          <w:jc w:val="center"/>
        </w:trPr>
        <w:tc>
          <w:tcPr>
            <w:tcW w:w="0" w:type="auto"/>
            <w:gridSpan w:val="3"/>
            <w:shd w:val="clear" w:color="auto" w:fill="D7E4BC"/>
            <w:tcMar>
              <w:top w:w="40" w:type="dxa"/>
              <w:left w:w="20" w:type="dxa"/>
              <w:bottom w:w="40" w:type="dxa"/>
              <w:right w:w="20" w:type="dxa"/>
            </w:tcMar>
          </w:tcPr>
          <w:p w14:paraId="00BAE53D" w14:textId="77777777" w:rsidR="00871BDF" w:rsidRDefault="005C5088">
            <w:pPr>
              <w:textAlignment w:val="top"/>
            </w:pPr>
            <w:r>
              <w:rPr>
                <w:rFonts w:ascii="Times New Roman" w:eastAsia="宋体" w:hAnsi="Times New Roman"/>
                <w:color w:val="000000"/>
                <w:sz w:val="20"/>
                <w:szCs w:val="20"/>
              </w:rPr>
              <w:t xml:space="preserve">Gain </w:t>
            </w:r>
            <w:r>
              <w:rPr>
                <w:rFonts w:ascii="Times New Roman" w:eastAsia="宋体" w:hAnsi="Times New Roman"/>
                <w:color w:val="000000"/>
                <w:sz w:val="20"/>
                <w:szCs w:val="20"/>
              </w:rPr>
              <w:t>resulting from acquisition of joint venture</w:t>
            </w:r>
          </w:p>
        </w:tc>
        <w:tc>
          <w:tcPr>
            <w:tcW w:w="0" w:type="auto"/>
            <w:gridSpan w:val="2"/>
            <w:shd w:val="clear" w:color="auto" w:fill="D7E4BC"/>
            <w:tcMar>
              <w:top w:w="40" w:type="dxa"/>
              <w:left w:w="20" w:type="dxa"/>
              <w:bottom w:w="40" w:type="dxa"/>
              <w:right w:w="0" w:type="dxa"/>
            </w:tcMar>
            <w:vAlign w:val="bottom"/>
          </w:tcPr>
          <w:p w14:paraId="00BAE53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53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4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54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54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4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544" w14:textId="77777777" w:rsidR="00871BDF" w:rsidRDefault="005C5088">
            <w:pPr>
              <w:jc w:val="right"/>
              <w:textAlignment w:val="bottom"/>
            </w:pPr>
            <w:r>
              <w:rPr>
                <w:rFonts w:ascii="Times New Roman" w:eastAsia="宋体" w:hAnsi="Times New Roman"/>
                <w:color w:val="000000"/>
                <w:sz w:val="20"/>
                <w:szCs w:val="20"/>
              </w:rPr>
              <w:t>1,376.4 </w:t>
            </w:r>
          </w:p>
        </w:tc>
        <w:tc>
          <w:tcPr>
            <w:tcW w:w="0" w:type="auto"/>
            <w:shd w:val="clear" w:color="auto" w:fill="D7E4BC"/>
            <w:tcMar>
              <w:top w:w="40" w:type="dxa"/>
              <w:left w:w="0" w:type="dxa"/>
              <w:bottom w:w="40" w:type="dxa"/>
              <w:right w:w="20" w:type="dxa"/>
            </w:tcMar>
            <w:vAlign w:val="bottom"/>
          </w:tcPr>
          <w:p w14:paraId="00BAE545" w14:textId="77777777" w:rsidR="00871BDF" w:rsidRDefault="00871BDF">
            <w:pPr>
              <w:jc w:val="right"/>
              <w:rPr>
                <w:rFonts w:ascii="宋体"/>
              </w:rPr>
            </w:pPr>
          </w:p>
        </w:tc>
      </w:tr>
      <w:tr w:rsidR="00871BDF" w14:paraId="00BAE550" w14:textId="77777777">
        <w:trPr>
          <w:jc w:val="center"/>
        </w:trPr>
        <w:tc>
          <w:tcPr>
            <w:tcW w:w="0" w:type="auto"/>
            <w:gridSpan w:val="3"/>
            <w:shd w:val="clear" w:color="auto" w:fill="FFFFFF"/>
            <w:tcMar>
              <w:top w:w="40" w:type="dxa"/>
              <w:left w:w="20" w:type="dxa"/>
              <w:bottom w:w="40" w:type="dxa"/>
              <w:right w:w="20" w:type="dxa"/>
            </w:tcMar>
          </w:tcPr>
          <w:p w14:paraId="00BAE547" w14:textId="77777777" w:rsidR="00871BDF" w:rsidRDefault="005C5088">
            <w:pPr>
              <w:textAlignment w:val="top"/>
            </w:pPr>
            <w:r>
              <w:rPr>
                <w:rFonts w:ascii="Times New Roman" w:eastAsia="宋体" w:hAnsi="Times New Roman"/>
                <w:color w:val="000000"/>
                <w:sz w:val="20"/>
                <w:szCs w:val="20"/>
              </w:rPr>
              <w:t xml:space="preserve">Net gain resulting from divestiture of certain operations </w:t>
            </w:r>
          </w:p>
        </w:tc>
        <w:tc>
          <w:tcPr>
            <w:tcW w:w="0" w:type="auto"/>
            <w:gridSpan w:val="2"/>
            <w:shd w:val="clear" w:color="auto" w:fill="FFFFFF"/>
            <w:tcMar>
              <w:top w:w="40" w:type="dxa"/>
              <w:left w:w="20" w:type="dxa"/>
              <w:bottom w:w="40" w:type="dxa"/>
              <w:right w:w="0" w:type="dxa"/>
            </w:tcMar>
            <w:vAlign w:val="bottom"/>
          </w:tcPr>
          <w:p w14:paraId="00BAE54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54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4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54B" w14:textId="77777777" w:rsidR="00871BDF" w:rsidRDefault="005C5088">
            <w:pPr>
              <w:jc w:val="right"/>
              <w:textAlignment w:val="bottom"/>
            </w:pPr>
            <w:r>
              <w:rPr>
                <w:rFonts w:ascii="Times New Roman" w:eastAsia="宋体" w:hAnsi="Times New Roman"/>
                <w:color w:val="000000"/>
                <w:sz w:val="20"/>
                <w:szCs w:val="20"/>
              </w:rPr>
              <w:t>622.8 </w:t>
            </w:r>
          </w:p>
        </w:tc>
        <w:tc>
          <w:tcPr>
            <w:tcW w:w="0" w:type="auto"/>
            <w:shd w:val="clear" w:color="auto" w:fill="FFFFFF"/>
            <w:tcMar>
              <w:top w:w="40" w:type="dxa"/>
              <w:left w:w="0" w:type="dxa"/>
              <w:bottom w:w="40" w:type="dxa"/>
              <w:right w:w="20" w:type="dxa"/>
            </w:tcMar>
            <w:vAlign w:val="bottom"/>
          </w:tcPr>
          <w:p w14:paraId="00BAE54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4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54E" w14:textId="77777777" w:rsidR="00871BDF" w:rsidRDefault="005C5088">
            <w:pPr>
              <w:jc w:val="right"/>
              <w:textAlignment w:val="bottom"/>
            </w:pPr>
            <w:r>
              <w:rPr>
                <w:rFonts w:ascii="Times New Roman" w:eastAsia="宋体" w:hAnsi="Times New Roman"/>
                <w:color w:val="000000"/>
                <w:sz w:val="20"/>
                <w:szCs w:val="20"/>
              </w:rPr>
              <w:t>499.2 </w:t>
            </w:r>
          </w:p>
        </w:tc>
        <w:tc>
          <w:tcPr>
            <w:tcW w:w="0" w:type="auto"/>
            <w:shd w:val="clear" w:color="auto" w:fill="FFFFFF"/>
            <w:tcMar>
              <w:top w:w="40" w:type="dxa"/>
              <w:left w:w="0" w:type="dxa"/>
              <w:bottom w:w="40" w:type="dxa"/>
              <w:right w:w="20" w:type="dxa"/>
            </w:tcMar>
            <w:vAlign w:val="bottom"/>
          </w:tcPr>
          <w:p w14:paraId="00BAE54F" w14:textId="77777777" w:rsidR="00871BDF" w:rsidRDefault="00871BDF">
            <w:pPr>
              <w:jc w:val="right"/>
              <w:rPr>
                <w:rFonts w:ascii="宋体"/>
              </w:rPr>
            </w:pPr>
          </w:p>
        </w:tc>
      </w:tr>
      <w:tr w:rsidR="00871BDF" w14:paraId="00BAE557" w14:textId="77777777">
        <w:trPr>
          <w:jc w:val="center"/>
          <w:hidden/>
        </w:trPr>
        <w:tc>
          <w:tcPr>
            <w:tcW w:w="0" w:type="auto"/>
            <w:gridSpan w:val="3"/>
            <w:shd w:val="clear" w:color="auto" w:fill="auto"/>
          </w:tcPr>
          <w:p w14:paraId="00BAE551" w14:textId="77777777" w:rsidR="00871BDF" w:rsidRDefault="00871BDF">
            <w:pPr>
              <w:rPr>
                <w:rFonts w:ascii="宋体"/>
                <w:vanish/>
              </w:rPr>
            </w:pPr>
          </w:p>
        </w:tc>
        <w:tc>
          <w:tcPr>
            <w:tcW w:w="0" w:type="auto"/>
            <w:gridSpan w:val="3"/>
            <w:shd w:val="clear" w:color="auto" w:fill="auto"/>
          </w:tcPr>
          <w:p w14:paraId="00BAE552" w14:textId="77777777" w:rsidR="00871BDF" w:rsidRDefault="00871BDF">
            <w:pPr>
              <w:rPr>
                <w:rFonts w:ascii="宋体"/>
                <w:vanish/>
              </w:rPr>
            </w:pPr>
          </w:p>
        </w:tc>
        <w:tc>
          <w:tcPr>
            <w:tcW w:w="0" w:type="auto"/>
            <w:gridSpan w:val="3"/>
            <w:shd w:val="clear" w:color="auto" w:fill="auto"/>
          </w:tcPr>
          <w:p w14:paraId="00BAE553" w14:textId="77777777" w:rsidR="00871BDF" w:rsidRDefault="00871BDF">
            <w:pPr>
              <w:rPr>
                <w:rFonts w:ascii="宋体"/>
                <w:vanish/>
              </w:rPr>
            </w:pPr>
          </w:p>
        </w:tc>
        <w:tc>
          <w:tcPr>
            <w:tcW w:w="0" w:type="auto"/>
            <w:gridSpan w:val="3"/>
            <w:shd w:val="clear" w:color="auto" w:fill="auto"/>
          </w:tcPr>
          <w:p w14:paraId="00BAE554" w14:textId="77777777" w:rsidR="00871BDF" w:rsidRDefault="00871BDF">
            <w:pPr>
              <w:rPr>
                <w:rFonts w:ascii="宋体"/>
                <w:vanish/>
              </w:rPr>
            </w:pPr>
          </w:p>
        </w:tc>
        <w:tc>
          <w:tcPr>
            <w:tcW w:w="0" w:type="auto"/>
            <w:gridSpan w:val="3"/>
            <w:shd w:val="clear" w:color="auto" w:fill="auto"/>
          </w:tcPr>
          <w:p w14:paraId="00BAE555" w14:textId="77777777" w:rsidR="00871BDF" w:rsidRDefault="00871BDF">
            <w:pPr>
              <w:rPr>
                <w:rFonts w:ascii="宋体"/>
                <w:vanish/>
              </w:rPr>
            </w:pPr>
          </w:p>
        </w:tc>
        <w:tc>
          <w:tcPr>
            <w:tcW w:w="0" w:type="auto"/>
            <w:gridSpan w:val="3"/>
            <w:shd w:val="clear" w:color="auto" w:fill="auto"/>
          </w:tcPr>
          <w:p w14:paraId="00BAE556" w14:textId="77777777" w:rsidR="00871BDF" w:rsidRDefault="00871BDF">
            <w:pPr>
              <w:rPr>
                <w:rFonts w:ascii="宋体"/>
                <w:vanish/>
              </w:rPr>
            </w:pPr>
          </w:p>
        </w:tc>
      </w:tr>
      <w:tr w:rsidR="00871BDF" w14:paraId="00BAE561" w14:textId="77777777">
        <w:trPr>
          <w:jc w:val="center"/>
        </w:trPr>
        <w:tc>
          <w:tcPr>
            <w:tcW w:w="0" w:type="auto"/>
            <w:gridSpan w:val="3"/>
            <w:shd w:val="clear" w:color="auto" w:fill="D7E4BC"/>
            <w:tcMar>
              <w:top w:w="40" w:type="dxa"/>
              <w:left w:w="20" w:type="dxa"/>
              <w:bottom w:w="40" w:type="dxa"/>
              <w:right w:w="20" w:type="dxa"/>
            </w:tcMar>
          </w:tcPr>
          <w:p w14:paraId="00BAE558" w14:textId="77777777" w:rsidR="00871BDF" w:rsidRDefault="005C5088">
            <w:pPr>
              <w:textAlignment w:val="top"/>
            </w:pPr>
            <w:r>
              <w:rPr>
                <w:rFonts w:ascii="Times New Roman" w:eastAsia="宋体" w:hAnsi="Times New Roman"/>
                <w:color w:val="000000"/>
                <w:sz w:val="20"/>
                <w:szCs w:val="20"/>
              </w:rPr>
              <w:t>Interest income and other, net</w:t>
            </w:r>
          </w:p>
        </w:tc>
        <w:tc>
          <w:tcPr>
            <w:tcW w:w="0" w:type="auto"/>
            <w:gridSpan w:val="2"/>
            <w:shd w:val="clear" w:color="auto" w:fill="D7E4BC"/>
            <w:tcMar>
              <w:top w:w="40" w:type="dxa"/>
              <w:left w:w="20" w:type="dxa"/>
              <w:bottom w:w="40" w:type="dxa"/>
              <w:right w:w="0" w:type="dxa"/>
            </w:tcMar>
            <w:vAlign w:val="bottom"/>
          </w:tcPr>
          <w:p w14:paraId="00BAE559" w14:textId="77777777" w:rsidR="00871BDF" w:rsidRDefault="005C5088">
            <w:pPr>
              <w:jc w:val="right"/>
              <w:textAlignment w:val="bottom"/>
            </w:pPr>
            <w:r>
              <w:rPr>
                <w:rFonts w:ascii="Times New Roman" w:eastAsia="宋体" w:hAnsi="Times New Roman"/>
                <w:color w:val="000000"/>
                <w:sz w:val="20"/>
                <w:szCs w:val="20"/>
              </w:rPr>
              <w:t>39.7 </w:t>
            </w:r>
          </w:p>
        </w:tc>
        <w:tc>
          <w:tcPr>
            <w:tcW w:w="0" w:type="auto"/>
            <w:shd w:val="clear" w:color="auto" w:fill="D7E4BC"/>
            <w:tcMar>
              <w:top w:w="40" w:type="dxa"/>
              <w:left w:w="0" w:type="dxa"/>
              <w:bottom w:w="40" w:type="dxa"/>
              <w:right w:w="20" w:type="dxa"/>
            </w:tcMar>
            <w:vAlign w:val="bottom"/>
          </w:tcPr>
          <w:p w14:paraId="00BAE55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5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55C" w14:textId="77777777" w:rsidR="00871BDF" w:rsidRDefault="005C5088">
            <w:pPr>
              <w:jc w:val="right"/>
              <w:textAlignment w:val="bottom"/>
            </w:pPr>
            <w:r>
              <w:rPr>
                <w:rFonts w:ascii="Times New Roman" w:eastAsia="宋体" w:hAnsi="Times New Roman"/>
                <w:color w:val="000000"/>
                <w:sz w:val="20"/>
                <w:szCs w:val="20"/>
              </w:rPr>
              <w:t>96.5 </w:t>
            </w:r>
          </w:p>
        </w:tc>
        <w:tc>
          <w:tcPr>
            <w:tcW w:w="0" w:type="auto"/>
            <w:shd w:val="clear" w:color="auto" w:fill="D7E4BC"/>
            <w:tcMar>
              <w:top w:w="40" w:type="dxa"/>
              <w:left w:w="0" w:type="dxa"/>
              <w:bottom w:w="40" w:type="dxa"/>
              <w:right w:w="20" w:type="dxa"/>
            </w:tcMar>
            <w:vAlign w:val="bottom"/>
          </w:tcPr>
          <w:p w14:paraId="00BAE55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5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55F" w14:textId="77777777" w:rsidR="00871BDF" w:rsidRDefault="005C5088">
            <w:pPr>
              <w:jc w:val="right"/>
              <w:textAlignment w:val="bottom"/>
            </w:pPr>
            <w:r>
              <w:rPr>
                <w:rFonts w:ascii="Times New Roman" w:eastAsia="宋体" w:hAnsi="Times New Roman"/>
                <w:color w:val="000000"/>
                <w:sz w:val="20"/>
                <w:szCs w:val="20"/>
              </w:rPr>
              <w:t>191.4 </w:t>
            </w:r>
          </w:p>
        </w:tc>
        <w:tc>
          <w:tcPr>
            <w:tcW w:w="0" w:type="auto"/>
            <w:shd w:val="clear" w:color="auto" w:fill="D7E4BC"/>
            <w:tcMar>
              <w:top w:w="40" w:type="dxa"/>
              <w:left w:w="0" w:type="dxa"/>
              <w:bottom w:w="40" w:type="dxa"/>
              <w:right w:w="20" w:type="dxa"/>
            </w:tcMar>
            <w:vAlign w:val="bottom"/>
          </w:tcPr>
          <w:p w14:paraId="00BAE560" w14:textId="77777777" w:rsidR="00871BDF" w:rsidRDefault="00871BDF">
            <w:pPr>
              <w:jc w:val="right"/>
              <w:rPr>
                <w:rFonts w:ascii="宋体"/>
              </w:rPr>
            </w:pPr>
          </w:p>
        </w:tc>
      </w:tr>
      <w:tr w:rsidR="00871BDF" w14:paraId="00BAE56B" w14:textId="77777777">
        <w:trPr>
          <w:jc w:val="center"/>
        </w:trPr>
        <w:tc>
          <w:tcPr>
            <w:tcW w:w="0" w:type="auto"/>
            <w:gridSpan w:val="3"/>
            <w:shd w:val="clear" w:color="auto" w:fill="FFFFFF"/>
            <w:tcMar>
              <w:top w:w="40" w:type="dxa"/>
              <w:left w:w="20" w:type="dxa"/>
              <w:bottom w:w="40" w:type="dxa"/>
              <w:right w:w="20" w:type="dxa"/>
            </w:tcMar>
          </w:tcPr>
          <w:p w14:paraId="00BAE562" w14:textId="77777777" w:rsidR="00871BDF" w:rsidRDefault="005C5088">
            <w:pPr>
              <w:textAlignment w:val="top"/>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00BAE563" w14:textId="77777777" w:rsidR="00871BDF" w:rsidRDefault="005C5088">
            <w:pPr>
              <w:jc w:val="right"/>
              <w:textAlignment w:val="bottom"/>
            </w:pPr>
            <w:r>
              <w:rPr>
                <w:rFonts w:ascii="Times New Roman" w:eastAsia="宋体" w:hAnsi="Times New Roman"/>
                <w:color w:val="000000"/>
                <w:sz w:val="20"/>
                <w:szCs w:val="20"/>
              </w:rPr>
              <w:t>(437.0)</w:t>
            </w:r>
          </w:p>
        </w:tc>
        <w:tc>
          <w:tcPr>
            <w:tcW w:w="0" w:type="auto"/>
            <w:shd w:val="clear" w:color="auto" w:fill="FFFFFF"/>
            <w:tcMar>
              <w:top w:w="40" w:type="dxa"/>
              <w:left w:w="0" w:type="dxa"/>
              <w:bottom w:w="40" w:type="dxa"/>
              <w:right w:w="20" w:type="dxa"/>
            </w:tcMar>
            <w:vAlign w:val="bottom"/>
          </w:tcPr>
          <w:p w14:paraId="00BAE56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6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566" w14:textId="77777777" w:rsidR="00871BDF" w:rsidRDefault="005C5088">
            <w:pPr>
              <w:jc w:val="right"/>
              <w:textAlignment w:val="bottom"/>
            </w:pPr>
            <w:r>
              <w:rPr>
                <w:rFonts w:ascii="Times New Roman" w:eastAsia="宋体" w:hAnsi="Times New Roman"/>
                <w:color w:val="000000"/>
                <w:sz w:val="20"/>
                <w:szCs w:val="20"/>
              </w:rPr>
              <w:t>(331.0)</w:t>
            </w:r>
          </w:p>
        </w:tc>
        <w:tc>
          <w:tcPr>
            <w:tcW w:w="0" w:type="auto"/>
            <w:shd w:val="clear" w:color="auto" w:fill="FFFFFF"/>
            <w:tcMar>
              <w:top w:w="40" w:type="dxa"/>
              <w:left w:w="0" w:type="dxa"/>
              <w:bottom w:w="40" w:type="dxa"/>
              <w:right w:w="20" w:type="dxa"/>
            </w:tcMar>
            <w:vAlign w:val="bottom"/>
          </w:tcPr>
          <w:p w14:paraId="00BAE56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6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569" w14:textId="77777777" w:rsidR="00871BDF" w:rsidRDefault="005C5088">
            <w:pPr>
              <w:jc w:val="right"/>
              <w:textAlignment w:val="bottom"/>
            </w:pPr>
            <w:r>
              <w:rPr>
                <w:rFonts w:ascii="Times New Roman" w:eastAsia="宋体" w:hAnsi="Times New Roman"/>
                <w:color w:val="000000"/>
                <w:sz w:val="20"/>
                <w:szCs w:val="20"/>
              </w:rPr>
              <w:t>(170.3)</w:t>
            </w:r>
          </w:p>
        </w:tc>
        <w:tc>
          <w:tcPr>
            <w:tcW w:w="0" w:type="auto"/>
            <w:shd w:val="clear" w:color="auto" w:fill="FFFFFF"/>
            <w:tcMar>
              <w:top w:w="40" w:type="dxa"/>
              <w:left w:w="0" w:type="dxa"/>
              <w:bottom w:w="40" w:type="dxa"/>
              <w:right w:w="20" w:type="dxa"/>
            </w:tcMar>
            <w:vAlign w:val="bottom"/>
          </w:tcPr>
          <w:p w14:paraId="00BAE56A" w14:textId="77777777" w:rsidR="00871BDF" w:rsidRDefault="00871BDF">
            <w:pPr>
              <w:jc w:val="right"/>
              <w:rPr>
                <w:rFonts w:ascii="宋体"/>
              </w:rPr>
            </w:pPr>
          </w:p>
        </w:tc>
      </w:tr>
      <w:tr w:rsidR="00871BDF" w14:paraId="00BAE575" w14:textId="77777777">
        <w:trPr>
          <w:jc w:val="center"/>
        </w:trPr>
        <w:tc>
          <w:tcPr>
            <w:tcW w:w="0" w:type="auto"/>
            <w:gridSpan w:val="3"/>
            <w:shd w:val="clear" w:color="auto" w:fill="D7E4BC"/>
            <w:tcMar>
              <w:top w:w="40" w:type="dxa"/>
              <w:left w:w="380" w:type="dxa"/>
              <w:bottom w:w="40" w:type="dxa"/>
              <w:right w:w="20" w:type="dxa"/>
            </w:tcMar>
          </w:tcPr>
          <w:p w14:paraId="00BAE56C" w14:textId="77777777" w:rsidR="00871BDF" w:rsidRDefault="005C5088">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56D" w14:textId="77777777" w:rsidR="00871BDF" w:rsidRDefault="005C5088">
            <w:pPr>
              <w:jc w:val="right"/>
              <w:textAlignment w:val="bottom"/>
            </w:pPr>
            <w:r>
              <w:rPr>
                <w:rFonts w:ascii="Times New Roman" w:eastAsia="宋体" w:hAnsi="Times New Roman"/>
                <w:color w:val="000000"/>
                <w:sz w:val="20"/>
                <w:szCs w:val="20"/>
              </w:rPr>
              <w:t>1,164.4 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56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6F"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570" w14:textId="77777777" w:rsidR="00871BDF" w:rsidRDefault="005C5088">
            <w:pPr>
              <w:jc w:val="right"/>
              <w:textAlignment w:val="bottom"/>
            </w:pPr>
            <w:r>
              <w:rPr>
                <w:rFonts w:ascii="Times New Roman" w:eastAsia="宋体" w:hAnsi="Times New Roman"/>
                <w:color w:val="000000"/>
                <w:sz w:val="20"/>
                <w:szCs w:val="20"/>
              </w:rPr>
              <w:t>4,466.2 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57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72"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573" w14:textId="77777777" w:rsidR="00871BDF" w:rsidRDefault="005C5088">
            <w:pPr>
              <w:jc w:val="right"/>
              <w:textAlignment w:val="bottom"/>
            </w:pPr>
            <w:r>
              <w:rPr>
                <w:rFonts w:ascii="Times New Roman" w:eastAsia="宋体" w:hAnsi="Times New Roman"/>
                <w:color w:val="000000"/>
                <w:sz w:val="20"/>
                <w:szCs w:val="20"/>
              </w:rPr>
              <w:t>5,780.0 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574" w14:textId="77777777" w:rsidR="00871BDF" w:rsidRDefault="00871BDF">
            <w:pPr>
              <w:jc w:val="right"/>
              <w:rPr>
                <w:rFonts w:ascii="宋体"/>
              </w:rPr>
            </w:pPr>
          </w:p>
        </w:tc>
      </w:tr>
      <w:tr w:rsidR="00871BDF" w14:paraId="00BAE57F" w14:textId="77777777">
        <w:trPr>
          <w:jc w:val="center"/>
        </w:trPr>
        <w:tc>
          <w:tcPr>
            <w:tcW w:w="0" w:type="auto"/>
            <w:gridSpan w:val="3"/>
            <w:shd w:val="clear" w:color="auto" w:fill="FFFFFF"/>
            <w:tcMar>
              <w:top w:w="40" w:type="dxa"/>
              <w:left w:w="20" w:type="dxa"/>
              <w:bottom w:w="40" w:type="dxa"/>
              <w:right w:w="20" w:type="dxa"/>
            </w:tcMar>
          </w:tcPr>
          <w:p w14:paraId="00BAE576" w14:textId="77777777" w:rsidR="00871BDF" w:rsidRDefault="005C5088">
            <w:pPr>
              <w:textAlignment w:val="top"/>
            </w:pPr>
            <w:r>
              <w:rPr>
                <w:rFonts w:ascii="Times New Roman" w:eastAsia="宋体" w:hAnsi="Times New Roman"/>
                <w:color w:val="000000"/>
                <w:sz w:val="20"/>
                <w:szCs w:val="20"/>
              </w:rPr>
              <w:t>Incom</w:t>
            </w:r>
            <w:r>
              <w:rPr>
                <w:rFonts w:ascii="Times New Roman" w:eastAsia="宋体" w:hAnsi="Times New Roman"/>
                <w:color w:val="000000"/>
                <w:sz w:val="20"/>
                <w:szCs w:val="20"/>
              </w:rPr>
              <w:t>e tax expense</w:t>
            </w:r>
          </w:p>
        </w:tc>
        <w:tc>
          <w:tcPr>
            <w:tcW w:w="0" w:type="auto"/>
            <w:gridSpan w:val="2"/>
            <w:shd w:val="clear" w:color="auto" w:fill="FFFFFF"/>
            <w:tcMar>
              <w:top w:w="40" w:type="dxa"/>
              <w:left w:w="20" w:type="dxa"/>
              <w:bottom w:w="40" w:type="dxa"/>
              <w:right w:w="0" w:type="dxa"/>
            </w:tcMar>
            <w:vAlign w:val="bottom"/>
          </w:tcPr>
          <w:p w14:paraId="00BAE577" w14:textId="77777777" w:rsidR="00871BDF" w:rsidRDefault="005C5088">
            <w:pPr>
              <w:jc w:val="right"/>
              <w:textAlignment w:val="bottom"/>
            </w:pPr>
            <w:r>
              <w:rPr>
                <w:rFonts w:ascii="Times New Roman" w:eastAsia="宋体" w:hAnsi="Times New Roman"/>
                <w:color w:val="000000"/>
                <w:sz w:val="20"/>
                <w:szCs w:val="20"/>
              </w:rPr>
              <w:t>239.7 </w:t>
            </w:r>
          </w:p>
        </w:tc>
        <w:tc>
          <w:tcPr>
            <w:tcW w:w="0" w:type="auto"/>
            <w:shd w:val="clear" w:color="auto" w:fill="FFFFFF"/>
            <w:tcMar>
              <w:top w:w="40" w:type="dxa"/>
              <w:left w:w="0" w:type="dxa"/>
              <w:bottom w:w="40" w:type="dxa"/>
              <w:right w:w="20" w:type="dxa"/>
            </w:tcMar>
            <w:vAlign w:val="bottom"/>
          </w:tcPr>
          <w:p w14:paraId="00BAE57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7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57A" w14:textId="77777777" w:rsidR="00871BDF" w:rsidRDefault="005C5088">
            <w:pPr>
              <w:jc w:val="right"/>
              <w:textAlignment w:val="bottom"/>
            </w:pPr>
            <w:r>
              <w:rPr>
                <w:rFonts w:ascii="Times New Roman" w:eastAsia="宋体" w:hAnsi="Times New Roman"/>
                <w:color w:val="000000"/>
                <w:sz w:val="20"/>
                <w:szCs w:val="20"/>
              </w:rPr>
              <w:t>871.6 </w:t>
            </w:r>
          </w:p>
        </w:tc>
        <w:tc>
          <w:tcPr>
            <w:tcW w:w="0" w:type="auto"/>
            <w:shd w:val="clear" w:color="auto" w:fill="FFFFFF"/>
            <w:tcMar>
              <w:top w:w="40" w:type="dxa"/>
              <w:left w:w="0" w:type="dxa"/>
              <w:bottom w:w="40" w:type="dxa"/>
              <w:right w:w="20" w:type="dxa"/>
            </w:tcMar>
            <w:vAlign w:val="bottom"/>
          </w:tcPr>
          <w:p w14:paraId="00BAE57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7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57D" w14:textId="77777777" w:rsidR="00871BDF" w:rsidRDefault="005C5088">
            <w:pPr>
              <w:jc w:val="right"/>
              <w:textAlignment w:val="bottom"/>
            </w:pPr>
            <w:r>
              <w:rPr>
                <w:rFonts w:ascii="Times New Roman" w:eastAsia="宋体" w:hAnsi="Times New Roman"/>
                <w:color w:val="000000"/>
                <w:sz w:val="20"/>
                <w:szCs w:val="20"/>
              </w:rPr>
              <w:t>1,262.0 </w:t>
            </w:r>
          </w:p>
        </w:tc>
        <w:tc>
          <w:tcPr>
            <w:tcW w:w="0" w:type="auto"/>
            <w:shd w:val="clear" w:color="auto" w:fill="FFFFFF"/>
            <w:tcMar>
              <w:top w:w="40" w:type="dxa"/>
              <w:left w:w="0" w:type="dxa"/>
              <w:bottom w:w="40" w:type="dxa"/>
              <w:right w:w="20" w:type="dxa"/>
            </w:tcMar>
            <w:vAlign w:val="bottom"/>
          </w:tcPr>
          <w:p w14:paraId="00BAE57E" w14:textId="77777777" w:rsidR="00871BDF" w:rsidRDefault="00871BDF">
            <w:pPr>
              <w:jc w:val="right"/>
              <w:rPr>
                <w:rFonts w:ascii="宋体"/>
              </w:rPr>
            </w:pPr>
          </w:p>
        </w:tc>
      </w:tr>
      <w:tr w:rsidR="00871BDF" w14:paraId="00BAE589" w14:textId="77777777">
        <w:trPr>
          <w:jc w:val="center"/>
        </w:trPr>
        <w:tc>
          <w:tcPr>
            <w:tcW w:w="0" w:type="auto"/>
            <w:gridSpan w:val="3"/>
            <w:shd w:val="clear" w:color="auto" w:fill="D7E4BC"/>
            <w:tcMar>
              <w:top w:w="40" w:type="dxa"/>
              <w:left w:w="380" w:type="dxa"/>
              <w:bottom w:w="40" w:type="dxa"/>
              <w:right w:w="20" w:type="dxa"/>
            </w:tcMar>
          </w:tcPr>
          <w:p w14:paraId="00BAE580" w14:textId="77777777" w:rsidR="00871BDF" w:rsidRDefault="005C5088">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581" w14:textId="77777777" w:rsidR="00871BDF" w:rsidRDefault="005C5088">
            <w:pPr>
              <w:jc w:val="right"/>
              <w:textAlignment w:val="bottom"/>
            </w:pPr>
            <w:r>
              <w:rPr>
                <w:rFonts w:ascii="Times New Roman" w:eastAsia="宋体" w:hAnsi="Times New Roman"/>
                <w:color w:val="000000"/>
                <w:sz w:val="20"/>
                <w:szCs w:val="20"/>
              </w:rPr>
              <w:t>924.7 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58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83"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584" w14:textId="77777777" w:rsidR="00871BDF" w:rsidRDefault="005C5088">
            <w:pPr>
              <w:jc w:val="right"/>
              <w:textAlignment w:val="bottom"/>
            </w:pPr>
            <w:r>
              <w:rPr>
                <w:rFonts w:ascii="Times New Roman" w:eastAsia="宋体" w:hAnsi="Times New Roman"/>
                <w:color w:val="000000"/>
                <w:sz w:val="20"/>
                <w:szCs w:val="20"/>
              </w:rPr>
              <w:t>3,594.6 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58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86"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587" w14:textId="77777777" w:rsidR="00871BDF" w:rsidRDefault="005C5088">
            <w:pPr>
              <w:jc w:val="right"/>
              <w:textAlignment w:val="bottom"/>
            </w:pPr>
            <w:r>
              <w:rPr>
                <w:rFonts w:ascii="Times New Roman" w:eastAsia="宋体" w:hAnsi="Times New Roman"/>
                <w:color w:val="000000"/>
                <w:sz w:val="20"/>
                <w:szCs w:val="20"/>
              </w:rPr>
              <w:t>4,518.0 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588" w14:textId="77777777" w:rsidR="00871BDF" w:rsidRDefault="00871BDF">
            <w:pPr>
              <w:jc w:val="right"/>
              <w:rPr>
                <w:rFonts w:ascii="宋体"/>
              </w:rPr>
            </w:pPr>
          </w:p>
        </w:tc>
      </w:tr>
      <w:tr w:rsidR="00871BDF" w14:paraId="00BAE593" w14:textId="77777777">
        <w:trPr>
          <w:jc w:val="center"/>
        </w:trPr>
        <w:tc>
          <w:tcPr>
            <w:tcW w:w="0" w:type="auto"/>
            <w:gridSpan w:val="3"/>
            <w:shd w:val="clear" w:color="auto" w:fill="FFFFFF"/>
            <w:tcMar>
              <w:top w:w="40" w:type="dxa"/>
              <w:left w:w="380" w:type="dxa"/>
              <w:bottom w:w="40" w:type="dxa"/>
              <w:right w:w="20" w:type="dxa"/>
            </w:tcMar>
          </w:tcPr>
          <w:p w14:paraId="00BAE58A" w14:textId="77777777" w:rsidR="00871BDF" w:rsidRDefault="005C5088">
            <w:pPr>
              <w:textAlignment w:val="top"/>
            </w:pPr>
            <w:r>
              <w:rPr>
                <w:rFonts w:ascii="Times New Roman" w:eastAsia="宋体" w:hAnsi="Times New Roman"/>
                <w:color w:val="000000"/>
                <w:sz w:val="20"/>
                <w:szCs w:val="20"/>
              </w:rPr>
              <w:t>Net l</w:t>
            </w:r>
            <w:r>
              <w:rPr>
                <w:rFonts w:ascii="Times New Roman" w:eastAsia="宋体" w:hAnsi="Times New Roman"/>
                <w:color w:val="000000"/>
                <w:sz w:val="20"/>
                <w:szCs w:val="20"/>
              </w:rPr>
              <w:t>oss attributable to noncontrolling interests</w:t>
            </w:r>
          </w:p>
        </w:tc>
        <w:tc>
          <w:tcPr>
            <w:tcW w:w="0" w:type="auto"/>
            <w:gridSpan w:val="2"/>
            <w:shd w:val="clear" w:color="auto" w:fill="FFFFFF"/>
            <w:tcMar>
              <w:top w:w="40" w:type="dxa"/>
              <w:left w:w="20" w:type="dxa"/>
              <w:bottom w:w="40" w:type="dxa"/>
              <w:right w:w="0" w:type="dxa"/>
            </w:tcMar>
            <w:vAlign w:val="bottom"/>
          </w:tcPr>
          <w:p w14:paraId="00BAE58B" w14:textId="77777777" w:rsidR="00871BDF" w:rsidRDefault="005C5088">
            <w:pPr>
              <w:jc w:val="right"/>
              <w:textAlignment w:val="bottom"/>
            </w:pPr>
            <w:r>
              <w:rPr>
                <w:rFonts w:ascii="Times New Roman" w:eastAsia="宋体" w:hAnsi="Times New Roman"/>
                <w:color w:val="000000"/>
                <w:sz w:val="20"/>
                <w:szCs w:val="20"/>
              </w:rPr>
              <w:t>(3.6)</w:t>
            </w:r>
          </w:p>
        </w:tc>
        <w:tc>
          <w:tcPr>
            <w:tcW w:w="0" w:type="auto"/>
            <w:shd w:val="clear" w:color="auto" w:fill="FFFFFF"/>
            <w:tcMar>
              <w:top w:w="40" w:type="dxa"/>
              <w:left w:w="0" w:type="dxa"/>
              <w:bottom w:w="40" w:type="dxa"/>
              <w:right w:w="20" w:type="dxa"/>
            </w:tcMar>
            <w:vAlign w:val="bottom"/>
          </w:tcPr>
          <w:p w14:paraId="00BAE58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8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58E" w14:textId="77777777" w:rsidR="00871BDF" w:rsidRDefault="005C5088">
            <w:pPr>
              <w:jc w:val="right"/>
              <w:textAlignment w:val="bottom"/>
            </w:pPr>
            <w:r>
              <w:rPr>
                <w:rFonts w:ascii="Times New Roman" w:eastAsia="宋体" w:hAnsi="Times New Roman"/>
                <w:color w:val="000000"/>
                <w:sz w:val="20"/>
                <w:szCs w:val="20"/>
              </w:rPr>
              <w:t>(4.6)</w:t>
            </w:r>
          </w:p>
        </w:tc>
        <w:tc>
          <w:tcPr>
            <w:tcW w:w="0" w:type="auto"/>
            <w:shd w:val="clear" w:color="auto" w:fill="FFFFFF"/>
            <w:tcMar>
              <w:top w:w="40" w:type="dxa"/>
              <w:left w:w="0" w:type="dxa"/>
              <w:bottom w:w="40" w:type="dxa"/>
              <w:right w:w="20" w:type="dxa"/>
            </w:tcMar>
            <w:vAlign w:val="bottom"/>
          </w:tcPr>
          <w:p w14:paraId="00BAE58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9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591" w14:textId="77777777" w:rsidR="00871BDF" w:rsidRDefault="005C5088">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00BAE592" w14:textId="77777777" w:rsidR="00871BDF" w:rsidRDefault="00871BDF">
            <w:pPr>
              <w:jc w:val="right"/>
              <w:rPr>
                <w:rFonts w:ascii="宋体"/>
              </w:rPr>
            </w:pPr>
          </w:p>
        </w:tc>
      </w:tr>
      <w:tr w:rsidR="00871BDF" w14:paraId="00BAE5A0" w14:textId="77777777">
        <w:trPr>
          <w:jc w:val="center"/>
        </w:trPr>
        <w:tc>
          <w:tcPr>
            <w:tcW w:w="0" w:type="auto"/>
            <w:gridSpan w:val="3"/>
            <w:shd w:val="clear" w:color="auto" w:fill="D7E4BC"/>
            <w:tcMar>
              <w:top w:w="40" w:type="dxa"/>
              <w:left w:w="380" w:type="dxa"/>
              <w:bottom w:w="40" w:type="dxa"/>
              <w:right w:w="20" w:type="dxa"/>
            </w:tcMar>
          </w:tcPr>
          <w:p w14:paraId="00BAE594" w14:textId="77777777" w:rsidR="00871BDF" w:rsidRDefault="005C5088">
            <w:pPr>
              <w:textAlignment w:val="top"/>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E59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596" w14:textId="77777777" w:rsidR="00871BDF" w:rsidRDefault="005C5088">
            <w:pPr>
              <w:jc w:val="right"/>
              <w:textAlignment w:val="bottom"/>
            </w:pPr>
            <w:r>
              <w:rPr>
                <w:rFonts w:ascii="Times New Roman" w:eastAsia="宋体" w:hAnsi="Times New Roman"/>
                <w:color w:val="000000"/>
                <w:sz w:val="20"/>
                <w:szCs w:val="20"/>
              </w:rPr>
              <w:t>928.3 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59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98"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59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59A" w14:textId="77777777" w:rsidR="00871BDF" w:rsidRDefault="005C5088">
            <w:pPr>
              <w:jc w:val="right"/>
              <w:textAlignment w:val="bottom"/>
            </w:pPr>
            <w:r>
              <w:rPr>
                <w:rFonts w:ascii="Times New Roman" w:eastAsia="宋体" w:hAnsi="Times New Roman"/>
                <w:color w:val="000000"/>
                <w:sz w:val="20"/>
                <w:szCs w:val="20"/>
              </w:rPr>
              <w:t>3,599.2 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59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9C"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59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59E" w14:textId="77777777" w:rsidR="00871BDF" w:rsidRDefault="005C5088">
            <w:pPr>
              <w:jc w:val="right"/>
              <w:textAlignment w:val="bottom"/>
            </w:pPr>
            <w:r>
              <w:rPr>
                <w:rFonts w:ascii="Times New Roman" w:eastAsia="宋体" w:hAnsi="Times New Roman"/>
                <w:color w:val="000000"/>
                <w:sz w:val="20"/>
                <w:szCs w:val="20"/>
              </w:rPr>
              <w:t>4,518.3 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59F" w14:textId="77777777" w:rsidR="00871BDF" w:rsidRDefault="00871BDF">
            <w:pPr>
              <w:jc w:val="right"/>
              <w:rPr>
                <w:rFonts w:ascii="宋体"/>
              </w:rPr>
            </w:pPr>
          </w:p>
        </w:tc>
      </w:tr>
      <w:tr w:rsidR="00871BDF" w14:paraId="00BAE5AD" w14:textId="77777777">
        <w:trPr>
          <w:jc w:val="center"/>
        </w:trPr>
        <w:tc>
          <w:tcPr>
            <w:tcW w:w="0" w:type="auto"/>
            <w:gridSpan w:val="3"/>
            <w:shd w:val="clear" w:color="auto" w:fill="FFFFFF"/>
            <w:tcMar>
              <w:top w:w="40" w:type="dxa"/>
              <w:left w:w="20" w:type="dxa"/>
              <w:bottom w:w="40" w:type="dxa"/>
              <w:right w:w="20" w:type="dxa"/>
            </w:tcMar>
          </w:tcPr>
          <w:p w14:paraId="00BAE5A1" w14:textId="77777777" w:rsidR="00871BDF" w:rsidRDefault="005C5088">
            <w:pPr>
              <w:textAlignment w:val="top"/>
            </w:pPr>
            <w:r>
              <w:rPr>
                <w:rFonts w:ascii="Times New Roman" w:eastAsia="宋体" w:hAnsi="Times New Roman"/>
                <w:color w:val="000000"/>
                <w:sz w:val="20"/>
                <w:szCs w:val="20"/>
              </w:rPr>
              <w:t>Earnings per share — basic</w:t>
            </w:r>
          </w:p>
        </w:tc>
        <w:tc>
          <w:tcPr>
            <w:tcW w:w="0" w:type="auto"/>
            <w:tcBorders>
              <w:top w:val="double" w:sz="6" w:space="0" w:color="000000"/>
            </w:tcBorders>
            <w:shd w:val="clear" w:color="auto" w:fill="FFFFFF"/>
            <w:tcMar>
              <w:top w:w="40" w:type="dxa"/>
              <w:left w:w="20" w:type="dxa"/>
              <w:bottom w:w="40" w:type="dxa"/>
              <w:right w:w="0" w:type="dxa"/>
            </w:tcMar>
            <w:vAlign w:val="bottom"/>
          </w:tcPr>
          <w:p w14:paraId="00BAE5A2"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0BAE5A3" w14:textId="77777777" w:rsidR="00871BDF" w:rsidRDefault="005C5088">
            <w:pPr>
              <w:jc w:val="right"/>
              <w:textAlignment w:val="bottom"/>
            </w:pPr>
            <w:r>
              <w:rPr>
                <w:rFonts w:ascii="Times New Roman" w:eastAsia="宋体" w:hAnsi="Times New Roman"/>
                <w:color w:val="000000"/>
                <w:sz w:val="20"/>
                <w:szCs w:val="20"/>
              </w:rPr>
              <w:t>0.79 </w:t>
            </w:r>
          </w:p>
        </w:tc>
        <w:tc>
          <w:tcPr>
            <w:tcW w:w="0" w:type="auto"/>
            <w:tcBorders>
              <w:top w:val="double" w:sz="6" w:space="0" w:color="000000"/>
            </w:tcBorders>
            <w:shd w:val="clear" w:color="auto" w:fill="FFFFFF"/>
            <w:tcMar>
              <w:top w:w="40" w:type="dxa"/>
              <w:left w:w="0" w:type="dxa"/>
              <w:bottom w:w="40" w:type="dxa"/>
              <w:right w:w="20" w:type="dxa"/>
            </w:tcMar>
            <w:vAlign w:val="bottom"/>
          </w:tcPr>
          <w:p w14:paraId="00BAE5A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A5" w14:textId="77777777" w:rsidR="00871BDF" w:rsidRDefault="00871BD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0BAE5A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0BAE5A7" w14:textId="77777777" w:rsidR="00871BDF" w:rsidRDefault="005C5088">
            <w:pPr>
              <w:jc w:val="right"/>
              <w:textAlignment w:val="bottom"/>
            </w:pPr>
            <w:r>
              <w:rPr>
                <w:rFonts w:ascii="Times New Roman" w:eastAsia="宋体" w:hAnsi="Times New Roman"/>
                <w:color w:val="000000"/>
                <w:sz w:val="20"/>
                <w:szCs w:val="20"/>
              </w:rPr>
              <w:t>2.95 </w:t>
            </w:r>
          </w:p>
        </w:tc>
        <w:tc>
          <w:tcPr>
            <w:tcW w:w="0" w:type="auto"/>
            <w:tcBorders>
              <w:top w:val="double" w:sz="6" w:space="0" w:color="000000"/>
            </w:tcBorders>
            <w:shd w:val="clear" w:color="auto" w:fill="FFFFFF"/>
            <w:tcMar>
              <w:top w:w="40" w:type="dxa"/>
              <w:left w:w="0" w:type="dxa"/>
              <w:bottom w:w="40" w:type="dxa"/>
              <w:right w:w="20" w:type="dxa"/>
            </w:tcMar>
            <w:vAlign w:val="bottom"/>
          </w:tcPr>
          <w:p w14:paraId="00BAE5A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A9" w14:textId="77777777" w:rsidR="00871BDF" w:rsidRDefault="00871BD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0BAE5A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0BAE5AB" w14:textId="77777777" w:rsidR="00871BDF" w:rsidRDefault="005C5088">
            <w:pPr>
              <w:jc w:val="right"/>
              <w:textAlignment w:val="bottom"/>
            </w:pPr>
            <w:r>
              <w:rPr>
                <w:rFonts w:ascii="Times New Roman" w:eastAsia="宋体" w:hAnsi="Times New Roman"/>
                <w:color w:val="000000"/>
                <w:sz w:val="20"/>
                <w:szCs w:val="20"/>
              </w:rPr>
              <w:t>3.27 </w:t>
            </w:r>
          </w:p>
        </w:tc>
        <w:tc>
          <w:tcPr>
            <w:tcW w:w="0" w:type="auto"/>
            <w:tcBorders>
              <w:top w:val="double" w:sz="6" w:space="0" w:color="000000"/>
            </w:tcBorders>
            <w:shd w:val="clear" w:color="auto" w:fill="FFFFFF"/>
            <w:tcMar>
              <w:top w:w="40" w:type="dxa"/>
              <w:left w:w="0" w:type="dxa"/>
              <w:bottom w:w="40" w:type="dxa"/>
              <w:right w:w="20" w:type="dxa"/>
            </w:tcMar>
            <w:vAlign w:val="bottom"/>
          </w:tcPr>
          <w:p w14:paraId="00BAE5AC" w14:textId="77777777" w:rsidR="00871BDF" w:rsidRDefault="00871BDF">
            <w:pPr>
              <w:jc w:val="right"/>
              <w:rPr>
                <w:rFonts w:ascii="宋体"/>
              </w:rPr>
            </w:pPr>
          </w:p>
        </w:tc>
      </w:tr>
      <w:tr w:rsidR="00871BDF" w14:paraId="00BAE5BA" w14:textId="77777777">
        <w:trPr>
          <w:jc w:val="center"/>
        </w:trPr>
        <w:tc>
          <w:tcPr>
            <w:tcW w:w="0" w:type="auto"/>
            <w:gridSpan w:val="3"/>
            <w:shd w:val="clear" w:color="auto" w:fill="D7E4BC"/>
            <w:tcMar>
              <w:top w:w="40" w:type="dxa"/>
              <w:left w:w="20" w:type="dxa"/>
              <w:bottom w:w="40" w:type="dxa"/>
              <w:right w:w="20" w:type="dxa"/>
            </w:tcMar>
          </w:tcPr>
          <w:p w14:paraId="00BAE5AE" w14:textId="77777777" w:rsidR="00871BDF" w:rsidRDefault="005C5088">
            <w:pPr>
              <w:textAlignment w:val="top"/>
            </w:pPr>
            <w:r>
              <w:rPr>
                <w:rFonts w:ascii="Times New Roman" w:eastAsia="宋体" w:hAnsi="Times New Roman"/>
                <w:color w:val="000000"/>
                <w:sz w:val="20"/>
                <w:szCs w:val="20"/>
              </w:rPr>
              <w:t>Earnings per share — diluted</w:t>
            </w:r>
          </w:p>
        </w:tc>
        <w:tc>
          <w:tcPr>
            <w:tcW w:w="0" w:type="auto"/>
            <w:shd w:val="clear" w:color="auto" w:fill="D7E4BC"/>
            <w:tcMar>
              <w:top w:w="40" w:type="dxa"/>
              <w:left w:w="20" w:type="dxa"/>
              <w:bottom w:w="40" w:type="dxa"/>
              <w:right w:w="0" w:type="dxa"/>
            </w:tcMar>
            <w:vAlign w:val="bottom"/>
          </w:tcPr>
          <w:p w14:paraId="00BAE5A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E5B0" w14:textId="77777777" w:rsidR="00871BDF" w:rsidRDefault="005C5088">
            <w:pPr>
              <w:jc w:val="right"/>
              <w:textAlignment w:val="bottom"/>
            </w:pPr>
            <w:r>
              <w:rPr>
                <w:rFonts w:ascii="Times New Roman" w:eastAsia="宋体" w:hAnsi="Times New Roman"/>
                <w:color w:val="000000"/>
                <w:sz w:val="20"/>
                <w:szCs w:val="20"/>
              </w:rPr>
              <w:t>0.79 </w:t>
            </w:r>
          </w:p>
        </w:tc>
        <w:tc>
          <w:tcPr>
            <w:tcW w:w="0" w:type="auto"/>
            <w:shd w:val="clear" w:color="auto" w:fill="D7E4BC"/>
            <w:tcMar>
              <w:top w:w="40" w:type="dxa"/>
              <w:left w:w="0" w:type="dxa"/>
              <w:bottom w:w="40" w:type="dxa"/>
              <w:right w:w="20" w:type="dxa"/>
            </w:tcMar>
            <w:vAlign w:val="bottom"/>
          </w:tcPr>
          <w:p w14:paraId="00BAE5B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B2"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E5B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E5B4" w14:textId="77777777" w:rsidR="00871BDF" w:rsidRDefault="005C5088">
            <w:pPr>
              <w:jc w:val="right"/>
              <w:textAlignment w:val="bottom"/>
            </w:pPr>
            <w:r>
              <w:rPr>
                <w:rFonts w:ascii="Times New Roman" w:eastAsia="宋体" w:hAnsi="Times New Roman"/>
                <w:color w:val="000000"/>
                <w:sz w:val="20"/>
                <w:szCs w:val="20"/>
              </w:rPr>
              <w:t>2.92 </w:t>
            </w:r>
          </w:p>
        </w:tc>
        <w:tc>
          <w:tcPr>
            <w:tcW w:w="0" w:type="auto"/>
            <w:shd w:val="clear" w:color="auto" w:fill="D7E4BC"/>
            <w:tcMar>
              <w:top w:w="40" w:type="dxa"/>
              <w:left w:w="0" w:type="dxa"/>
              <w:bottom w:w="40" w:type="dxa"/>
              <w:right w:w="20" w:type="dxa"/>
            </w:tcMar>
            <w:vAlign w:val="bottom"/>
          </w:tcPr>
          <w:p w14:paraId="00BAE5B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B6"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E5B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E5B8" w14:textId="77777777" w:rsidR="00871BDF" w:rsidRDefault="005C5088">
            <w:pPr>
              <w:jc w:val="right"/>
              <w:textAlignment w:val="bottom"/>
            </w:pPr>
            <w:r>
              <w:rPr>
                <w:rFonts w:ascii="Times New Roman" w:eastAsia="宋体" w:hAnsi="Times New Roman"/>
                <w:color w:val="000000"/>
                <w:sz w:val="20"/>
                <w:szCs w:val="20"/>
              </w:rPr>
              <w:t>3.24 </w:t>
            </w:r>
          </w:p>
        </w:tc>
        <w:tc>
          <w:tcPr>
            <w:tcW w:w="0" w:type="auto"/>
            <w:shd w:val="clear" w:color="auto" w:fill="D7E4BC"/>
            <w:tcMar>
              <w:top w:w="40" w:type="dxa"/>
              <w:left w:w="0" w:type="dxa"/>
              <w:bottom w:w="40" w:type="dxa"/>
              <w:right w:w="20" w:type="dxa"/>
            </w:tcMar>
            <w:vAlign w:val="bottom"/>
          </w:tcPr>
          <w:p w14:paraId="00BAE5B9" w14:textId="77777777" w:rsidR="00871BDF" w:rsidRDefault="00871BDF">
            <w:pPr>
              <w:jc w:val="right"/>
              <w:rPr>
                <w:rFonts w:ascii="宋体"/>
              </w:rPr>
            </w:pPr>
          </w:p>
        </w:tc>
      </w:tr>
      <w:tr w:rsidR="00871BDF" w14:paraId="00BAE5C1" w14:textId="77777777">
        <w:trPr>
          <w:jc w:val="center"/>
        </w:trPr>
        <w:tc>
          <w:tcPr>
            <w:tcW w:w="0" w:type="auto"/>
            <w:gridSpan w:val="3"/>
            <w:shd w:val="clear" w:color="auto" w:fill="FFFFFF"/>
            <w:tcMar>
              <w:top w:w="40" w:type="dxa"/>
              <w:left w:w="20" w:type="dxa"/>
              <w:bottom w:w="40" w:type="dxa"/>
              <w:right w:w="20" w:type="dxa"/>
            </w:tcMar>
          </w:tcPr>
          <w:p w14:paraId="00BAE5BB" w14:textId="77777777" w:rsidR="00871BDF" w:rsidRDefault="005C5088">
            <w:pPr>
              <w:textAlignment w:val="top"/>
            </w:pPr>
            <w:r>
              <w:rPr>
                <w:rFonts w:ascii="Times New Roman" w:eastAsia="宋体" w:hAnsi="Times New Roman"/>
                <w:color w:val="000000"/>
                <w:sz w:val="20"/>
                <w:szCs w:val="20"/>
              </w:rPr>
              <w:t>Weighted average shares outstanding:</w:t>
            </w:r>
          </w:p>
        </w:tc>
        <w:tc>
          <w:tcPr>
            <w:tcW w:w="0" w:type="auto"/>
            <w:gridSpan w:val="3"/>
            <w:shd w:val="clear" w:color="auto" w:fill="FFFFFF"/>
            <w:tcMar>
              <w:top w:w="0" w:type="dxa"/>
              <w:left w:w="20" w:type="dxa"/>
              <w:bottom w:w="0" w:type="dxa"/>
              <w:right w:w="20" w:type="dxa"/>
            </w:tcMar>
          </w:tcPr>
          <w:p w14:paraId="00BAE5B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5B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5B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5B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5C0" w14:textId="77777777" w:rsidR="00871BDF" w:rsidRDefault="00871BDF">
            <w:pPr>
              <w:rPr>
                <w:rFonts w:ascii="宋体"/>
              </w:rPr>
            </w:pPr>
          </w:p>
        </w:tc>
      </w:tr>
      <w:tr w:rsidR="00871BDF" w14:paraId="00BAE5CB" w14:textId="77777777">
        <w:trPr>
          <w:jc w:val="center"/>
        </w:trPr>
        <w:tc>
          <w:tcPr>
            <w:tcW w:w="0" w:type="auto"/>
            <w:gridSpan w:val="3"/>
            <w:shd w:val="clear" w:color="auto" w:fill="D7E4BC"/>
            <w:tcMar>
              <w:top w:w="40" w:type="dxa"/>
              <w:left w:w="380" w:type="dxa"/>
              <w:bottom w:w="40" w:type="dxa"/>
              <w:right w:w="20" w:type="dxa"/>
            </w:tcMar>
          </w:tcPr>
          <w:p w14:paraId="00BAE5C2" w14:textId="77777777" w:rsidR="00871BDF" w:rsidRDefault="005C5088">
            <w:pPr>
              <w:textAlignment w:val="top"/>
            </w:pPr>
            <w:r>
              <w:rPr>
                <w:rFonts w:ascii="Times New Roman" w:eastAsia="宋体" w:hAnsi="Times New Roman"/>
                <w:color w:val="000000"/>
                <w:sz w:val="20"/>
                <w:szCs w:val="20"/>
              </w:rPr>
              <w:t>Basic</w:t>
            </w:r>
          </w:p>
        </w:tc>
        <w:tc>
          <w:tcPr>
            <w:tcW w:w="0" w:type="auto"/>
            <w:gridSpan w:val="2"/>
            <w:shd w:val="clear" w:color="auto" w:fill="D7E4BC"/>
            <w:tcMar>
              <w:top w:w="40" w:type="dxa"/>
              <w:left w:w="20" w:type="dxa"/>
              <w:bottom w:w="40" w:type="dxa"/>
              <w:right w:w="0" w:type="dxa"/>
            </w:tcMar>
            <w:vAlign w:val="bottom"/>
          </w:tcPr>
          <w:p w14:paraId="00BAE5C3" w14:textId="77777777" w:rsidR="00871BDF" w:rsidRDefault="005C5088">
            <w:pPr>
              <w:jc w:val="right"/>
              <w:textAlignment w:val="bottom"/>
            </w:pPr>
            <w:r>
              <w:rPr>
                <w:rFonts w:ascii="Times New Roman" w:eastAsia="宋体" w:hAnsi="Times New Roman"/>
                <w:color w:val="000000"/>
                <w:sz w:val="20"/>
                <w:szCs w:val="20"/>
              </w:rPr>
              <w:t>1,172.8 </w:t>
            </w:r>
          </w:p>
        </w:tc>
        <w:tc>
          <w:tcPr>
            <w:tcW w:w="0" w:type="auto"/>
            <w:shd w:val="clear" w:color="auto" w:fill="D7E4BC"/>
            <w:tcMar>
              <w:top w:w="40" w:type="dxa"/>
              <w:left w:w="0" w:type="dxa"/>
              <w:bottom w:w="40" w:type="dxa"/>
              <w:right w:w="20" w:type="dxa"/>
            </w:tcMar>
            <w:vAlign w:val="bottom"/>
          </w:tcPr>
          <w:p w14:paraId="00BAE5C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C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5C6" w14:textId="77777777" w:rsidR="00871BDF" w:rsidRDefault="005C5088">
            <w:pPr>
              <w:jc w:val="right"/>
              <w:textAlignment w:val="bottom"/>
            </w:pPr>
            <w:r>
              <w:rPr>
                <w:rFonts w:ascii="Times New Roman" w:eastAsia="宋体" w:hAnsi="Times New Roman"/>
                <w:color w:val="000000"/>
                <w:sz w:val="20"/>
                <w:szCs w:val="20"/>
              </w:rPr>
              <w:t>1,221.2 </w:t>
            </w:r>
          </w:p>
        </w:tc>
        <w:tc>
          <w:tcPr>
            <w:tcW w:w="0" w:type="auto"/>
            <w:shd w:val="clear" w:color="auto" w:fill="D7E4BC"/>
            <w:tcMar>
              <w:top w:w="40" w:type="dxa"/>
              <w:left w:w="0" w:type="dxa"/>
              <w:bottom w:w="40" w:type="dxa"/>
              <w:right w:w="20" w:type="dxa"/>
            </w:tcMar>
            <w:vAlign w:val="bottom"/>
          </w:tcPr>
          <w:p w14:paraId="00BAE5C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5C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5C9" w14:textId="77777777" w:rsidR="00871BDF" w:rsidRDefault="005C5088">
            <w:pPr>
              <w:jc w:val="right"/>
              <w:textAlignment w:val="bottom"/>
            </w:pPr>
            <w:r>
              <w:rPr>
                <w:rFonts w:ascii="Times New Roman" w:eastAsia="宋体" w:hAnsi="Times New Roman"/>
                <w:color w:val="000000"/>
                <w:sz w:val="20"/>
                <w:szCs w:val="20"/>
              </w:rPr>
              <w:t>1,382.7 </w:t>
            </w:r>
          </w:p>
        </w:tc>
        <w:tc>
          <w:tcPr>
            <w:tcW w:w="0" w:type="auto"/>
            <w:shd w:val="clear" w:color="auto" w:fill="D7E4BC"/>
            <w:tcMar>
              <w:top w:w="40" w:type="dxa"/>
              <w:left w:w="0" w:type="dxa"/>
              <w:bottom w:w="40" w:type="dxa"/>
              <w:right w:w="20" w:type="dxa"/>
            </w:tcMar>
            <w:vAlign w:val="bottom"/>
          </w:tcPr>
          <w:p w14:paraId="00BAE5CA" w14:textId="77777777" w:rsidR="00871BDF" w:rsidRDefault="00871BDF">
            <w:pPr>
              <w:jc w:val="right"/>
              <w:rPr>
                <w:rFonts w:ascii="宋体"/>
              </w:rPr>
            </w:pPr>
          </w:p>
        </w:tc>
      </w:tr>
      <w:tr w:rsidR="00871BDF" w14:paraId="00BAE5D5" w14:textId="77777777">
        <w:trPr>
          <w:jc w:val="center"/>
        </w:trPr>
        <w:tc>
          <w:tcPr>
            <w:tcW w:w="0" w:type="auto"/>
            <w:gridSpan w:val="3"/>
            <w:shd w:val="clear" w:color="auto" w:fill="FFFFFF"/>
            <w:tcMar>
              <w:top w:w="40" w:type="dxa"/>
              <w:left w:w="380" w:type="dxa"/>
              <w:bottom w:w="40" w:type="dxa"/>
              <w:right w:w="20" w:type="dxa"/>
            </w:tcMar>
          </w:tcPr>
          <w:p w14:paraId="00BAE5CC" w14:textId="77777777" w:rsidR="00871BDF" w:rsidRDefault="005C5088">
            <w:pPr>
              <w:textAlignment w:val="top"/>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00BAE5CD" w14:textId="77777777" w:rsidR="00871BDF" w:rsidRDefault="005C5088">
            <w:pPr>
              <w:jc w:val="right"/>
              <w:textAlignment w:val="bottom"/>
            </w:pPr>
            <w:r>
              <w:rPr>
                <w:rFonts w:ascii="Times New Roman" w:eastAsia="宋体" w:hAnsi="Times New Roman"/>
                <w:color w:val="000000"/>
                <w:sz w:val="20"/>
                <w:szCs w:val="20"/>
              </w:rPr>
              <w:t>1,181.8 </w:t>
            </w:r>
          </w:p>
        </w:tc>
        <w:tc>
          <w:tcPr>
            <w:tcW w:w="0" w:type="auto"/>
            <w:shd w:val="clear" w:color="auto" w:fill="FFFFFF"/>
            <w:tcMar>
              <w:top w:w="40" w:type="dxa"/>
              <w:left w:w="0" w:type="dxa"/>
              <w:bottom w:w="40" w:type="dxa"/>
              <w:right w:w="20" w:type="dxa"/>
            </w:tcMar>
            <w:vAlign w:val="bottom"/>
          </w:tcPr>
          <w:p w14:paraId="00BAE5C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C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5D0" w14:textId="77777777" w:rsidR="00871BDF" w:rsidRDefault="005C5088">
            <w:pPr>
              <w:jc w:val="right"/>
              <w:textAlignment w:val="bottom"/>
            </w:pPr>
            <w:r>
              <w:rPr>
                <w:rFonts w:ascii="Times New Roman" w:eastAsia="宋体" w:hAnsi="Times New Roman"/>
                <w:color w:val="000000"/>
                <w:sz w:val="20"/>
                <w:szCs w:val="20"/>
              </w:rPr>
              <w:t>1,233.2 </w:t>
            </w:r>
          </w:p>
        </w:tc>
        <w:tc>
          <w:tcPr>
            <w:tcW w:w="0" w:type="auto"/>
            <w:shd w:val="clear" w:color="auto" w:fill="FFFFFF"/>
            <w:tcMar>
              <w:top w:w="40" w:type="dxa"/>
              <w:left w:w="0" w:type="dxa"/>
              <w:bottom w:w="40" w:type="dxa"/>
              <w:right w:w="20" w:type="dxa"/>
            </w:tcMar>
            <w:vAlign w:val="bottom"/>
          </w:tcPr>
          <w:p w14:paraId="00BAE5D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5D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5D3" w14:textId="77777777" w:rsidR="00871BDF" w:rsidRDefault="005C5088">
            <w:pPr>
              <w:jc w:val="right"/>
              <w:textAlignment w:val="bottom"/>
            </w:pPr>
            <w:r>
              <w:rPr>
                <w:rFonts w:ascii="Times New Roman" w:eastAsia="宋体" w:hAnsi="Times New Roman"/>
                <w:color w:val="000000"/>
                <w:sz w:val="20"/>
                <w:szCs w:val="20"/>
              </w:rPr>
              <w:t>1,394.6 </w:t>
            </w:r>
          </w:p>
        </w:tc>
        <w:tc>
          <w:tcPr>
            <w:tcW w:w="0" w:type="auto"/>
            <w:shd w:val="clear" w:color="auto" w:fill="FFFFFF"/>
            <w:tcMar>
              <w:top w:w="40" w:type="dxa"/>
              <w:left w:w="0" w:type="dxa"/>
              <w:bottom w:w="40" w:type="dxa"/>
              <w:right w:w="20" w:type="dxa"/>
            </w:tcMar>
            <w:vAlign w:val="bottom"/>
          </w:tcPr>
          <w:p w14:paraId="00BAE5D4" w14:textId="77777777" w:rsidR="00871BDF" w:rsidRDefault="00871BDF">
            <w:pPr>
              <w:jc w:val="right"/>
              <w:rPr>
                <w:rFonts w:ascii="宋体"/>
              </w:rPr>
            </w:pPr>
          </w:p>
        </w:tc>
      </w:tr>
    </w:tbl>
    <w:p w14:paraId="00BAE5D6" w14:textId="77777777" w:rsidR="00871BDF" w:rsidRDefault="00871BDF">
      <w:pPr>
        <w:jc w:val="center"/>
      </w:pPr>
    </w:p>
    <w:p w14:paraId="00BAE5D7" w14:textId="77777777" w:rsidR="00871BDF" w:rsidRDefault="00871BDF">
      <w:pPr>
        <w:jc w:val="center"/>
      </w:pPr>
    </w:p>
    <w:p w14:paraId="00BAE5D8" w14:textId="77777777" w:rsidR="00871BDF" w:rsidRDefault="005C5088">
      <w:pPr>
        <w:jc w:val="center"/>
      </w:pPr>
      <w:r>
        <w:rPr>
          <w:rFonts w:ascii="Times New Roman" w:eastAsia="宋体" w:hAnsi="Times New Roman"/>
          <w:color w:val="000000"/>
          <w:sz w:val="20"/>
          <w:szCs w:val="20"/>
        </w:rPr>
        <w:t xml:space="preserve">See </w:t>
      </w:r>
      <w:r>
        <w:rPr>
          <w:rFonts w:ascii="Times New Roman" w:eastAsia="宋体" w:hAnsi="Times New Roman"/>
          <w:color w:val="000000"/>
          <w:sz w:val="20"/>
          <w:szCs w:val="20"/>
        </w:rPr>
        <w:t>Notes to Consolidated Financial Statements.</w:t>
      </w:r>
    </w:p>
    <w:p w14:paraId="00BAE5D9" w14:textId="77777777" w:rsidR="00871BDF" w:rsidRDefault="00871BDF"/>
    <w:p w14:paraId="00BAE5DA" w14:textId="77777777" w:rsidR="00871BDF" w:rsidRDefault="00871BDF"/>
    <w:p w14:paraId="00BAE5DB" w14:textId="77777777" w:rsidR="00871BDF" w:rsidRDefault="005C5088">
      <w:pPr>
        <w:jc w:val="center"/>
      </w:pPr>
      <w:r>
        <w:rPr>
          <w:rFonts w:ascii="Times New Roman" w:eastAsia="宋体" w:hAnsi="Times New Roman"/>
          <w:color w:val="000000"/>
          <w:sz w:val="20"/>
          <w:szCs w:val="20"/>
        </w:rPr>
        <w:t>47</w:t>
      </w:r>
    </w:p>
    <w:p w14:paraId="00BAE5DC" w14:textId="77777777" w:rsidR="00871BDF" w:rsidRDefault="005C5088">
      <w:r>
        <w:pict w14:anchorId="00BB1494">
          <v:rect id="_x0000_i1074" style="width:415.3pt;height:1.5pt" o:hralign="center" o:hrstd="t" o:hr="t" fillcolor="#a0a0a0" stroked="f"/>
        </w:pict>
      </w:r>
    </w:p>
    <w:p w14:paraId="00BAE5DD" w14:textId="77777777" w:rsidR="00871BDF" w:rsidRDefault="005C5088">
      <w:hyperlink r:id="rId130" w:anchor="i54ccc64cb5384be5a4849ef1cdef4dde_7" w:history="1">
        <w:r>
          <w:rPr>
            <w:rStyle w:val="a5"/>
            <w:rFonts w:ascii="Times New Roman" w:eastAsia="宋体" w:hAnsi="Times New Roman"/>
            <w:sz w:val="20"/>
            <w:szCs w:val="20"/>
          </w:rPr>
          <w:t>Table of Contents</w:t>
        </w:r>
      </w:hyperlink>
    </w:p>
    <w:p w14:paraId="00BAE5DE" w14:textId="77777777" w:rsidR="00871BDF" w:rsidRDefault="005C5088">
      <w:pPr>
        <w:spacing w:before="280"/>
        <w:jc w:val="center"/>
      </w:pPr>
      <w:r>
        <w:rPr>
          <w:rFonts w:ascii="Times New Roman" w:eastAsia="宋体" w:hAnsi="Times New Roman"/>
          <w:b/>
          <w:bCs/>
          <w:color w:val="000000"/>
          <w:sz w:val="20"/>
          <w:szCs w:val="20"/>
        </w:rPr>
        <w:t>STARBUCKS CORPORATION</w:t>
      </w:r>
    </w:p>
    <w:p w14:paraId="00BAE5DF" w14:textId="77777777" w:rsidR="00871BDF" w:rsidRDefault="005C5088">
      <w:pPr>
        <w:jc w:val="center"/>
      </w:pPr>
      <w:r>
        <w:rPr>
          <w:rFonts w:ascii="Times New Roman" w:eastAsia="宋体" w:hAnsi="Times New Roman"/>
          <w:b/>
          <w:bCs/>
          <w:color w:val="000000"/>
          <w:sz w:val="20"/>
          <w:szCs w:val="20"/>
        </w:rPr>
        <w:t>CONSOLIDATED</w:t>
      </w:r>
      <w:r>
        <w:rPr>
          <w:rFonts w:ascii="Times New Roman" w:eastAsia="宋体" w:hAnsi="Times New Roman"/>
          <w:b/>
          <w:bCs/>
          <w:color w:val="000000"/>
          <w:sz w:val="20"/>
          <w:szCs w:val="20"/>
        </w:rPr>
        <w:t xml:space="preserve"> STATEMENTS OF COMPREHENSIVE INCOME</w:t>
      </w:r>
    </w:p>
    <w:p w14:paraId="00BAE5E0" w14:textId="77777777" w:rsidR="00871BDF" w:rsidRDefault="005C5088">
      <w:pPr>
        <w:jc w:val="center"/>
      </w:pPr>
      <w:r>
        <w:rPr>
          <w:rFonts w:ascii="Times New Roman" w:eastAsia="宋体" w:hAnsi="Times New Roman"/>
          <w:i/>
          <w:iCs/>
          <w:color w:val="000000"/>
          <w:sz w:val="20"/>
          <w:szCs w:val="20"/>
        </w:rPr>
        <w:t>(in millions)</w:t>
      </w:r>
    </w:p>
    <w:p w14:paraId="00BAE5E1" w14:textId="77777777" w:rsidR="00871BDF" w:rsidRDefault="00871BDF">
      <w:pPr>
        <w:jc w:val="center"/>
      </w:pP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390"/>
        <w:gridCol w:w="39"/>
        <w:gridCol w:w="120"/>
        <w:gridCol w:w="1079"/>
        <w:gridCol w:w="36"/>
        <w:gridCol w:w="36"/>
        <w:gridCol w:w="36"/>
        <w:gridCol w:w="36"/>
        <w:gridCol w:w="120"/>
        <w:gridCol w:w="1039"/>
        <w:gridCol w:w="36"/>
        <w:gridCol w:w="36"/>
        <w:gridCol w:w="36"/>
        <w:gridCol w:w="36"/>
        <w:gridCol w:w="120"/>
        <w:gridCol w:w="1040"/>
        <w:gridCol w:w="36"/>
      </w:tblGrid>
      <w:tr w:rsidR="00871BDF" w14:paraId="00BAE5F4" w14:textId="77777777">
        <w:trPr>
          <w:jc w:val="center"/>
        </w:trPr>
        <w:tc>
          <w:tcPr>
            <w:tcW w:w="50" w:type="pct"/>
            <w:shd w:val="clear" w:color="auto" w:fill="auto"/>
          </w:tcPr>
          <w:p w14:paraId="00BAE5E2" w14:textId="77777777" w:rsidR="00871BDF" w:rsidRDefault="00871BDF">
            <w:pPr>
              <w:rPr>
                <w:rFonts w:ascii="宋体"/>
              </w:rPr>
            </w:pPr>
          </w:p>
        </w:tc>
        <w:tc>
          <w:tcPr>
            <w:tcW w:w="2672" w:type="pct"/>
            <w:shd w:val="clear" w:color="auto" w:fill="auto"/>
          </w:tcPr>
          <w:p w14:paraId="00BAE5E3" w14:textId="77777777" w:rsidR="00871BDF" w:rsidRDefault="00871BDF">
            <w:pPr>
              <w:rPr>
                <w:rFonts w:ascii="宋体"/>
              </w:rPr>
            </w:pPr>
          </w:p>
        </w:tc>
        <w:tc>
          <w:tcPr>
            <w:tcW w:w="5" w:type="pct"/>
            <w:shd w:val="clear" w:color="auto" w:fill="auto"/>
          </w:tcPr>
          <w:p w14:paraId="00BAE5E4" w14:textId="77777777" w:rsidR="00871BDF" w:rsidRDefault="00871BDF">
            <w:pPr>
              <w:rPr>
                <w:rFonts w:ascii="宋体"/>
              </w:rPr>
            </w:pPr>
          </w:p>
        </w:tc>
        <w:tc>
          <w:tcPr>
            <w:tcW w:w="50" w:type="pct"/>
            <w:shd w:val="clear" w:color="auto" w:fill="auto"/>
          </w:tcPr>
          <w:p w14:paraId="00BAE5E5" w14:textId="77777777" w:rsidR="00871BDF" w:rsidRDefault="00871BDF">
            <w:pPr>
              <w:rPr>
                <w:rFonts w:ascii="宋体"/>
              </w:rPr>
            </w:pPr>
          </w:p>
        </w:tc>
        <w:tc>
          <w:tcPr>
            <w:tcW w:w="678" w:type="pct"/>
            <w:shd w:val="clear" w:color="auto" w:fill="auto"/>
          </w:tcPr>
          <w:p w14:paraId="00BAE5E6" w14:textId="77777777" w:rsidR="00871BDF" w:rsidRDefault="00871BDF">
            <w:pPr>
              <w:rPr>
                <w:rFonts w:ascii="宋体"/>
              </w:rPr>
            </w:pPr>
          </w:p>
        </w:tc>
        <w:tc>
          <w:tcPr>
            <w:tcW w:w="5" w:type="pct"/>
            <w:shd w:val="clear" w:color="auto" w:fill="auto"/>
          </w:tcPr>
          <w:p w14:paraId="00BAE5E7" w14:textId="77777777" w:rsidR="00871BDF" w:rsidRDefault="00871BDF">
            <w:pPr>
              <w:rPr>
                <w:rFonts w:ascii="宋体"/>
              </w:rPr>
            </w:pPr>
          </w:p>
        </w:tc>
        <w:tc>
          <w:tcPr>
            <w:tcW w:w="5" w:type="pct"/>
            <w:shd w:val="clear" w:color="auto" w:fill="auto"/>
          </w:tcPr>
          <w:p w14:paraId="00BAE5E8" w14:textId="77777777" w:rsidR="00871BDF" w:rsidRDefault="00871BDF">
            <w:pPr>
              <w:rPr>
                <w:rFonts w:ascii="宋体"/>
              </w:rPr>
            </w:pPr>
          </w:p>
        </w:tc>
        <w:tc>
          <w:tcPr>
            <w:tcW w:w="26" w:type="pct"/>
            <w:shd w:val="clear" w:color="auto" w:fill="auto"/>
          </w:tcPr>
          <w:p w14:paraId="00BAE5E9" w14:textId="77777777" w:rsidR="00871BDF" w:rsidRDefault="00871BDF">
            <w:pPr>
              <w:rPr>
                <w:rFonts w:ascii="宋体"/>
              </w:rPr>
            </w:pPr>
          </w:p>
        </w:tc>
        <w:tc>
          <w:tcPr>
            <w:tcW w:w="5" w:type="pct"/>
            <w:shd w:val="clear" w:color="auto" w:fill="auto"/>
          </w:tcPr>
          <w:p w14:paraId="00BAE5EA" w14:textId="77777777" w:rsidR="00871BDF" w:rsidRDefault="00871BDF">
            <w:pPr>
              <w:rPr>
                <w:rFonts w:ascii="宋体"/>
              </w:rPr>
            </w:pPr>
          </w:p>
        </w:tc>
        <w:tc>
          <w:tcPr>
            <w:tcW w:w="50" w:type="pct"/>
            <w:shd w:val="clear" w:color="auto" w:fill="auto"/>
          </w:tcPr>
          <w:p w14:paraId="00BAE5EB" w14:textId="77777777" w:rsidR="00871BDF" w:rsidRDefault="00871BDF">
            <w:pPr>
              <w:rPr>
                <w:rFonts w:ascii="宋体"/>
              </w:rPr>
            </w:pPr>
          </w:p>
        </w:tc>
        <w:tc>
          <w:tcPr>
            <w:tcW w:w="678" w:type="pct"/>
            <w:shd w:val="clear" w:color="auto" w:fill="auto"/>
          </w:tcPr>
          <w:p w14:paraId="00BAE5EC" w14:textId="77777777" w:rsidR="00871BDF" w:rsidRDefault="00871BDF">
            <w:pPr>
              <w:rPr>
                <w:rFonts w:ascii="宋体"/>
              </w:rPr>
            </w:pPr>
          </w:p>
        </w:tc>
        <w:tc>
          <w:tcPr>
            <w:tcW w:w="5" w:type="pct"/>
            <w:shd w:val="clear" w:color="auto" w:fill="auto"/>
          </w:tcPr>
          <w:p w14:paraId="00BAE5ED" w14:textId="77777777" w:rsidR="00871BDF" w:rsidRDefault="00871BDF">
            <w:pPr>
              <w:rPr>
                <w:rFonts w:ascii="宋体"/>
              </w:rPr>
            </w:pPr>
          </w:p>
        </w:tc>
        <w:tc>
          <w:tcPr>
            <w:tcW w:w="5" w:type="pct"/>
            <w:shd w:val="clear" w:color="auto" w:fill="auto"/>
          </w:tcPr>
          <w:p w14:paraId="00BAE5EE" w14:textId="77777777" w:rsidR="00871BDF" w:rsidRDefault="00871BDF">
            <w:pPr>
              <w:rPr>
                <w:rFonts w:ascii="宋体"/>
              </w:rPr>
            </w:pPr>
          </w:p>
        </w:tc>
        <w:tc>
          <w:tcPr>
            <w:tcW w:w="26" w:type="pct"/>
            <w:shd w:val="clear" w:color="auto" w:fill="auto"/>
          </w:tcPr>
          <w:p w14:paraId="00BAE5EF" w14:textId="77777777" w:rsidR="00871BDF" w:rsidRDefault="00871BDF">
            <w:pPr>
              <w:rPr>
                <w:rFonts w:ascii="宋体"/>
              </w:rPr>
            </w:pPr>
          </w:p>
        </w:tc>
        <w:tc>
          <w:tcPr>
            <w:tcW w:w="5" w:type="pct"/>
            <w:shd w:val="clear" w:color="auto" w:fill="auto"/>
          </w:tcPr>
          <w:p w14:paraId="00BAE5F0" w14:textId="77777777" w:rsidR="00871BDF" w:rsidRDefault="00871BDF">
            <w:pPr>
              <w:rPr>
                <w:rFonts w:ascii="宋体"/>
              </w:rPr>
            </w:pPr>
          </w:p>
        </w:tc>
        <w:tc>
          <w:tcPr>
            <w:tcW w:w="50" w:type="pct"/>
            <w:shd w:val="clear" w:color="auto" w:fill="auto"/>
          </w:tcPr>
          <w:p w14:paraId="00BAE5F1" w14:textId="77777777" w:rsidR="00871BDF" w:rsidRDefault="00871BDF">
            <w:pPr>
              <w:rPr>
                <w:rFonts w:ascii="宋体"/>
              </w:rPr>
            </w:pPr>
          </w:p>
        </w:tc>
        <w:tc>
          <w:tcPr>
            <w:tcW w:w="678" w:type="pct"/>
            <w:shd w:val="clear" w:color="auto" w:fill="auto"/>
          </w:tcPr>
          <w:p w14:paraId="00BAE5F2" w14:textId="77777777" w:rsidR="00871BDF" w:rsidRDefault="00871BDF">
            <w:pPr>
              <w:rPr>
                <w:rFonts w:ascii="宋体"/>
              </w:rPr>
            </w:pPr>
          </w:p>
        </w:tc>
        <w:tc>
          <w:tcPr>
            <w:tcW w:w="5" w:type="pct"/>
            <w:shd w:val="clear" w:color="auto" w:fill="auto"/>
          </w:tcPr>
          <w:p w14:paraId="00BAE5F3" w14:textId="77777777" w:rsidR="00871BDF" w:rsidRDefault="00871BDF">
            <w:pPr>
              <w:rPr>
                <w:rFonts w:ascii="宋体"/>
              </w:rPr>
            </w:pPr>
          </w:p>
        </w:tc>
      </w:tr>
      <w:tr w:rsidR="00871BDF" w14:paraId="00BAE5FB" w14:textId="77777777">
        <w:trPr>
          <w:jc w:val="center"/>
        </w:trPr>
        <w:tc>
          <w:tcPr>
            <w:tcW w:w="0" w:type="auto"/>
            <w:gridSpan w:val="3"/>
            <w:shd w:val="clear" w:color="auto" w:fill="auto"/>
            <w:tcMar>
              <w:top w:w="40" w:type="dxa"/>
              <w:left w:w="20" w:type="dxa"/>
              <w:bottom w:w="40" w:type="dxa"/>
              <w:right w:w="20" w:type="dxa"/>
            </w:tcMar>
            <w:vAlign w:val="bottom"/>
          </w:tcPr>
          <w:p w14:paraId="00BAE5F5"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E5F6"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E5F7"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5F8"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E5F9"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5FA"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r>
      <w:tr w:rsidR="00871BDF" w14:paraId="00BAE608" w14:textId="77777777">
        <w:trPr>
          <w:jc w:val="center"/>
        </w:trPr>
        <w:tc>
          <w:tcPr>
            <w:tcW w:w="0" w:type="auto"/>
            <w:gridSpan w:val="3"/>
            <w:shd w:val="clear" w:color="auto" w:fill="D7E4BC"/>
            <w:tcMar>
              <w:top w:w="40" w:type="dxa"/>
              <w:left w:w="20" w:type="dxa"/>
              <w:bottom w:w="40" w:type="dxa"/>
              <w:right w:w="20" w:type="dxa"/>
            </w:tcMar>
            <w:vAlign w:val="bottom"/>
          </w:tcPr>
          <w:p w14:paraId="00BAE5FC" w14:textId="77777777" w:rsidR="00871BDF" w:rsidRDefault="005C5088">
            <w:pPr>
              <w:textAlignment w:val="bottom"/>
            </w:pPr>
            <w:r>
              <w:rPr>
                <w:rFonts w:ascii="Times New Roman" w:eastAsia="宋体" w:hAnsi="Times New Roman"/>
                <w:color w:val="000000"/>
                <w:sz w:val="20"/>
                <w:szCs w:val="20"/>
              </w:rPr>
              <w:t>Net earnings including noncontrolling interests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E5F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5FE" w14:textId="77777777" w:rsidR="00871BDF" w:rsidRDefault="005C5088">
            <w:pPr>
              <w:jc w:val="right"/>
              <w:textAlignment w:val="bottom"/>
            </w:pPr>
            <w:r>
              <w:rPr>
                <w:rFonts w:ascii="Times New Roman" w:eastAsia="宋体" w:hAnsi="Times New Roman"/>
                <w:color w:val="000000"/>
                <w:sz w:val="20"/>
                <w:szCs w:val="20"/>
              </w:rPr>
              <w:t>924.7 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5F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00"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60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602" w14:textId="77777777" w:rsidR="00871BDF" w:rsidRDefault="005C5088">
            <w:pPr>
              <w:jc w:val="right"/>
              <w:textAlignment w:val="bottom"/>
            </w:pPr>
            <w:r>
              <w:rPr>
                <w:rFonts w:ascii="Times New Roman" w:eastAsia="宋体" w:hAnsi="Times New Roman"/>
                <w:color w:val="000000"/>
                <w:sz w:val="20"/>
                <w:szCs w:val="20"/>
              </w:rPr>
              <w:t>3,594.6 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60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04"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60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606" w14:textId="77777777" w:rsidR="00871BDF" w:rsidRDefault="005C5088">
            <w:pPr>
              <w:jc w:val="right"/>
              <w:textAlignment w:val="bottom"/>
            </w:pPr>
            <w:r>
              <w:rPr>
                <w:rFonts w:ascii="Times New Roman" w:eastAsia="宋体" w:hAnsi="Times New Roman"/>
                <w:color w:val="000000"/>
                <w:sz w:val="20"/>
                <w:szCs w:val="20"/>
              </w:rPr>
              <w:t>4,518.0 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607" w14:textId="77777777" w:rsidR="00871BDF" w:rsidRDefault="00871BDF">
            <w:pPr>
              <w:jc w:val="right"/>
              <w:rPr>
                <w:rFonts w:ascii="宋体"/>
              </w:rPr>
            </w:pPr>
          </w:p>
        </w:tc>
      </w:tr>
      <w:tr w:rsidR="00871BDF" w14:paraId="00BAE60F" w14:textId="77777777">
        <w:trPr>
          <w:jc w:val="center"/>
        </w:trPr>
        <w:tc>
          <w:tcPr>
            <w:tcW w:w="0" w:type="auto"/>
            <w:gridSpan w:val="3"/>
            <w:shd w:val="clear" w:color="auto" w:fill="FFFFFF"/>
            <w:tcMar>
              <w:top w:w="40" w:type="dxa"/>
              <w:left w:w="20" w:type="dxa"/>
              <w:bottom w:w="40" w:type="dxa"/>
              <w:right w:w="20" w:type="dxa"/>
            </w:tcMar>
            <w:vAlign w:val="bottom"/>
          </w:tcPr>
          <w:p w14:paraId="00BAE609" w14:textId="77777777" w:rsidR="00871BDF" w:rsidRDefault="005C5088">
            <w:pPr>
              <w:textAlignment w:val="bottom"/>
            </w:pPr>
            <w:r>
              <w:rPr>
                <w:rFonts w:ascii="Times New Roman" w:eastAsia="宋体" w:hAnsi="Times New Roman"/>
                <w:color w:val="000000"/>
                <w:sz w:val="20"/>
                <w:szCs w:val="20"/>
              </w:rPr>
              <w:t>Other comprehensive income/(loss), net of tax:</w:t>
            </w:r>
          </w:p>
        </w:tc>
        <w:tc>
          <w:tcPr>
            <w:tcW w:w="0" w:type="auto"/>
            <w:gridSpan w:val="3"/>
            <w:shd w:val="clear" w:color="auto" w:fill="FFFFFF"/>
            <w:tcMar>
              <w:top w:w="0" w:type="dxa"/>
              <w:left w:w="20" w:type="dxa"/>
              <w:bottom w:w="0" w:type="dxa"/>
              <w:right w:w="20" w:type="dxa"/>
            </w:tcMar>
          </w:tcPr>
          <w:p w14:paraId="00BAE60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60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60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60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60E" w14:textId="77777777" w:rsidR="00871BDF" w:rsidRDefault="00871BDF">
            <w:pPr>
              <w:rPr>
                <w:rFonts w:ascii="宋体"/>
              </w:rPr>
            </w:pPr>
          </w:p>
        </w:tc>
      </w:tr>
      <w:tr w:rsidR="00871BDF" w14:paraId="00BAE619" w14:textId="77777777">
        <w:trPr>
          <w:jc w:val="center"/>
        </w:trPr>
        <w:tc>
          <w:tcPr>
            <w:tcW w:w="0" w:type="auto"/>
            <w:gridSpan w:val="3"/>
            <w:shd w:val="clear" w:color="auto" w:fill="D7E4BC"/>
            <w:tcMar>
              <w:top w:w="40" w:type="dxa"/>
              <w:left w:w="245" w:type="dxa"/>
              <w:bottom w:w="40" w:type="dxa"/>
              <w:right w:w="20" w:type="dxa"/>
            </w:tcMar>
            <w:vAlign w:val="bottom"/>
          </w:tcPr>
          <w:p w14:paraId="00BAE610" w14:textId="77777777" w:rsidR="00871BDF" w:rsidRDefault="005C5088">
            <w:pPr>
              <w:textAlignment w:val="bottom"/>
            </w:pPr>
            <w:r>
              <w:rPr>
                <w:rFonts w:ascii="Times New Roman" w:eastAsia="宋体" w:hAnsi="Times New Roman"/>
                <w:color w:val="000000"/>
                <w:sz w:val="20"/>
                <w:szCs w:val="20"/>
              </w:rPr>
              <w:t>Unrealized holding gains/(losses) on available-for-sale securities</w:t>
            </w:r>
          </w:p>
        </w:tc>
        <w:tc>
          <w:tcPr>
            <w:tcW w:w="0" w:type="auto"/>
            <w:gridSpan w:val="2"/>
            <w:shd w:val="clear" w:color="auto" w:fill="D7E4BC"/>
            <w:tcMar>
              <w:top w:w="40" w:type="dxa"/>
              <w:left w:w="20" w:type="dxa"/>
              <w:bottom w:w="40" w:type="dxa"/>
              <w:right w:w="0" w:type="dxa"/>
            </w:tcMar>
            <w:vAlign w:val="bottom"/>
          </w:tcPr>
          <w:p w14:paraId="00BAE611" w14:textId="77777777" w:rsidR="00871BDF" w:rsidRDefault="005C5088">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00BAE61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1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14" w14:textId="77777777" w:rsidR="00871BDF" w:rsidRDefault="005C5088">
            <w:pPr>
              <w:jc w:val="right"/>
              <w:textAlignment w:val="bottom"/>
            </w:pPr>
            <w:r>
              <w:rPr>
                <w:rFonts w:ascii="Times New Roman" w:eastAsia="宋体" w:hAnsi="Times New Roman"/>
                <w:color w:val="000000"/>
                <w:sz w:val="20"/>
                <w:szCs w:val="20"/>
              </w:rPr>
              <w:t>10.5 </w:t>
            </w:r>
          </w:p>
        </w:tc>
        <w:tc>
          <w:tcPr>
            <w:tcW w:w="0" w:type="auto"/>
            <w:shd w:val="clear" w:color="auto" w:fill="D7E4BC"/>
            <w:tcMar>
              <w:top w:w="40" w:type="dxa"/>
              <w:left w:w="0" w:type="dxa"/>
              <w:bottom w:w="40" w:type="dxa"/>
              <w:right w:w="20" w:type="dxa"/>
            </w:tcMar>
            <w:vAlign w:val="bottom"/>
          </w:tcPr>
          <w:p w14:paraId="00BAE61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1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17" w14:textId="77777777" w:rsidR="00871BDF" w:rsidRDefault="005C5088">
            <w:pPr>
              <w:jc w:val="right"/>
              <w:textAlignment w:val="bottom"/>
            </w:pPr>
            <w:r>
              <w:rPr>
                <w:rFonts w:ascii="Times New Roman" w:eastAsia="宋体" w:hAnsi="Times New Roman"/>
                <w:color w:val="000000"/>
                <w:sz w:val="20"/>
                <w:szCs w:val="20"/>
              </w:rPr>
              <w:t>(7.0)</w:t>
            </w:r>
          </w:p>
        </w:tc>
        <w:tc>
          <w:tcPr>
            <w:tcW w:w="0" w:type="auto"/>
            <w:shd w:val="clear" w:color="auto" w:fill="D7E4BC"/>
            <w:tcMar>
              <w:top w:w="40" w:type="dxa"/>
              <w:left w:w="0" w:type="dxa"/>
              <w:bottom w:w="40" w:type="dxa"/>
              <w:right w:w="20" w:type="dxa"/>
            </w:tcMar>
            <w:vAlign w:val="bottom"/>
          </w:tcPr>
          <w:p w14:paraId="00BAE618" w14:textId="77777777" w:rsidR="00871BDF" w:rsidRDefault="00871BDF">
            <w:pPr>
              <w:jc w:val="right"/>
              <w:rPr>
                <w:rFonts w:ascii="宋体"/>
              </w:rPr>
            </w:pPr>
          </w:p>
        </w:tc>
      </w:tr>
      <w:tr w:rsidR="00871BDF" w14:paraId="00BAE623" w14:textId="77777777">
        <w:trPr>
          <w:jc w:val="center"/>
        </w:trPr>
        <w:tc>
          <w:tcPr>
            <w:tcW w:w="0" w:type="auto"/>
            <w:gridSpan w:val="3"/>
            <w:shd w:val="clear" w:color="auto" w:fill="FFFFFF"/>
            <w:tcMar>
              <w:top w:w="40" w:type="dxa"/>
              <w:left w:w="515" w:type="dxa"/>
              <w:bottom w:w="40" w:type="dxa"/>
              <w:right w:w="20" w:type="dxa"/>
            </w:tcMar>
            <w:vAlign w:val="bottom"/>
          </w:tcPr>
          <w:p w14:paraId="00BAE61A" w14:textId="77777777" w:rsidR="00871BDF" w:rsidRDefault="005C5088">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00BAE61B" w14:textId="77777777" w:rsidR="00871BDF" w:rsidRDefault="005C5088">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00BAE61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1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61E" w14:textId="77777777" w:rsidR="00871BDF" w:rsidRDefault="005C5088">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bottom"/>
          </w:tcPr>
          <w:p w14:paraId="00BAE61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2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621" w14:textId="77777777" w:rsidR="00871BDF" w:rsidRDefault="005C5088">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00BAE622" w14:textId="77777777" w:rsidR="00871BDF" w:rsidRDefault="00871BDF">
            <w:pPr>
              <w:jc w:val="right"/>
              <w:rPr>
                <w:rFonts w:ascii="宋体"/>
              </w:rPr>
            </w:pPr>
          </w:p>
        </w:tc>
      </w:tr>
      <w:tr w:rsidR="00871BDF" w14:paraId="00BAE62D" w14:textId="77777777">
        <w:trPr>
          <w:jc w:val="center"/>
        </w:trPr>
        <w:tc>
          <w:tcPr>
            <w:tcW w:w="0" w:type="auto"/>
            <w:gridSpan w:val="3"/>
            <w:shd w:val="clear" w:color="auto" w:fill="D7E4BC"/>
            <w:tcMar>
              <w:top w:w="40" w:type="dxa"/>
              <w:left w:w="245" w:type="dxa"/>
              <w:bottom w:w="40" w:type="dxa"/>
              <w:right w:w="20" w:type="dxa"/>
            </w:tcMar>
            <w:vAlign w:val="bottom"/>
          </w:tcPr>
          <w:p w14:paraId="00BAE624" w14:textId="77777777" w:rsidR="00871BDF" w:rsidRDefault="005C5088">
            <w:pPr>
              <w:textAlignment w:val="bottom"/>
            </w:pPr>
            <w:r>
              <w:rPr>
                <w:rFonts w:ascii="Times New Roman" w:eastAsia="宋体" w:hAnsi="Times New Roman"/>
                <w:color w:val="000000"/>
                <w:sz w:val="20"/>
                <w:szCs w:val="20"/>
              </w:rPr>
              <w:t xml:space="preserve">Unrealized </w:t>
            </w:r>
            <w:r>
              <w:rPr>
                <w:rFonts w:ascii="Times New Roman" w:eastAsia="宋体" w:hAnsi="Times New Roman"/>
                <w:color w:val="000000"/>
                <w:sz w:val="20"/>
                <w:szCs w:val="20"/>
              </w:rPr>
              <w:t>gains/(losses) on cash flow hedging instruments</w:t>
            </w:r>
          </w:p>
        </w:tc>
        <w:tc>
          <w:tcPr>
            <w:tcW w:w="0" w:type="auto"/>
            <w:gridSpan w:val="2"/>
            <w:shd w:val="clear" w:color="auto" w:fill="D7E4BC"/>
            <w:tcMar>
              <w:top w:w="40" w:type="dxa"/>
              <w:left w:w="20" w:type="dxa"/>
              <w:bottom w:w="40" w:type="dxa"/>
              <w:right w:w="0" w:type="dxa"/>
            </w:tcMar>
            <w:vAlign w:val="bottom"/>
          </w:tcPr>
          <w:p w14:paraId="00BAE625" w14:textId="77777777" w:rsidR="00871BDF" w:rsidRDefault="005C5088">
            <w:pPr>
              <w:jc w:val="right"/>
              <w:textAlignment w:val="bottom"/>
            </w:pPr>
            <w:r>
              <w:rPr>
                <w:rFonts w:ascii="Times New Roman" w:eastAsia="宋体" w:hAnsi="Times New Roman"/>
                <w:color w:val="000000"/>
                <w:sz w:val="20"/>
                <w:szCs w:val="20"/>
              </w:rPr>
              <w:t>(126.3)</w:t>
            </w:r>
          </w:p>
        </w:tc>
        <w:tc>
          <w:tcPr>
            <w:tcW w:w="0" w:type="auto"/>
            <w:shd w:val="clear" w:color="auto" w:fill="D7E4BC"/>
            <w:tcMar>
              <w:top w:w="40" w:type="dxa"/>
              <w:left w:w="0" w:type="dxa"/>
              <w:bottom w:w="40" w:type="dxa"/>
              <w:right w:w="20" w:type="dxa"/>
            </w:tcMar>
            <w:vAlign w:val="bottom"/>
          </w:tcPr>
          <w:p w14:paraId="00BAE62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2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28" w14:textId="77777777" w:rsidR="00871BDF" w:rsidRDefault="005C5088">
            <w:pPr>
              <w:jc w:val="right"/>
              <w:textAlignment w:val="bottom"/>
            </w:pPr>
            <w:r>
              <w:rPr>
                <w:rFonts w:ascii="Times New Roman" w:eastAsia="宋体" w:hAnsi="Times New Roman"/>
                <w:color w:val="000000"/>
                <w:sz w:val="20"/>
                <w:szCs w:val="20"/>
              </w:rPr>
              <w:t>(14.1)</w:t>
            </w:r>
          </w:p>
        </w:tc>
        <w:tc>
          <w:tcPr>
            <w:tcW w:w="0" w:type="auto"/>
            <w:shd w:val="clear" w:color="auto" w:fill="D7E4BC"/>
            <w:tcMar>
              <w:top w:w="40" w:type="dxa"/>
              <w:left w:w="0" w:type="dxa"/>
              <w:bottom w:w="40" w:type="dxa"/>
              <w:right w:w="20" w:type="dxa"/>
            </w:tcMar>
            <w:vAlign w:val="bottom"/>
          </w:tcPr>
          <w:p w14:paraId="00BAE62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2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2B" w14:textId="77777777" w:rsidR="00871BDF" w:rsidRDefault="005C5088">
            <w:pPr>
              <w:jc w:val="right"/>
              <w:textAlignment w:val="bottom"/>
            </w:pPr>
            <w:r>
              <w:rPr>
                <w:rFonts w:ascii="Times New Roman" w:eastAsia="宋体" w:hAnsi="Times New Roman"/>
                <w:color w:val="000000"/>
                <w:sz w:val="20"/>
                <w:szCs w:val="20"/>
              </w:rPr>
              <w:t>24.4 </w:t>
            </w:r>
          </w:p>
        </w:tc>
        <w:tc>
          <w:tcPr>
            <w:tcW w:w="0" w:type="auto"/>
            <w:shd w:val="clear" w:color="auto" w:fill="D7E4BC"/>
            <w:tcMar>
              <w:top w:w="40" w:type="dxa"/>
              <w:left w:w="0" w:type="dxa"/>
              <w:bottom w:w="40" w:type="dxa"/>
              <w:right w:w="20" w:type="dxa"/>
            </w:tcMar>
            <w:vAlign w:val="bottom"/>
          </w:tcPr>
          <w:p w14:paraId="00BAE62C" w14:textId="77777777" w:rsidR="00871BDF" w:rsidRDefault="00871BDF">
            <w:pPr>
              <w:jc w:val="right"/>
              <w:rPr>
                <w:rFonts w:ascii="宋体"/>
              </w:rPr>
            </w:pPr>
          </w:p>
        </w:tc>
      </w:tr>
      <w:tr w:rsidR="00871BDF" w14:paraId="00BAE637" w14:textId="77777777">
        <w:trPr>
          <w:jc w:val="center"/>
        </w:trPr>
        <w:tc>
          <w:tcPr>
            <w:tcW w:w="0" w:type="auto"/>
            <w:gridSpan w:val="3"/>
            <w:shd w:val="clear" w:color="auto" w:fill="FFFFFF"/>
            <w:tcMar>
              <w:top w:w="40" w:type="dxa"/>
              <w:left w:w="515" w:type="dxa"/>
              <w:bottom w:w="40" w:type="dxa"/>
              <w:right w:w="20" w:type="dxa"/>
            </w:tcMar>
            <w:vAlign w:val="bottom"/>
          </w:tcPr>
          <w:p w14:paraId="00BAE62E" w14:textId="77777777" w:rsidR="00871BDF" w:rsidRDefault="005C5088">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00BAE62F" w14:textId="77777777" w:rsidR="00871BDF" w:rsidRDefault="005C5088">
            <w:pPr>
              <w:jc w:val="right"/>
              <w:textAlignment w:val="bottom"/>
            </w:pPr>
            <w:r>
              <w:rPr>
                <w:rFonts w:ascii="Times New Roman" w:eastAsia="宋体" w:hAnsi="Times New Roman"/>
                <w:color w:val="000000"/>
                <w:sz w:val="20"/>
                <w:szCs w:val="20"/>
              </w:rPr>
              <w:t>31.3 </w:t>
            </w:r>
          </w:p>
        </w:tc>
        <w:tc>
          <w:tcPr>
            <w:tcW w:w="0" w:type="auto"/>
            <w:shd w:val="clear" w:color="auto" w:fill="FFFFFF"/>
            <w:tcMar>
              <w:top w:w="40" w:type="dxa"/>
              <w:left w:w="0" w:type="dxa"/>
              <w:bottom w:w="40" w:type="dxa"/>
              <w:right w:w="20" w:type="dxa"/>
            </w:tcMar>
            <w:vAlign w:val="bottom"/>
          </w:tcPr>
          <w:p w14:paraId="00BAE63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3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632" w14:textId="77777777" w:rsidR="00871BDF" w:rsidRDefault="005C5088">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00BAE63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3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635" w14:textId="77777777" w:rsidR="00871BDF" w:rsidRDefault="005C5088">
            <w:pPr>
              <w:jc w:val="right"/>
              <w:textAlignment w:val="bottom"/>
            </w:pPr>
            <w:r>
              <w:rPr>
                <w:rFonts w:ascii="Times New Roman" w:eastAsia="宋体" w:hAnsi="Times New Roman"/>
                <w:color w:val="000000"/>
                <w:sz w:val="20"/>
                <w:szCs w:val="20"/>
              </w:rPr>
              <w:t>(6.5)</w:t>
            </w:r>
          </w:p>
        </w:tc>
        <w:tc>
          <w:tcPr>
            <w:tcW w:w="0" w:type="auto"/>
            <w:shd w:val="clear" w:color="auto" w:fill="FFFFFF"/>
            <w:tcMar>
              <w:top w:w="40" w:type="dxa"/>
              <w:left w:w="0" w:type="dxa"/>
              <w:bottom w:w="40" w:type="dxa"/>
              <w:right w:w="20" w:type="dxa"/>
            </w:tcMar>
            <w:vAlign w:val="bottom"/>
          </w:tcPr>
          <w:p w14:paraId="00BAE636" w14:textId="77777777" w:rsidR="00871BDF" w:rsidRDefault="00871BDF">
            <w:pPr>
              <w:jc w:val="right"/>
              <w:rPr>
                <w:rFonts w:ascii="宋体"/>
              </w:rPr>
            </w:pPr>
          </w:p>
        </w:tc>
      </w:tr>
      <w:tr w:rsidR="00871BDF" w14:paraId="00BAE641" w14:textId="77777777">
        <w:trPr>
          <w:jc w:val="center"/>
        </w:trPr>
        <w:tc>
          <w:tcPr>
            <w:tcW w:w="0" w:type="auto"/>
            <w:gridSpan w:val="3"/>
            <w:shd w:val="clear" w:color="auto" w:fill="D7E4BC"/>
            <w:tcMar>
              <w:top w:w="40" w:type="dxa"/>
              <w:left w:w="245" w:type="dxa"/>
              <w:bottom w:w="40" w:type="dxa"/>
              <w:right w:w="20" w:type="dxa"/>
            </w:tcMar>
            <w:vAlign w:val="bottom"/>
          </w:tcPr>
          <w:p w14:paraId="00BAE638" w14:textId="77777777" w:rsidR="00871BDF" w:rsidRDefault="005C5088">
            <w:pPr>
              <w:textAlignment w:val="bottom"/>
            </w:pPr>
            <w:r>
              <w:rPr>
                <w:rFonts w:ascii="Times New Roman" w:eastAsia="宋体" w:hAnsi="Times New Roman"/>
                <w:color w:val="000000"/>
                <w:sz w:val="20"/>
                <w:szCs w:val="20"/>
              </w:rPr>
              <w:t>Unrealized gains/(losses) on net investment hedging instruments</w:t>
            </w:r>
          </w:p>
        </w:tc>
        <w:tc>
          <w:tcPr>
            <w:tcW w:w="0" w:type="auto"/>
            <w:gridSpan w:val="2"/>
            <w:shd w:val="clear" w:color="auto" w:fill="D7E4BC"/>
            <w:tcMar>
              <w:top w:w="40" w:type="dxa"/>
              <w:left w:w="20" w:type="dxa"/>
              <w:bottom w:w="40" w:type="dxa"/>
              <w:right w:w="0" w:type="dxa"/>
            </w:tcMar>
            <w:vAlign w:val="bottom"/>
          </w:tcPr>
          <w:p w14:paraId="00BAE639" w14:textId="77777777" w:rsidR="00871BDF" w:rsidRDefault="005C5088">
            <w:pPr>
              <w:jc w:val="right"/>
              <w:textAlignment w:val="bottom"/>
            </w:pPr>
            <w:r>
              <w:rPr>
                <w:rFonts w:ascii="Times New Roman" w:eastAsia="宋体" w:hAnsi="Times New Roman"/>
                <w:color w:val="000000"/>
                <w:sz w:val="20"/>
                <w:szCs w:val="20"/>
              </w:rPr>
              <w:t>38.7 </w:t>
            </w:r>
          </w:p>
        </w:tc>
        <w:tc>
          <w:tcPr>
            <w:tcW w:w="0" w:type="auto"/>
            <w:shd w:val="clear" w:color="auto" w:fill="D7E4BC"/>
            <w:tcMar>
              <w:top w:w="40" w:type="dxa"/>
              <w:left w:w="0" w:type="dxa"/>
              <w:bottom w:w="40" w:type="dxa"/>
              <w:right w:w="20" w:type="dxa"/>
            </w:tcMar>
            <w:vAlign w:val="bottom"/>
          </w:tcPr>
          <w:p w14:paraId="00BAE63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3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3C" w14:textId="77777777" w:rsidR="00871BDF" w:rsidRDefault="005C5088">
            <w:pPr>
              <w:jc w:val="right"/>
              <w:textAlignment w:val="bottom"/>
            </w:pPr>
            <w:r>
              <w:rPr>
                <w:rFonts w:ascii="Times New Roman" w:eastAsia="宋体" w:hAnsi="Times New Roman"/>
                <w:color w:val="000000"/>
                <w:sz w:val="20"/>
                <w:szCs w:val="20"/>
              </w:rPr>
              <w:t>(39.8)</w:t>
            </w:r>
          </w:p>
        </w:tc>
        <w:tc>
          <w:tcPr>
            <w:tcW w:w="0" w:type="auto"/>
            <w:shd w:val="clear" w:color="auto" w:fill="D7E4BC"/>
            <w:tcMar>
              <w:top w:w="40" w:type="dxa"/>
              <w:left w:w="0" w:type="dxa"/>
              <w:bottom w:w="40" w:type="dxa"/>
              <w:right w:w="20" w:type="dxa"/>
            </w:tcMar>
            <w:vAlign w:val="bottom"/>
          </w:tcPr>
          <w:p w14:paraId="00BAE63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3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3F" w14:textId="77777777" w:rsidR="00871BDF" w:rsidRDefault="005C5088">
            <w:pPr>
              <w:jc w:val="right"/>
              <w:textAlignment w:val="bottom"/>
            </w:pPr>
            <w:r>
              <w:rPr>
                <w:rFonts w:ascii="Times New Roman" w:eastAsia="宋体" w:hAnsi="Times New Roman"/>
                <w:color w:val="000000"/>
                <w:sz w:val="20"/>
                <w:szCs w:val="20"/>
              </w:rPr>
              <w:t>7.8 </w:t>
            </w:r>
          </w:p>
        </w:tc>
        <w:tc>
          <w:tcPr>
            <w:tcW w:w="0" w:type="auto"/>
            <w:shd w:val="clear" w:color="auto" w:fill="D7E4BC"/>
            <w:tcMar>
              <w:top w:w="40" w:type="dxa"/>
              <w:left w:w="0" w:type="dxa"/>
              <w:bottom w:w="40" w:type="dxa"/>
              <w:right w:w="20" w:type="dxa"/>
            </w:tcMar>
            <w:vAlign w:val="bottom"/>
          </w:tcPr>
          <w:p w14:paraId="00BAE640" w14:textId="77777777" w:rsidR="00871BDF" w:rsidRDefault="00871BDF">
            <w:pPr>
              <w:jc w:val="right"/>
              <w:rPr>
                <w:rFonts w:ascii="宋体"/>
              </w:rPr>
            </w:pPr>
          </w:p>
        </w:tc>
      </w:tr>
      <w:tr w:rsidR="00871BDF" w14:paraId="00BAE64B" w14:textId="77777777">
        <w:trPr>
          <w:jc w:val="center"/>
        </w:trPr>
        <w:tc>
          <w:tcPr>
            <w:tcW w:w="0" w:type="auto"/>
            <w:gridSpan w:val="3"/>
            <w:shd w:val="clear" w:color="auto" w:fill="FFFFFF"/>
            <w:tcMar>
              <w:top w:w="40" w:type="dxa"/>
              <w:left w:w="515" w:type="dxa"/>
              <w:bottom w:w="40" w:type="dxa"/>
              <w:right w:w="20" w:type="dxa"/>
            </w:tcMar>
            <w:vAlign w:val="bottom"/>
          </w:tcPr>
          <w:p w14:paraId="00BAE642" w14:textId="77777777" w:rsidR="00871BDF" w:rsidRDefault="005C5088">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00BAE643" w14:textId="77777777" w:rsidR="00871BDF" w:rsidRDefault="005C5088">
            <w:pPr>
              <w:jc w:val="right"/>
              <w:textAlignment w:val="bottom"/>
            </w:pPr>
            <w:r>
              <w:rPr>
                <w:rFonts w:ascii="Times New Roman" w:eastAsia="宋体" w:hAnsi="Times New Roman"/>
                <w:color w:val="000000"/>
                <w:sz w:val="20"/>
                <w:szCs w:val="20"/>
              </w:rPr>
              <w:t>(9.8)</w:t>
            </w:r>
          </w:p>
        </w:tc>
        <w:tc>
          <w:tcPr>
            <w:tcW w:w="0" w:type="auto"/>
            <w:shd w:val="clear" w:color="auto" w:fill="FFFFFF"/>
            <w:tcMar>
              <w:top w:w="40" w:type="dxa"/>
              <w:left w:w="0" w:type="dxa"/>
              <w:bottom w:w="40" w:type="dxa"/>
              <w:right w:w="20" w:type="dxa"/>
            </w:tcMar>
            <w:vAlign w:val="bottom"/>
          </w:tcPr>
          <w:p w14:paraId="00BAE64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4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646" w14:textId="77777777" w:rsidR="00871BDF" w:rsidRDefault="005C5088">
            <w:pPr>
              <w:jc w:val="right"/>
              <w:textAlignment w:val="bottom"/>
            </w:pPr>
            <w:r>
              <w:rPr>
                <w:rFonts w:ascii="Times New Roman" w:eastAsia="宋体" w:hAnsi="Times New Roman"/>
                <w:color w:val="000000"/>
                <w:sz w:val="20"/>
                <w:szCs w:val="20"/>
              </w:rPr>
              <w:t>10.1 </w:t>
            </w:r>
          </w:p>
        </w:tc>
        <w:tc>
          <w:tcPr>
            <w:tcW w:w="0" w:type="auto"/>
            <w:shd w:val="clear" w:color="auto" w:fill="FFFFFF"/>
            <w:tcMar>
              <w:top w:w="40" w:type="dxa"/>
              <w:left w:w="0" w:type="dxa"/>
              <w:bottom w:w="40" w:type="dxa"/>
              <w:right w:w="20" w:type="dxa"/>
            </w:tcMar>
            <w:vAlign w:val="bottom"/>
          </w:tcPr>
          <w:p w14:paraId="00BAE64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4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649" w14:textId="77777777" w:rsidR="00871BDF" w:rsidRDefault="005C5088">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00BAE64A" w14:textId="77777777" w:rsidR="00871BDF" w:rsidRDefault="00871BDF">
            <w:pPr>
              <w:jc w:val="right"/>
              <w:rPr>
                <w:rFonts w:ascii="宋体"/>
              </w:rPr>
            </w:pPr>
          </w:p>
        </w:tc>
      </w:tr>
      <w:tr w:rsidR="00871BDF" w14:paraId="00BAE655" w14:textId="77777777">
        <w:trPr>
          <w:jc w:val="center"/>
        </w:trPr>
        <w:tc>
          <w:tcPr>
            <w:tcW w:w="0" w:type="auto"/>
            <w:gridSpan w:val="3"/>
            <w:shd w:val="clear" w:color="auto" w:fill="D7E4BC"/>
            <w:tcMar>
              <w:top w:w="40" w:type="dxa"/>
              <w:left w:w="245" w:type="dxa"/>
              <w:bottom w:w="40" w:type="dxa"/>
              <w:right w:w="20" w:type="dxa"/>
            </w:tcMar>
            <w:vAlign w:val="bottom"/>
          </w:tcPr>
          <w:p w14:paraId="00BAE64C" w14:textId="77777777" w:rsidR="00871BDF" w:rsidRDefault="005C5088">
            <w:pPr>
              <w:textAlignment w:val="bottom"/>
            </w:pPr>
            <w:r>
              <w:rPr>
                <w:rFonts w:ascii="Times New Roman" w:eastAsia="宋体" w:hAnsi="Times New Roman"/>
                <w:color w:val="000000"/>
                <w:sz w:val="20"/>
                <w:szCs w:val="20"/>
              </w:rPr>
              <w:t>Translation adjustment and other</w:t>
            </w:r>
          </w:p>
        </w:tc>
        <w:tc>
          <w:tcPr>
            <w:tcW w:w="0" w:type="auto"/>
            <w:gridSpan w:val="2"/>
            <w:shd w:val="clear" w:color="auto" w:fill="D7E4BC"/>
            <w:tcMar>
              <w:top w:w="40" w:type="dxa"/>
              <w:left w:w="20" w:type="dxa"/>
              <w:bottom w:w="40" w:type="dxa"/>
              <w:right w:w="0" w:type="dxa"/>
            </w:tcMar>
            <w:vAlign w:val="bottom"/>
          </w:tcPr>
          <w:p w14:paraId="00BAE64D" w14:textId="77777777" w:rsidR="00871BDF" w:rsidRDefault="005C5088">
            <w:pPr>
              <w:jc w:val="right"/>
              <w:textAlignment w:val="bottom"/>
            </w:pPr>
            <w:r>
              <w:rPr>
                <w:rFonts w:ascii="Times New Roman" w:eastAsia="宋体" w:hAnsi="Times New Roman"/>
                <w:color w:val="000000"/>
                <w:sz w:val="20"/>
                <w:szCs w:val="20"/>
              </w:rPr>
              <w:t>206.9 </w:t>
            </w:r>
          </w:p>
        </w:tc>
        <w:tc>
          <w:tcPr>
            <w:tcW w:w="0" w:type="auto"/>
            <w:shd w:val="clear" w:color="auto" w:fill="D7E4BC"/>
            <w:tcMar>
              <w:top w:w="40" w:type="dxa"/>
              <w:left w:w="0" w:type="dxa"/>
              <w:bottom w:w="40" w:type="dxa"/>
              <w:right w:w="20" w:type="dxa"/>
            </w:tcMar>
            <w:vAlign w:val="bottom"/>
          </w:tcPr>
          <w:p w14:paraId="00BAE64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4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50" w14:textId="77777777" w:rsidR="00871BDF" w:rsidRDefault="005C5088">
            <w:pPr>
              <w:jc w:val="right"/>
              <w:textAlignment w:val="bottom"/>
            </w:pPr>
            <w:r>
              <w:rPr>
                <w:rFonts w:ascii="Times New Roman" w:eastAsia="宋体" w:hAnsi="Times New Roman"/>
                <w:color w:val="000000"/>
                <w:sz w:val="20"/>
                <w:szCs w:val="20"/>
              </w:rPr>
              <w:t>(146.2)</w:t>
            </w:r>
          </w:p>
        </w:tc>
        <w:tc>
          <w:tcPr>
            <w:tcW w:w="0" w:type="auto"/>
            <w:shd w:val="clear" w:color="auto" w:fill="D7E4BC"/>
            <w:tcMar>
              <w:top w:w="40" w:type="dxa"/>
              <w:left w:w="0" w:type="dxa"/>
              <w:bottom w:w="40" w:type="dxa"/>
              <w:right w:w="20" w:type="dxa"/>
            </w:tcMar>
            <w:vAlign w:val="bottom"/>
          </w:tcPr>
          <w:p w14:paraId="00BAE65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5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53" w14:textId="77777777" w:rsidR="00871BDF" w:rsidRDefault="005C5088">
            <w:pPr>
              <w:jc w:val="right"/>
              <w:textAlignment w:val="bottom"/>
            </w:pPr>
            <w:r>
              <w:rPr>
                <w:rFonts w:ascii="Times New Roman" w:eastAsia="宋体" w:hAnsi="Times New Roman"/>
                <w:color w:val="000000"/>
                <w:sz w:val="20"/>
                <w:szCs w:val="20"/>
              </w:rPr>
              <w:t>(220.0)</w:t>
            </w:r>
          </w:p>
        </w:tc>
        <w:tc>
          <w:tcPr>
            <w:tcW w:w="0" w:type="auto"/>
            <w:shd w:val="clear" w:color="auto" w:fill="D7E4BC"/>
            <w:tcMar>
              <w:top w:w="40" w:type="dxa"/>
              <w:left w:w="0" w:type="dxa"/>
              <w:bottom w:w="40" w:type="dxa"/>
              <w:right w:w="20" w:type="dxa"/>
            </w:tcMar>
            <w:vAlign w:val="bottom"/>
          </w:tcPr>
          <w:p w14:paraId="00BAE654" w14:textId="77777777" w:rsidR="00871BDF" w:rsidRDefault="00871BDF">
            <w:pPr>
              <w:jc w:val="right"/>
              <w:rPr>
                <w:rFonts w:ascii="宋体"/>
              </w:rPr>
            </w:pPr>
          </w:p>
        </w:tc>
      </w:tr>
      <w:tr w:rsidR="00871BDF" w14:paraId="00BAE65F" w14:textId="77777777">
        <w:trPr>
          <w:jc w:val="center"/>
        </w:trPr>
        <w:tc>
          <w:tcPr>
            <w:tcW w:w="0" w:type="auto"/>
            <w:gridSpan w:val="3"/>
            <w:shd w:val="clear" w:color="auto" w:fill="FFFFFF"/>
            <w:tcMar>
              <w:top w:w="40" w:type="dxa"/>
              <w:left w:w="515" w:type="dxa"/>
              <w:bottom w:w="40" w:type="dxa"/>
              <w:right w:w="20" w:type="dxa"/>
            </w:tcMar>
            <w:vAlign w:val="bottom"/>
          </w:tcPr>
          <w:p w14:paraId="00BAE656" w14:textId="77777777" w:rsidR="00871BDF" w:rsidRDefault="005C5088">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00BAE657" w14:textId="77777777" w:rsidR="00871BDF" w:rsidRDefault="005C5088">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00BAE65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5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65A" w14:textId="77777777" w:rsidR="00871BDF" w:rsidRDefault="005C5088">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00BAE65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5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65D" w14:textId="77777777" w:rsidR="00871BDF" w:rsidRDefault="005C5088">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00BAE65E" w14:textId="77777777" w:rsidR="00871BDF" w:rsidRDefault="00871BDF">
            <w:pPr>
              <w:jc w:val="right"/>
              <w:rPr>
                <w:rFonts w:ascii="宋体"/>
              </w:rPr>
            </w:pPr>
          </w:p>
        </w:tc>
      </w:tr>
      <w:tr w:rsidR="00871BDF" w14:paraId="00BAE669" w14:textId="77777777">
        <w:trPr>
          <w:jc w:val="center"/>
        </w:trPr>
        <w:tc>
          <w:tcPr>
            <w:tcW w:w="0" w:type="auto"/>
            <w:gridSpan w:val="3"/>
            <w:shd w:val="clear" w:color="auto" w:fill="D7E4BC"/>
            <w:tcMar>
              <w:top w:w="40" w:type="dxa"/>
              <w:left w:w="245" w:type="dxa"/>
              <w:bottom w:w="40" w:type="dxa"/>
              <w:right w:w="20" w:type="dxa"/>
            </w:tcMar>
            <w:vAlign w:val="bottom"/>
          </w:tcPr>
          <w:p w14:paraId="00BAE660" w14:textId="77777777" w:rsidR="00871BDF" w:rsidRDefault="005C5088">
            <w:pPr>
              <w:textAlignment w:val="bottom"/>
            </w:pPr>
            <w:r>
              <w:rPr>
                <w:rFonts w:ascii="Times New Roman" w:eastAsia="宋体" w:hAnsi="Times New Roman"/>
                <w:color w:val="000000"/>
                <w:sz w:val="20"/>
                <w:szCs w:val="20"/>
              </w:rPr>
              <w:t xml:space="preserve">Reclassification adjustment for net (gains)/losses realized in net earnings for available-for-sale securities, hedging instruments and </w:t>
            </w:r>
            <w:r>
              <w:rPr>
                <w:rFonts w:ascii="Times New Roman" w:eastAsia="宋体" w:hAnsi="Times New Roman"/>
                <w:color w:val="000000"/>
                <w:sz w:val="20"/>
                <w:szCs w:val="20"/>
              </w:rPr>
              <w:t>translation adjustment</w:t>
            </w:r>
          </w:p>
        </w:tc>
        <w:tc>
          <w:tcPr>
            <w:tcW w:w="0" w:type="auto"/>
            <w:gridSpan w:val="2"/>
            <w:shd w:val="clear" w:color="auto" w:fill="D7E4BC"/>
            <w:tcMar>
              <w:top w:w="40" w:type="dxa"/>
              <w:left w:w="20" w:type="dxa"/>
              <w:bottom w:w="40" w:type="dxa"/>
              <w:right w:w="0" w:type="dxa"/>
            </w:tcMar>
            <w:vAlign w:val="bottom"/>
          </w:tcPr>
          <w:p w14:paraId="00BAE661" w14:textId="77777777" w:rsidR="00871BDF" w:rsidRDefault="005C5088">
            <w:pPr>
              <w:jc w:val="right"/>
              <w:textAlignment w:val="bottom"/>
            </w:pPr>
            <w:r>
              <w:rPr>
                <w:rFonts w:ascii="Times New Roman" w:eastAsia="宋体" w:hAnsi="Times New Roman"/>
                <w:color w:val="000000"/>
                <w:sz w:val="20"/>
                <w:szCs w:val="20"/>
              </w:rPr>
              <w:t>(20.1)</w:t>
            </w:r>
          </w:p>
        </w:tc>
        <w:tc>
          <w:tcPr>
            <w:tcW w:w="0" w:type="auto"/>
            <w:shd w:val="clear" w:color="auto" w:fill="D7E4BC"/>
            <w:tcMar>
              <w:top w:w="40" w:type="dxa"/>
              <w:left w:w="0" w:type="dxa"/>
              <w:bottom w:w="40" w:type="dxa"/>
              <w:right w:w="20" w:type="dxa"/>
            </w:tcMar>
            <w:vAlign w:val="bottom"/>
          </w:tcPr>
          <w:p w14:paraId="00BAE66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6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64" w14:textId="77777777" w:rsidR="00871BDF" w:rsidRDefault="005C5088">
            <w:pPr>
              <w:jc w:val="right"/>
              <w:textAlignment w:val="bottom"/>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bottom"/>
          </w:tcPr>
          <w:p w14:paraId="00BAE66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6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67" w14:textId="77777777" w:rsidR="00871BDF" w:rsidRDefault="005C5088">
            <w:pPr>
              <w:jc w:val="right"/>
              <w:textAlignment w:val="bottom"/>
            </w:pPr>
            <w:r>
              <w:rPr>
                <w:rFonts w:ascii="Times New Roman" w:eastAsia="宋体" w:hAnsi="Times New Roman"/>
                <w:color w:val="000000"/>
                <w:sz w:val="20"/>
                <w:szCs w:val="20"/>
              </w:rPr>
              <w:t>24.7 </w:t>
            </w:r>
          </w:p>
        </w:tc>
        <w:tc>
          <w:tcPr>
            <w:tcW w:w="0" w:type="auto"/>
            <w:shd w:val="clear" w:color="auto" w:fill="D7E4BC"/>
            <w:tcMar>
              <w:top w:w="40" w:type="dxa"/>
              <w:left w:w="0" w:type="dxa"/>
              <w:bottom w:w="40" w:type="dxa"/>
              <w:right w:w="20" w:type="dxa"/>
            </w:tcMar>
            <w:vAlign w:val="bottom"/>
          </w:tcPr>
          <w:p w14:paraId="00BAE668" w14:textId="77777777" w:rsidR="00871BDF" w:rsidRDefault="00871BDF">
            <w:pPr>
              <w:jc w:val="right"/>
              <w:rPr>
                <w:rFonts w:ascii="宋体"/>
              </w:rPr>
            </w:pPr>
          </w:p>
        </w:tc>
      </w:tr>
      <w:tr w:rsidR="00871BDF" w14:paraId="00BAE673" w14:textId="77777777">
        <w:trPr>
          <w:jc w:val="center"/>
        </w:trPr>
        <w:tc>
          <w:tcPr>
            <w:tcW w:w="0" w:type="auto"/>
            <w:gridSpan w:val="3"/>
            <w:shd w:val="clear" w:color="auto" w:fill="FFFFFF"/>
            <w:tcMar>
              <w:top w:w="40" w:type="dxa"/>
              <w:left w:w="515" w:type="dxa"/>
              <w:bottom w:w="40" w:type="dxa"/>
              <w:right w:w="20" w:type="dxa"/>
            </w:tcMar>
            <w:vAlign w:val="bottom"/>
          </w:tcPr>
          <w:p w14:paraId="00BAE66A" w14:textId="77777777" w:rsidR="00871BDF" w:rsidRDefault="005C5088">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00BAE66B" w14:textId="77777777" w:rsidR="00871BDF" w:rsidRDefault="005C5088">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00BAE66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6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66E" w14:textId="77777777" w:rsidR="00871BDF" w:rsidRDefault="005C5088">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0BAE66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7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671" w14:textId="77777777" w:rsidR="00871BDF" w:rsidRDefault="005C5088">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00BAE672" w14:textId="77777777" w:rsidR="00871BDF" w:rsidRDefault="00871BDF">
            <w:pPr>
              <w:jc w:val="right"/>
              <w:rPr>
                <w:rFonts w:ascii="宋体"/>
              </w:rPr>
            </w:pPr>
          </w:p>
        </w:tc>
      </w:tr>
      <w:tr w:rsidR="00871BDF" w14:paraId="00BAE67D" w14:textId="77777777">
        <w:trPr>
          <w:jc w:val="center"/>
        </w:trPr>
        <w:tc>
          <w:tcPr>
            <w:tcW w:w="0" w:type="auto"/>
            <w:gridSpan w:val="3"/>
            <w:shd w:val="clear" w:color="auto" w:fill="D7E4BC"/>
            <w:tcMar>
              <w:top w:w="40" w:type="dxa"/>
              <w:left w:w="20" w:type="dxa"/>
              <w:bottom w:w="40" w:type="dxa"/>
              <w:right w:w="20" w:type="dxa"/>
            </w:tcMar>
            <w:vAlign w:val="bottom"/>
          </w:tcPr>
          <w:p w14:paraId="00BAE674" w14:textId="77777777" w:rsidR="00871BDF" w:rsidRDefault="005C5088">
            <w:pPr>
              <w:textAlignment w:val="bottom"/>
            </w:pPr>
            <w:r>
              <w:rPr>
                <w:rFonts w:ascii="Times New Roman" w:eastAsia="宋体" w:hAnsi="Times New Roman"/>
                <w:color w:val="000000"/>
                <w:sz w:val="20"/>
                <w:szCs w:val="20"/>
              </w:rPr>
              <w:t>Other comprehensive income/(loss)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675" w14:textId="77777777" w:rsidR="00871BDF" w:rsidRDefault="005C5088">
            <w:pPr>
              <w:jc w:val="right"/>
              <w:textAlignment w:val="bottom"/>
            </w:pPr>
            <w:r>
              <w:rPr>
                <w:rFonts w:ascii="Times New Roman" w:eastAsia="宋体" w:hAnsi="Times New Roman"/>
                <w:color w:val="000000"/>
                <w:sz w:val="20"/>
                <w:szCs w:val="20"/>
              </w:rPr>
              <w:t>133.9 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67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77"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678" w14:textId="77777777" w:rsidR="00871BDF" w:rsidRDefault="005C5088">
            <w:pPr>
              <w:jc w:val="right"/>
              <w:textAlignment w:val="bottom"/>
            </w:pPr>
            <w:r>
              <w:rPr>
                <w:rFonts w:ascii="Times New Roman" w:eastAsia="宋体" w:hAnsi="Times New Roman"/>
                <w:color w:val="000000"/>
                <w:sz w:val="20"/>
                <w:szCs w:val="20"/>
              </w:rPr>
              <w:t>(173.0)</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67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7A"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67B" w14:textId="77777777" w:rsidR="00871BDF" w:rsidRDefault="005C5088">
            <w:pPr>
              <w:jc w:val="right"/>
              <w:textAlignment w:val="bottom"/>
            </w:pPr>
            <w:r>
              <w:rPr>
                <w:rFonts w:ascii="Times New Roman" w:eastAsia="宋体" w:hAnsi="Times New Roman"/>
                <w:color w:val="000000"/>
                <w:sz w:val="20"/>
                <w:szCs w:val="20"/>
              </w:rPr>
              <w:t>(174.7)</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67C" w14:textId="77777777" w:rsidR="00871BDF" w:rsidRDefault="00871BDF">
            <w:pPr>
              <w:jc w:val="right"/>
              <w:rPr>
                <w:rFonts w:ascii="宋体"/>
              </w:rPr>
            </w:pPr>
          </w:p>
        </w:tc>
      </w:tr>
      <w:tr w:rsidR="00871BDF" w14:paraId="00BAE687" w14:textId="77777777">
        <w:trPr>
          <w:jc w:val="center"/>
        </w:trPr>
        <w:tc>
          <w:tcPr>
            <w:tcW w:w="0" w:type="auto"/>
            <w:gridSpan w:val="3"/>
            <w:shd w:val="clear" w:color="auto" w:fill="FFFFFF"/>
            <w:tcMar>
              <w:top w:w="40" w:type="dxa"/>
              <w:left w:w="20" w:type="dxa"/>
              <w:bottom w:w="40" w:type="dxa"/>
              <w:right w:w="20" w:type="dxa"/>
            </w:tcMar>
            <w:vAlign w:val="bottom"/>
          </w:tcPr>
          <w:p w14:paraId="00BAE67E" w14:textId="77777777" w:rsidR="00871BDF" w:rsidRDefault="005C5088">
            <w:pPr>
              <w:textAlignment w:val="bottom"/>
            </w:pPr>
            <w:r>
              <w:rPr>
                <w:rFonts w:ascii="Times New Roman" w:eastAsia="宋体" w:hAnsi="Times New Roman"/>
                <w:color w:val="000000"/>
                <w:sz w:val="20"/>
                <w:szCs w:val="20"/>
              </w:rPr>
              <w:t>Comprehens</w:t>
            </w:r>
            <w:r>
              <w:rPr>
                <w:rFonts w:ascii="Times New Roman" w:eastAsia="宋体" w:hAnsi="Times New Roman"/>
                <w:color w:val="000000"/>
                <w:sz w:val="20"/>
                <w:szCs w:val="20"/>
              </w:rPr>
              <w:t>ive income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67F" w14:textId="77777777" w:rsidR="00871BDF" w:rsidRDefault="005C5088">
            <w:pPr>
              <w:jc w:val="right"/>
              <w:textAlignment w:val="bottom"/>
            </w:pPr>
            <w:r>
              <w:rPr>
                <w:rFonts w:ascii="Times New Roman" w:eastAsia="宋体" w:hAnsi="Times New Roman"/>
                <w:color w:val="000000"/>
                <w:sz w:val="20"/>
                <w:szCs w:val="20"/>
              </w:rPr>
              <w:t>1,058.6 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68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81"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682" w14:textId="77777777" w:rsidR="00871BDF" w:rsidRDefault="005C5088">
            <w:pPr>
              <w:jc w:val="right"/>
              <w:textAlignment w:val="bottom"/>
            </w:pPr>
            <w:r>
              <w:rPr>
                <w:rFonts w:ascii="Times New Roman" w:eastAsia="宋体" w:hAnsi="Times New Roman"/>
                <w:color w:val="000000"/>
                <w:sz w:val="20"/>
                <w:szCs w:val="20"/>
              </w:rPr>
              <w:t>3,421.6 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68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84"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685" w14:textId="77777777" w:rsidR="00871BDF" w:rsidRDefault="005C5088">
            <w:pPr>
              <w:jc w:val="right"/>
              <w:textAlignment w:val="bottom"/>
            </w:pPr>
            <w:r>
              <w:rPr>
                <w:rFonts w:ascii="Times New Roman" w:eastAsia="宋体" w:hAnsi="Times New Roman"/>
                <w:color w:val="000000"/>
                <w:sz w:val="20"/>
                <w:szCs w:val="20"/>
              </w:rPr>
              <w:t>4,343.3 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686" w14:textId="77777777" w:rsidR="00871BDF" w:rsidRDefault="00871BDF">
            <w:pPr>
              <w:jc w:val="right"/>
              <w:rPr>
                <w:rFonts w:ascii="宋体"/>
              </w:rPr>
            </w:pPr>
          </w:p>
        </w:tc>
      </w:tr>
      <w:tr w:rsidR="00871BDF" w14:paraId="00BAE691" w14:textId="77777777">
        <w:trPr>
          <w:jc w:val="center"/>
        </w:trPr>
        <w:tc>
          <w:tcPr>
            <w:tcW w:w="0" w:type="auto"/>
            <w:gridSpan w:val="3"/>
            <w:shd w:val="clear" w:color="auto" w:fill="D7E4BC"/>
            <w:tcMar>
              <w:top w:w="40" w:type="dxa"/>
              <w:left w:w="245" w:type="dxa"/>
              <w:bottom w:w="40" w:type="dxa"/>
              <w:right w:w="20" w:type="dxa"/>
            </w:tcMar>
            <w:vAlign w:val="bottom"/>
          </w:tcPr>
          <w:p w14:paraId="00BAE688" w14:textId="77777777" w:rsidR="00871BDF" w:rsidRDefault="005C5088">
            <w:pPr>
              <w:textAlignment w:val="bottom"/>
            </w:pPr>
            <w:r>
              <w:rPr>
                <w:rFonts w:ascii="Times New Roman" w:eastAsia="宋体" w:hAnsi="Times New Roman"/>
                <w:color w:val="000000"/>
                <w:sz w:val="20"/>
                <w:szCs w:val="20"/>
              </w:rPr>
              <w:t>Comprehensive income/(loss) attributable to noncontrolling interests</w:t>
            </w:r>
          </w:p>
        </w:tc>
        <w:tc>
          <w:tcPr>
            <w:tcW w:w="0" w:type="auto"/>
            <w:gridSpan w:val="2"/>
            <w:shd w:val="clear" w:color="auto" w:fill="D7E4BC"/>
            <w:tcMar>
              <w:top w:w="40" w:type="dxa"/>
              <w:left w:w="20" w:type="dxa"/>
              <w:bottom w:w="40" w:type="dxa"/>
              <w:right w:w="0" w:type="dxa"/>
            </w:tcMar>
            <w:vAlign w:val="bottom"/>
          </w:tcPr>
          <w:p w14:paraId="00BAE689" w14:textId="77777777" w:rsidR="00871BDF" w:rsidRDefault="005C5088">
            <w:pPr>
              <w:jc w:val="right"/>
              <w:textAlignment w:val="bottom"/>
            </w:pPr>
            <w:r>
              <w:rPr>
                <w:rFonts w:ascii="Times New Roman" w:eastAsia="宋体" w:hAnsi="Times New Roman"/>
                <w:color w:val="000000"/>
                <w:sz w:val="20"/>
                <w:szCs w:val="20"/>
              </w:rPr>
              <w:t>(3.6)</w:t>
            </w:r>
          </w:p>
        </w:tc>
        <w:tc>
          <w:tcPr>
            <w:tcW w:w="0" w:type="auto"/>
            <w:shd w:val="clear" w:color="auto" w:fill="D7E4BC"/>
            <w:tcMar>
              <w:top w:w="40" w:type="dxa"/>
              <w:left w:w="0" w:type="dxa"/>
              <w:bottom w:w="40" w:type="dxa"/>
              <w:right w:w="20" w:type="dxa"/>
            </w:tcMar>
            <w:vAlign w:val="bottom"/>
          </w:tcPr>
          <w:p w14:paraId="00BAE68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8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8C" w14:textId="77777777" w:rsidR="00871BDF" w:rsidRDefault="005C5088">
            <w:pPr>
              <w:jc w:val="right"/>
              <w:textAlignment w:val="bottom"/>
            </w:pPr>
            <w:r>
              <w:rPr>
                <w:rFonts w:ascii="Times New Roman" w:eastAsia="宋体" w:hAnsi="Times New Roman"/>
                <w:color w:val="000000"/>
                <w:sz w:val="20"/>
                <w:szCs w:val="20"/>
              </w:rPr>
              <w:t>(4.6)</w:t>
            </w:r>
          </w:p>
        </w:tc>
        <w:tc>
          <w:tcPr>
            <w:tcW w:w="0" w:type="auto"/>
            <w:shd w:val="clear" w:color="auto" w:fill="D7E4BC"/>
            <w:tcMar>
              <w:top w:w="40" w:type="dxa"/>
              <w:left w:w="0" w:type="dxa"/>
              <w:bottom w:w="40" w:type="dxa"/>
              <w:right w:w="20" w:type="dxa"/>
            </w:tcMar>
            <w:vAlign w:val="bottom"/>
          </w:tcPr>
          <w:p w14:paraId="00BAE68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8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8F" w14:textId="77777777" w:rsidR="00871BDF" w:rsidRDefault="005C5088">
            <w:pPr>
              <w:jc w:val="right"/>
              <w:textAlignment w:val="bottom"/>
            </w:pPr>
            <w:r>
              <w:rPr>
                <w:rFonts w:ascii="Times New Roman" w:eastAsia="宋体" w:hAnsi="Times New Roman"/>
                <w:color w:val="000000"/>
                <w:sz w:val="20"/>
                <w:szCs w:val="20"/>
              </w:rPr>
              <w:t>(0.3)</w:t>
            </w:r>
          </w:p>
        </w:tc>
        <w:tc>
          <w:tcPr>
            <w:tcW w:w="0" w:type="auto"/>
            <w:shd w:val="clear" w:color="auto" w:fill="D7E4BC"/>
            <w:tcMar>
              <w:top w:w="40" w:type="dxa"/>
              <w:left w:w="0" w:type="dxa"/>
              <w:bottom w:w="40" w:type="dxa"/>
              <w:right w:w="20" w:type="dxa"/>
            </w:tcMar>
            <w:vAlign w:val="bottom"/>
          </w:tcPr>
          <w:p w14:paraId="00BAE690" w14:textId="77777777" w:rsidR="00871BDF" w:rsidRDefault="00871BDF">
            <w:pPr>
              <w:jc w:val="right"/>
              <w:rPr>
                <w:rFonts w:ascii="宋体"/>
              </w:rPr>
            </w:pPr>
          </w:p>
        </w:tc>
      </w:tr>
      <w:tr w:rsidR="00871BDF" w14:paraId="00BAE69E" w14:textId="77777777">
        <w:trPr>
          <w:jc w:val="center"/>
        </w:trPr>
        <w:tc>
          <w:tcPr>
            <w:tcW w:w="0" w:type="auto"/>
            <w:gridSpan w:val="3"/>
            <w:shd w:val="clear" w:color="auto" w:fill="FFFFFF"/>
            <w:tcMar>
              <w:top w:w="40" w:type="dxa"/>
              <w:left w:w="20" w:type="dxa"/>
              <w:bottom w:w="40" w:type="dxa"/>
              <w:right w:w="20" w:type="dxa"/>
            </w:tcMar>
            <w:vAlign w:val="bottom"/>
          </w:tcPr>
          <w:p w14:paraId="00BAE692" w14:textId="77777777" w:rsidR="00871BDF" w:rsidRDefault="005C5088">
            <w:pPr>
              <w:textAlignment w:val="bottom"/>
            </w:pPr>
            <w:r>
              <w:rPr>
                <w:rFonts w:ascii="Times New Roman" w:eastAsia="宋体" w:hAnsi="Times New Roman"/>
                <w:color w:val="000000"/>
                <w:sz w:val="20"/>
                <w:szCs w:val="20"/>
              </w:rPr>
              <w:t>Comprehensive income attributable to Starbucks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E693"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E694" w14:textId="77777777" w:rsidR="00871BDF" w:rsidRDefault="005C5088">
            <w:pPr>
              <w:jc w:val="right"/>
              <w:textAlignment w:val="bottom"/>
            </w:pPr>
            <w:r>
              <w:rPr>
                <w:rFonts w:ascii="Times New Roman" w:eastAsia="宋体" w:hAnsi="Times New Roman"/>
                <w:color w:val="000000"/>
                <w:sz w:val="20"/>
                <w:szCs w:val="20"/>
              </w:rPr>
              <w:t>1,062.2 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E69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96"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E697"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E698" w14:textId="77777777" w:rsidR="00871BDF" w:rsidRDefault="005C5088">
            <w:pPr>
              <w:jc w:val="right"/>
              <w:textAlignment w:val="bottom"/>
            </w:pPr>
            <w:r>
              <w:rPr>
                <w:rFonts w:ascii="Times New Roman" w:eastAsia="宋体" w:hAnsi="Times New Roman"/>
                <w:color w:val="000000"/>
                <w:sz w:val="20"/>
                <w:szCs w:val="20"/>
              </w:rPr>
              <w:t>3,426.2 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E69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9A"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E69B"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E69C" w14:textId="77777777" w:rsidR="00871BDF" w:rsidRDefault="005C5088">
            <w:pPr>
              <w:jc w:val="right"/>
              <w:textAlignment w:val="bottom"/>
            </w:pPr>
            <w:r>
              <w:rPr>
                <w:rFonts w:ascii="Times New Roman" w:eastAsia="宋体" w:hAnsi="Times New Roman"/>
                <w:color w:val="000000"/>
                <w:sz w:val="20"/>
                <w:szCs w:val="20"/>
              </w:rPr>
              <w:t>4,343.6 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E69D" w14:textId="77777777" w:rsidR="00871BDF" w:rsidRDefault="00871BDF">
            <w:pPr>
              <w:jc w:val="right"/>
              <w:rPr>
                <w:rFonts w:ascii="宋体"/>
              </w:rPr>
            </w:pPr>
          </w:p>
        </w:tc>
      </w:tr>
    </w:tbl>
    <w:p w14:paraId="00BAE69F" w14:textId="77777777" w:rsidR="00871BDF" w:rsidRDefault="00871BDF"/>
    <w:p w14:paraId="00BAE6A0" w14:textId="77777777" w:rsidR="00871BDF" w:rsidRDefault="00871BDF">
      <w:pPr>
        <w:jc w:val="center"/>
      </w:pPr>
    </w:p>
    <w:p w14:paraId="00BAE6A1" w14:textId="77777777" w:rsidR="00871BDF" w:rsidRDefault="005C5088">
      <w:pPr>
        <w:jc w:val="center"/>
      </w:pPr>
      <w:r>
        <w:rPr>
          <w:rFonts w:ascii="Times New Roman" w:eastAsia="宋体" w:hAnsi="Times New Roman"/>
          <w:color w:val="000000"/>
          <w:sz w:val="20"/>
          <w:szCs w:val="20"/>
        </w:rPr>
        <w:t>See Notes to Consolidated Financial Statements.</w:t>
      </w:r>
    </w:p>
    <w:p w14:paraId="00BAE6A2" w14:textId="77777777" w:rsidR="00871BDF" w:rsidRDefault="00871BDF">
      <w:pPr>
        <w:spacing w:before="180"/>
        <w:jc w:val="center"/>
      </w:pPr>
    </w:p>
    <w:p w14:paraId="00BAE6A3" w14:textId="77777777" w:rsidR="00871BDF" w:rsidRDefault="00871BDF"/>
    <w:p w14:paraId="00BAE6A4" w14:textId="77777777" w:rsidR="00871BDF" w:rsidRDefault="005C5088">
      <w:pPr>
        <w:jc w:val="center"/>
      </w:pPr>
      <w:r>
        <w:rPr>
          <w:rFonts w:ascii="Times New Roman" w:eastAsia="宋体" w:hAnsi="Times New Roman"/>
          <w:color w:val="000000"/>
          <w:sz w:val="20"/>
          <w:szCs w:val="20"/>
        </w:rPr>
        <w:t>48</w:t>
      </w:r>
    </w:p>
    <w:p w14:paraId="00BAE6A5" w14:textId="77777777" w:rsidR="00871BDF" w:rsidRDefault="005C5088">
      <w:r>
        <w:pict w14:anchorId="00BB1495">
          <v:rect id="_x0000_i1075" style="width:415.3pt;height:1.5pt" o:hralign="center" o:hrstd="t" o:hr="t" fillcolor="#a0a0a0" stroked="f"/>
        </w:pict>
      </w:r>
    </w:p>
    <w:p w14:paraId="00BAE6A6" w14:textId="77777777" w:rsidR="00871BDF" w:rsidRDefault="005C5088">
      <w:hyperlink r:id="rId131" w:anchor="i54ccc64cb5384be5a4849ef1cdef4dde_7" w:history="1">
        <w:r>
          <w:rPr>
            <w:rStyle w:val="a5"/>
            <w:rFonts w:ascii="Times New Roman" w:eastAsia="宋体" w:hAnsi="Times New Roman"/>
            <w:sz w:val="20"/>
            <w:szCs w:val="20"/>
          </w:rPr>
          <w:t>Table of Contents</w:t>
        </w:r>
      </w:hyperlink>
    </w:p>
    <w:p w14:paraId="00BAE6A7" w14:textId="77777777" w:rsidR="00871BDF" w:rsidRDefault="005C5088">
      <w:pPr>
        <w:jc w:val="center"/>
      </w:pPr>
      <w:r>
        <w:rPr>
          <w:rFonts w:ascii="Times New Roman" w:eastAsia="宋体" w:hAnsi="Times New Roman"/>
          <w:b/>
          <w:bCs/>
          <w:color w:val="000000"/>
          <w:sz w:val="20"/>
          <w:szCs w:val="20"/>
        </w:rPr>
        <w:t>STARBUCKS CORPORATION</w:t>
      </w:r>
    </w:p>
    <w:p w14:paraId="00BAE6A8" w14:textId="77777777" w:rsidR="00871BDF" w:rsidRDefault="005C5088">
      <w:pPr>
        <w:jc w:val="center"/>
      </w:pPr>
      <w:r>
        <w:rPr>
          <w:rFonts w:ascii="Times New Roman" w:eastAsia="宋体" w:hAnsi="Times New Roman"/>
          <w:b/>
          <w:bCs/>
          <w:color w:val="000000"/>
          <w:sz w:val="20"/>
          <w:szCs w:val="20"/>
        </w:rPr>
        <w:t>CONSOLIDATED BALANCE SHEETS</w:t>
      </w:r>
    </w:p>
    <w:p w14:paraId="00BAE6A9" w14:textId="77777777" w:rsidR="00871BDF" w:rsidRDefault="005C5088">
      <w:pPr>
        <w:jc w:val="center"/>
      </w:pPr>
      <w:r>
        <w:rPr>
          <w:rFonts w:ascii="Times New Roman" w:eastAsia="宋体" w:hAnsi="Times New Roman"/>
          <w:i/>
          <w:iCs/>
          <w:color w:val="000000"/>
          <w:sz w:val="20"/>
          <w:szCs w:val="20"/>
        </w:rPr>
        <w:t>(in millions, except per share data)</w:t>
      </w:r>
    </w:p>
    <w:p w14:paraId="00BAE6AA" w14:textId="77777777" w:rsidR="00871BDF" w:rsidRDefault="005C5088">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5486"/>
        <w:gridCol w:w="37"/>
        <w:gridCol w:w="120"/>
        <w:gridCol w:w="1193"/>
        <w:gridCol w:w="36"/>
        <w:gridCol w:w="36"/>
        <w:gridCol w:w="36"/>
        <w:gridCol w:w="36"/>
        <w:gridCol w:w="120"/>
        <w:gridCol w:w="1159"/>
        <w:gridCol w:w="36"/>
      </w:tblGrid>
      <w:tr w:rsidR="00871BDF" w14:paraId="00BAE6B7" w14:textId="77777777">
        <w:tc>
          <w:tcPr>
            <w:tcW w:w="50" w:type="pct"/>
            <w:shd w:val="clear" w:color="auto" w:fill="auto"/>
          </w:tcPr>
          <w:p w14:paraId="00BAE6AB" w14:textId="77777777" w:rsidR="00871BDF" w:rsidRDefault="00871BDF">
            <w:pPr>
              <w:rPr>
                <w:rFonts w:ascii="宋体"/>
              </w:rPr>
            </w:pPr>
          </w:p>
        </w:tc>
        <w:tc>
          <w:tcPr>
            <w:tcW w:w="3314" w:type="pct"/>
            <w:shd w:val="clear" w:color="auto" w:fill="auto"/>
          </w:tcPr>
          <w:p w14:paraId="00BAE6AC" w14:textId="77777777" w:rsidR="00871BDF" w:rsidRDefault="00871BDF">
            <w:pPr>
              <w:rPr>
                <w:rFonts w:ascii="宋体"/>
              </w:rPr>
            </w:pPr>
          </w:p>
        </w:tc>
        <w:tc>
          <w:tcPr>
            <w:tcW w:w="5" w:type="pct"/>
            <w:shd w:val="clear" w:color="auto" w:fill="auto"/>
          </w:tcPr>
          <w:p w14:paraId="00BAE6AD" w14:textId="77777777" w:rsidR="00871BDF" w:rsidRDefault="00871BDF">
            <w:pPr>
              <w:rPr>
                <w:rFonts w:ascii="宋体"/>
              </w:rPr>
            </w:pPr>
          </w:p>
        </w:tc>
        <w:tc>
          <w:tcPr>
            <w:tcW w:w="50" w:type="pct"/>
            <w:shd w:val="clear" w:color="auto" w:fill="auto"/>
          </w:tcPr>
          <w:p w14:paraId="00BAE6AE" w14:textId="77777777" w:rsidR="00871BDF" w:rsidRDefault="00871BDF">
            <w:pPr>
              <w:rPr>
                <w:rFonts w:ascii="宋体"/>
              </w:rPr>
            </w:pPr>
          </w:p>
        </w:tc>
        <w:tc>
          <w:tcPr>
            <w:tcW w:w="741" w:type="pct"/>
            <w:shd w:val="clear" w:color="auto" w:fill="auto"/>
          </w:tcPr>
          <w:p w14:paraId="00BAE6AF" w14:textId="77777777" w:rsidR="00871BDF" w:rsidRDefault="00871BDF">
            <w:pPr>
              <w:rPr>
                <w:rFonts w:ascii="宋体"/>
              </w:rPr>
            </w:pPr>
          </w:p>
        </w:tc>
        <w:tc>
          <w:tcPr>
            <w:tcW w:w="5" w:type="pct"/>
            <w:shd w:val="clear" w:color="auto" w:fill="auto"/>
          </w:tcPr>
          <w:p w14:paraId="00BAE6B0" w14:textId="77777777" w:rsidR="00871BDF" w:rsidRDefault="00871BDF">
            <w:pPr>
              <w:rPr>
                <w:rFonts w:ascii="宋体"/>
              </w:rPr>
            </w:pPr>
          </w:p>
        </w:tc>
        <w:tc>
          <w:tcPr>
            <w:tcW w:w="5" w:type="pct"/>
            <w:shd w:val="clear" w:color="auto" w:fill="auto"/>
          </w:tcPr>
          <w:p w14:paraId="00BAE6B1" w14:textId="77777777" w:rsidR="00871BDF" w:rsidRDefault="00871BDF">
            <w:pPr>
              <w:rPr>
                <w:rFonts w:ascii="宋体"/>
              </w:rPr>
            </w:pPr>
          </w:p>
        </w:tc>
        <w:tc>
          <w:tcPr>
            <w:tcW w:w="26" w:type="pct"/>
            <w:shd w:val="clear" w:color="auto" w:fill="auto"/>
          </w:tcPr>
          <w:p w14:paraId="00BAE6B2" w14:textId="77777777" w:rsidR="00871BDF" w:rsidRDefault="00871BDF">
            <w:pPr>
              <w:rPr>
                <w:rFonts w:ascii="宋体"/>
              </w:rPr>
            </w:pPr>
          </w:p>
        </w:tc>
        <w:tc>
          <w:tcPr>
            <w:tcW w:w="5" w:type="pct"/>
            <w:shd w:val="clear" w:color="auto" w:fill="auto"/>
          </w:tcPr>
          <w:p w14:paraId="00BAE6B3" w14:textId="77777777" w:rsidR="00871BDF" w:rsidRDefault="00871BDF">
            <w:pPr>
              <w:rPr>
                <w:rFonts w:ascii="宋体"/>
              </w:rPr>
            </w:pPr>
          </w:p>
        </w:tc>
        <w:tc>
          <w:tcPr>
            <w:tcW w:w="50" w:type="pct"/>
            <w:shd w:val="clear" w:color="auto" w:fill="auto"/>
          </w:tcPr>
          <w:p w14:paraId="00BAE6B4" w14:textId="77777777" w:rsidR="00871BDF" w:rsidRDefault="00871BDF">
            <w:pPr>
              <w:rPr>
                <w:rFonts w:ascii="宋体"/>
              </w:rPr>
            </w:pPr>
          </w:p>
        </w:tc>
        <w:tc>
          <w:tcPr>
            <w:tcW w:w="741" w:type="pct"/>
            <w:shd w:val="clear" w:color="auto" w:fill="auto"/>
          </w:tcPr>
          <w:p w14:paraId="00BAE6B5" w14:textId="77777777" w:rsidR="00871BDF" w:rsidRDefault="00871BDF">
            <w:pPr>
              <w:rPr>
                <w:rFonts w:ascii="宋体"/>
              </w:rPr>
            </w:pPr>
          </w:p>
        </w:tc>
        <w:tc>
          <w:tcPr>
            <w:tcW w:w="5" w:type="pct"/>
            <w:shd w:val="clear" w:color="auto" w:fill="auto"/>
          </w:tcPr>
          <w:p w14:paraId="00BAE6B6" w14:textId="77777777" w:rsidR="00871BDF" w:rsidRDefault="00871BDF">
            <w:pPr>
              <w:rPr>
                <w:rFonts w:ascii="宋体"/>
              </w:rPr>
            </w:pPr>
          </w:p>
        </w:tc>
      </w:tr>
      <w:tr w:rsidR="00871BDF" w14:paraId="00BAE6BC" w14:textId="77777777">
        <w:tc>
          <w:tcPr>
            <w:tcW w:w="0" w:type="auto"/>
            <w:gridSpan w:val="3"/>
            <w:shd w:val="clear" w:color="auto" w:fill="auto"/>
            <w:tcMar>
              <w:top w:w="0" w:type="dxa"/>
              <w:left w:w="20" w:type="dxa"/>
              <w:bottom w:w="0" w:type="dxa"/>
              <w:right w:w="20" w:type="dxa"/>
            </w:tcMar>
          </w:tcPr>
          <w:p w14:paraId="00BAE6B8"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6B9"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E6B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6BB"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r>
      <w:tr w:rsidR="00871BDF" w14:paraId="00BAE6C1" w14:textId="77777777">
        <w:tc>
          <w:tcPr>
            <w:tcW w:w="0" w:type="auto"/>
            <w:gridSpan w:val="3"/>
            <w:shd w:val="clear" w:color="auto" w:fill="D7E4BC"/>
            <w:tcMar>
              <w:top w:w="40" w:type="dxa"/>
              <w:left w:w="20" w:type="dxa"/>
              <w:bottom w:w="40" w:type="dxa"/>
              <w:right w:w="20" w:type="dxa"/>
            </w:tcMar>
          </w:tcPr>
          <w:p w14:paraId="00BAE6BD" w14:textId="77777777" w:rsidR="00871BDF" w:rsidRDefault="005C5088">
            <w:pPr>
              <w:jc w:val="cente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tcPr>
          <w:p w14:paraId="00BAE6B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6BF"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6C0" w14:textId="77777777" w:rsidR="00871BDF" w:rsidRDefault="00871BDF">
            <w:pPr>
              <w:rPr>
                <w:rFonts w:ascii="宋体"/>
              </w:rPr>
            </w:pPr>
          </w:p>
        </w:tc>
      </w:tr>
      <w:tr w:rsidR="00871BDF" w14:paraId="00BAE6C6" w14:textId="77777777">
        <w:tc>
          <w:tcPr>
            <w:tcW w:w="0" w:type="auto"/>
            <w:gridSpan w:val="3"/>
            <w:shd w:val="clear" w:color="auto" w:fill="FFFFFF"/>
            <w:tcMar>
              <w:top w:w="40" w:type="dxa"/>
              <w:left w:w="20" w:type="dxa"/>
              <w:bottom w:w="40" w:type="dxa"/>
              <w:right w:w="20" w:type="dxa"/>
            </w:tcMar>
          </w:tcPr>
          <w:p w14:paraId="00BAE6C2" w14:textId="77777777" w:rsidR="00871BDF" w:rsidRDefault="005C5088">
            <w:pPr>
              <w:textAlignment w:val="top"/>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tcPr>
          <w:p w14:paraId="00BAE6C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6C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6C5" w14:textId="77777777" w:rsidR="00871BDF" w:rsidRDefault="00871BDF">
            <w:pPr>
              <w:rPr>
                <w:rFonts w:ascii="宋体"/>
              </w:rPr>
            </w:pPr>
          </w:p>
        </w:tc>
      </w:tr>
      <w:tr w:rsidR="00871BDF" w14:paraId="00BAE6CF" w14:textId="77777777">
        <w:tc>
          <w:tcPr>
            <w:tcW w:w="0" w:type="auto"/>
            <w:gridSpan w:val="3"/>
            <w:shd w:val="clear" w:color="auto" w:fill="D7E4BC"/>
            <w:tcMar>
              <w:top w:w="40" w:type="dxa"/>
              <w:left w:w="380" w:type="dxa"/>
              <w:bottom w:w="40" w:type="dxa"/>
              <w:right w:w="20" w:type="dxa"/>
            </w:tcMar>
          </w:tcPr>
          <w:p w14:paraId="00BAE6C7" w14:textId="77777777" w:rsidR="00871BDF" w:rsidRDefault="005C5088">
            <w:pPr>
              <w:textAlignment w:val="top"/>
            </w:pPr>
            <w:r>
              <w:rPr>
                <w:rFonts w:ascii="Times New Roman" w:eastAsia="宋体" w:hAnsi="Times New Roman"/>
                <w:color w:val="000000"/>
                <w:sz w:val="20"/>
                <w:szCs w:val="20"/>
              </w:rPr>
              <w:t>Cash and cash equivalents</w:t>
            </w:r>
          </w:p>
        </w:tc>
        <w:tc>
          <w:tcPr>
            <w:tcW w:w="0" w:type="auto"/>
            <w:shd w:val="clear" w:color="auto" w:fill="D7E4BC"/>
            <w:tcMar>
              <w:top w:w="40" w:type="dxa"/>
              <w:left w:w="20" w:type="dxa"/>
              <w:bottom w:w="40" w:type="dxa"/>
              <w:right w:w="0" w:type="dxa"/>
            </w:tcMar>
            <w:vAlign w:val="bottom"/>
          </w:tcPr>
          <w:p w14:paraId="00BAE6C8"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E6C9" w14:textId="77777777" w:rsidR="00871BDF" w:rsidRDefault="005C5088">
            <w:pPr>
              <w:jc w:val="right"/>
              <w:textAlignment w:val="bottom"/>
            </w:pPr>
            <w:r>
              <w:rPr>
                <w:rFonts w:ascii="Times New Roman" w:eastAsia="宋体" w:hAnsi="Times New Roman"/>
                <w:color w:val="000000"/>
                <w:sz w:val="20"/>
                <w:szCs w:val="20"/>
              </w:rPr>
              <w:t>4,350.9 </w:t>
            </w:r>
          </w:p>
        </w:tc>
        <w:tc>
          <w:tcPr>
            <w:tcW w:w="0" w:type="auto"/>
            <w:shd w:val="clear" w:color="auto" w:fill="D7E4BC"/>
            <w:tcMar>
              <w:top w:w="40" w:type="dxa"/>
              <w:left w:w="0" w:type="dxa"/>
              <w:bottom w:w="40" w:type="dxa"/>
              <w:right w:w="20" w:type="dxa"/>
            </w:tcMar>
            <w:vAlign w:val="bottom"/>
          </w:tcPr>
          <w:p w14:paraId="00BAE6C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CB"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E6CC"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E6CD" w14:textId="77777777" w:rsidR="00871BDF" w:rsidRDefault="005C5088">
            <w:pPr>
              <w:jc w:val="right"/>
              <w:textAlignment w:val="bottom"/>
            </w:pPr>
            <w:r>
              <w:rPr>
                <w:rFonts w:ascii="Times New Roman" w:eastAsia="宋体" w:hAnsi="Times New Roman"/>
                <w:color w:val="000000"/>
                <w:sz w:val="20"/>
                <w:szCs w:val="20"/>
              </w:rPr>
              <w:t>2,686.6 </w:t>
            </w:r>
          </w:p>
        </w:tc>
        <w:tc>
          <w:tcPr>
            <w:tcW w:w="0" w:type="auto"/>
            <w:shd w:val="clear" w:color="auto" w:fill="D7E4BC"/>
            <w:tcMar>
              <w:top w:w="40" w:type="dxa"/>
              <w:left w:w="0" w:type="dxa"/>
              <w:bottom w:w="40" w:type="dxa"/>
              <w:right w:w="20" w:type="dxa"/>
            </w:tcMar>
            <w:vAlign w:val="bottom"/>
          </w:tcPr>
          <w:p w14:paraId="00BAE6CE" w14:textId="77777777" w:rsidR="00871BDF" w:rsidRDefault="00871BDF">
            <w:pPr>
              <w:jc w:val="right"/>
              <w:rPr>
                <w:rFonts w:ascii="宋体"/>
              </w:rPr>
            </w:pPr>
          </w:p>
        </w:tc>
      </w:tr>
      <w:tr w:rsidR="00871BDF" w14:paraId="00BAE6D6" w14:textId="77777777">
        <w:tc>
          <w:tcPr>
            <w:tcW w:w="0" w:type="auto"/>
            <w:gridSpan w:val="3"/>
            <w:shd w:val="clear" w:color="auto" w:fill="FFFFFF"/>
            <w:tcMar>
              <w:top w:w="40" w:type="dxa"/>
              <w:left w:w="380" w:type="dxa"/>
              <w:bottom w:w="40" w:type="dxa"/>
              <w:right w:w="20" w:type="dxa"/>
            </w:tcMar>
          </w:tcPr>
          <w:p w14:paraId="00BAE6D0" w14:textId="77777777" w:rsidR="00871BDF" w:rsidRDefault="005C5088">
            <w:pPr>
              <w:textAlignment w:val="top"/>
            </w:pPr>
            <w:r>
              <w:rPr>
                <w:rFonts w:ascii="Times New Roman" w:eastAsia="宋体" w:hAnsi="Times New Roman"/>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00BAE6D1" w14:textId="77777777" w:rsidR="00871BDF" w:rsidRDefault="005C5088">
            <w:pPr>
              <w:jc w:val="right"/>
              <w:textAlignment w:val="bottom"/>
            </w:pPr>
            <w:r>
              <w:rPr>
                <w:rFonts w:ascii="Times New Roman" w:eastAsia="宋体" w:hAnsi="Times New Roman"/>
                <w:color w:val="000000"/>
                <w:sz w:val="20"/>
                <w:szCs w:val="20"/>
              </w:rPr>
              <w:t>281.2 </w:t>
            </w:r>
          </w:p>
        </w:tc>
        <w:tc>
          <w:tcPr>
            <w:tcW w:w="0" w:type="auto"/>
            <w:shd w:val="clear" w:color="auto" w:fill="FFFFFF"/>
            <w:tcMar>
              <w:top w:w="40" w:type="dxa"/>
              <w:left w:w="0" w:type="dxa"/>
              <w:bottom w:w="40" w:type="dxa"/>
              <w:right w:w="20" w:type="dxa"/>
            </w:tcMar>
            <w:vAlign w:val="bottom"/>
          </w:tcPr>
          <w:p w14:paraId="00BAE6D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D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6D4" w14:textId="77777777" w:rsidR="00871BDF" w:rsidRDefault="005C5088">
            <w:pPr>
              <w:jc w:val="right"/>
              <w:textAlignment w:val="bottom"/>
            </w:pPr>
            <w:r>
              <w:rPr>
                <w:rFonts w:ascii="Times New Roman" w:eastAsia="宋体" w:hAnsi="Times New Roman"/>
                <w:color w:val="000000"/>
                <w:sz w:val="20"/>
                <w:szCs w:val="20"/>
              </w:rPr>
              <w:t>70.5 </w:t>
            </w:r>
          </w:p>
        </w:tc>
        <w:tc>
          <w:tcPr>
            <w:tcW w:w="0" w:type="auto"/>
            <w:shd w:val="clear" w:color="auto" w:fill="FFFFFF"/>
            <w:tcMar>
              <w:top w:w="40" w:type="dxa"/>
              <w:left w:w="0" w:type="dxa"/>
              <w:bottom w:w="40" w:type="dxa"/>
              <w:right w:w="20" w:type="dxa"/>
            </w:tcMar>
            <w:vAlign w:val="bottom"/>
          </w:tcPr>
          <w:p w14:paraId="00BAE6D5" w14:textId="77777777" w:rsidR="00871BDF" w:rsidRDefault="00871BDF">
            <w:pPr>
              <w:jc w:val="right"/>
              <w:rPr>
                <w:rFonts w:ascii="宋体"/>
              </w:rPr>
            </w:pPr>
          </w:p>
        </w:tc>
      </w:tr>
      <w:tr w:rsidR="00871BDF" w14:paraId="00BAE6DD" w14:textId="77777777">
        <w:tc>
          <w:tcPr>
            <w:tcW w:w="0" w:type="auto"/>
            <w:gridSpan w:val="3"/>
            <w:shd w:val="clear" w:color="auto" w:fill="D7E4BC"/>
            <w:tcMar>
              <w:top w:w="40" w:type="dxa"/>
              <w:left w:w="380" w:type="dxa"/>
              <w:bottom w:w="40" w:type="dxa"/>
              <w:right w:w="20" w:type="dxa"/>
            </w:tcMar>
          </w:tcPr>
          <w:p w14:paraId="00BAE6D7" w14:textId="77777777" w:rsidR="00871BDF" w:rsidRDefault="005C5088">
            <w:pPr>
              <w:textAlignment w:val="top"/>
            </w:pPr>
            <w:r>
              <w:rPr>
                <w:rFonts w:ascii="Times New Roman" w:eastAsia="宋体" w:hAnsi="Times New Roman"/>
                <w:color w:val="000000"/>
                <w:sz w:val="20"/>
                <w:szCs w:val="20"/>
              </w:rPr>
              <w:t>Accounts receivable, net</w:t>
            </w:r>
          </w:p>
        </w:tc>
        <w:tc>
          <w:tcPr>
            <w:tcW w:w="0" w:type="auto"/>
            <w:gridSpan w:val="2"/>
            <w:shd w:val="clear" w:color="auto" w:fill="D7E4BC"/>
            <w:tcMar>
              <w:top w:w="40" w:type="dxa"/>
              <w:left w:w="20" w:type="dxa"/>
              <w:bottom w:w="40" w:type="dxa"/>
              <w:right w:w="0" w:type="dxa"/>
            </w:tcMar>
            <w:vAlign w:val="bottom"/>
          </w:tcPr>
          <w:p w14:paraId="00BAE6D8" w14:textId="77777777" w:rsidR="00871BDF" w:rsidRDefault="005C5088">
            <w:pPr>
              <w:jc w:val="right"/>
              <w:textAlignment w:val="bottom"/>
            </w:pPr>
            <w:r>
              <w:rPr>
                <w:rFonts w:ascii="Times New Roman" w:eastAsia="宋体" w:hAnsi="Times New Roman"/>
                <w:color w:val="000000"/>
                <w:sz w:val="20"/>
                <w:szCs w:val="20"/>
              </w:rPr>
              <w:t>883.4 </w:t>
            </w:r>
          </w:p>
        </w:tc>
        <w:tc>
          <w:tcPr>
            <w:tcW w:w="0" w:type="auto"/>
            <w:shd w:val="clear" w:color="auto" w:fill="D7E4BC"/>
            <w:tcMar>
              <w:top w:w="40" w:type="dxa"/>
              <w:left w:w="0" w:type="dxa"/>
              <w:bottom w:w="40" w:type="dxa"/>
              <w:right w:w="20" w:type="dxa"/>
            </w:tcMar>
            <w:vAlign w:val="bottom"/>
          </w:tcPr>
          <w:p w14:paraId="00BAE6D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D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DB" w14:textId="77777777" w:rsidR="00871BDF" w:rsidRDefault="005C5088">
            <w:pPr>
              <w:jc w:val="right"/>
              <w:textAlignment w:val="bottom"/>
            </w:pPr>
            <w:r>
              <w:rPr>
                <w:rFonts w:ascii="Times New Roman" w:eastAsia="宋体" w:hAnsi="Times New Roman"/>
                <w:color w:val="000000"/>
                <w:sz w:val="20"/>
                <w:szCs w:val="20"/>
              </w:rPr>
              <w:t>879.2 </w:t>
            </w:r>
          </w:p>
        </w:tc>
        <w:tc>
          <w:tcPr>
            <w:tcW w:w="0" w:type="auto"/>
            <w:shd w:val="clear" w:color="auto" w:fill="D7E4BC"/>
            <w:tcMar>
              <w:top w:w="40" w:type="dxa"/>
              <w:left w:w="0" w:type="dxa"/>
              <w:bottom w:w="40" w:type="dxa"/>
              <w:right w:w="20" w:type="dxa"/>
            </w:tcMar>
            <w:vAlign w:val="bottom"/>
          </w:tcPr>
          <w:p w14:paraId="00BAE6DC" w14:textId="77777777" w:rsidR="00871BDF" w:rsidRDefault="00871BDF">
            <w:pPr>
              <w:jc w:val="right"/>
              <w:rPr>
                <w:rFonts w:ascii="宋体"/>
              </w:rPr>
            </w:pPr>
          </w:p>
        </w:tc>
      </w:tr>
      <w:tr w:rsidR="00871BDF" w14:paraId="00BAE6E4" w14:textId="77777777">
        <w:tc>
          <w:tcPr>
            <w:tcW w:w="0" w:type="auto"/>
            <w:gridSpan w:val="3"/>
            <w:shd w:val="clear" w:color="auto" w:fill="FFFFFF"/>
            <w:tcMar>
              <w:top w:w="40" w:type="dxa"/>
              <w:left w:w="380" w:type="dxa"/>
              <w:bottom w:w="40" w:type="dxa"/>
              <w:right w:w="20" w:type="dxa"/>
            </w:tcMar>
          </w:tcPr>
          <w:p w14:paraId="00BAE6DE" w14:textId="77777777" w:rsidR="00871BDF" w:rsidRDefault="005C5088">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00BAE6DF" w14:textId="77777777" w:rsidR="00871BDF" w:rsidRDefault="005C5088">
            <w:pPr>
              <w:jc w:val="right"/>
              <w:textAlignment w:val="bottom"/>
            </w:pPr>
            <w:r>
              <w:rPr>
                <w:rFonts w:ascii="Times New Roman" w:eastAsia="宋体" w:hAnsi="Times New Roman"/>
                <w:color w:val="000000"/>
                <w:sz w:val="20"/>
                <w:szCs w:val="20"/>
              </w:rPr>
              <w:t>1,551.4 </w:t>
            </w:r>
          </w:p>
        </w:tc>
        <w:tc>
          <w:tcPr>
            <w:tcW w:w="0" w:type="auto"/>
            <w:shd w:val="clear" w:color="auto" w:fill="FFFFFF"/>
            <w:tcMar>
              <w:top w:w="40" w:type="dxa"/>
              <w:left w:w="0" w:type="dxa"/>
              <w:bottom w:w="40" w:type="dxa"/>
              <w:right w:w="20" w:type="dxa"/>
            </w:tcMar>
            <w:vAlign w:val="bottom"/>
          </w:tcPr>
          <w:p w14:paraId="00BAE6E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E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6E2" w14:textId="77777777" w:rsidR="00871BDF" w:rsidRDefault="005C5088">
            <w:pPr>
              <w:jc w:val="right"/>
              <w:textAlignment w:val="bottom"/>
            </w:pPr>
            <w:r>
              <w:rPr>
                <w:rFonts w:ascii="Times New Roman" w:eastAsia="宋体" w:hAnsi="Times New Roman"/>
                <w:color w:val="000000"/>
                <w:sz w:val="20"/>
                <w:szCs w:val="20"/>
              </w:rPr>
              <w:t>1,529.4 </w:t>
            </w:r>
          </w:p>
        </w:tc>
        <w:tc>
          <w:tcPr>
            <w:tcW w:w="0" w:type="auto"/>
            <w:shd w:val="clear" w:color="auto" w:fill="FFFFFF"/>
            <w:tcMar>
              <w:top w:w="40" w:type="dxa"/>
              <w:left w:w="0" w:type="dxa"/>
              <w:bottom w:w="40" w:type="dxa"/>
              <w:right w:w="20" w:type="dxa"/>
            </w:tcMar>
            <w:vAlign w:val="bottom"/>
          </w:tcPr>
          <w:p w14:paraId="00BAE6E3" w14:textId="77777777" w:rsidR="00871BDF" w:rsidRDefault="00871BDF">
            <w:pPr>
              <w:jc w:val="right"/>
              <w:rPr>
                <w:rFonts w:ascii="宋体"/>
              </w:rPr>
            </w:pPr>
          </w:p>
        </w:tc>
      </w:tr>
      <w:tr w:rsidR="00871BDF" w14:paraId="00BAE6EB" w14:textId="77777777">
        <w:tc>
          <w:tcPr>
            <w:tcW w:w="0" w:type="auto"/>
            <w:gridSpan w:val="3"/>
            <w:shd w:val="clear" w:color="auto" w:fill="D7E4BC"/>
            <w:tcMar>
              <w:top w:w="40" w:type="dxa"/>
              <w:left w:w="380" w:type="dxa"/>
              <w:bottom w:w="40" w:type="dxa"/>
              <w:right w:w="20" w:type="dxa"/>
            </w:tcMar>
          </w:tcPr>
          <w:p w14:paraId="00BAE6E5" w14:textId="77777777" w:rsidR="00871BDF" w:rsidRDefault="005C5088">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00BAE6E6" w14:textId="77777777" w:rsidR="00871BDF" w:rsidRDefault="005C5088">
            <w:pPr>
              <w:jc w:val="right"/>
              <w:textAlignment w:val="bottom"/>
            </w:pPr>
            <w:r>
              <w:rPr>
                <w:rFonts w:ascii="Times New Roman" w:eastAsia="宋体" w:hAnsi="Times New Roman"/>
                <w:color w:val="000000"/>
                <w:sz w:val="20"/>
                <w:szCs w:val="20"/>
              </w:rPr>
              <w:t>739.5 </w:t>
            </w:r>
          </w:p>
        </w:tc>
        <w:tc>
          <w:tcPr>
            <w:tcW w:w="0" w:type="auto"/>
            <w:shd w:val="clear" w:color="auto" w:fill="D7E4BC"/>
            <w:tcMar>
              <w:top w:w="40" w:type="dxa"/>
              <w:left w:w="0" w:type="dxa"/>
              <w:bottom w:w="40" w:type="dxa"/>
              <w:right w:w="20" w:type="dxa"/>
            </w:tcMar>
            <w:vAlign w:val="bottom"/>
          </w:tcPr>
          <w:p w14:paraId="00BAE6E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E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E9" w14:textId="77777777" w:rsidR="00871BDF" w:rsidRDefault="005C5088">
            <w:pPr>
              <w:jc w:val="right"/>
              <w:textAlignment w:val="bottom"/>
            </w:pPr>
            <w:r>
              <w:rPr>
                <w:rFonts w:ascii="Times New Roman" w:eastAsia="宋体" w:hAnsi="Times New Roman"/>
                <w:color w:val="000000"/>
                <w:sz w:val="20"/>
                <w:szCs w:val="20"/>
              </w:rPr>
              <w:t>488.2 </w:t>
            </w:r>
          </w:p>
        </w:tc>
        <w:tc>
          <w:tcPr>
            <w:tcW w:w="0" w:type="auto"/>
            <w:shd w:val="clear" w:color="auto" w:fill="D7E4BC"/>
            <w:tcMar>
              <w:top w:w="40" w:type="dxa"/>
              <w:left w:w="0" w:type="dxa"/>
              <w:bottom w:w="40" w:type="dxa"/>
              <w:right w:w="20" w:type="dxa"/>
            </w:tcMar>
            <w:vAlign w:val="bottom"/>
          </w:tcPr>
          <w:p w14:paraId="00BAE6EA" w14:textId="77777777" w:rsidR="00871BDF" w:rsidRDefault="00871BDF">
            <w:pPr>
              <w:jc w:val="right"/>
              <w:rPr>
                <w:rFonts w:ascii="宋体"/>
              </w:rPr>
            </w:pPr>
          </w:p>
        </w:tc>
      </w:tr>
      <w:tr w:rsidR="00871BDF" w14:paraId="00BAE6F2" w14:textId="77777777">
        <w:tc>
          <w:tcPr>
            <w:tcW w:w="0" w:type="auto"/>
            <w:gridSpan w:val="3"/>
            <w:shd w:val="clear" w:color="auto" w:fill="FFFFFF"/>
            <w:tcMar>
              <w:top w:w="40" w:type="dxa"/>
              <w:left w:w="740" w:type="dxa"/>
              <w:bottom w:w="40" w:type="dxa"/>
              <w:right w:w="20" w:type="dxa"/>
            </w:tcMar>
          </w:tcPr>
          <w:p w14:paraId="00BAE6EC" w14:textId="77777777" w:rsidR="00871BDF" w:rsidRDefault="005C5088">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6ED" w14:textId="77777777" w:rsidR="00871BDF" w:rsidRDefault="005C5088">
            <w:pPr>
              <w:jc w:val="right"/>
              <w:textAlignment w:val="bottom"/>
            </w:pPr>
            <w:r>
              <w:rPr>
                <w:rFonts w:ascii="Times New Roman" w:eastAsia="宋体" w:hAnsi="Times New Roman"/>
                <w:color w:val="000000"/>
                <w:sz w:val="20"/>
                <w:szCs w:val="20"/>
              </w:rPr>
              <w:t>7,806.4 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6E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EF"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6F0" w14:textId="77777777" w:rsidR="00871BDF" w:rsidRDefault="005C5088">
            <w:pPr>
              <w:jc w:val="right"/>
              <w:textAlignment w:val="bottom"/>
            </w:pPr>
            <w:r>
              <w:rPr>
                <w:rFonts w:ascii="Times New Roman" w:eastAsia="宋体" w:hAnsi="Times New Roman"/>
                <w:color w:val="000000"/>
                <w:sz w:val="20"/>
                <w:szCs w:val="20"/>
              </w:rPr>
              <w:t>5,653.9 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6F1" w14:textId="77777777" w:rsidR="00871BDF" w:rsidRDefault="00871BDF">
            <w:pPr>
              <w:jc w:val="right"/>
              <w:rPr>
                <w:rFonts w:ascii="宋体"/>
              </w:rPr>
            </w:pPr>
          </w:p>
        </w:tc>
      </w:tr>
      <w:tr w:rsidR="00871BDF" w14:paraId="00BAE6F9" w14:textId="77777777">
        <w:tc>
          <w:tcPr>
            <w:tcW w:w="0" w:type="auto"/>
            <w:gridSpan w:val="3"/>
            <w:shd w:val="clear" w:color="auto" w:fill="D7E4BC"/>
            <w:tcMar>
              <w:top w:w="40" w:type="dxa"/>
              <w:left w:w="20" w:type="dxa"/>
              <w:bottom w:w="40" w:type="dxa"/>
              <w:right w:w="20" w:type="dxa"/>
            </w:tcMar>
          </w:tcPr>
          <w:p w14:paraId="00BAE6F3" w14:textId="77777777" w:rsidR="00871BDF" w:rsidRDefault="005C5088">
            <w:pPr>
              <w:textAlignment w:val="top"/>
            </w:pPr>
            <w:r>
              <w:rPr>
                <w:rFonts w:ascii="Times New Roman" w:eastAsia="宋体" w:hAnsi="Times New Roman"/>
                <w:color w:val="000000"/>
                <w:sz w:val="20"/>
                <w:szCs w:val="20"/>
              </w:rPr>
              <w:t>Long-term investments</w:t>
            </w:r>
          </w:p>
        </w:tc>
        <w:tc>
          <w:tcPr>
            <w:tcW w:w="0" w:type="auto"/>
            <w:gridSpan w:val="2"/>
            <w:shd w:val="clear" w:color="auto" w:fill="D7E4BC"/>
            <w:tcMar>
              <w:top w:w="40" w:type="dxa"/>
              <w:left w:w="20" w:type="dxa"/>
              <w:bottom w:w="40" w:type="dxa"/>
              <w:right w:w="0" w:type="dxa"/>
            </w:tcMar>
            <w:vAlign w:val="bottom"/>
          </w:tcPr>
          <w:p w14:paraId="00BAE6F4" w14:textId="77777777" w:rsidR="00871BDF" w:rsidRDefault="005C5088">
            <w:pPr>
              <w:jc w:val="right"/>
              <w:textAlignment w:val="bottom"/>
            </w:pPr>
            <w:r>
              <w:rPr>
                <w:rFonts w:ascii="Times New Roman" w:eastAsia="宋体" w:hAnsi="Times New Roman"/>
                <w:color w:val="000000"/>
                <w:sz w:val="20"/>
                <w:szCs w:val="20"/>
              </w:rPr>
              <w:t>206.1 </w:t>
            </w:r>
          </w:p>
        </w:tc>
        <w:tc>
          <w:tcPr>
            <w:tcW w:w="0" w:type="auto"/>
            <w:shd w:val="clear" w:color="auto" w:fill="D7E4BC"/>
            <w:tcMar>
              <w:top w:w="40" w:type="dxa"/>
              <w:left w:w="0" w:type="dxa"/>
              <w:bottom w:w="40" w:type="dxa"/>
              <w:right w:w="20" w:type="dxa"/>
            </w:tcMar>
            <w:vAlign w:val="bottom"/>
          </w:tcPr>
          <w:p w14:paraId="00BAE6F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6F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6F7" w14:textId="77777777" w:rsidR="00871BDF" w:rsidRDefault="005C5088">
            <w:pPr>
              <w:jc w:val="right"/>
              <w:textAlignment w:val="bottom"/>
            </w:pPr>
            <w:r>
              <w:rPr>
                <w:rFonts w:ascii="Times New Roman" w:eastAsia="宋体" w:hAnsi="Times New Roman"/>
                <w:color w:val="000000"/>
                <w:sz w:val="20"/>
                <w:szCs w:val="20"/>
              </w:rPr>
              <w:t>220.0 </w:t>
            </w:r>
          </w:p>
        </w:tc>
        <w:tc>
          <w:tcPr>
            <w:tcW w:w="0" w:type="auto"/>
            <w:shd w:val="clear" w:color="auto" w:fill="D7E4BC"/>
            <w:tcMar>
              <w:top w:w="40" w:type="dxa"/>
              <w:left w:w="0" w:type="dxa"/>
              <w:bottom w:w="40" w:type="dxa"/>
              <w:right w:w="20" w:type="dxa"/>
            </w:tcMar>
            <w:vAlign w:val="bottom"/>
          </w:tcPr>
          <w:p w14:paraId="00BAE6F8" w14:textId="77777777" w:rsidR="00871BDF" w:rsidRDefault="00871BDF">
            <w:pPr>
              <w:jc w:val="right"/>
              <w:rPr>
                <w:rFonts w:ascii="宋体"/>
              </w:rPr>
            </w:pPr>
          </w:p>
        </w:tc>
      </w:tr>
      <w:tr w:rsidR="00871BDF" w14:paraId="00BAE700" w14:textId="77777777">
        <w:tc>
          <w:tcPr>
            <w:tcW w:w="0" w:type="auto"/>
            <w:gridSpan w:val="3"/>
            <w:shd w:val="clear" w:color="auto" w:fill="FFFFFF"/>
            <w:tcMar>
              <w:top w:w="40" w:type="dxa"/>
              <w:left w:w="20" w:type="dxa"/>
              <w:bottom w:w="40" w:type="dxa"/>
              <w:right w:w="20" w:type="dxa"/>
            </w:tcMar>
          </w:tcPr>
          <w:p w14:paraId="00BAE6FA" w14:textId="77777777" w:rsidR="00871BDF" w:rsidRDefault="005C5088">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00BAE6FB" w14:textId="77777777" w:rsidR="00871BDF" w:rsidRDefault="005C5088">
            <w:pPr>
              <w:jc w:val="right"/>
              <w:textAlignment w:val="bottom"/>
            </w:pPr>
            <w:r>
              <w:rPr>
                <w:rFonts w:ascii="Times New Roman" w:eastAsia="宋体" w:hAnsi="Times New Roman"/>
                <w:color w:val="000000"/>
                <w:sz w:val="20"/>
                <w:szCs w:val="20"/>
              </w:rPr>
              <w:t>478.7 </w:t>
            </w:r>
          </w:p>
        </w:tc>
        <w:tc>
          <w:tcPr>
            <w:tcW w:w="0" w:type="auto"/>
            <w:shd w:val="clear" w:color="auto" w:fill="FFFFFF"/>
            <w:tcMar>
              <w:top w:w="40" w:type="dxa"/>
              <w:left w:w="0" w:type="dxa"/>
              <w:bottom w:w="40" w:type="dxa"/>
              <w:right w:w="20" w:type="dxa"/>
            </w:tcMar>
            <w:vAlign w:val="bottom"/>
          </w:tcPr>
          <w:p w14:paraId="00BAE6F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6F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6FE" w14:textId="77777777" w:rsidR="00871BDF" w:rsidRDefault="005C5088">
            <w:pPr>
              <w:jc w:val="right"/>
              <w:textAlignment w:val="bottom"/>
            </w:pPr>
            <w:r>
              <w:rPr>
                <w:rFonts w:ascii="Times New Roman" w:eastAsia="宋体" w:hAnsi="Times New Roman"/>
                <w:color w:val="000000"/>
                <w:sz w:val="20"/>
                <w:szCs w:val="20"/>
              </w:rPr>
              <w:t>396.0 </w:t>
            </w:r>
          </w:p>
        </w:tc>
        <w:tc>
          <w:tcPr>
            <w:tcW w:w="0" w:type="auto"/>
            <w:shd w:val="clear" w:color="auto" w:fill="FFFFFF"/>
            <w:tcMar>
              <w:top w:w="40" w:type="dxa"/>
              <w:left w:w="0" w:type="dxa"/>
              <w:bottom w:w="40" w:type="dxa"/>
              <w:right w:w="20" w:type="dxa"/>
            </w:tcMar>
            <w:vAlign w:val="bottom"/>
          </w:tcPr>
          <w:p w14:paraId="00BAE6FF" w14:textId="77777777" w:rsidR="00871BDF" w:rsidRDefault="00871BDF">
            <w:pPr>
              <w:jc w:val="right"/>
              <w:rPr>
                <w:rFonts w:ascii="宋体"/>
              </w:rPr>
            </w:pPr>
          </w:p>
        </w:tc>
      </w:tr>
      <w:tr w:rsidR="00871BDF" w14:paraId="00BAE707" w14:textId="77777777">
        <w:tc>
          <w:tcPr>
            <w:tcW w:w="0" w:type="auto"/>
            <w:gridSpan w:val="3"/>
            <w:shd w:val="clear" w:color="auto" w:fill="D7E4BC"/>
            <w:tcMar>
              <w:top w:w="40" w:type="dxa"/>
              <w:left w:w="20" w:type="dxa"/>
              <w:bottom w:w="40" w:type="dxa"/>
              <w:right w:w="20" w:type="dxa"/>
            </w:tcMar>
          </w:tcPr>
          <w:p w14:paraId="00BAE701" w14:textId="77777777" w:rsidR="00871BDF" w:rsidRDefault="005C5088">
            <w:pPr>
              <w:textAlignment w:val="top"/>
            </w:pPr>
            <w:r>
              <w:rPr>
                <w:rFonts w:ascii="Times New Roman" w:eastAsia="宋体" w:hAnsi="Times New Roman"/>
                <w:color w:val="000000"/>
                <w:sz w:val="20"/>
                <w:szCs w:val="20"/>
              </w:rPr>
              <w:t>Property, plant and equipment, net</w:t>
            </w:r>
          </w:p>
        </w:tc>
        <w:tc>
          <w:tcPr>
            <w:tcW w:w="0" w:type="auto"/>
            <w:gridSpan w:val="2"/>
            <w:shd w:val="clear" w:color="auto" w:fill="D7E4BC"/>
            <w:tcMar>
              <w:top w:w="40" w:type="dxa"/>
              <w:left w:w="20" w:type="dxa"/>
              <w:bottom w:w="40" w:type="dxa"/>
              <w:right w:w="0" w:type="dxa"/>
            </w:tcMar>
            <w:vAlign w:val="bottom"/>
          </w:tcPr>
          <w:p w14:paraId="00BAE702" w14:textId="77777777" w:rsidR="00871BDF" w:rsidRDefault="005C5088">
            <w:pPr>
              <w:jc w:val="right"/>
              <w:textAlignment w:val="bottom"/>
            </w:pPr>
            <w:r>
              <w:rPr>
                <w:rFonts w:ascii="Times New Roman" w:eastAsia="宋体" w:hAnsi="Times New Roman"/>
                <w:color w:val="000000"/>
                <w:sz w:val="20"/>
                <w:szCs w:val="20"/>
              </w:rPr>
              <w:t>6,241.4 </w:t>
            </w:r>
          </w:p>
        </w:tc>
        <w:tc>
          <w:tcPr>
            <w:tcW w:w="0" w:type="auto"/>
            <w:shd w:val="clear" w:color="auto" w:fill="D7E4BC"/>
            <w:tcMar>
              <w:top w:w="40" w:type="dxa"/>
              <w:left w:w="0" w:type="dxa"/>
              <w:bottom w:w="40" w:type="dxa"/>
              <w:right w:w="20" w:type="dxa"/>
            </w:tcMar>
            <w:vAlign w:val="bottom"/>
          </w:tcPr>
          <w:p w14:paraId="00BAE70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0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705" w14:textId="77777777" w:rsidR="00871BDF" w:rsidRDefault="005C5088">
            <w:pPr>
              <w:jc w:val="right"/>
              <w:textAlignment w:val="bottom"/>
            </w:pPr>
            <w:r>
              <w:rPr>
                <w:rFonts w:ascii="Times New Roman" w:eastAsia="宋体" w:hAnsi="Times New Roman"/>
                <w:color w:val="000000"/>
                <w:sz w:val="20"/>
                <w:szCs w:val="20"/>
              </w:rPr>
              <w:t>6,431.7 </w:t>
            </w:r>
          </w:p>
        </w:tc>
        <w:tc>
          <w:tcPr>
            <w:tcW w:w="0" w:type="auto"/>
            <w:shd w:val="clear" w:color="auto" w:fill="D7E4BC"/>
            <w:tcMar>
              <w:top w:w="40" w:type="dxa"/>
              <w:left w:w="0" w:type="dxa"/>
              <w:bottom w:w="40" w:type="dxa"/>
              <w:right w:w="20" w:type="dxa"/>
            </w:tcMar>
            <w:vAlign w:val="bottom"/>
          </w:tcPr>
          <w:p w14:paraId="00BAE706" w14:textId="77777777" w:rsidR="00871BDF" w:rsidRDefault="00871BDF">
            <w:pPr>
              <w:jc w:val="right"/>
              <w:rPr>
                <w:rFonts w:ascii="宋体"/>
              </w:rPr>
            </w:pPr>
          </w:p>
        </w:tc>
      </w:tr>
      <w:tr w:rsidR="00871BDF" w14:paraId="00BAE70E" w14:textId="77777777">
        <w:tc>
          <w:tcPr>
            <w:tcW w:w="0" w:type="auto"/>
            <w:gridSpan w:val="3"/>
            <w:shd w:val="clear" w:color="auto" w:fill="FFFFFF"/>
            <w:tcMar>
              <w:top w:w="40" w:type="dxa"/>
              <w:left w:w="20" w:type="dxa"/>
              <w:bottom w:w="40" w:type="dxa"/>
              <w:right w:w="20" w:type="dxa"/>
            </w:tcMar>
          </w:tcPr>
          <w:p w14:paraId="00BAE708" w14:textId="77777777" w:rsidR="00871BDF" w:rsidRDefault="005C5088">
            <w:pPr>
              <w:textAlignment w:val="top"/>
            </w:pPr>
            <w:r>
              <w:rPr>
                <w:rFonts w:ascii="Times New Roman" w:eastAsia="宋体" w:hAnsi="Times New Roman"/>
                <w:color w:val="000000"/>
                <w:sz w:val="20"/>
                <w:szCs w:val="20"/>
              </w:rPr>
              <w:t>Operating lease, right-of-use asset</w:t>
            </w:r>
          </w:p>
        </w:tc>
        <w:tc>
          <w:tcPr>
            <w:tcW w:w="0" w:type="auto"/>
            <w:gridSpan w:val="2"/>
            <w:shd w:val="clear" w:color="auto" w:fill="FFFFFF"/>
            <w:tcMar>
              <w:top w:w="40" w:type="dxa"/>
              <w:left w:w="20" w:type="dxa"/>
              <w:bottom w:w="40" w:type="dxa"/>
              <w:right w:w="0" w:type="dxa"/>
            </w:tcMar>
            <w:vAlign w:val="bottom"/>
          </w:tcPr>
          <w:p w14:paraId="00BAE709" w14:textId="77777777" w:rsidR="00871BDF" w:rsidRDefault="005C5088">
            <w:pPr>
              <w:jc w:val="right"/>
              <w:textAlignment w:val="bottom"/>
            </w:pPr>
            <w:r>
              <w:rPr>
                <w:rFonts w:ascii="Times New Roman" w:eastAsia="宋体" w:hAnsi="Times New Roman"/>
                <w:color w:val="000000"/>
                <w:sz w:val="20"/>
                <w:szCs w:val="20"/>
              </w:rPr>
              <w:t>8,134.1 </w:t>
            </w:r>
          </w:p>
        </w:tc>
        <w:tc>
          <w:tcPr>
            <w:tcW w:w="0" w:type="auto"/>
            <w:shd w:val="clear" w:color="auto" w:fill="FFFFFF"/>
            <w:tcMar>
              <w:top w:w="40" w:type="dxa"/>
              <w:left w:w="0" w:type="dxa"/>
              <w:bottom w:w="40" w:type="dxa"/>
              <w:right w:w="20" w:type="dxa"/>
            </w:tcMar>
            <w:vAlign w:val="bottom"/>
          </w:tcPr>
          <w:p w14:paraId="00BAE70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0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70C"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70D" w14:textId="77777777" w:rsidR="00871BDF" w:rsidRDefault="00871BDF">
            <w:pPr>
              <w:jc w:val="right"/>
              <w:rPr>
                <w:rFonts w:ascii="宋体"/>
              </w:rPr>
            </w:pPr>
          </w:p>
        </w:tc>
      </w:tr>
      <w:tr w:rsidR="00871BDF" w14:paraId="00BAE715" w14:textId="77777777">
        <w:tc>
          <w:tcPr>
            <w:tcW w:w="0" w:type="auto"/>
            <w:gridSpan w:val="3"/>
            <w:shd w:val="clear" w:color="auto" w:fill="D7E4BC"/>
            <w:tcMar>
              <w:top w:w="40" w:type="dxa"/>
              <w:left w:w="20" w:type="dxa"/>
              <w:bottom w:w="40" w:type="dxa"/>
              <w:right w:w="20" w:type="dxa"/>
            </w:tcMar>
          </w:tcPr>
          <w:p w14:paraId="00BAE70F" w14:textId="77777777" w:rsidR="00871BDF" w:rsidRDefault="005C5088">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00BAE710" w14:textId="77777777" w:rsidR="00871BDF" w:rsidRDefault="005C5088">
            <w:pPr>
              <w:jc w:val="right"/>
              <w:textAlignment w:val="bottom"/>
            </w:pPr>
            <w:r>
              <w:rPr>
                <w:rFonts w:ascii="Times New Roman" w:eastAsia="宋体" w:hAnsi="Times New Roman"/>
                <w:color w:val="000000"/>
                <w:sz w:val="20"/>
                <w:szCs w:val="20"/>
              </w:rPr>
              <w:t>1,789.9 </w:t>
            </w:r>
          </w:p>
        </w:tc>
        <w:tc>
          <w:tcPr>
            <w:tcW w:w="0" w:type="auto"/>
            <w:shd w:val="clear" w:color="auto" w:fill="D7E4BC"/>
            <w:tcMar>
              <w:top w:w="40" w:type="dxa"/>
              <w:left w:w="0" w:type="dxa"/>
              <w:bottom w:w="40" w:type="dxa"/>
              <w:right w:w="20" w:type="dxa"/>
            </w:tcMar>
            <w:vAlign w:val="bottom"/>
          </w:tcPr>
          <w:p w14:paraId="00BAE71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1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713" w14:textId="77777777" w:rsidR="00871BDF" w:rsidRDefault="005C5088">
            <w:pPr>
              <w:jc w:val="right"/>
              <w:textAlignment w:val="bottom"/>
            </w:pPr>
            <w:r>
              <w:rPr>
                <w:rFonts w:ascii="Times New Roman" w:eastAsia="宋体" w:hAnsi="Times New Roman"/>
                <w:color w:val="000000"/>
                <w:sz w:val="20"/>
                <w:szCs w:val="20"/>
              </w:rPr>
              <w:t>1,765.8 </w:t>
            </w:r>
          </w:p>
        </w:tc>
        <w:tc>
          <w:tcPr>
            <w:tcW w:w="0" w:type="auto"/>
            <w:shd w:val="clear" w:color="auto" w:fill="D7E4BC"/>
            <w:tcMar>
              <w:top w:w="40" w:type="dxa"/>
              <w:left w:w="0" w:type="dxa"/>
              <w:bottom w:w="40" w:type="dxa"/>
              <w:right w:w="20" w:type="dxa"/>
            </w:tcMar>
            <w:vAlign w:val="bottom"/>
          </w:tcPr>
          <w:p w14:paraId="00BAE714" w14:textId="77777777" w:rsidR="00871BDF" w:rsidRDefault="00871BDF">
            <w:pPr>
              <w:jc w:val="right"/>
              <w:rPr>
                <w:rFonts w:ascii="宋体"/>
              </w:rPr>
            </w:pPr>
          </w:p>
        </w:tc>
      </w:tr>
      <w:tr w:rsidR="00871BDF" w14:paraId="00BAE71C" w14:textId="77777777">
        <w:tc>
          <w:tcPr>
            <w:tcW w:w="0" w:type="auto"/>
            <w:gridSpan w:val="3"/>
            <w:shd w:val="clear" w:color="auto" w:fill="FFFFFF"/>
            <w:tcMar>
              <w:top w:w="40" w:type="dxa"/>
              <w:left w:w="20" w:type="dxa"/>
              <w:bottom w:w="40" w:type="dxa"/>
              <w:right w:w="20" w:type="dxa"/>
            </w:tcMar>
          </w:tcPr>
          <w:p w14:paraId="00BAE716" w14:textId="77777777" w:rsidR="00871BDF" w:rsidRDefault="005C5088">
            <w:pPr>
              <w:textAlignment w:val="top"/>
            </w:pPr>
            <w:r>
              <w:rPr>
                <w:rFonts w:ascii="Times New Roman" w:eastAsia="宋体" w:hAnsi="Times New Roman"/>
                <w:color w:val="000000"/>
                <w:sz w:val="20"/>
                <w:szCs w:val="20"/>
              </w:rPr>
              <w:t>Other long-term assets</w:t>
            </w:r>
          </w:p>
        </w:tc>
        <w:tc>
          <w:tcPr>
            <w:tcW w:w="0" w:type="auto"/>
            <w:gridSpan w:val="2"/>
            <w:shd w:val="clear" w:color="auto" w:fill="FFFFFF"/>
            <w:tcMar>
              <w:top w:w="40" w:type="dxa"/>
              <w:left w:w="20" w:type="dxa"/>
              <w:bottom w:w="40" w:type="dxa"/>
              <w:right w:w="0" w:type="dxa"/>
            </w:tcMar>
            <w:vAlign w:val="bottom"/>
          </w:tcPr>
          <w:p w14:paraId="00BAE717" w14:textId="77777777" w:rsidR="00871BDF" w:rsidRDefault="005C5088">
            <w:pPr>
              <w:jc w:val="right"/>
              <w:textAlignment w:val="bottom"/>
            </w:pPr>
            <w:r>
              <w:rPr>
                <w:rFonts w:ascii="Times New Roman" w:eastAsia="宋体" w:hAnsi="Times New Roman"/>
                <w:color w:val="000000"/>
                <w:sz w:val="20"/>
                <w:szCs w:val="20"/>
              </w:rPr>
              <w:t>568.6 </w:t>
            </w:r>
          </w:p>
        </w:tc>
        <w:tc>
          <w:tcPr>
            <w:tcW w:w="0" w:type="auto"/>
            <w:shd w:val="clear" w:color="auto" w:fill="FFFFFF"/>
            <w:tcMar>
              <w:top w:w="40" w:type="dxa"/>
              <w:left w:w="0" w:type="dxa"/>
              <w:bottom w:w="40" w:type="dxa"/>
              <w:right w:w="20" w:type="dxa"/>
            </w:tcMar>
            <w:vAlign w:val="bottom"/>
          </w:tcPr>
          <w:p w14:paraId="00BAE71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1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71A" w14:textId="77777777" w:rsidR="00871BDF" w:rsidRDefault="005C5088">
            <w:pPr>
              <w:jc w:val="right"/>
              <w:textAlignment w:val="bottom"/>
            </w:pPr>
            <w:r>
              <w:rPr>
                <w:rFonts w:ascii="Times New Roman" w:eastAsia="宋体" w:hAnsi="Times New Roman"/>
                <w:color w:val="000000"/>
                <w:sz w:val="20"/>
                <w:szCs w:val="20"/>
              </w:rPr>
              <w:t>479.6 </w:t>
            </w:r>
          </w:p>
        </w:tc>
        <w:tc>
          <w:tcPr>
            <w:tcW w:w="0" w:type="auto"/>
            <w:shd w:val="clear" w:color="auto" w:fill="FFFFFF"/>
            <w:tcMar>
              <w:top w:w="40" w:type="dxa"/>
              <w:left w:w="0" w:type="dxa"/>
              <w:bottom w:w="40" w:type="dxa"/>
              <w:right w:w="20" w:type="dxa"/>
            </w:tcMar>
            <w:vAlign w:val="bottom"/>
          </w:tcPr>
          <w:p w14:paraId="00BAE71B" w14:textId="77777777" w:rsidR="00871BDF" w:rsidRDefault="00871BDF">
            <w:pPr>
              <w:jc w:val="right"/>
              <w:rPr>
                <w:rFonts w:ascii="宋体"/>
              </w:rPr>
            </w:pPr>
          </w:p>
        </w:tc>
      </w:tr>
      <w:tr w:rsidR="00871BDF" w14:paraId="00BAE723" w14:textId="77777777">
        <w:tc>
          <w:tcPr>
            <w:tcW w:w="0" w:type="auto"/>
            <w:gridSpan w:val="3"/>
            <w:shd w:val="clear" w:color="auto" w:fill="D7E4BC"/>
            <w:tcMar>
              <w:top w:w="40" w:type="dxa"/>
              <w:left w:w="20" w:type="dxa"/>
              <w:bottom w:w="40" w:type="dxa"/>
              <w:right w:w="20" w:type="dxa"/>
            </w:tcMar>
          </w:tcPr>
          <w:p w14:paraId="00BAE71D" w14:textId="77777777" w:rsidR="00871BDF" w:rsidRDefault="005C5088">
            <w:pPr>
              <w:textAlignment w:val="top"/>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intangible assets</w:t>
            </w:r>
          </w:p>
        </w:tc>
        <w:tc>
          <w:tcPr>
            <w:tcW w:w="0" w:type="auto"/>
            <w:gridSpan w:val="2"/>
            <w:shd w:val="clear" w:color="auto" w:fill="D7E4BC"/>
            <w:tcMar>
              <w:top w:w="40" w:type="dxa"/>
              <w:left w:w="20" w:type="dxa"/>
              <w:bottom w:w="40" w:type="dxa"/>
              <w:right w:w="0" w:type="dxa"/>
            </w:tcMar>
            <w:vAlign w:val="bottom"/>
          </w:tcPr>
          <w:p w14:paraId="00BAE71E" w14:textId="77777777" w:rsidR="00871BDF" w:rsidRDefault="005C5088">
            <w:pPr>
              <w:jc w:val="right"/>
              <w:textAlignment w:val="bottom"/>
            </w:pPr>
            <w:r>
              <w:rPr>
                <w:rFonts w:ascii="Times New Roman" w:eastAsia="宋体" w:hAnsi="Times New Roman"/>
                <w:color w:val="000000"/>
                <w:sz w:val="20"/>
                <w:szCs w:val="20"/>
              </w:rPr>
              <w:t>552.1 </w:t>
            </w:r>
          </w:p>
        </w:tc>
        <w:tc>
          <w:tcPr>
            <w:tcW w:w="0" w:type="auto"/>
            <w:shd w:val="clear" w:color="auto" w:fill="D7E4BC"/>
            <w:tcMar>
              <w:top w:w="40" w:type="dxa"/>
              <w:left w:w="0" w:type="dxa"/>
              <w:bottom w:w="40" w:type="dxa"/>
              <w:right w:w="20" w:type="dxa"/>
            </w:tcMar>
            <w:vAlign w:val="bottom"/>
          </w:tcPr>
          <w:p w14:paraId="00BAE71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2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721" w14:textId="77777777" w:rsidR="00871BDF" w:rsidRDefault="005C5088">
            <w:pPr>
              <w:jc w:val="right"/>
              <w:textAlignment w:val="bottom"/>
            </w:pPr>
            <w:r>
              <w:rPr>
                <w:rFonts w:ascii="Times New Roman" w:eastAsia="宋体" w:hAnsi="Times New Roman"/>
                <w:color w:val="000000"/>
                <w:sz w:val="20"/>
                <w:szCs w:val="20"/>
              </w:rPr>
              <w:t>781.8 </w:t>
            </w:r>
          </w:p>
        </w:tc>
        <w:tc>
          <w:tcPr>
            <w:tcW w:w="0" w:type="auto"/>
            <w:shd w:val="clear" w:color="auto" w:fill="D7E4BC"/>
            <w:tcMar>
              <w:top w:w="40" w:type="dxa"/>
              <w:left w:w="0" w:type="dxa"/>
              <w:bottom w:w="40" w:type="dxa"/>
              <w:right w:w="20" w:type="dxa"/>
            </w:tcMar>
            <w:vAlign w:val="bottom"/>
          </w:tcPr>
          <w:p w14:paraId="00BAE722" w14:textId="77777777" w:rsidR="00871BDF" w:rsidRDefault="00871BDF">
            <w:pPr>
              <w:jc w:val="right"/>
              <w:rPr>
                <w:rFonts w:ascii="宋体"/>
              </w:rPr>
            </w:pPr>
          </w:p>
        </w:tc>
      </w:tr>
      <w:tr w:rsidR="00871BDF" w14:paraId="00BAE72A" w14:textId="77777777">
        <w:tc>
          <w:tcPr>
            <w:tcW w:w="0" w:type="auto"/>
            <w:gridSpan w:val="3"/>
            <w:shd w:val="clear" w:color="auto" w:fill="FFFFFF"/>
            <w:tcMar>
              <w:top w:w="40" w:type="dxa"/>
              <w:left w:w="20" w:type="dxa"/>
              <w:bottom w:w="40" w:type="dxa"/>
              <w:right w:w="20" w:type="dxa"/>
            </w:tcMar>
          </w:tcPr>
          <w:p w14:paraId="00BAE724" w14:textId="77777777" w:rsidR="00871BDF" w:rsidRDefault="005C5088">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00BAE725" w14:textId="77777777" w:rsidR="00871BDF" w:rsidRDefault="005C5088">
            <w:pPr>
              <w:jc w:val="right"/>
              <w:textAlignment w:val="bottom"/>
            </w:pPr>
            <w:r>
              <w:rPr>
                <w:rFonts w:ascii="Times New Roman" w:eastAsia="宋体" w:hAnsi="Times New Roman"/>
                <w:color w:val="000000"/>
                <w:sz w:val="20"/>
                <w:szCs w:val="20"/>
              </w:rPr>
              <w:t>3,597.2 </w:t>
            </w:r>
          </w:p>
        </w:tc>
        <w:tc>
          <w:tcPr>
            <w:tcW w:w="0" w:type="auto"/>
            <w:shd w:val="clear" w:color="auto" w:fill="FFFFFF"/>
            <w:tcMar>
              <w:top w:w="40" w:type="dxa"/>
              <w:left w:w="0" w:type="dxa"/>
              <w:bottom w:w="40" w:type="dxa"/>
              <w:right w:w="20" w:type="dxa"/>
            </w:tcMar>
            <w:vAlign w:val="bottom"/>
          </w:tcPr>
          <w:p w14:paraId="00BAE72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2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728" w14:textId="77777777" w:rsidR="00871BDF" w:rsidRDefault="005C5088">
            <w:pPr>
              <w:jc w:val="right"/>
              <w:textAlignment w:val="bottom"/>
            </w:pPr>
            <w:r>
              <w:rPr>
                <w:rFonts w:ascii="Times New Roman" w:eastAsia="宋体" w:hAnsi="Times New Roman"/>
                <w:color w:val="000000"/>
                <w:sz w:val="20"/>
                <w:szCs w:val="20"/>
              </w:rPr>
              <w:t>3,490.8 </w:t>
            </w:r>
          </w:p>
        </w:tc>
        <w:tc>
          <w:tcPr>
            <w:tcW w:w="0" w:type="auto"/>
            <w:shd w:val="clear" w:color="auto" w:fill="FFFFFF"/>
            <w:tcMar>
              <w:top w:w="40" w:type="dxa"/>
              <w:left w:w="0" w:type="dxa"/>
              <w:bottom w:w="40" w:type="dxa"/>
              <w:right w:w="20" w:type="dxa"/>
            </w:tcMar>
            <w:vAlign w:val="bottom"/>
          </w:tcPr>
          <w:p w14:paraId="00BAE729" w14:textId="77777777" w:rsidR="00871BDF" w:rsidRDefault="00871BDF">
            <w:pPr>
              <w:jc w:val="right"/>
              <w:rPr>
                <w:rFonts w:ascii="宋体"/>
              </w:rPr>
            </w:pPr>
          </w:p>
        </w:tc>
      </w:tr>
      <w:tr w:rsidR="00871BDF" w14:paraId="00BAE733" w14:textId="77777777">
        <w:tc>
          <w:tcPr>
            <w:tcW w:w="0" w:type="auto"/>
            <w:gridSpan w:val="3"/>
            <w:shd w:val="clear" w:color="auto" w:fill="D7E4BC"/>
            <w:tcMar>
              <w:top w:w="40" w:type="dxa"/>
              <w:left w:w="20" w:type="dxa"/>
              <w:bottom w:w="40" w:type="dxa"/>
              <w:right w:w="20" w:type="dxa"/>
            </w:tcMar>
          </w:tcPr>
          <w:p w14:paraId="00BAE72B" w14:textId="77777777" w:rsidR="00871BDF" w:rsidRDefault="005C5088">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E72C"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72D" w14:textId="77777777" w:rsidR="00871BDF" w:rsidRDefault="005C5088">
            <w:pPr>
              <w:jc w:val="right"/>
              <w:textAlignment w:val="bottom"/>
            </w:pPr>
            <w:r>
              <w:rPr>
                <w:rFonts w:ascii="Times New Roman" w:eastAsia="宋体" w:hAnsi="Times New Roman"/>
                <w:color w:val="000000"/>
                <w:sz w:val="20"/>
                <w:szCs w:val="20"/>
              </w:rPr>
              <w:t>29,374.5 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72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2F"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730"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731" w14:textId="77777777" w:rsidR="00871BDF" w:rsidRDefault="005C5088">
            <w:pPr>
              <w:jc w:val="right"/>
              <w:textAlignment w:val="bottom"/>
            </w:pPr>
            <w:r>
              <w:rPr>
                <w:rFonts w:ascii="Times New Roman" w:eastAsia="宋体" w:hAnsi="Times New Roman"/>
                <w:color w:val="000000"/>
                <w:sz w:val="20"/>
                <w:szCs w:val="20"/>
              </w:rPr>
              <w:t>19,219.6 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732" w14:textId="77777777" w:rsidR="00871BDF" w:rsidRDefault="00871BDF">
            <w:pPr>
              <w:jc w:val="right"/>
              <w:rPr>
                <w:rFonts w:ascii="宋体"/>
              </w:rPr>
            </w:pPr>
          </w:p>
        </w:tc>
      </w:tr>
      <w:tr w:rsidR="00871BDF" w14:paraId="00BAE738" w14:textId="77777777">
        <w:tc>
          <w:tcPr>
            <w:tcW w:w="0" w:type="auto"/>
            <w:gridSpan w:val="3"/>
            <w:shd w:val="clear" w:color="auto" w:fill="FFFFFF"/>
            <w:tcMar>
              <w:top w:w="40" w:type="dxa"/>
              <w:left w:w="20" w:type="dxa"/>
              <w:bottom w:w="40" w:type="dxa"/>
              <w:right w:w="20" w:type="dxa"/>
            </w:tcMar>
          </w:tcPr>
          <w:p w14:paraId="00BAE734" w14:textId="77777777" w:rsidR="00871BDF" w:rsidRDefault="005C5088">
            <w:pPr>
              <w:jc w:val="center"/>
              <w:textAlignment w:val="top"/>
            </w:pPr>
            <w:r>
              <w:rPr>
                <w:rFonts w:ascii="Times New Roman" w:eastAsia="宋体" w:hAnsi="Times New Roman"/>
                <w:b/>
                <w:bCs/>
                <w:color w:val="000000"/>
                <w:sz w:val="20"/>
                <w:szCs w:val="20"/>
              </w:rPr>
              <w:t>LIABILITIES AND SHAREHOLDERS' EQUITY/(DEFICIT)</w:t>
            </w:r>
          </w:p>
        </w:tc>
        <w:tc>
          <w:tcPr>
            <w:tcW w:w="0" w:type="auto"/>
            <w:gridSpan w:val="3"/>
            <w:tcBorders>
              <w:top w:val="double" w:sz="6" w:space="0" w:color="000000"/>
            </w:tcBorders>
            <w:shd w:val="clear" w:color="auto" w:fill="FFFFFF"/>
            <w:tcMar>
              <w:top w:w="0" w:type="dxa"/>
              <w:left w:w="20" w:type="dxa"/>
              <w:bottom w:w="0" w:type="dxa"/>
              <w:right w:w="20" w:type="dxa"/>
            </w:tcMar>
          </w:tcPr>
          <w:p w14:paraId="00BAE73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736"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AE737" w14:textId="77777777" w:rsidR="00871BDF" w:rsidRDefault="00871BDF">
            <w:pPr>
              <w:rPr>
                <w:rFonts w:ascii="宋体"/>
              </w:rPr>
            </w:pPr>
          </w:p>
        </w:tc>
      </w:tr>
      <w:tr w:rsidR="00871BDF" w14:paraId="00BAE73D" w14:textId="77777777">
        <w:tc>
          <w:tcPr>
            <w:tcW w:w="0" w:type="auto"/>
            <w:gridSpan w:val="3"/>
            <w:shd w:val="clear" w:color="auto" w:fill="D7E4BC"/>
            <w:tcMar>
              <w:top w:w="40" w:type="dxa"/>
              <w:left w:w="20" w:type="dxa"/>
              <w:bottom w:w="40" w:type="dxa"/>
              <w:right w:w="20" w:type="dxa"/>
            </w:tcMar>
          </w:tcPr>
          <w:p w14:paraId="00BAE739" w14:textId="77777777" w:rsidR="00871BDF" w:rsidRDefault="005C5088">
            <w:pPr>
              <w:textAlignment w:val="top"/>
            </w:pPr>
            <w:r>
              <w:rPr>
                <w:rFonts w:ascii="Times New Roman" w:eastAsia="宋体" w:hAnsi="Times New Roman"/>
                <w:color w:val="000000"/>
                <w:sz w:val="20"/>
                <w:szCs w:val="20"/>
              </w:rPr>
              <w:t>Current liabilities:</w:t>
            </w:r>
          </w:p>
        </w:tc>
        <w:tc>
          <w:tcPr>
            <w:tcW w:w="0" w:type="auto"/>
            <w:gridSpan w:val="3"/>
            <w:shd w:val="clear" w:color="auto" w:fill="D7E4BC"/>
            <w:tcMar>
              <w:top w:w="0" w:type="dxa"/>
              <w:left w:w="20" w:type="dxa"/>
              <w:bottom w:w="0" w:type="dxa"/>
              <w:right w:w="20" w:type="dxa"/>
            </w:tcMar>
          </w:tcPr>
          <w:p w14:paraId="00BAE73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73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73C" w14:textId="77777777" w:rsidR="00871BDF" w:rsidRDefault="00871BDF">
            <w:pPr>
              <w:rPr>
                <w:rFonts w:ascii="宋体"/>
              </w:rPr>
            </w:pPr>
          </w:p>
        </w:tc>
      </w:tr>
      <w:tr w:rsidR="00871BDF" w14:paraId="00BAE746" w14:textId="77777777">
        <w:tc>
          <w:tcPr>
            <w:tcW w:w="0" w:type="auto"/>
            <w:gridSpan w:val="3"/>
            <w:shd w:val="clear" w:color="auto" w:fill="FFFFFF"/>
            <w:tcMar>
              <w:top w:w="40" w:type="dxa"/>
              <w:left w:w="380" w:type="dxa"/>
              <w:bottom w:w="40" w:type="dxa"/>
              <w:right w:w="20" w:type="dxa"/>
            </w:tcMar>
          </w:tcPr>
          <w:p w14:paraId="00BAE73E" w14:textId="77777777" w:rsidR="00871BDF" w:rsidRDefault="005C5088">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00BAE73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740" w14:textId="77777777" w:rsidR="00871BDF" w:rsidRDefault="005C5088">
            <w:pPr>
              <w:jc w:val="right"/>
              <w:textAlignment w:val="bottom"/>
            </w:pPr>
            <w:r>
              <w:rPr>
                <w:rFonts w:ascii="Times New Roman" w:eastAsia="宋体" w:hAnsi="Times New Roman"/>
                <w:color w:val="000000"/>
                <w:sz w:val="20"/>
                <w:szCs w:val="20"/>
              </w:rPr>
              <w:t>997.9 </w:t>
            </w:r>
          </w:p>
        </w:tc>
        <w:tc>
          <w:tcPr>
            <w:tcW w:w="0" w:type="auto"/>
            <w:shd w:val="clear" w:color="auto" w:fill="FFFFFF"/>
            <w:tcMar>
              <w:top w:w="40" w:type="dxa"/>
              <w:left w:w="0" w:type="dxa"/>
              <w:bottom w:w="40" w:type="dxa"/>
              <w:right w:w="20" w:type="dxa"/>
            </w:tcMar>
            <w:vAlign w:val="bottom"/>
          </w:tcPr>
          <w:p w14:paraId="00BAE74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42"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E74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744" w14:textId="77777777" w:rsidR="00871BDF" w:rsidRDefault="005C5088">
            <w:pPr>
              <w:jc w:val="right"/>
              <w:textAlignment w:val="bottom"/>
            </w:pPr>
            <w:r>
              <w:rPr>
                <w:rFonts w:ascii="Times New Roman" w:eastAsia="宋体" w:hAnsi="Times New Roman"/>
                <w:color w:val="000000"/>
                <w:sz w:val="20"/>
                <w:szCs w:val="20"/>
              </w:rPr>
              <w:t>1,189.7 </w:t>
            </w:r>
          </w:p>
        </w:tc>
        <w:tc>
          <w:tcPr>
            <w:tcW w:w="0" w:type="auto"/>
            <w:shd w:val="clear" w:color="auto" w:fill="FFFFFF"/>
            <w:tcMar>
              <w:top w:w="40" w:type="dxa"/>
              <w:left w:w="0" w:type="dxa"/>
              <w:bottom w:w="40" w:type="dxa"/>
              <w:right w:w="20" w:type="dxa"/>
            </w:tcMar>
            <w:vAlign w:val="bottom"/>
          </w:tcPr>
          <w:p w14:paraId="00BAE745" w14:textId="77777777" w:rsidR="00871BDF" w:rsidRDefault="00871BDF">
            <w:pPr>
              <w:jc w:val="right"/>
              <w:rPr>
                <w:rFonts w:ascii="宋体"/>
              </w:rPr>
            </w:pPr>
          </w:p>
        </w:tc>
      </w:tr>
      <w:tr w:rsidR="00871BDF" w14:paraId="00BAE74D" w14:textId="77777777">
        <w:tc>
          <w:tcPr>
            <w:tcW w:w="0" w:type="auto"/>
            <w:gridSpan w:val="3"/>
            <w:shd w:val="clear" w:color="auto" w:fill="D7E4BC"/>
            <w:tcMar>
              <w:top w:w="40" w:type="dxa"/>
              <w:left w:w="380" w:type="dxa"/>
              <w:bottom w:w="40" w:type="dxa"/>
              <w:right w:w="20" w:type="dxa"/>
            </w:tcMar>
          </w:tcPr>
          <w:p w14:paraId="00BAE747" w14:textId="77777777" w:rsidR="00871BDF" w:rsidRDefault="005C5088">
            <w:pPr>
              <w:textAlignment w:val="top"/>
            </w:pPr>
            <w:r>
              <w:rPr>
                <w:rFonts w:ascii="Times New Roman" w:eastAsia="宋体" w:hAnsi="Times New Roman"/>
                <w:color w:val="000000"/>
                <w:sz w:val="20"/>
                <w:szCs w:val="20"/>
              </w:rPr>
              <w:t>Accrued liabilities</w:t>
            </w:r>
          </w:p>
        </w:tc>
        <w:tc>
          <w:tcPr>
            <w:tcW w:w="0" w:type="auto"/>
            <w:gridSpan w:val="2"/>
            <w:shd w:val="clear" w:color="auto" w:fill="D7E4BC"/>
            <w:tcMar>
              <w:top w:w="40" w:type="dxa"/>
              <w:left w:w="20" w:type="dxa"/>
              <w:bottom w:w="40" w:type="dxa"/>
              <w:right w:w="0" w:type="dxa"/>
            </w:tcMar>
            <w:vAlign w:val="bottom"/>
          </w:tcPr>
          <w:p w14:paraId="00BAE748" w14:textId="77777777" w:rsidR="00871BDF" w:rsidRDefault="005C5088">
            <w:pPr>
              <w:jc w:val="right"/>
              <w:textAlignment w:val="bottom"/>
            </w:pPr>
            <w:r>
              <w:rPr>
                <w:rFonts w:ascii="Times New Roman" w:eastAsia="宋体" w:hAnsi="Times New Roman"/>
                <w:color w:val="000000"/>
                <w:sz w:val="20"/>
                <w:szCs w:val="20"/>
              </w:rPr>
              <w:t>1,160.7 </w:t>
            </w:r>
          </w:p>
        </w:tc>
        <w:tc>
          <w:tcPr>
            <w:tcW w:w="0" w:type="auto"/>
            <w:shd w:val="clear" w:color="auto" w:fill="D7E4BC"/>
            <w:tcMar>
              <w:top w:w="40" w:type="dxa"/>
              <w:left w:w="0" w:type="dxa"/>
              <w:bottom w:w="40" w:type="dxa"/>
              <w:right w:w="20" w:type="dxa"/>
            </w:tcMar>
            <w:vAlign w:val="bottom"/>
          </w:tcPr>
          <w:p w14:paraId="00BAE74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4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74B" w14:textId="77777777" w:rsidR="00871BDF" w:rsidRDefault="005C5088">
            <w:pPr>
              <w:jc w:val="right"/>
              <w:textAlignment w:val="bottom"/>
            </w:pPr>
            <w:r>
              <w:rPr>
                <w:rFonts w:ascii="Times New Roman" w:eastAsia="宋体" w:hAnsi="Times New Roman"/>
                <w:color w:val="000000"/>
                <w:sz w:val="20"/>
                <w:szCs w:val="20"/>
              </w:rPr>
              <w:t>1,753.7 </w:t>
            </w:r>
          </w:p>
        </w:tc>
        <w:tc>
          <w:tcPr>
            <w:tcW w:w="0" w:type="auto"/>
            <w:shd w:val="clear" w:color="auto" w:fill="D7E4BC"/>
            <w:tcMar>
              <w:top w:w="40" w:type="dxa"/>
              <w:left w:w="0" w:type="dxa"/>
              <w:bottom w:w="40" w:type="dxa"/>
              <w:right w:w="20" w:type="dxa"/>
            </w:tcMar>
            <w:vAlign w:val="bottom"/>
          </w:tcPr>
          <w:p w14:paraId="00BAE74C" w14:textId="77777777" w:rsidR="00871BDF" w:rsidRDefault="00871BDF">
            <w:pPr>
              <w:jc w:val="right"/>
              <w:rPr>
                <w:rFonts w:ascii="宋体"/>
              </w:rPr>
            </w:pPr>
          </w:p>
        </w:tc>
      </w:tr>
      <w:tr w:rsidR="00871BDF" w14:paraId="00BAE754" w14:textId="77777777">
        <w:tc>
          <w:tcPr>
            <w:tcW w:w="0" w:type="auto"/>
            <w:gridSpan w:val="3"/>
            <w:shd w:val="clear" w:color="auto" w:fill="FFFFFF"/>
            <w:tcMar>
              <w:top w:w="40" w:type="dxa"/>
              <w:left w:w="380" w:type="dxa"/>
              <w:bottom w:w="40" w:type="dxa"/>
              <w:right w:w="20" w:type="dxa"/>
            </w:tcMar>
          </w:tcPr>
          <w:p w14:paraId="00BAE74E" w14:textId="77777777" w:rsidR="00871BDF" w:rsidRDefault="005C5088">
            <w:pPr>
              <w:textAlignment w:val="top"/>
            </w:pPr>
            <w:r>
              <w:rPr>
                <w:rFonts w:ascii="Times New Roman" w:eastAsia="宋体" w:hAnsi="Times New Roman"/>
                <w:color w:val="000000"/>
                <w:sz w:val="20"/>
                <w:szCs w:val="20"/>
              </w:rPr>
              <w:t>Accrued payroll and benefits</w:t>
            </w:r>
          </w:p>
        </w:tc>
        <w:tc>
          <w:tcPr>
            <w:tcW w:w="0" w:type="auto"/>
            <w:gridSpan w:val="2"/>
            <w:shd w:val="clear" w:color="auto" w:fill="FFFFFF"/>
            <w:tcMar>
              <w:top w:w="40" w:type="dxa"/>
              <w:left w:w="20" w:type="dxa"/>
              <w:bottom w:w="40" w:type="dxa"/>
              <w:right w:w="0" w:type="dxa"/>
            </w:tcMar>
            <w:vAlign w:val="bottom"/>
          </w:tcPr>
          <w:p w14:paraId="00BAE74F" w14:textId="77777777" w:rsidR="00871BDF" w:rsidRDefault="005C5088">
            <w:pPr>
              <w:jc w:val="right"/>
              <w:textAlignment w:val="bottom"/>
            </w:pPr>
            <w:r>
              <w:rPr>
                <w:rFonts w:ascii="Times New Roman" w:eastAsia="宋体" w:hAnsi="Times New Roman"/>
                <w:color w:val="000000"/>
                <w:sz w:val="20"/>
                <w:szCs w:val="20"/>
              </w:rPr>
              <w:t>696.0 </w:t>
            </w:r>
          </w:p>
        </w:tc>
        <w:tc>
          <w:tcPr>
            <w:tcW w:w="0" w:type="auto"/>
            <w:shd w:val="clear" w:color="auto" w:fill="FFFFFF"/>
            <w:tcMar>
              <w:top w:w="40" w:type="dxa"/>
              <w:left w:w="0" w:type="dxa"/>
              <w:bottom w:w="40" w:type="dxa"/>
              <w:right w:w="20" w:type="dxa"/>
            </w:tcMar>
            <w:vAlign w:val="bottom"/>
          </w:tcPr>
          <w:p w14:paraId="00BAE75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5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752" w14:textId="77777777" w:rsidR="00871BDF" w:rsidRDefault="005C5088">
            <w:pPr>
              <w:jc w:val="right"/>
              <w:textAlignment w:val="bottom"/>
            </w:pPr>
            <w:r>
              <w:rPr>
                <w:rFonts w:ascii="Times New Roman" w:eastAsia="宋体" w:hAnsi="Times New Roman"/>
                <w:color w:val="000000"/>
                <w:sz w:val="20"/>
                <w:szCs w:val="20"/>
              </w:rPr>
              <w:t>664.6 </w:t>
            </w:r>
          </w:p>
        </w:tc>
        <w:tc>
          <w:tcPr>
            <w:tcW w:w="0" w:type="auto"/>
            <w:shd w:val="clear" w:color="auto" w:fill="FFFFFF"/>
            <w:tcMar>
              <w:top w:w="40" w:type="dxa"/>
              <w:left w:w="0" w:type="dxa"/>
              <w:bottom w:w="40" w:type="dxa"/>
              <w:right w:w="20" w:type="dxa"/>
            </w:tcMar>
            <w:vAlign w:val="bottom"/>
          </w:tcPr>
          <w:p w14:paraId="00BAE753" w14:textId="77777777" w:rsidR="00871BDF" w:rsidRDefault="00871BDF">
            <w:pPr>
              <w:jc w:val="right"/>
              <w:rPr>
                <w:rFonts w:ascii="宋体"/>
              </w:rPr>
            </w:pPr>
          </w:p>
        </w:tc>
      </w:tr>
      <w:tr w:rsidR="00871BDF" w14:paraId="00BAE75B" w14:textId="77777777">
        <w:tc>
          <w:tcPr>
            <w:tcW w:w="0" w:type="auto"/>
            <w:gridSpan w:val="3"/>
            <w:shd w:val="clear" w:color="auto" w:fill="D7E4BC"/>
            <w:tcMar>
              <w:top w:w="40" w:type="dxa"/>
              <w:left w:w="380" w:type="dxa"/>
              <w:bottom w:w="40" w:type="dxa"/>
              <w:right w:w="20" w:type="dxa"/>
            </w:tcMar>
          </w:tcPr>
          <w:p w14:paraId="00BAE755" w14:textId="77777777" w:rsidR="00871BDF" w:rsidRDefault="005C5088">
            <w:pPr>
              <w:textAlignment w:val="top"/>
            </w:pPr>
            <w:r>
              <w:rPr>
                <w:rFonts w:ascii="Times New Roman" w:eastAsia="宋体" w:hAnsi="Times New Roman"/>
                <w:color w:val="000000"/>
                <w:sz w:val="20"/>
                <w:szCs w:val="20"/>
              </w:rPr>
              <w:t>Income taxes payable</w:t>
            </w:r>
          </w:p>
        </w:tc>
        <w:tc>
          <w:tcPr>
            <w:tcW w:w="0" w:type="auto"/>
            <w:gridSpan w:val="2"/>
            <w:shd w:val="clear" w:color="auto" w:fill="D7E4BC"/>
            <w:tcMar>
              <w:top w:w="40" w:type="dxa"/>
              <w:left w:w="20" w:type="dxa"/>
              <w:bottom w:w="40" w:type="dxa"/>
              <w:right w:w="0" w:type="dxa"/>
            </w:tcMar>
            <w:vAlign w:val="bottom"/>
          </w:tcPr>
          <w:p w14:paraId="00BAE756" w14:textId="77777777" w:rsidR="00871BDF" w:rsidRDefault="005C5088">
            <w:pPr>
              <w:jc w:val="right"/>
              <w:textAlignment w:val="bottom"/>
            </w:pPr>
            <w:r>
              <w:rPr>
                <w:rFonts w:ascii="Times New Roman" w:eastAsia="宋体" w:hAnsi="Times New Roman"/>
                <w:color w:val="000000"/>
                <w:sz w:val="20"/>
                <w:szCs w:val="20"/>
              </w:rPr>
              <w:t>98.2 </w:t>
            </w:r>
          </w:p>
        </w:tc>
        <w:tc>
          <w:tcPr>
            <w:tcW w:w="0" w:type="auto"/>
            <w:shd w:val="clear" w:color="auto" w:fill="D7E4BC"/>
            <w:tcMar>
              <w:top w:w="40" w:type="dxa"/>
              <w:left w:w="0" w:type="dxa"/>
              <w:bottom w:w="40" w:type="dxa"/>
              <w:right w:w="20" w:type="dxa"/>
            </w:tcMar>
            <w:vAlign w:val="bottom"/>
          </w:tcPr>
          <w:p w14:paraId="00BAE75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5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759" w14:textId="77777777" w:rsidR="00871BDF" w:rsidRDefault="005C5088">
            <w:pPr>
              <w:jc w:val="right"/>
              <w:textAlignment w:val="bottom"/>
            </w:pPr>
            <w:r>
              <w:rPr>
                <w:rFonts w:ascii="Times New Roman" w:eastAsia="宋体" w:hAnsi="Times New Roman"/>
                <w:color w:val="000000"/>
                <w:sz w:val="20"/>
                <w:szCs w:val="20"/>
              </w:rPr>
              <w:t>1,291.7 </w:t>
            </w:r>
          </w:p>
        </w:tc>
        <w:tc>
          <w:tcPr>
            <w:tcW w:w="0" w:type="auto"/>
            <w:shd w:val="clear" w:color="auto" w:fill="D7E4BC"/>
            <w:tcMar>
              <w:top w:w="40" w:type="dxa"/>
              <w:left w:w="0" w:type="dxa"/>
              <w:bottom w:w="40" w:type="dxa"/>
              <w:right w:w="20" w:type="dxa"/>
            </w:tcMar>
            <w:vAlign w:val="bottom"/>
          </w:tcPr>
          <w:p w14:paraId="00BAE75A" w14:textId="77777777" w:rsidR="00871BDF" w:rsidRDefault="00871BDF">
            <w:pPr>
              <w:jc w:val="right"/>
              <w:rPr>
                <w:rFonts w:ascii="宋体"/>
              </w:rPr>
            </w:pPr>
          </w:p>
        </w:tc>
      </w:tr>
      <w:tr w:rsidR="00871BDF" w14:paraId="00BAE762" w14:textId="77777777">
        <w:tc>
          <w:tcPr>
            <w:tcW w:w="0" w:type="auto"/>
            <w:gridSpan w:val="3"/>
            <w:shd w:val="clear" w:color="auto" w:fill="FFFFFF"/>
            <w:tcMar>
              <w:top w:w="40" w:type="dxa"/>
              <w:left w:w="380" w:type="dxa"/>
              <w:bottom w:w="40" w:type="dxa"/>
              <w:right w:w="20" w:type="dxa"/>
            </w:tcMar>
          </w:tcPr>
          <w:p w14:paraId="00BAE75C" w14:textId="77777777" w:rsidR="00871BDF" w:rsidRDefault="005C5088">
            <w:pPr>
              <w:textAlignment w:val="top"/>
            </w:pPr>
            <w:r>
              <w:rPr>
                <w:rFonts w:ascii="Times New Roman" w:eastAsia="宋体" w:hAnsi="Times New Roman"/>
                <w:color w:val="000000"/>
                <w:sz w:val="20"/>
                <w:szCs w:val="20"/>
              </w:rPr>
              <w:t>Current portion of operating lease liability</w:t>
            </w:r>
          </w:p>
        </w:tc>
        <w:tc>
          <w:tcPr>
            <w:tcW w:w="0" w:type="auto"/>
            <w:gridSpan w:val="2"/>
            <w:shd w:val="clear" w:color="auto" w:fill="FFFFFF"/>
            <w:tcMar>
              <w:top w:w="40" w:type="dxa"/>
              <w:left w:w="20" w:type="dxa"/>
              <w:bottom w:w="40" w:type="dxa"/>
              <w:right w:w="0" w:type="dxa"/>
            </w:tcMar>
            <w:vAlign w:val="bottom"/>
          </w:tcPr>
          <w:p w14:paraId="00BAE75D" w14:textId="77777777" w:rsidR="00871BDF" w:rsidRDefault="005C5088">
            <w:pPr>
              <w:jc w:val="right"/>
              <w:textAlignment w:val="bottom"/>
            </w:pPr>
            <w:r>
              <w:rPr>
                <w:rFonts w:ascii="Times New Roman" w:eastAsia="宋体" w:hAnsi="Times New Roman"/>
                <w:color w:val="000000"/>
                <w:sz w:val="20"/>
                <w:szCs w:val="20"/>
              </w:rPr>
              <w:t>1,248.8 </w:t>
            </w:r>
          </w:p>
        </w:tc>
        <w:tc>
          <w:tcPr>
            <w:tcW w:w="0" w:type="auto"/>
            <w:shd w:val="clear" w:color="auto" w:fill="FFFFFF"/>
            <w:tcMar>
              <w:top w:w="40" w:type="dxa"/>
              <w:left w:w="0" w:type="dxa"/>
              <w:bottom w:w="40" w:type="dxa"/>
              <w:right w:w="20" w:type="dxa"/>
            </w:tcMar>
            <w:vAlign w:val="bottom"/>
          </w:tcPr>
          <w:p w14:paraId="00BAE75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5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760"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761" w14:textId="77777777" w:rsidR="00871BDF" w:rsidRDefault="00871BDF">
            <w:pPr>
              <w:jc w:val="right"/>
              <w:rPr>
                <w:rFonts w:ascii="宋体"/>
              </w:rPr>
            </w:pPr>
          </w:p>
        </w:tc>
      </w:tr>
      <w:tr w:rsidR="00871BDF" w14:paraId="00BAE769" w14:textId="77777777">
        <w:tc>
          <w:tcPr>
            <w:tcW w:w="0" w:type="auto"/>
            <w:gridSpan w:val="3"/>
            <w:shd w:val="clear" w:color="auto" w:fill="D7E4BC"/>
            <w:tcMar>
              <w:top w:w="40" w:type="dxa"/>
              <w:left w:w="380" w:type="dxa"/>
              <w:bottom w:w="40" w:type="dxa"/>
              <w:right w:w="20" w:type="dxa"/>
            </w:tcMar>
          </w:tcPr>
          <w:p w14:paraId="00BAE763" w14:textId="77777777" w:rsidR="00871BDF" w:rsidRDefault="005C5088">
            <w:pPr>
              <w:textAlignment w:val="top"/>
            </w:pPr>
            <w:r>
              <w:rPr>
                <w:rFonts w:ascii="Times New Roman" w:eastAsia="宋体" w:hAnsi="Times New Roman"/>
                <w:color w:val="000000"/>
                <w:sz w:val="20"/>
                <w:szCs w:val="20"/>
              </w:rPr>
              <w:t xml:space="preserve">Stored value card liability and current portion of deferred revenue </w:t>
            </w:r>
          </w:p>
        </w:tc>
        <w:tc>
          <w:tcPr>
            <w:tcW w:w="0" w:type="auto"/>
            <w:gridSpan w:val="2"/>
            <w:shd w:val="clear" w:color="auto" w:fill="D7E4BC"/>
            <w:tcMar>
              <w:top w:w="40" w:type="dxa"/>
              <w:left w:w="20" w:type="dxa"/>
              <w:bottom w:w="40" w:type="dxa"/>
              <w:right w:w="0" w:type="dxa"/>
            </w:tcMar>
            <w:vAlign w:val="bottom"/>
          </w:tcPr>
          <w:p w14:paraId="00BAE764" w14:textId="77777777" w:rsidR="00871BDF" w:rsidRDefault="005C5088">
            <w:pPr>
              <w:jc w:val="right"/>
              <w:textAlignment w:val="bottom"/>
            </w:pPr>
            <w:r>
              <w:rPr>
                <w:rFonts w:ascii="Times New Roman" w:eastAsia="宋体" w:hAnsi="Times New Roman"/>
                <w:color w:val="000000"/>
                <w:sz w:val="20"/>
                <w:szCs w:val="20"/>
              </w:rPr>
              <w:t>1,456.5 </w:t>
            </w:r>
          </w:p>
        </w:tc>
        <w:tc>
          <w:tcPr>
            <w:tcW w:w="0" w:type="auto"/>
            <w:shd w:val="clear" w:color="auto" w:fill="D7E4BC"/>
            <w:tcMar>
              <w:top w:w="40" w:type="dxa"/>
              <w:left w:w="0" w:type="dxa"/>
              <w:bottom w:w="40" w:type="dxa"/>
              <w:right w:w="20" w:type="dxa"/>
            </w:tcMar>
            <w:vAlign w:val="bottom"/>
          </w:tcPr>
          <w:p w14:paraId="00BAE76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6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767" w14:textId="77777777" w:rsidR="00871BDF" w:rsidRDefault="005C5088">
            <w:pPr>
              <w:jc w:val="right"/>
              <w:textAlignment w:val="bottom"/>
            </w:pPr>
            <w:r>
              <w:rPr>
                <w:rFonts w:ascii="Times New Roman" w:eastAsia="宋体" w:hAnsi="Times New Roman"/>
                <w:color w:val="000000"/>
                <w:sz w:val="20"/>
                <w:szCs w:val="20"/>
              </w:rPr>
              <w:t>1,269.0 </w:t>
            </w:r>
          </w:p>
        </w:tc>
        <w:tc>
          <w:tcPr>
            <w:tcW w:w="0" w:type="auto"/>
            <w:shd w:val="clear" w:color="auto" w:fill="D7E4BC"/>
            <w:tcMar>
              <w:top w:w="40" w:type="dxa"/>
              <w:left w:w="0" w:type="dxa"/>
              <w:bottom w:w="40" w:type="dxa"/>
              <w:right w:w="20" w:type="dxa"/>
            </w:tcMar>
            <w:vAlign w:val="bottom"/>
          </w:tcPr>
          <w:p w14:paraId="00BAE768" w14:textId="77777777" w:rsidR="00871BDF" w:rsidRDefault="00871BDF">
            <w:pPr>
              <w:jc w:val="right"/>
              <w:rPr>
                <w:rFonts w:ascii="宋体"/>
              </w:rPr>
            </w:pPr>
          </w:p>
        </w:tc>
      </w:tr>
      <w:tr w:rsidR="00871BDF" w14:paraId="00BAE770" w14:textId="77777777">
        <w:tc>
          <w:tcPr>
            <w:tcW w:w="0" w:type="auto"/>
            <w:gridSpan w:val="3"/>
            <w:shd w:val="clear" w:color="auto" w:fill="FFFFFF"/>
            <w:tcMar>
              <w:top w:w="40" w:type="dxa"/>
              <w:left w:w="380" w:type="dxa"/>
              <w:bottom w:w="40" w:type="dxa"/>
              <w:right w:w="20" w:type="dxa"/>
            </w:tcMar>
          </w:tcPr>
          <w:p w14:paraId="00BAE76A" w14:textId="77777777" w:rsidR="00871BDF" w:rsidRDefault="005C5088">
            <w:pPr>
              <w:textAlignment w:val="top"/>
            </w:pPr>
            <w:r>
              <w:rPr>
                <w:rFonts w:ascii="Times New Roman" w:eastAsia="宋体" w:hAnsi="Times New Roman"/>
                <w:color w:val="000000"/>
                <w:sz w:val="20"/>
                <w:szCs w:val="20"/>
              </w:rPr>
              <w:t>Short-term debt</w:t>
            </w:r>
          </w:p>
        </w:tc>
        <w:tc>
          <w:tcPr>
            <w:tcW w:w="0" w:type="auto"/>
            <w:gridSpan w:val="2"/>
            <w:shd w:val="clear" w:color="auto" w:fill="FFFFFF"/>
            <w:tcMar>
              <w:top w:w="40" w:type="dxa"/>
              <w:left w:w="20" w:type="dxa"/>
              <w:bottom w:w="40" w:type="dxa"/>
              <w:right w:w="0" w:type="dxa"/>
            </w:tcMar>
            <w:vAlign w:val="bottom"/>
          </w:tcPr>
          <w:p w14:paraId="00BAE76B" w14:textId="77777777" w:rsidR="00871BDF" w:rsidRDefault="005C5088">
            <w:pPr>
              <w:jc w:val="right"/>
              <w:textAlignment w:val="bottom"/>
            </w:pPr>
            <w:r>
              <w:rPr>
                <w:rFonts w:ascii="Times New Roman" w:eastAsia="宋体" w:hAnsi="Times New Roman"/>
                <w:color w:val="000000"/>
                <w:sz w:val="20"/>
                <w:szCs w:val="20"/>
              </w:rPr>
              <w:t>438.8 </w:t>
            </w:r>
          </w:p>
        </w:tc>
        <w:tc>
          <w:tcPr>
            <w:tcW w:w="0" w:type="auto"/>
            <w:shd w:val="clear" w:color="auto" w:fill="FFFFFF"/>
            <w:tcMar>
              <w:top w:w="40" w:type="dxa"/>
              <w:left w:w="0" w:type="dxa"/>
              <w:bottom w:w="40" w:type="dxa"/>
              <w:right w:w="20" w:type="dxa"/>
            </w:tcMar>
            <w:vAlign w:val="bottom"/>
          </w:tcPr>
          <w:p w14:paraId="00BAE76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6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76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76F" w14:textId="77777777" w:rsidR="00871BDF" w:rsidRDefault="00871BDF">
            <w:pPr>
              <w:jc w:val="right"/>
              <w:rPr>
                <w:rFonts w:ascii="宋体"/>
              </w:rPr>
            </w:pPr>
          </w:p>
        </w:tc>
      </w:tr>
      <w:tr w:rsidR="00871BDF" w14:paraId="00BAE777" w14:textId="77777777">
        <w:tc>
          <w:tcPr>
            <w:tcW w:w="0" w:type="auto"/>
            <w:gridSpan w:val="3"/>
            <w:shd w:val="clear" w:color="auto" w:fill="D7E4BC"/>
            <w:tcMar>
              <w:top w:w="40" w:type="dxa"/>
              <w:left w:w="380" w:type="dxa"/>
              <w:bottom w:w="40" w:type="dxa"/>
              <w:right w:w="20" w:type="dxa"/>
            </w:tcMar>
          </w:tcPr>
          <w:p w14:paraId="00BAE771" w14:textId="77777777" w:rsidR="00871BDF" w:rsidRDefault="005C5088">
            <w:pPr>
              <w:textAlignment w:val="top"/>
            </w:pPr>
            <w:r>
              <w:rPr>
                <w:rFonts w:ascii="Times New Roman" w:eastAsia="宋体" w:hAnsi="Times New Roman"/>
                <w:color w:val="000000"/>
                <w:sz w:val="20"/>
                <w:szCs w:val="20"/>
              </w:rPr>
              <w:t>Current portion of long-term debt</w:t>
            </w:r>
          </w:p>
        </w:tc>
        <w:tc>
          <w:tcPr>
            <w:tcW w:w="0" w:type="auto"/>
            <w:gridSpan w:val="2"/>
            <w:shd w:val="clear" w:color="auto" w:fill="D7E4BC"/>
            <w:tcMar>
              <w:top w:w="40" w:type="dxa"/>
              <w:left w:w="20" w:type="dxa"/>
              <w:bottom w:w="40" w:type="dxa"/>
              <w:right w:w="0" w:type="dxa"/>
            </w:tcMar>
            <w:vAlign w:val="bottom"/>
          </w:tcPr>
          <w:p w14:paraId="00BAE772" w14:textId="77777777" w:rsidR="00871BDF" w:rsidRDefault="005C5088">
            <w:pPr>
              <w:jc w:val="right"/>
              <w:textAlignment w:val="bottom"/>
            </w:pPr>
            <w:r>
              <w:rPr>
                <w:rFonts w:ascii="Times New Roman" w:eastAsia="宋体" w:hAnsi="Times New Roman"/>
                <w:color w:val="000000"/>
                <w:sz w:val="20"/>
                <w:szCs w:val="20"/>
              </w:rPr>
              <w:t>1,249.9 </w:t>
            </w:r>
          </w:p>
        </w:tc>
        <w:tc>
          <w:tcPr>
            <w:tcW w:w="0" w:type="auto"/>
            <w:shd w:val="clear" w:color="auto" w:fill="D7E4BC"/>
            <w:tcMar>
              <w:top w:w="40" w:type="dxa"/>
              <w:left w:w="0" w:type="dxa"/>
              <w:bottom w:w="40" w:type="dxa"/>
              <w:right w:w="20" w:type="dxa"/>
            </w:tcMar>
            <w:vAlign w:val="bottom"/>
          </w:tcPr>
          <w:p w14:paraId="00BAE77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7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775"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776" w14:textId="77777777" w:rsidR="00871BDF" w:rsidRDefault="00871BDF">
            <w:pPr>
              <w:jc w:val="right"/>
              <w:rPr>
                <w:rFonts w:ascii="宋体"/>
              </w:rPr>
            </w:pPr>
          </w:p>
        </w:tc>
      </w:tr>
      <w:tr w:rsidR="00871BDF" w14:paraId="00BAE77E" w14:textId="77777777">
        <w:tc>
          <w:tcPr>
            <w:tcW w:w="0" w:type="auto"/>
            <w:gridSpan w:val="3"/>
            <w:shd w:val="clear" w:color="auto" w:fill="FFFFFF"/>
            <w:tcMar>
              <w:top w:w="40" w:type="dxa"/>
              <w:left w:w="740" w:type="dxa"/>
              <w:bottom w:w="40" w:type="dxa"/>
              <w:right w:w="20" w:type="dxa"/>
            </w:tcMar>
          </w:tcPr>
          <w:p w14:paraId="00BAE778" w14:textId="77777777" w:rsidR="00871BDF" w:rsidRDefault="005C5088">
            <w:pPr>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779" w14:textId="77777777" w:rsidR="00871BDF" w:rsidRDefault="005C5088">
            <w:pPr>
              <w:jc w:val="right"/>
              <w:textAlignment w:val="bottom"/>
            </w:pPr>
            <w:r>
              <w:rPr>
                <w:rFonts w:ascii="Times New Roman" w:eastAsia="宋体" w:hAnsi="Times New Roman"/>
                <w:color w:val="000000"/>
                <w:sz w:val="20"/>
                <w:szCs w:val="20"/>
              </w:rPr>
              <w:t>7,346.8 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77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7B"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77C" w14:textId="77777777" w:rsidR="00871BDF" w:rsidRDefault="005C5088">
            <w:pPr>
              <w:jc w:val="right"/>
              <w:textAlignment w:val="bottom"/>
            </w:pPr>
            <w:r>
              <w:rPr>
                <w:rFonts w:ascii="Times New Roman" w:eastAsia="宋体" w:hAnsi="Times New Roman"/>
                <w:color w:val="000000"/>
                <w:sz w:val="20"/>
                <w:szCs w:val="20"/>
              </w:rPr>
              <w:t>6,168.7 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77D" w14:textId="77777777" w:rsidR="00871BDF" w:rsidRDefault="00871BDF">
            <w:pPr>
              <w:jc w:val="right"/>
              <w:rPr>
                <w:rFonts w:ascii="宋体"/>
              </w:rPr>
            </w:pPr>
          </w:p>
        </w:tc>
      </w:tr>
      <w:tr w:rsidR="00871BDF" w14:paraId="00BAE785" w14:textId="77777777">
        <w:tc>
          <w:tcPr>
            <w:tcW w:w="0" w:type="auto"/>
            <w:gridSpan w:val="3"/>
            <w:shd w:val="clear" w:color="auto" w:fill="D7E4BC"/>
            <w:tcMar>
              <w:top w:w="40" w:type="dxa"/>
              <w:left w:w="20" w:type="dxa"/>
              <w:bottom w:w="40" w:type="dxa"/>
              <w:right w:w="20" w:type="dxa"/>
            </w:tcMar>
          </w:tcPr>
          <w:p w14:paraId="00BAE77F" w14:textId="77777777" w:rsidR="00871BDF" w:rsidRDefault="005C5088">
            <w:pPr>
              <w:textAlignment w:val="top"/>
            </w:pPr>
            <w:r>
              <w:rPr>
                <w:rFonts w:ascii="Times New Roman" w:eastAsia="宋体" w:hAnsi="Times New Roman"/>
                <w:color w:val="000000"/>
                <w:sz w:val="20"/>
                <w:szCs w:val="20"/>
              </w:rPr>
              <w:t>Long-term debt</w:t>
            </w:r>
          </w:p>
        </w:tc>
        <w:tc>
          <w:tcPr>
            <w:tcW w:w="0" w:type="auto"/>
            <w:gridSpan w:val="2"/>
            <w:shd w:val="clear" w:color="auto" w:fill="D7E4BC"/>
            <w:tcMar>
              <w:top w:w="40" w:type="dxa"/>
              <w:left w:w="20" w:type="dxa"/>
              <w:bottom w:w="40" w:type="dxa"/>
              <w:right w:w="0" w:type="dxa"/>
            </w:tcMar>
            <w:vAlign w:val="bottom"/>
          </w:tcPr>
          <w:p w14:paraId="00BAE780" w14:textId="77777777" w:rsidR="00871BDF" w:rsidRDefault="005C5088">
            <w:pPr>
              <w:jc w:val="right"/>
              <w:textAlignment w:val="bottom"/>
            </w:pPr>
            <w:r>
              <w:rPr>
                <w:rFonts w:ascii="Times New Roman" w:eastAsia="宋体" w:hAnsi="Times New Roman"/>
                <w:color w:val="000000"/>
                <w:sz w:val="20"/>
                <w:szCs w:val="20"/>
              </w:rPr>
              <w:t>14,659.6 </w:t>
            </w:r>
          </w:p>
        </w:tc>
        <w:tc>
          <w:tcPr>
            <w:tcW w:w="0" w:type="auto"/>
            <w:shd w:val="clear" w:color="auto" w:fill="D7E4BC"/>
            <w:tcMar>
              <w:top w:w="40" w:type="dxa"/>
              <w:left w:w="0" w:type="dxa"/>
              <w:bottom w:w="40" w:type="dxa"/>
              <w:right w:w="20" w:type="dxa"/>
            </w:tcMar>
            <w:vAlign w:val="bottom"/>
          </w:tcPr>
          <w:p w14:paraId="00BAE78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8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783" w14:textId="77777777" w:rsidR="00871BDF" w:rsidRDefault="005C5088">
            <w:pPr>
              <w:jc w:val="right"/>
              <w:textAlignment w:val="bottom"/>
            </w:pPr>
            <w:r>
              <w:rPr>
                <w:rFonts w:ascii="Times New Roman" w:eastAsia="宋体" w:hAnsi="Times New Roman"/>
                <w:color w:val="000000"/>
                <w:sz w:val="20"/>
                <w:szCs w:val="20"/>
              </w:rPr>
              <w:t>11,167.0 </w:t>
            </w:r>
          </w:p>
        </w:tc>
        <w:tc>
          <w:tcPr>
            <w:tcW w:w="0" w:type="auto"/>
            <w:shd w:val="clear" w:color="auto" w:fill="D7E4BC"/>
            <w:tcMar>
              <w:top w:w="40" w:type="dxa"/>
              <w:left w:w="0" w:type="dxa"/>
              <w:bottom w:w="40" w:type="dxa"/>
              <w:right w:w="20" w:type="dxa"/>
            </w:tcMar>
            <w:vAlign w:val="bottom"/>
          </w:tcPr>
          <w:p w14:paraId="00BAE784" w14:textId="77777777" w:rsidR="00871BDF" w:rsidRDefault="00871BDF">
            <w:pPr>
              <w:jc w:val="right"/>
              <w:rPr>
                <w:rFonts w:ascii="宋体"/>
              </w:rPr>
            </w:pPr>
          </w:p>
        </w:tc>
      </w:tr>
      <w:tr w:rsidR="00871BDF" w14:paraId="00BAE78C" w14:textId="77777777">
        <w:tc>
          <w:tcPr>
            <w:tcW w:w="0" w:type="auto"/>
            <w:gridSpan w:val="3"/>
            <w:shd w:val="clear" w:color="auto" w:fill="FFFFFF"/>
            <w:tcMar>
              <w:top w:w="40" w:type="dxa"/>
              <w:left w:w="20" w:type="dxa"/>
              <w:bottom w:w="40" w:type="dxa"/>
              <w:right w:w="20" w:type="dxa"/>
            </w:tcMar>
          </w:tcPr>
          <w:p w14:paraId="00BAE786" w14:textId="77777777" w:rsidR="00871BDF" w:rsidRDefault="005C5088">
            <w:pPr>
              <w:textAlignment w:val="top"/>
            </w:pPr>
            <w:r>
              <w:rPr>
                <w:rFonts w:ascii="Times New Roman" w:eastAsia="宋体" w:hAnsi="Times New Roman"/>
                <w:color w:val="000000"/>
                <w:sz w:val="20"/>
                <w:szCs w:val="20"/>
              </w:rPr>
              <w:t>Operating lease liability</w:t>
            </w:r>
          </w:p>
        </w:tc>
        <w:tc>
          <w:tcPr>
            <w:tcW w:w="0" w:type="auto"/>
            <w:gridSpan w:val="2"/>
            <w:shd w:val="clear" w:color="auto" w:fill="FFFFFF"/>
            <w:tcMar>
              <w:top w:w="40" w:type="dxa"/>
              <w:left w:w="20" w:type="dxa"/>
              <w:bottom w:w="40" w:type="dxa"/>
              <w:right w:w="0" w:type="dxa"/>
            </w:tcMar>
            <w:vAlign w:val="bottom"/>
          </w:tcPr>
          <w:p w14:paraId="00BAE787" w14:textId="77777777" w:rsidR="00871BDF" w:rsidRDefault="005C5088">
            <w:pPr>
              <w:jc w:val="right"/>
              <w:textAlignment w:val="bottom"/>
            </w:pPr>
            <w:r>
              <w:rPr>
                <w:rFonts w:ascii="Times New Roman" w:eastAsia="宋体" w:hAnsi="Times New Roman"/>
                <w:color w:val="000000"/>
                <w:sz w:val="20"/>
                <w:szCs w:val="20"/>
              </w:rPr>
              <w:t>7,661.7 </w:t>
            </w:r>
          </w:p>
        </w:tc>
        <w:tc>
          <w:tcPr>
            <w:tcW w:w="0" w:type="auto"/>
            <w:shd w:val="clear" w:color="auto" w:fill="FFFFFF"/>
            <w:tcMar>
              <w:top w:w="40" w:type="dxa"/>
              <w:left w:w="0" w:type="dxa"/>
              <w:bottom w:w="40" w:type="dxa"/>
              <w:right w:w="20" w:type="dxa"/>
            </w:tcMar>
            <w:vAlign w:val="bottom"/>
          </w:tcPr>
          <w:p w14:paraId="00BAE78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8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78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78B" w14:textId="77777777" w:rsidR="00871BDF" w:rsidRDefault="00871BDF">
            <w:pPr>
              <w:jc w:val="right"/>
              <w:rPr>
                <w:rFonts w:ascii="宋体"/>
              </w:rPr>
            </w:pPr>
          </w:p>
        </w:tc>
      </w:tr>
      <w:tr w:rsidR="00871BDF" w14:paraId="00BAE793" w14:textId="77777777">
        <w:tc>
          <w:tcPr>
            <w:tcW w:w="0" w:type="auto"/>
            <w:gridSpan w:val="3"/>
            <w:shd w:val="clear" w:color="auto" w:fill="D7E4BC"/>
            <w:tcMar>
              <w:top w:w="40" w:type="dxa"/>
              <w:left w:w="20" w:type="dxa"/>
              <w:bottom w:w="40" w:type="dxa"/>
              <w:right w:w="20" w:type="dxa"/>
            </w:tcMar>
          </w:tcPr>
          <w:p w14:paraId="00BAE78D" w14:textId="77777777" w:rsidR="00871BDF" w:rsidRDefault="005C5088">
            <w:pPr>
              <w:textAlignment w:val="top"/>
            </w:pPr>
            <w:r>
              <w:rPr>
                <w:rFonts w:ascii="Times New Roman" w:eastAsia="宋体" w:hAnsi="Times New Roman"/>
                <w:color w:val="000000"/>
                <w:sz w:val="20"/>
                <w:szCs w:val="20"/>
              </w:rPr>
              <w:t xml:space="preserve">Deferred revenue </w:t>
            </w:r>
          </w:p>
        </w:tc>
        <w:tc>
          <w:tcPr>
            <w:tcW w:w="0" w:type="auto"/>
            <w:gridSpan w:val="2"/>
            <w:shd w:val="clear" w:color="auto" w:fill="D7E4BC"/>
            <w:tcMar>
              <w:top w:w="40" w:type="dxa"/>
              <w:left w:w="20" w:type="dxa"/>
              <w:bottom w:w="40" w:type="dxa"/>
              <w:right w:w="0" w:type="dxa"/>
            </w:tcMar>
            <w:vAlign w:val="bottom"/>
          </w:tcPr>
          <w:p w14:paraId="00BAE78E" w14:textId="77777777" w:rsidR="00871BDF" w:rsidRDefault="005C5088">
            <w:pPr>
              <w:jc w:val="right"/>
              <w:textAlignment w:val="bottom"/>
            </w:pPr>
            <w:r>
              <w:rPr>
                <w:rFonts w:ascii="Times New Roman" w:eastAsia="宋体" w:hAnsi="Times New Roman"/>
                <w:color w:val="000000"/>
                <w:sz w:val="20"/>
                <w:szCs w:val="20"/>
              </w:rPr>
              <w:t>6,598.5 </w:t>
            </w:r>
          </w:p>
        </w:tc>
        <w:tc>
          <w:tcPr>
            <w:tcW w:w="0" w:type="auto"/>
            <w:shd w:val="clear" w:color="auto" w:fill="D7E4BC"/>
            <w:tcMar>
              <w:top w:w="40" w:type="dxa"/>
              <w:left w:w="0" w:type="dxa"/>
              <w:bottom w:w="40" w:type="dxa"/>
              <w:right w:w="20" w:type="dxa"/>
            </w:tcMar>
            <w:vAlign w:val="bottom"/>
          </w:tcPr>
          <w:p w14:paraId="00BAE78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9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791" w14:textId="77777777" w:rsidR="00871BDF" w:rsidRDefault="005C5088">
            <w:pPr>
              <w:jc w:val="right"/>
              <w:textAlignment w:val="bottom"/>
            </w:pPr>
            <w:r>
              <w:rPr>
                <w:rFonts w:ascii="Times New Roman" w:eastAsia="宋体" w:hAnsi="Times New Roman"/>
                <w:color w:val="000000"/>
                <w:sz w:val="20"/>
                <w:szCs w:val="20"/>
              </w:rPr>
              <w:t>6,744.4 </w:t>
            </w:r>
          </w:p>
        </w:tc>
        <w:tc>
          <w:tcPr>
            <w:tcW w:w="0" w:type="auto"/>
            <w:shd w:val="clear" w:color="auto" w:fill="D7E4BC"/>
            <w:tcMar>
              <w:top w:w="40" w:type="dxa"/>
              <w:left w:w="0" w:type="dxa"/>
              <w:bottom w:w="40" w:type="dxa"/>
              <w:right w:w="20" w:type="dxa"/>
            </w:tcMar>
            <w:vAlign w:val="bottom"/>
          </w:tcPr>
          <w:p w14:paraId="00BAE792" w14:textId="77777777" w:rsidR="00871BDF" w:rsidRDefault="00871BDF">
            <w:pPr>
              <w:jc w:val="right"/>
              <w:rPr>
                <w:rFonts w:ascii="宋体"/>
              </w:rPr>
            </w:pPr>
          </w:p>
        </w:tc>
      </w:tr>
      <w:tr w:rsidR="00871BDF" w14:paraId="00BAE79A" w14:textId="77777777">
        <w:tc>
          <w:tcPr>
            <w:tcW w:w="0" w:type="auto"/>
            <w:gridSpan w:val="3"/>
            <w:shd w:val="clear" w:color="auto" w:fill="FFFFFF"/>
            <w:tcMar>
              <w:top w:w="40" w:type="dxa"/>
              <w:left w:w="20" w:type="dxa"/>
              <w:bottom w:w="40" w:type="dxa"/>
              <w:right w:w="20" w:type="dxa"/>
            </w:tcMar>
          </w:tcPr>
          <w:p w14:paraId="00BAE794" w14:textId="77777777" w:rsidR="00871BDF" w:rsidRDefault="005C5088">
            <w:pPr>
              <w:textAlignment w:val="top"/>
            </w:pPr>
            <w:r>
              <w:rPr>
                <w:rFonts w:ascii="Times New Roman" w:eastAsia="宋体" w:hAnsi="Times New Roman"/>
                <w:color w:val="000000"/>
                <w:sz w:val="20"/>
                <w:szCs w:val="20"/>
              </w:rPr>
              <w:t>Other long-term liabilities</w:t>
            </w:r>
          </w:p>
        </w:tc>
        <w:tc>
          <w:tcPr>
            <w:tcW w:w="0" w:type="auto"/>
            <w:gridSpan w:val="2"/>
            <w:shd w:val="clear" w:color="auto" w:fill="FFFFFF"/>
            <w:tcMar>
              <w:top w:w="40" w:type="dxa"/>
              <w:left w:w="20" w:type="dxa"/>
              <w:bottom w:w="40" w:type="dxa"/>
              <w:right w:w="0" w:type="dxa"/>
            </w:tcMar>
            <w:vAlign w:val="bottom"/>
          </w:tcPr>
          <w:p w14:paraId="00BAE795" w14:textId="77777777" w:rsidR="00871BDF" w:rsidRDefault="005C5088">
            <w:pPr>
              <w:jc w:val="right"/>
              <w:textAlignment w:val="bottom"/>
            </w:pPr>
            <w:r>
              <w:rPr>
                <w:rFonts w:ascii="Times New Roman" w:eastAsia="宋体" w:hAnsi="Times New Roman"/>
                <w:color w:val="000000"/>
                <w:sz w:val="20"/>
                <w:szCs w:val="20"/>
              </w:rPr>
              <w:t>907.3 </w:t>
            </w:r>
          </w:p>
        </w:tc>
        <w:tc>
          <w:tcPr>
            <w:tcW w:w="0" w:type="auto"/>
            <w:shd w:val="clear" w:color="auto" w:fill="FFFFFF"/>
            <w:tcMar>
              <w:top w:w="40" w:type="dxa"/>
              <w:left w:w="0" w:type="dxa"/>
              <w:bottom w:w="40" w:type="dxa"/>
              <w:right w:w="20" w:type="dxa"/>
            </w:tcMar>
            <w:vAlign w:val="bottom"/>
          </w:tcPr>
          <w:p w14:paraId="00BAE79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9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798" w14:textId="77777777" w:rsidR="00871BDF" w:rsidRDefault="005C5088">
            <w:pPr>
              <w:jc w:val="right"/>
              <w:textAlignment w:val="bottom"/>
            </w:pPr>
            <w:r>
              <w:rPr>
                <w:rFonts w:ascii="Times New Roman" w:eastAsia="宋体" w:hAnsi="Times New Roman"/>
                <w:color w:val="000000"/>
                <w:sz w:val="20"/>
                <w:szCs w:val="20"/>
              </w:rPr>
              <w:t>1,370.5 </w:t>
            </w:r>
          </w:p>
        </w:tc>
        <w:tc>
          <w:tcPr>
            <w:tcW w:w="0" w:type="auto"/>
            <w:shd w:val="clear" w:color="auto" w:fill="FFFFFF"/>
            <w:tcMar>
              <w:top w:w="40" w:type="dxa"/>
              <w:left w:w="0" w:type="dxa"/>
              <w:bottom w:w="40" w:type="dxa"/>
              <w:right w:w="20" w:type="dxa"/>
            </w:tcMar>
            <w:vAlign w:val="bottom"/>
          </w:tcPr>
          <w:p w14:paraId="00BAE799" w14:textId="77777777" w:rsidR="00871BDF" w:rsidRDefault="00871BDF">
            <w:pPr>
              <w:jc w:val="right"/>
              <w:rPr>
                <w:rFonts w:ascii="宋体"/>
              </w:rPr>
            </w:pPr>
          </w:p>
        </w:tc>
      </w:tr>
      <w:tr w:rsidR="00871BDF" w14:paraId="00BAE7A1" w14:textId="77777777">
        <w:tc>
          <w:tcPr>
            <w:tcW w:w="0" w:type="auto"/>
            <w:gridSpan w:val="3"/>
            <w:shd w:val="clear" w:color="auto" w:fill="D7E4BC"/>
            <w:tcMar>
              <w:top w:w="40" w:type="dxa"/>
              <w:left w:w="740" w:type="dxa"/>
              <w:bottom w:w="40" w:type="dxa"/>
              <w:right w:w="20" w:type="dxa"/>
            </w:tcMar>
          </w:tcPr>
          <w:p w14:paraId="00BAE79B" w14:textId="77777777" w:rsidR="00871BDF" w:rsidRDefault="005C5088">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79C" w14:textId="77777777" w:rsidR="00871BDF" w:rsidRDefault="005C5088">
            <w:pPr>
              <w:jc w:val="right"/>
              <w:textAlignment w:val="bottom"/>
            </w:pPr>
            <w:r>
              <w:rPr>
                <w:rFonts w:ascii="Times New Roman" w:eastAsia="宋体" w:hAnsi="Times New Roman"/>
                <w:color w:val="000000"/>
                <w:sz w:val="20"/>
                <w:szCs w:val="20"/>
              </w:rPr>
              <w:t>37,173.9 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79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9E"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79F" w14:textId="77777777" w:rsidR="00871BDF" w:rsidRDefault="005C5088">
            <w:pPr>
              <w:jc w:val="right"/>
              <w:textAlignment w:val="bottom"/>
            </w:pPr>
            <w:r>
              <w:rPr>
                <w:rFonts w:ascii="Times New Roman" w:eastAsia="宋体" w:hAnsi="Times New Roman"/>
                <w:color w:val="000000"/>
                <w:sz w:val="20"/>
                <w:szCs w:val="20"/>
              </w:rPr>
              <w:t>25,450.6 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7A0" w14:textId="77777777" w:rsidR="00871BDF" w:rsidRDefault="00871BDF">
            <w:pPr>
              <w:jc w:val="right"/>
              <w:rPr>
                <w:rFonts w:ascii="宋体"/>
              </w:rPr>
            </w:pPr>
          </w:p>
        </w:tc>
      </w:tr>
      <w:tr w:rsidR="00871BDF" w14:paraId="00BAE7A6" w14:textId="77777777">
        <w:tc>
          <w:tcPr>
            <w:tcW w:w="0" w:type="auto"/>
            <w:gridSpan w:val="3"/>
            <w:shd w:val="clear" w:color="auto" w:fill="FFFFFF"/>
            <w:tcMar>
              <w:top w:w="40" w:type="dxa"/>
              <w:left w:w="20" w:type="dxa"/>
              <w:bottom w:w="40" w:type="dxa"/>
              <w:right w:w="20" w:type="dxa"/>
            </w:tcMar>
          </w:tcPr>
          <w:p w14:paraId="00BAE7A2" w14:textId="77777777" w:rsidR="00871BDF" w:rsidRDefault="005C5088">
            <w:pPr>
              <w:textAlignment w:val="top"/>
            </w:pPr>
            <w:r>
              <w:rPr>
                <w:rFonts w:ascii="Times New Roman" w:eastAsia="宋体" w:hAnsi="Times New Roman"/>
                <w:color w:val="000000"/>
                <w:sz w:val="20"/>
                <w:szCs w:val="20"/>
              </w:rPr>
              <w:t>Shareholders’ deficit:</w:t>
            </w:r>
          </w:p>
        </w:tc>
        <w:tc>
          <w:tcPr>
            <w:tcW w:w="0" w:type="auto"/>
            <w:gridSpan w:val="3"/>
            <w:shd w:val="clear" w:color="auto" w:fill="FFFFFF"/>
            <w:tcMar>
              <w:top w:w="0" w:type="dxa"/>
              <w:left w:w="20" w:type="dxa"/>
              <w:bottom w:w="0" w:type="dxa"/>
              <w:right w:w="20" w:type="dxa"/>
            </w:tcMar>
          </w:tcPr>
          <w:p w14:paraId="00BAE7A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7A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7A5" w14:textId="77777777" w:rsidR="00871BDF" w:rsidRDefault="00871BDF">
            <w:pPr>
              <w:rPr>
                <w:rFonts w:ascii="宋体"/>
              </w:rPr>
            </w:pPr>
          </w:p>
        </w:tc>
      </w:tr>
      <w:tr w:rsidR="00871BDF" w14:paraId="00BAE7AD" w14:textId="77777777">
        <w:tc>
          <w:tcPr>
            <w:tcW w:w="0" w:type="auto"/>
            <w:gridSpan w:val="3"/>
            <w:shd w:val="clear" w:color="auto" w:fill="D7E4BC"/>
            <w:tcMar>
              <w:top w:w="40" w:type="dxa"/>
              <w:left w:w="20" w:type="dxa"/>
              <w:bottom w:w="40" w:type="dxa"/>
              <w:right w:w="20" w:type="dxa"/>
            </w:tcMar>
          </w:tcPr>
          <w:p w14:paraId="00BAE7A7" w14:textId="77777777" w:rsidR="00871BDF" w:rsidRDefault="005C5088">
            <w:pPr>
              <w:textAlignment w:val="top"/>
            </w:pPr>
            <w:r>
              <w:rPr>
                <w:rFonts w:ascii="Times New Roman" w:eastAsia="宋体" w:hAnsi="Times New Roman"/>
                <w:color w:val="000000"/>
                <w:sz w:val="20"/>
                <w:szCs w:val="20"/>
              </w:rPr>
              <w:t xml:space="preserve">Common stock ($0.001par value) — </w:t>
            </w:r>
            <w:r>
              <w:rPr>
                <w:rFonts w:ascii="Times New Roman" w:eastAsia="宋体" w:hAnsi="Times New Roman"/>
                <w:color w:val="000000"/>
                <w:sz w:val="20"/>
                <w:szCs w:val="20"/>
              </w:rPr>
              <w:t>authorized, 2,400.0 shares; issued and outstanding, 1,173.3 and 1,184.6 shares, respectively</w:t>
            </w:r>
          </w:p>
        </w:tc>
        <w:tc>
          <w:tcPr>
            <w:tcW w:w="0" w:type="auto"/>
            <w:gridSpan w:val="2"/>
            <w:shd w:val="clear" w:color="auto" w:fill="D7E4BC"/>
            <w:tcMar>
              <w:top w:w="40" w:type="dxa"/>
              <w:left w:w="20" w:type="dxa"/>
              <w:bottom w:w="40" w:type="dxa"/>
              <w:right w:w="0" w:type="dxa"/>
            </w:tcMar>
            <w:vAlign w:val="bottom"/>
          </w:tcPr>
          <w:p w14:paraId="00BAE7A8" w14:textId="77777777" w:rsidR="00871BDF" w:rsidRDefault="005C5088">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0BAE7A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A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7AB" w14:textId="77777777" w:rsidR="00871BDF" w:rsidRDefault="005C5088">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0BAE7AC" w14:textId="77777777" w:rsidR="00871BDF" w:rsidRDefault="00871BDF">
            <w:pPr>
              <w:jc w:val="right"/>
              <w:rPr>
                <w:rFonts w:ascii="宋体"/>
              </w:rPr>
            </w:pPr>
          </w:p>
        </w:tc>
      </w:tr>
      <w:tr w:rsidR="00871BDF" w14:paraId="00BAE7B4" w14:textId="77777777">
        <w:tc>
          <w:tcPr>
            <w:tcW w:w="0" w:type="auto"/>
            <w:gridSpan w:val="3"/>
            <w:shd w:val="clear" w:color="auto" w:fill="FFFFFF"/>
            <w:tcMar>
              <w:top w:w="40" w:type="dxa"/>
              <w:left w:w="380" w:type="dxa"/>
              <w:bottom w:w="40" w:type="dxa"/>
              <w:right w:w="20" w:type="dxa"/>
            </w:tcMar>
          </w:tcPr>
          <w:p w14:paraId="00BAE7AE" w14:textId="77777777" w:rsidR="00871BDF" w:rsidRDefault="005C5088">
            <w:pPr>
              <w:textAlignment w:val="top"/>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00BAE7AF" w14:textId="77777777" w:rsidR="00871BDF" w:rsidRDefault="005C5088">
            <w:pPr>
              <w:jc w:val="right"/>
              <w:textAlignment w:val="bottom"/>
            </w:pPr>
            <w:r>
              <w:rPr>
                <w:rFonts w:ascii="Times New Roman" w:eastAsia="宋体" w:hAnsi="Times New Roman"/>
                <w:color w:val="000000"/>
                <w:sz w:val="20"/>
                <w:szCs w:val="20"/>
              </w:rPr>
              <w:t>373.9 </w:t>
            </w:r>
          </w:p>
        </w:tc>
        <w:tc>
          <w:tcPr>
            <w:tcW w:w="0" w:type="auto"/>
            <w:shd w:val="clear" w:color="auto" w:fill="FFFFFF"/>
            <w:tcMar>
              <w:top w:w="40" w:type="dxa"/>
              <w:left w:w="0" w:type="dxa"/>
              <w:bottom w:w="40" w:type="dxa"/>
              <w:right w:w="20" w:type="dxa"/>
            </w:tcMar>
            <w:vAlign w:val="bottom"/>
          </w:tcPr>
          <w:p w14:paraId="00BAE7B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B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7B2" w14:textId="77777777" w:rsidR="00871BDF" w:rsidRDefault="005C5088">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left w:w="0" w:type="dxa"/>
              <w:bottom w:w="40" w:type="dxa"/>
              <w:right w:w="20" w:type="dxa"/>
            </w:tcMar>
            <w:vAlign w:val="bottom"/>
          </w:tcPr>
          <w:p w14:paraId="00BAE7B3" w14:textId="77777777" w:rsidR="00871BDF" w:rsidRDefault="00871BDF">
            <w:pPr>
              <w:jc w:val="right"/>
              <w:rPr>
                <w:rFonts w:ascii="宋体"/>
              </w:rPr>
            </w:pPr>
          </w:p>
        </w:tc>
      </w:tr>
      <w:tr w:rsidR="00871BDF" w14:paraId="00BAE7BB" w14:textId="77777777">
        <w:tc>
          <w:tcPr>
            <w:tcW w:w="0" w:type="auto"/>
            <w:gridSpan w:val="3"/>
            <w:shd w:val="clear" w:color="auto" w:fill="D7E4BC"/>
            <w:tcMar>
              <w:top w:w="40" w:type="dxa"/>
              <w:left w:w="380" w:type="dxa"/>
              <w:bottom w:w="40" w:type="dxa"/>
              <w:right w:w="20" w:type="dxa"/>
            </w:tcMar>
          </w:tcPr>
          <w:p w14:paraId="00BAE7B5" w14:textId="77777777" w:rsidR="00871BDF" w:rsidRDefault="005C5088">
            <w:pPr>
              <w:textAlignment w:val="top"/>
            </w:pPr>
            <w:r>
              <w:rPr>
                <w:rFonts w:ascii="Times New Roman" w:eastAsia="宋体" w:hAnsi="Times New Roman"/>
                <w:color w:val="000000"/>
                <w:sz w:val="20"/>
                <w:szCs w:val="20"/>
              </w:rPr>
              <w:t>Retained deficit</w:t>
            </w:r>
          </w:p>
        </w:tc>
        <w:tc>
          <w:tcPr>
            <w:tcW w:w="0" w:type="auto"/>
            <w:gridSpan w:val="2"/>
            <w:shd w:val="clear" w:color="auto" w:fill="D7E4BC"/>
            <w:tcMar>
              <w:top w:w="40" w:type="dxa"/>
              <w:left w:w="20" w:type="dxa"/>
              <w:bottom w:w="40" w:type="dxa"/>
              <w:right w:w="0" w:type="dxa"/>
            </w:tcMar>
            <w:vAlign w:val="bottom"/>
          </w:tcPr>
          <w:p w14:paraId="00BAE7B6" w14:textId="77777777" w:rsidR="00871BDF" w:rsidRDefault="005C5088">
            <w:pPr>
              <w:jc w:val="right"/>
              <w:textAlignment w:val="bottom"/>
            </w:pPr>
            <w:r>
              <w:rPr>
                <w:rFonts w:ascii="Times New Roman" w:eastAsia="宋体" w:hAnsi="Times New Roman"/>
                <w:color w:val="000000"/>
                <w:sz w:val="20"/>
                <w:szCs w:val="20"/>
              </w:rPr>
              <w:t>(7,815.6)</w:t>
            </w:r>
          </w:p>
        </w:tc>
        <w:tc>
          <w:tcPr>
            <w:tcW w:w="0" w:type="auto"/>
            <w:shd w:val="clear" w:color="auto" w:fill="D7E4BC"/>
            <w:tcMar>
              <w:top w:w="40" w:type="dxa"/>
              <w:left w:w="0" w:type="dxa"/>
              <w:bottom w:w="40" w:type="dxa"/>
              <w:right w:w="20" w:type="dxa"/>
            </w:tcMar>
            <w:vAlign w:val="bottom"/>
          </w:tcPr>
          <w:p w14:paraId="00BAE7B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B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7B9" w14:textId="77777777" w:rsidR="00871BDF" w:rsidRDefault="005C5088">
            <w:pPr>
              <w:jc w:val="right"/>
              <w:textAlignment w:val="bottom"/>
            </w:pPr>
            <w:r>
              <w:rPr>
                <w:rFonts w:ascii="Times New Roman" w:eastAsia="宋体" w:hAnsi="Times New Roman"/>
                <w:color w:val="000000"/>
                <w:sz w:val="20"/>
                <w:szCs w:val="20"/>
              </w:rPr>
              <w:t>(5,771.2)</w:t>
            </w:r>
          </w:p>
        </w:tc>
        <w:tc>
          <w:tcPr>
            <w:tcW w:w="0" w:type="auto"/>
            <w:shd w:val="clear" w:color="auto" w:fill="D7E4BC"/>
            <w:tcMar>
              <w:top w:w="40" w:type="dxa"/>
              <w:left w:w="0" w:type="dxa"/>
              <w:bottom w:w="40" w:type="dxa"/>
              <w:right w:w="20" w:type="dxa"/>
            </w:tcMar>
            <w:vAlign w:val="bottom"/>
          </w:tcPr>
          <w:p w14:paraId="00BAE7BA" w14:textId="77777777" w:rsidR="00871BDF" w:rsidRDefault="00871BDF">
            <w:pPr>
              <w:jc w:val="right"/>
              <w:rPr>
                <w:rFonts w:ascii="宋体"/>
              </w:rPr>
            </w:pPr>
          </w:p>
        </w:tc>
      </w:tr>
      <w:tr w:rsidR="00871BDF" w14:paraId="00BAE7C2" w14:textId="77777777">
        <w:tc>
          <w:tcPr>
            <w:tcW w:w="0" w:type="auto"/>
            <w:gridSpan w:val="3"/>
            <w:shd w:val="clear" w:color="auto" w:fill="FFFFFF"/>
            <w:tcMar>
              <w:top w:w="40" w:type="dxa"/>
              <w:left w:w="380" w:type="dxa"/>
              <w:bottom w:w="40" w:type="dxa"/>
              <w:right w:w="20" w:type="dxa"/>
            </w:tcMar>
          </w:tcPr>
          <w:p w14:paraId="00BAE7BC" w14:textId="77777777" w:rsidR="00871BDF" w:rsidRDefault="005C5088">
            <w:pPr>
              <w:textAlignment w:val="top"/>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00BAE7BD" w14:textId="77777777" w:rsidR="00871BDF" w:rsidRDefault="005C5088">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00BAE7B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B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7C0" w14:textId="77777777" w:rsidR="00871BDF" w:rsidRDefault="005C5088">
            <w:pPr>
              <w:jc w:val="right"/>
              <w:textAlignment w:val="bottom"/>
            </w:pPr>
            <w:r>
              <w:rPr>
                <w:rFonts w:ascii="Times New Roman" w:eastAsia="宋体" w:hAnsi="Times New Roman"/>
                <w:color w:val="000000"/>
                <w:sz w:val="20"/>
                <w:szCs w:val="20"/>
              </w:rPr>
              <w:t>(503.3)</w:t>
            </w:r>
          </w:p>
        </w:tc>
        <w:tc>
          <w:tcPr>
            <w:tcW w:w="0" w:type="auto"/>
            <w:shd w:val="clear" w:color="auto" w:fill="FFFFFF"/>
            <w:tcMar>
              <w:top w:w="40" w:type="dxa"/>
              <w:left w:w="0" w:type="dxa"/>
              <w:bottom w:w="40" w:type="dxa"/>
              <w:right w:w="20" w:type="dxa"/>
            </w:tcMar>
            <w:vAlign w:val="bottom"/>
          </w:tcPr>
          <w:p w14:paraId="00BAE7C1" w14:textId="77777777" w:rsidR="00871BDF" w:rsidRDefault="00871BDF">
            <w:pPr>
              <w:jc w:val="right"/>
              <w:rPr>
                <w:rFonts w:ascii="宋体"/>
              </w:rPr>
            </w:pPr>
          </w:p>
        </w:tc>
      </w:tr>
      <w:tr w:rsidR="00871BDF" w14:paraId="00BAE7C9" w14:textId="77777777">
        <w:tc>
          <w:tcPr>
            <w:tcW w:w="0" w:type="auto"/>
            <w:gridSpan w:val="3"/>
            <w:shd w:val="clear" w:color="auto" w:fill="D7E4BC"/>
            <w:tcMar>
              <w:top w:w="40" w:type="dxa"/>
              <w:left w:w="740" w:type="dxa"/>
              <w:bottom w:w="40" w:type="dxa"/>
              <w:right w:w="20" w:type="dxa"/>
            </w:tcMar>
          </w:tcPr>
          <w:p w14:paraId="00BAE7C3" w14:textId="77777777" w:rsidR="00871BDF" w:rsidRDefault="005C5088">
            <w:pPr>
              <w:textAlignment w:val="top"/>
            </w:pPr>
            <w:r>
              <w:rPr>
                <w:rFonts w:ascii="Times New Roman" w:eastAsia="宋体" w:hAnsi="Times New Roman"/>
                <w:color w:val="000000"/>
                <w:sz w:val="20"/>
                <w:szCs w:val="20"/>
              </w:rPr>
              <w:t>Total shareholders’ 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7C4" w14:textId="77777777" w:rsidR="00871BDF" w:rsidRDefault="005C5088">
            <w:pPr>
              <w:jc w:val="right"/>
              <w:textAlignment w:val="bottom"/>
            </w:pPr>
            <w:r>
              <w:rPr>
                <w:rFonts w:ascii="Times New Roman" w:eastAsia="宋体" w:hAnsi="Times New Roman"/>
                <w:color w:val="000000"/>
                <w:sz w:val="20"/>
                <w:szCs w:val="20"/>
              </w:rPr>
              <w:t>(7,805.1)</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7C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C6"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7C7" w14:textId="77777777" w:rsidR="00871BDF" w:rsidRDefault="005C5088">
            <w:pPr>
              <w:jc w:val="right"/>
              <w:textAlignment w:val="bottom"/>
            </w:pPr>
            <w:r>
              <w:rPr>
                <w:rFonts w:ascii="Times New Roman" w:eastAsia="宋体" w:hAnsi="Times New Roman"/>
                <w:color w:val="000000"/>
                <w:sz w:val="20"/>
                <w:szCs w:val="20"/>
              </w:rPr>
              <w:t>(6,232.2)</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7C8" w14:textId="77777777" w:rsidR="00871BDF" w:rsidRDefault="00871BDF">
            <w:pPr>
              <w:jc w:val="right"/>
              <w:rPr>
                <w:rFonts w:ascii="宋体"/>
              </w:rPr>
            </w:pPr>
          </w:p>
        </w:tc>
      </w:tr>
      <w:tr w:rsidR="00871BDF" w14:paraId="00BAE7D0" w14:textId="77777777">
        <w:tc>
          <w:tcPr>
            <w:tcW w:w="0" w:type="auto"/>
            <w:gridSpan w:val="3"/>
            <w:shd w:val="clear" w:color="auto" w:fill="FFFFFF"/>
            <w:tcMar>
              <w:top w:w="40" w:type="dxa"/>
              <w:left w:w="380" w:type="dxa"/>
              <w:bottom w:w="40" w:type="dxa"/>
              <w:right w:w="20" w:type="dxa"/>
            </w:tcMar>
          </w:tcPr>
          <w:p w14:paraId="00BAE7CA" w14:textId="77777777" w:rsidR="00871BDF" w:rsidRDefault="005C5088">
            <w:pPr>
              <w:textAlignment w:val="top"/>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00BAE7CB" w14:textId="77777777" w:rsidR="00871BDF" w:rsidRDefault="005C5088">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00BAE7C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C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7CE" w14:textId="77777777" w:rsidR="00871BDF" w:rsidRDefault="005C5088">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00BAE7CF" w14:textId="77777777" w:rsidR="00871BDF" w:rsidRDefault="00871BDF">
            <w:pPr>
              <w:jc w:val="right"/>
              <w:rPr>
                <w:rFonts w:ascii="宋体"/>
              </w:rPr>
            </w:pPr>
          </w:p>
        </w:tc>
      </w:tr>
      <w:tr w:rsidR="00871BDF" w14:paraId="00BAE7D7" w14:textId="77777777">
        <w:tc>
          <w:tcPr>
            <w:tcW w:w="0" w:type="auto"/>
            <w:gridSpan w:val="3"/>
            <w:shd w:val="clear" w:color="auto" w:fill="D7E4BC"/>
            <w:tcMar>
              <w:top w:w="40" w:type="dxa"/>
              <w:left w:w="740" w:type="dxa"/>
              <w:bottom w:w="40" w:type="dxa"/>
              <w:right w:w="20" w:type="dxa"/>
            </w:tcMar>
          </w:tcPr>
          <w:p w14:paraId="00BAE7D1" w14:textId="77777777" w:rsidR="00871BDF" w:rsidRDefault="005C5088">
            <w:pPr>
              <w:textAlignment w:val="top"/>
            </w:pPr>
            <w:r>
              <w:rPr>
                <w:rFonts w:ascii="Times New Roman" w:eastAsia="宋体" w:hAnsi="Times New Roman"/>
                <w:color w:val="000000"/>
                <w:sz w:val="20"/>
                <w:szCs w:val="20"/>
              </w:rPr>
              <w:t>Total 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7D2" w14:textId="77777777" w:rsidR="00871BDF" w:rsidRDefault="005C5088">
            <w:pPr>
              <w:jc w:val="right"/>
              <w:textAlignment w:val="bottom"/>
            </w:pPr>
            <w:r>
              <w:rPr>
                <w:rFonts w:ascii="Times New Roman" w:eastAsia="宋体" w:hAnsi="Times New Roman"/>
                <w:color w:val="000000"/>
                <w:sz w:val="20"/>
                <w:szCs w:val="20"/>
              </w:rPr>
              <w:t>(7,799.4)</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7D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7D4"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7D5" w14:textId="77777777" w:rsidR="00871BDF" w:rsidRDefault="005C5088">
            <w:pPr>
              <w:jc w:val="right"/>
              <w:textAlignment w:val="bottom"/>
            </w:pPr>
            <w:r>
              <w:rPr>
                <w:rFonts w:ascii="Times New Roman" w:eastAsia="宋体" w:hAnsi="Times New Roman"/>
                <w:color w:val="000000"/>
                <w:sz w:val="20"/>
                <w:szCs w:val="20"/>
              </w:rPr>
              <w:t>(6,231.0)</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7D6" w14:textId="77777777" w:rsidR="00871BDF" w:rsidRDefault="00871BDF">
            <w:pPr>
              <w:jc w:val="right"/>
              <w:rPr>
                <w:rFonts w:ascii="宋体"/>
              </w:rPr>
            </w:pPr>
          </w:p>
        </w:tc>
      </w:tr>
      <w:tr w:rsidR="00871BDF" w14:paraId="00BAE7E0" w14:textId="77777777">
        <w:tc>
          <w:tcPr>
            <w:tcW w:w="0" w:type="auto"/>
            <w:gridSpan w:val="3"/>
            <w:shd w:val="clear" w:color="auto" w:fill="FFFFFF"/>
            <w:tcMar>
              <w:top w:w="40" w:type="dxa"/>
              <w:left w:w="20" w:type="dxa"/>
              <w:bottom w:w="40" w:type="dxa"/>
              <w:right w:w="20" w:type="dxa"/>
            </w:tcMar>
          </w:tcPr>
          <w:p w14:paraId="00BAE7D8" w14:textId="77777777" w:rsidR="00871BDF" w:rsidRDefault="005C5088">
            <w:pPr>
              <w:textAlignment w:val="top"/>
            </w:pPr>
            <w:r>
              <w:rPr>
                <w:rFonts w:ascii="Times New Roman" w:eastAsia="宋体" w:hAnsi="Times New Roman"/>
                <w:color w:val="000000"/>
                <w:sz w:val="20"/>
                <w:szCs w:val="20"/>
              </w:rPr>
              <w:t>TOTAL LIABILITIES AND SHAREHOLDERS' EQUITY/(DEFICIT)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E7D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E7DA" w14:textId="77777777" w:rsidR="00871BDF" w:rsidRDefault="005C5088">
            <w:pPr>
              <w:jc w:val="right"/>
              <w:textAlignment w:val="bottom"/>
            </w:pPr>
            <w:r>
              <w:rPr>
                <w:rFonts w:ascii="Times New Roman" w:eastAsia="宋体" w:hAnsi="Times New Roman"/>
                <w:color w:val="000000"/>
                <w:sz w:val="20"/>
                <w:szCs w:val="20"/>
              </w:rPr>
              <w:t>29,374.5 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E7D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7DC"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E7D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E7DE" w14:textId="77777777" w:rsidR="00871BDF" w:rsidRDefault="005C5088">
            <w:pPr>
              <w:jc w:val="right"/>
              <w:textAlignment w:val="bottom"/>
            </w:pPr>
            <w:r>
              <w:rPr>
                <w:rFonts w:ascii="Times New Roman" w:eastAsia="宋体" w:hAnsi="Times New Roman"/>
                <w:color w:val="000000"/>
                <w:sz w:val="20"/>
                <w:szCs w:val="20"/>
              </w:rPr>
              <w:t>19,219.6 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E7DF" w14:textId="77777777" w:rsidR="00871BDF" w:rsidRDefault="00871BDF">
            <w:pPr>
              <w:jc w:val="right"/>
              <w:rPr>
                <w:rFonts w:ascii="宋体"/>
              </w:rPr>
            </w:pPr>
          </w:p>
        </w:tc>
      </w:tr>
    </w:tbl>
    <w:p w14:paraId="00BAE7E1" w14:textId="77777777" w:rsidR="00871BDF" w:rsidRDefault="005C5088">
      <w:pPr>
        <w:spacing w:before="180"/>
        <w:jc w:val="center"/>
      </w:pPr>
      <w:r>
        <w:rPr>
          <w:rFonts w:ascii="Times New Roman" w:eastAsia="宋体" w:hAnsi="Times New Roman"/>
          <w:color w:val="000000"/>
          <w:sz w:val="20"/>
          <w:szCs w:val="20"/>
        </w:rPr>
        <w:t xml:space="preserve">See Notes to Consolidated Financial </w:t>
      </w:r>
      <w:r>
        <w:rPr>
          <w:rFonts w:ascii="Times New Roman" w:eastAsia="宋体" w:hAnsi="Times New Roman"/>
          <w:color w:val="000000"/>
          <w:sz w:val="20"/>
          <w:szCs w:val="20"/>
        </w:rPr>
        <w:t>Statements.</w:t>
      </w:r>
    </w:p>
    <w:p w14:paraId="00BAE7E2" w14:textId="77777777" w:rsidR="00871BDF" w:rsidRDefault="00871BDF"/>
    <w:p w14:paraId="00BAE7E3" w14:textId="77777777" w:rsidR="00871BDF" w:rsidRDefault="005C5088">
      <w:pPr>
        <w:jc w:val="center"/>
      </w:pPr>
      <w:r>
        <w:rPr>
          <w:rFonts w:ascii="Times New Roman" w:eastAsia="宋体" w:hAnsi="Times New Roman"/>
          <w:color w:val="000000"/>
          <w:sz w:val="20"/>
          <w:szCs w:val="20"/>
        </w:rPr>
        <w:t>49</w:t>
      </w:r>
    </w:p>
    <w:p w14:paraId="00BAE7E4" w14:textId="77777777" w:rsidR="00871BDF" w:rsidRDefault="005C5088">
      <w:r>
        <w:pict w14:anchorId="00BB1496">
          <v:rect id="_x0000_i1076" style="width:415.3pt;height:1.5pt" o:hralign="center" o:hrstd="t" o:hr="t" fillcolor="#a0a0a0" stroked="f"/>
        </w:pict>
      </w:r>
    </w:p>
    <w:p w14:paraId="00BAE7E5" w14:textId="77777777" w:rsidR="00871BDF" w:rsidRDefault="005C5088">
      <w:hyperlink r:id="rId132" w:anchor="i54ccc64cb5384be5a4849ef1cdef4dde_7" w:history="1">
        <w:r>
          <w:rPr>
            <w:rStyle w:val="a5"/>
            <w:rFonts w:ascii="Times New Roman" w:eastAsia="宋体" w:hAnsi="Times New Roman"/>
            <w:sz w:val="20"/>
            <w:szCs w:val="20"/>
          </w:rPr>
          <w:t>Table of Contents</w:t>
        </w:r>
      </w:hyperlink>
    </w:p>
    <w:p w14:paraId="00BAE7E6" w14:textId="77777777" w:rsidR="00871BDF" w:rsidRDefault="005C5088">
      <w:pPr>
        <w:jc w:val="center"/>
      </w:pPr>
      <w:r>
        <w:rPr>
          <w:rFonts w:ascii="Times New Roman" w:eastAsia="宋体" w:hAnsi="Times New Roman"/>
          <w:b/>
          <w:bCs/>
          <w:color w:val="000000"/>
          <w:sz w:val="20"/>
          <w:szCs w:val="20"/>
        </w:rPr>
        <w:t>STARBUCKS CORPORATION</w:t>
      </w:r>
    </w:p>
    <w:p w14:paraId="00BAE7E7" w14:textId="77777777" w:rsidR="00871BDF" w:rsidRDefault="005C5088">
      <w:pPr>
        <w:jc w:val="center"/>
      </w:pPr>
      <w:r>
        <w:rPr>
          <w:rFonts w:ascii="Times New Roman" w:eastAsia="宋体" w:hAnsi="Times New Roman"/>
          <w:b/>
          <w:bCs/>
          <w:color w:val="000000"/>
          <w:sz w:val="20"/>
          <w:szCs w:val="20"/>
        </w:rPr>
        <w:t>CONSOLIDATED STATEMENTS OF CASH FLOWS</w:t>
      </w:r>
    </w:p>
    <w:p w14:paraId="00BAE7E8" w14:textId="77777777" w:rsidR="00871BDF" w:rsidRDefault="005C5088">
      <w:pPr>
        <w:jc w:val="center"/>
      </w:pPr>
      <w:r>
        <w:rPr>
          <w:rFonts w:ascii="Times New Roman" w:eastAsia="宋体" w:hAnsi="Times New Roman"/>
          <w:i/>
          <w:iCs/>
          <w:color w:val="000000"/>
          <w:sz w:val="20"/>
          <w:szCs w:val="20"/>
        </w:rPr>
        <w:t>(in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2"/>
        <w:gridCol w:w="4400"/>
        <w:gridCol w:w="41"/>
        <w:gridCol w:w="120"/>
        <w:gridCol w:w="1079"/>
        <w:gridCol w:w="36"/>
        <w:gridCol w:w="36"/>
        <w:gridCol w:w="36"/>
        <w:gridCol w:w="36"/>
        <w:gridCol w:w="121"/>
        <w:gridCol w:w="1038"/>
        <w:gridCol w:w="36"/>
        <w:gridCol w:w="36"/>
        <w:gridCol w:w="36"/>
        <w:gridCol w:w="36"/>
        <w:gridCol w:w="120"/>
        <w:gridCol w:w="1039"/>
        <w:gridCol w:w="36"/>
      </w:tblGrid>
      <w:tr w:rsidR="00871BDF" w14:paraId="00BAE7FB" w14:textId="77777777">
        <w:trPr>
          <w:jc w:val="center"/>
        </w:trPr>
        <w:tc>
          <w:tcPr>
            <w:tcW w:w="50" w:type="pct"/>
            <w:shd w:val="clear" w:color="auto" w:fill="auto"/>
          </w:tcPr>
          <w:p w14:paraId="00BAE7E9" w14:textId="77777777" w:rsidR="00871BDF" w:rsidRDefault="00871BDF">
            <w:pPr>
              <w:rPr>
                <w:rFonts w:ascii="宋体"/>
              </w:rPr>
            </w:pPr>
          </w:p>
        </w:tc>
        <w:tc>
          <w:tcPr>
            <w:tcW w:w="2675" w:type="pct"/>
            <w:shd w:val="clear" w:color="auto" w:fill="auto"/>
          </w:tcPr>
          <w:p w14:paraId="00BAE7EA" w14:textId="77777777" w:rsidR="00871BDF" w:rsidRDefault="00871BDF">
            <w:pPr>
              <w:rPr>
                <w:rFonts w:ascii="宋体"/>
              </w:rPr>
            </w:pPr>
          </w:p>
        </w:tc>
        <w:tc>
          <w:tcPr>
            <w:tcW w:w="5" w:type="pct"/>
            <w:shd w:val="clear" w:color="auto" w:fill="auto"/>
          </w:tcPr>
          <w:p w14:paraId="00BAE7EB" w14:textId="77777777" w:rsidR="00871BDF" w:rsidRDefault="00871BDF">
            <w:pPr>
              <w:rPr>
                <w:rFonts w:ascii="宋体"/>
              </w:rPr>
            </w:pPr>
          </w:p>
        </w:tc>
        <w:tc>
          <w:tcPr>
            <w:tcW w:w="50" w:type="pct"/>
            <w:shd w:val="clear" w:color="auto" w:fill="auto"/>
          </w:tcPr>
          <w:p w14:paraId="00BAE7EC" w14:textId="77777777" w:rsidR="00871BDF" w:rsidRDefault="00871BDF">
            <w:pPr>
              <w:rPr>
                <w:rFonts w:ascii="宋体"/>
              </w:rPr>
            </w:pPr>
          </w:p>
        </w:tc>
        <w:tc>
          <w:tcPr>
            <w:tcW w:w="677" w:type="pct"/>
            <w:shd w:val="clear" w:color="auto" w:fill="auto"/>
          </w:tcPr>
          <w:p w14:paraId="00BAE7ED" w14:textId="77777777" w:rsidR="00871BDF" w:rsidRDefault="00871BDF">
            <w:pPr>
              <w:rPr>
                <w:rFonts w:ascii="宋体"/>
              </w:rPr>
            </w:pPr>
          </w:p>
        </w:tc>
        <w:tc>
          <w:tcPr>
            <w:tcW w:w="5" w:type="pct"/>
            <w:shd w:val="clear" w:color="auto" w:fill="auto"/>
          </w:tcPr>
          <w:p w14:paraId="00BAE7EE" w14:textId="77777777" w:rsidR="00871BDF" w:rsidRDefault="00871BDF">
            <w:pPr>
              <w:rPr>
                <w:rFonts w:ascii="宋体"/>
              </w:rPr>
            </w:pPr>
          </w:p>
        </w:tc>
        <w:tc>
          <w:tcPr>
            <w:tcW w:w="5" w:type="pct"/>
            <w:shd w:val="clear" w:color="auto" w:fill="auto"/>
          </w:tcPr>
          <w:p w14:paraId="00BAE7EF" w14:textId="77777777" w:rsidR="00871BDF" w:rsidRDefault="00871BDF">
            <w:pPr>
              <w:rPr>
                <w:rFonts w:ascii="宋体"/>
              </w:rPr>
            </w:pPr>
          </w:p>
        </w:tc>
        <w:tc>
          <w:tcPr>
            <w:tcW w:w="26" w:type="pct"/>
            <w:shd w:val="clear" w:color="auto" w:fill="auto"/>
          </w:tcPr>
          <w:p w14:paraId="00BAE7F0" w14:textId="77777777" w:rsidR="00871BDF" w:rsidRDefault="00871BDF">
            <w:pPr>
              <w:rPr>
                <w:rFonts w:ascii="宋体"/>
              </w:rPr>
            </w:pPr>
          </w:p>
        </w:tc>
        <w:tc>
          <w:tcPr>
            <w:tcW w:w="5" w:type="pct"/>
            <w:shd w:val="clear" w:color="auto" w:fill="auto"/>
          </w:tcPr>
          <w:p w14:paraId="00BAE7F1" w14:textId="77777777" w:rsidR="00871BDF" w:rsidRDefault="00871BDF">
            <w:pPr>
              <w:rPr>
                <w:rFonts w:ascii="宋体"/>
              </w:rPr>
            </w:pPr>
          </w:p>
        </w:tc>
        <w:tc>
          <w:tcPr>
            <w:tcW w:w="50" w:type="pct"/>
            <w:shd w:val="clear" w:color="auto" w:fill="auto"/>
          </w:tcPr>
          <w:p w14:paraId="00BAE7F2" w14:textId="77777777" w:rsidR="00871BDF" w:rsidRDefault="00871BDF">
            <w:pPr>
              <w:rPr>
                <w:rFonts w:ascii="宋体"/>
              </w:rPr>
            </w:pPr>
          </w:p>
        </w:tc>
        <w:tc>
          <w:tcPr>
            <w:tcW w:w="677" w:type="pct"/>
            <w:shd w:val="clear" w:color="auto" w:fill="auto"/>
          </w:tcPr>
          <w:p w14:paraId="00BAE7F3" w14:textId="77777777" w:rsidR="00871BDF" w:rsidRDefault="00871BDF">
            <w:pPr>
              <w:rPr>
                <w:rFonts w:ascii="宋体"/>
              </w:rPr>
            </w:pPr>
          </w:p>
        </w:tc>
        <w:tc>
          <w:tcPr>
            <w:tcW w:w="5" w:type="pct"/>
            <w:shd w:val="clear" w:color="auto" w:fill="auto"/>
          </w:tcPr>
          <w:p w14:paraId="00BAE7F4" w14:textId="77777777" w:rsidR="00871BDF" w:rsidRDefault="00871BDF">
            <w:pPr>
              <w:rPr>
                <w:rFonts w:ascii="宋体"/>
              </w:rPr>
            </w:pPr>
          </w:p>
        </w:tc>
        <w:tc>
          <w:tcPr>
            <w:tcW w:w="5" w:type="pct"/>
            <w:shd w:val="clear" w:color="auto" w:fill="auto"/>
          </w:tcPr>
          <w:p w14:paraId="00BAE7F5" w14:textId="77777777" w:rsidR="00871BDF" w:rsidRDefault="00871BDF">
            <w:pPr>
              <w:rPr>
                <w:rFonts w:ascii="宋体"/>
              </w:rPr>
            </w:pPr>
          </w:p>
        </w:tc>
        <w:tc>
          <w:tcPr>
            <w:tcW w:w="26" w:type="pct"/>
            <w:shd w:val="clear" w:color="auto" w:fill="auto"/>
          </w:tcPr>
          <w:p w14:paraId="00BAE7F6" w14:textId="77777777" w:rsidR="00871BDF" w:rsidRDefault="00871BDF">
            <w:pPr>
              <w:rPr>
                <w:rFonts w:ascii="宋体"/>
              </w:rPr>
            </w:pPr>
          </w:p>
        </w:tc>
        <w:tc>
          <w:tcPr>
            <w:tcW w:w="5" w:type="pct"/>
            <w:shd w:val="clear" w:color="auto" w:fill="auto"/>
          </w:tcPr>
          <w:p w14:paraId="00BAE7F7" w14:textId="77777777" w:rsidR="00871BDF" w:rsidRDefault="00871BDF">
            <w:pPr>
              <w:rPr>
                <w:rFonts w:ascii="宋体"/>
              </w:rPr>
            </w:pPr>
          </w:p>
        </w:tc>
        <w:tc>
          <w:tcPr>
            <w:tcW w:w="50" w:type="pct"/>
            <w:shd w:val="clear" w:color="auto" w:fill="auto"/>
          </w:tcPr>
          <w:p w14:paraId="00BAE7F8" w14:textId="77777777" w:rsidR="00871BDF" w:rsidRDefault="00871BDF">
            <w:pPr>
              <w:rPr>
                <w:rFonts w:ascii="宋体"/>
              </w:rPr>
            </w:pPr>
          </w:p>
        </w:tc>
        <w:tc>
          <w:tcPr>
            <w:tcW w:w="677" w:type="pct"/>
            <w:shd w:val="clear" w:color="auto" w:fill="auto"/>
          </w:tcPr>
          <w:p w14:paraId="00BAE7F9" w14:textId="77777777" w:rsidR="00871BDF" w:rsidRDefault="00871BDF">
            <w:pPr>
              <w:rPr>
                <w:rFonts w:ascii="宋体"/>
              </w:rPr>
            </w:pPr>
          </w:p>
        </w:tc>
        <w:tc>
          <w:tcPr>
            <w:tcW w:w="5" w:type="pct"/>
            <w:shd w:val="clear" w:color="auto" w:fill="auto"/>
          </w:tcPr>
          <w:p w14:paraId="00BAE7FA" w14:textId="77777777" w:rsidR="00871BDF" w:rsidRDefault="00871BDF">
            <w:pPr>
              <w:rPr>
                <w:rFonts w:ascii="宋体"/>
              </w:rPr>
            </w:pPr>
          </w:p>
        </w:tc>
      </w:tr>
      <w:tr w:rsidR="00871BDF" w14:paraId="00BAE802" w14:textId="77777777">
        <w:trPr>
          <w:jc w:val="center"/>
        </w:trPr>
        <w:tc>
          <w:tcPr>
            <w:tcW w:w="0" w:type="auto"/>
            <w:gridSpan w:val="3"/>
            <w:shd w:val="clear" w:color="auto" w:fill="auto"/>
            <w:tcMar>
              <w:top w:w="40" w:type="dxa"/>
              <w:left w:w="20" w:type="dxa"/>
              <w:bottom w:w="40" w:type="dxa"/>
              <w:right w:w="20" w:type="dxa"/>
            </w:tcMar>
            <w:vAlign w:val="bottom"/>
          </w:tcPr>
          <w:p w14:paraId="00BAE7FC"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AE7FD"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tcPr>
          <w:p w14:paraId="00BAE7FE"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7FF"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shd w:val="clear" w:color="auto" w:fill="auto"/>
            <w:tcMar>
              <w:top w:w="0" w:type="dxa"/>
              <w:left w:w="20" w:type="dxa"/>
              <w:bottom w:w="0" w:type="dxa"/>
              <w:right w:w="20" w:type="dxa"/>
            </w:tcMar>
          </w:tcPr>
          <w:p w14:paraId="00BAE80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E801"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r>
      <w:tr w:rsidR="00871BDF" w14:paraId="00BAE809" w14:textId="77777777">
        <w:trPr>
          <w:jc w:val="center"/>
        </w:trPr>
        <w:tc>
          <w:tcPr>
            <w:tcW w:w="0" w:type="auto"/>
            <w:gridSpan w:val="3"/>
            <w:shd w:val="clear" w:color="auto" w:fill="D7E4BC"/>
            <w:tcMar>
              <w:top w:w="40" w:type="dxa"/>
              <w:left w:w="20" w:type="dxa"/>
              <w:bottom w:w="40" w:type="dxa"/>
              <w:right w:w="20" w:type="dxa"/>
            </w:tcMar>
            <w:vAlign w:val="bottom"/>
          </w:tcPr>
          <w:p w14:paraId="00BAE803" w14:textId="77777777" w:rsidR="00871BDF" w:rsidRDefault="005C5088">
            <w:pPr>
              <w:textAlignment w:val="bottom"/>
            </w:pPr>
            <w:r>
              <w:rPr>
                <w:rFonts w:ascii="Times New Roman" w:eastAsia="宋体" w:hAnsi="Times New Roman"/>
                <w:color w:val="000000"/>
                <w:sz w:val="20"/>
                <w:szCs w:val="20"/>
              </w:rPr>
              <w:t>OPERATING ACTIVITIES:</w:t>
            </w:r>
          </w:p>
        </w:tc>
        <w:tc>
          <w:tcPr>
            <w:tcW w:w="0" w:type="auto"/>
            <w:gridSpan w:val="3"/>
            <w:tcBorders>
              <w:top w:val="single" w:sz="8" w:space="0" w:color="000000"/>
            </w:tcBorders>
            <w:shd w:val="clear" w:color="auto" w:fill="D7E4BC"/>
            <w:tcMar>
              <w:top w:w="0" w:type="dxa"/>
              <w:left w:w="20" w:type="dxa"/>
              <w:bottom w:w="0" w:type="dxa"/>
              <w:right w:w="20" w:type="dxa"/>
            </w:tcMar>
          </w:tcPr>
          <w:p w14:paraId="00BAE80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80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80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80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808" w14:textId="77777777" w:rsidR="00871BDF" w:rsidRDefault="00871BDF">
            <w:pPr>
              <w:rPr>
                <w:rFonts w:ascii="宋体"/>
              </w:rPr>
            </w:pPr>
          </w:p>
        </w:tc>
      </w:tr>
      <w:tr w:rsidR="00871BDF" w14:paraId="00BAE816" w14:textId="77777777">
        <w:trPr>
          <w:jc w:val="center"/>
        </w:trPr>
        <w:tc>
          <w:tcPr>
            <w:tcW w:w="0" w:type="auto"/>
            <w:gridSpan w:val="3"/>
            <w:shd w:val="clear" w:color="auto" w:fill="FFFFFF"/>
            <w:tcMar>
              <w:top w:w="40" w:type="dxa"/>
              <w:left w:w="20" w:type="dxa"/>
              <w:bottom w:w="40" w:type="dxa"/>
              <w:right w:w="20" w:type="dxa"/>
            </w:tcMar>
            <w:vAlign w:val="bottom"/>
          </w:tcPr>
          <w:p w14:paraId="00BAE80A" w14:textId="77777777" w:rsidR="00871BDF" w:rsidRDefault="005C5088">
            <w:pPr>
              <w:textAlignment w:val="bottom"/>
            </w:pPr>
            <w:r>
              <w:rPr>
                <w:rFonts w:ascii="Times New Roman" w:eastAsia="宋体" w:hAnsi="Times New Roman"/>
                <w:color w:val="000000"/>
                <w:sz w:val="20"/>
                <w:szCs w:val="20"/>
              </w:rPr>
              <w:t>Net earnings including noncontrolling interests</w:t>
            </w:r>
          </w:p>
        </w:tc>
        <w:tc>
          <w:tcPr>
            <w:tcW w:w="0" w:type="auto"/>
            <w:shd w:val="clear" w:color="auto" w:fill="FFFFFF"/>
            <w:tcMar>
              <w:top w:w="40" w:type="dxa"/>
              <w:left w:w="20" w:type="dxa"/>
              <w:bottom w:w="40" w:type="dxa"/>
              <w:right w:w="0" w:type="dxa"/>
            </w:tcMar>
            <w:vAlign w:val="bottom"/>
          </w:tcPr>
          <w:p w14:paraId="00BAE80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80C" w14:textId="77777777" w:rsidR="00871BDF" w:rsidRDefault="005C5088">
            <w:pPr>
              <w:jc w:val="right"/>
              <w:textAlignment w:val="bottom"/>
            </w:pPr>
            <w:r>
              <w:rPr>
                <w:rFonts w:ascii="Times New Roman" w:eastAsia="宋体" w:hAnsi="Times New Roman"/>
                <w:color w:val="000000"/>
                <w:sz w:val="20"/>
                <w:szCs w:val="20"/>
              </w:rPr>
              <w:t>924.7 </w:t>
            </w:r>
          </w:p>
        </w:tc>
        <w:tc>
          <w:tcPr>
            <w:tcW w:w="0" w:type="auto"/>
            <w:shd w:val="clear" w:color="auto" w:fill="FFFFFF"/>
            <w:tcMar>
              <w:top w:w="40" w:type="dxa"/>
              <w:left w:w="0" w:type="dxa"/>
              <w:bottom w:w="40" w:type="dxa"/>
              <w:right w:w="20" w:type="dxa"/>
            </w:tcMar>
            <w:vAlign w:val="bottom"/>
          </w:tcPr>
          <w:p w14:paraId="00BAE80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0E"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E80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810" w14:textId="77777777" w:rsidR="00871BDF" w:rsidRDefault="005C5088">
            <w:pPr>
              <w:jc w:val="right"/>
              <w:textAlignment w:val="bottom"/>
            </w:pPr>
            <w:r>
              <w:rPr>
                <w:rFonts w:ascii="Times New Roman" w:eastAsia="宋体" w:hAnsi="Times New Roman"/>
                <w:color w:val="000000"/>
                <w:sz w:val="20"/>
                <w:szCs w:val="20"/>
              </w:rPr>
              <w:t>3,594.6 </w:t>
            </w:r>
          </w:p>
        </w:tc>
        <w:tc>
          <w:tcPr>
            <w:tcW w:w="0" w:type="auto"/>
            <w:shd w:val="clear" w:color="auto" w:fill="FFFFFF"/>
            <w:tcMar>
              <w:top w:w="40" w:type="dxa"/>
              <w:left w:w="0" w:type="dxa"/>
              <w:bottom w:w="40" w:type="dxa"/>
              <w:right w:w="20" w:type="dxa"/>
            </w:tcMar>
            <w:vAlign w:val="bottom"/>
          </w:tcPr>
          <w:p w14:paraId="00BAE81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12"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E81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814" w14:textId="77777777" w:rsidR="00871BDF" w:rsidRDefault="005C5088">
            <w:pPr>
              <w:jc w:val="right"/>
              <w:textAlignment w:val="bottom"/>
            </w:pPr>
            <w:r>
              <w:rPr>
                <w:rFonts w:ascii="Times New Roman" w:eastAsia="宋体" w:hAnsi="Times New Roman"/>
                <w:color w:val="000000"/>
                <w:sz w:val="20"/>
                <w:szCs w:val="20"/>
              </w:rPr>
              <w:t>4,518.0 </w:t>
            </w:r>
          </w:p>
        </w:tc>
        <w:tc>
          <w:tcPr>
            <w:tcW w:w="0" w:type="auto"/>
            <w:shd w:val="clear" w:color="auto" w:fill="FFFFFF"/>
            <w:tcMar>
              <w:top w:w="40" w:type="dxa"/>
              <w:left w:w="0" w:type="dxa"/>
              <w:bottom w:w="40" w:type="dxa"/>
              <w:right w:w="20" w:type="dxa"/>
            </w:tcMar>
            <w:vAlign w:val="bottom"/>
          </w:tcPr>
          <w:p w14:paraId="00BAE815" w14:textId="77777777" w:rsidR="00871BDF" w:rsidRDefault="00871BDF">
            <w:pPr>
              <w:jc w:val="right"/>
              <w:rPr>
                <w:rFonts w:ascii="宋体"/>
              </w:rPr>
            </w:pPr>
          </w:p>
        </w:tc>
      </w:tr>
      <w:tr w:rsidR="00871BDF" w14:paraId="00BAE81D" w14:textId="77777777">
        <w:trPr>
          <w:jc w:val="center"/>
        </w:trPr>
        <w:tc>
          <w:tcPr>
            <w:tcW w:w="0" w:type="auto"/>
            <w:gridSpan w:val="3"/>
            <w:shd w:val="clear" w:color="auto" w:fill="D7E4BC"/>
            <w:tcMar>
              <w:top w:w="40" w:type="dxa"/>
              <w:left w:w="20" w:type="dxa"/>
              <w:bottom w:w="40" w:type="dxa"/>
              <w:right w:w="20" w:type="dxa"/>
            </w:tcMar>
            <w:vAlign w:val="bottom"/>
          </w:tcPr>
          <w:p w14:paraId="00BAE817" w14:textId="77777777" w:rsidR="00871BDF" w:rsidRDefault="005C5088">
            <w:pPr>
              <w:textAlignment w:val="bottom"/>
            </w:pPr>
            <w:r>
              <w:rPr>
                <w:rFonts w:ascii="Times New Roman" w:eastAsia="宋体" w:hAnsi="Times New Roman"/>
                <w:color w:val="000000"/>
                <w:sz w:val="20"/>
                <w:szCs w:val="20"/>
              </w:rPr>
              <w:t>Adjustments to reconcile net earnings to net cash provided by operating activities:</w:t>
            </w:r>
          </w:p>
        </w:tc>
        <w:tc>
          <w:tcPr>
            <w:tcW w:w="0" w:type="auto"/>
            <w:gridSpan w:val="3"/>
            <w:shd w:val="clear" w:color="auto" w:fill="D7E4BC"/>
            <w:tcMar>
              <w:top w:w="0" w:type="dxa"/>
              <w:left w:w="20" w:type="dxa"/>
              <w:bottom w:w="0" w:type="dxa"/>
              <w:right w:w="20" w:type="dxa"/>
            </w:tcMar>
          </w:tcPr>
          <w:p w14:paraId="00BAE81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81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81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81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81C" w14:textId="77777777" w:rsidR="00871BDF" w:rsidRDefault="00871BDF">
            <w:pPr>
              <w:rPr>
                <w:rFonts w:ascii="宋体"/>
              </w:rPr>
            </w:pPr>
          </w:p>
        </w:tc>
      </w:tr>
      <w:tr w:rsidR="00871BDF" w14:paraId="00BAE827" w14:textId="77777777">
        <w:trPr>
          <w:jc w:val="center"/>
        </w:trPr>
        <w:tc>
          <w:tcPr>
            <w:tcW w:w="0" w:type="auto"/>
            <w:gridSpan w:val="3"/>
            <w:shd w:val="clear" w:color="auto" w:fill="FFFFFF"/>
            <w:tcMar>
              <w:top w:w="40" w:type="dxa"/>
              <w:left w:w="380" w:type="dxa"/>
              <w:bottom w:w="40" w:type="dxa"/>
              <w:right w:w="20" w:type="dxa"/>
            </w:tcMar>
            <w:vAlign w:val="bottom"/>
          </w:tcPr>
          <w:p w14:paraId="00BAE81E" w14:textId="77777777" w:rsidR="00871BDF" w:rsidRDefault="005C5088">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00BAE81F" w14:textId="77777777" w:rsidR="00871BDF" w:rsidRDefault="005C5088">
            <w:pPr>
              <w:jc w:val="right"/>
              <w:textAlignment w:val="bottom"/>
            </w:pPr>
            <w:r>
              <w:rPr>
                <w:rFonts w:ascii="Times New Roman" w:eastAsia="宋体" w:hAnsi="Times New Roman"/>
                <w:color w:val="000000"/>
                <w:sz w:val="20"/>
                <w:szCs w:val="20"/>
              </w:rPr>
              <w:t>1,503.2 </w:t>
            </w:r>
          </w:p>
        </w:tc>
        <w:tc>
          <w:tcPr>
            <w:tcW w:w="0" w:type="auto"/>
            <w:shd w:val="clear" w:color="auto" w:fill="FFFFFF"/>
            <w:tcMar>
              <w:top w:w="40" w:type="dxa"/>
              <w:left w:w="0" w:type="dxa"/>
              <w:bottom w:w="40" w:type="dxa"/>
              <w:right w:w="20" w:type="dxa"/>
            </w:tcMar>
            <w:vAlign w:val="bottom"/>
          </w:tcPr>
          <w:p w14:paraId="00BAE82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2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22" w14:textId="77777777" w:rsidR="00871BDF" w:rsidRDefault="005C5088">
            <w:pPr>
              <w:jc w:val="right"/>
              <w:textAlignment w:val="bottom"/>
            </w:pPr>
            <w:r>
              <w:rPr>
                <w:rFonts w:ascii="Times New Roman" w:eastAsia="宋体" w:hAnsi="Times New Roman"/>
                <w:color w:val="000000"/>
                <w:sz w:val="20"/>
                <w:szCs w:val="20"/>
              </w:rPr>
              <w:t>1,449.3 </w:t>
            </w:r>
          </w:p>
        </w:tc>
        <w:tc>
          <w:tcPr>
            <w:tcW w:w="0" w:type="auto"/>
            <w:shd w:val="clear" w:color="auto" w:fill="FFFFFF"/>
            <w:tcMar>
              <w:top w:w="40" w:type="dxa"/>
              <w:left w:w="0" w:type="dxa"/>
              <w:bottom w:w="40" w:type="dxa"/>
              <w:right w:w="20" w:type="dxa"/>
            </w:tcMar>
            <w:vAlign w:val="bottom"/>
          </w:tcPr>
          <w:p w14:paraId="00BAE82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2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25" w14:textId="77777777" w:rsidR="00871BDF" w:rsidRDefault="005C5088">
            <w:pPr>
              <w:jc w:val="right"/>
              <w:textAlignment w:val="bottom"/>
            </w:pPr>
            <w:r>
              <w:rPr>
                <w:rFonts w:ascii="Times New Roman" w:eastAsia="宋体" w:hAnsi="Times New Roman"/>
                <w:color w:val="000000"/>
                <w:sz w:val="20"/>
                <w:szCs w:val="20"/>
              </w:rPr>
              <w:t>1,305.9 </w:t>
            </w:r>
          </w:p>
        </w:tc>
        <w:tc>
          <w:tcPr>
            <w:tcW w:w="0" w:type="auto"/>
            <w:shd w:val="clear" w:color="auto" w:fill="FFFFFF"/>
            <w:tcMar>
              <w:top w:w="40" w:type="dxa"/>
              <w:left w:w="0" w:type="dxa"/>
              <w:bottom w:w="40" w:type="dxa"/>
              <w:right w:w="20" w:type="dxa"/>
            </w:tcMar>
            <w:vAlign w:val="bottom"/>
          </w:tcPr>
          <w:p w14:paraId="00BAE826" w14:textId="77777777" w:rsidR="00871BDF" w:rsidRDefault="00871BDF">
            <w:pPr>
              <w:jc w:val="right"/>
              <w:rPr>
                <w:rFonts w:ascii="宋体"/>
              </w:rPr>
            </w:pPr>
          </w:p>
        </w:tc>
      </w:tr>
      <w:tr w:rsidR="00871BDF" w14:paraId="00BAE831" w14:textId="77777777">
        <w:trPr>
          <w:jc w:val="center"/>
        </w:trPr>
        <w:tc>
          <w:tcPr>
            <w:tcW w:w="0" w:type="auto"/>
            <w:gridSpan w:val="3"/>
            <w:shd w:val="clear" w:color="auto" w:fill="D7E4BC"/>
            <w:tcMar>
              <w:top w:w="40" w:type="dxa"/>
              <w:left w:w="380" w:type="dxa"/>
              <w:bottom w:w="40" w:type="dxa"/>
              <w:right w:w="20" w:type="dxa"/>
            </w:tcMar>
            <w:vAlign w:val="bottom"/>
          </w:tcPr>
          <w:p w14:paraId="00BAE828" w14:textId="77777777" w:rsidR="00871BDF" w:rsidRDefault="005C5088">
            <w:pPr>
              <w:textAlignment w:val="bottom"/>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00BAE829" w14:textId="77777777" w:rsidR="00871BDF" w:rsidRDefault="005C5088">
            <w:pPr>
              <w:jc w:val="right"/>
              <w:textAlignment w:val="bottom"/>
            </w:pPr>
            <w:r>
              <w:rPr>
                <w:rFonts w:ascii="Times New Roman" w:eastAsia="宋体" w:hAnsi="Times New Roman"/>
                <w:color w:val="000000"/>
                <w:sz w:val="20"/>
                <w:szCs w:val="20"/>
              </w:rPr>
              <w:t>(25.8)</w:t>
            </w:r>
          </w:p>
        </w:tc>
        <w:tc>
          <w:tcPr>
            <w:tcW w:w="0" w:type="auto"/>
            <w:shd w:val="clear" w:color="auto" w:fill="D7E4BC"/>
            <w:tcMar>
              <w:top w:w="40" w:type="dxa"/>
              <w:left w:w="0" w:type="dxa"/>
              <w:bottom w:w="40" w:type="dxa"/>
              <w:right w:w="20" w:type="dxa"/>
            </w:tcMar>
            <w:vAlign w:val="bottom"/>
          </w:tcPr>
          <w:p w14:paraId="00BAE82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2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2C" w14:textId="77777777" w:rsidR="00871BDF" w:rsidRDefault="005C5088">
            <w:pPr>
              <w:jc w:val="right"/>
              <w:textAlignment w:val="bottom"/>
            </w:pPr>
            <w:r>
              <w:rPr>
                <w:rFonts w:ascii="Times New Roman" w:eastAsia="宋体" w:hAnsi="Times New Roman"/>
                <w:color w:val="000000"/>
                <w:sz w:val="20"/>
                <w:szCs w:val="20"/>
              </w:rPr>
              <w:t>(1,495.4)</w:t>
            </w:r>
          </w:p>
        </w:tc>
        <w:tc>
          <w:tcPr>
            <w:tcW w:w="0" w:type="auto"/>
            <w:shd w:val="clear" w:color="auto" w:fill="D7E4BC"/>
            <w:tcMar>
              <w:top w:w="40" w:type="dxa"/>
              <w:left w:w="0" w:type="dxa"/>
              <w:bottom w:w="40" w:type="dxa"/>
              <w:right w:w="20" w:type="dxa"/>
            </w:tcMar>
            <w:vAlign w:val="bottom"/>
          </w:tcPr>
          <w:p w14:paraId="00BAE82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2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2F" w14:textId="77777777" w:rsidR="00871BDF" w:rsidRDefault="005C5088">
            <w:pPr>
              <w:jc w:val="right"/>
              <w:textAlignment w:val="bottom"/>
            </w:pPr>
            <w:r>
              <w:rPr>
                <w:rFonts w:ascii="Times New Roman" w:eastAsia="宋体" w:hAnsi="Times New Roman"/>
                <w:color w:val="000000"/>
                <w:sz w:val="20"/>
                <w:szCs w:val="20"/>
              </w:rPr>
              <w:t>714.9 </w:t>
            </w:r>
          </w:p>
        </w:tc>
        <w:tc>
          <w:tcPr>
            <w:tcW w:w="0" w:type="auto"/>
            <w:shd w:val="clear" w:color="auto" w:fill="D7E4BC"/>
            <w:tcMar>
              <w:top w:w="40" w:type="dxa"/>
              <w:left w:w="0" w:type="dxa"/>
              <w:bottom w:w="40" w:type="dxa"/>
              <w:right w:w="20" w:type="dxa"/>
            </w:tcMar>
            <w:vAlign w:val="bottom"/>
          </w:tcPr>
          <w:p w14:paraId="00BAE830" w14:textId="77777777" w:rsidR="00871BDF" w:rsidRDefault="00871BDF">
            <w:pPr>
              <w:jc w:val="right"/>
              <w:rPr>
                <w:rFonts w:ascii="宋体"/>
              </w:rPr>
            </w:pPr>
          </w:p>
        </w:tc>
      </w:tr>
      <w:tr w:rsidR="00871BDF" w14:paraId="00BAE83B" w14:textId="77777777">
        <w:trPr>
          <w:jc w:val="center"/>
        </w:trPr>
        <w:tc>
          <w:tcPr>
            <w:tcW w:w="0" w:type="auto"/>
            <w:gridSpan w:val="3"/>
            <w:shd w:val="clear" w:color="auto" w:fill="FFFFFF"/>
            <w:tcMar>
              <w:top w:w="40" w:type="dxa"/>
              <w:left w:w="380" w:type="dxa"/>
              <w:bottom w:w="40" w:type="dxa"/>
              <w:right w:w="20" w:type="dxa"/>
            </w:tcMar>
            <w:vAlign w:val="bottom"/>
          </w:tcPr>
          <w:p w14:paraId="00BAE832" w14:textId="77777777" w:rsidR="00871BDF" w:rsidRDefault="005C5088">
            <w:pPr>
              <w:textAlignment w:val="bottom"/>
            </w:pPr>
            <w:r>
              <w:rPr>
                <w:rFonts w:ascii="Times New Roman" w:eastAsia="宋体" w:hAnsi="Times New Roman"/>
                <w:color w:val="000000"/>
                <w:sz w:val="20"/>
                <w:szCs w:val="20"/>
              </w:rPr>
              <w:t xml:space="preserve">Income earned from </w:t>
            </w:r>
            <w:r>
              <w:rPr>
                <w:rFonts w:ascii="Times New Roman" w:eastAsia="宋体" w:hAnsi="Times New Roman"/>
                <w:color w:val="000000"/>
                <w:sz w:val="20"/>
                <w:szCs w:val="20"/>
              </w:rPr>
              <w:t>equity method investees</w:t>
            </w:r>
          </w:p>
        </w:tc>
        <w:tc>
          <w:tcPr>
            <w:tcW w:w="0" w:type="auto"/>
            <w:gridSpan w:val="2"/>
            <w:shd w:val="clear" w:color="auto" w:fill="FFFFFF"/>
            <w:tcMar>
              <w:top w:w="40" w:type="dxa"/>
              <w:left w:w="20" w:type="dxa"/>
              <w:bottom w:w="40" w:type="dxa"/>
              <w:right w:w="0" w:type="dxa"/>
            </w:tcMar>
            <w:vAlign w:val="bottom"/>
          </w:tcPr>
          <w:p w14:paraId="00BAE833" w14:textId="77777777" w:rsidR="00871BDF" w:rsidRDefault="005C5088">
            <w:pPr>
              <w:jc w:val="right"/>
              <w:textAlignment w:val="bottom"/>
            </w:pPr>
            <w:r>
              <w:rPr>
                <w:rFonts w:ascii="Times New Roman" w:eastAsia="宋体" w:hAnsi="Times New Roman"/>
                <w:color w:val="000000"/>
                <w:sz w:val="20"/>
                <w:szCs w:val="20"/>
              </w:rPr>
              <w:t>(280.7)</w:t>
            </w:r>
          </w:p>
        </w:tc>
        <w:tc>
          <w:tcPr>
            <w:tcW w:w="0" w:type="auto"/>
            <w:shd w:val="clear" w:color="auto" w:fill="FFFFFF"/>
            <w:tcMar>
              <w:top w:w="40" w:type="dxa"/>
              <w:left w:w="0" w:type="dxa"/>
              <w:bottom w:w="40" w:type="dxa"/>
              <w:right w:w="20" w:type="dxa"/>
            </w:tcMar>
            <w:vAlign w:val="bottom"/>
          </w:tcPr>
          <w:p w14:paraId="00BAE83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3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36" w14:textId="77777777" w:rsidR="00871BDF" w:rsidRDefault="005C5088">
            <w:pPr>
              <w:jc w:val="right"/>
              <w:textAlignment w:val="bottom"/>
            </w:pPr>
            <w:r>
              <w:rPr>
                <w:rFonts w:ascii="Times New Roman" w:eastAsia="宋体" w:hAnsi="Times New Roman"/>
                <w:color w:val="000000"/>
                <w:sz w:val="20"/>
                <w:szCs w:val="20"/>
              </w:rPr>
              <w:t>(250.6)</w:t>
            </w:r>
          </w:p>
        </w:tc>
        <w:tc>
          <w:tcPr>
            <w:tcW w:w="0" w:type="auto"/>
            <w:shd w:val="clear" w:color="auto" w:fill="FFFFFF"/>
            <w:tcMar>
              <w:top w:w="40" w:type="dxa"/>
              <w:left w:w="0" w:type="dxa"/>
              <w:bottom w:w="40" w:type="dxa"/>
              <w:right w:w="20" w:type="dxa"/>
            </w:tcMar>
            <w:vAlign w:val="bottom"/>
          </w:tcPr>
          <w:p w14:paraId="00BAE83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3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39" w14:textId="77777777" w:rsidR="00871BDF" w:rsidRDefault="005C5088">
            <w:pPr>
              <w:jc w:val="right"/>
              <w:textAlignment w:val="bottom"/>
            </w:pPr>
            <w:r>
              <w:rPr>
                <w:rFonts w:ascii="Times New Roman" w:eastAsia="宋体" w:hAnsi="Times New Roman"/>
                <w:color w:val="000000"/>
                <w:sz w:val="20"/>
                <w:szCs w:val="20"/>
              </w:rPr>
              <w:t>(242.8)</w:t>
            </w:r>
          </w:p>
        </w:tc>
        <w:tc>
          <w:tcPr>
            <w:tcW w:w="0" w:type="auto"/>
            <w:shd w:val="clear" w:color="auto" w:fill="FFFFFF"/>
            <w:tcMar>
              <w:top w:w="40" w:type="dxa"/>
              <w:left w:w="0" w:type="dxa"/>
              <w:bottom w:w="40" w:type="dxa"/>
              <w:right w:w="20" w:type="dxa"/>
            </w:tcMar>
            <w:vAlign w:val="bottom"/>
          </w:tcPr>
          <w:p w14:paraId="00BAE83A" w14:textId="77777777" w:rsidR="00871BDF" w:rsidRDefault="00871BDF">
            <w:pPr>
              <w:jc w:val="right"/>
              <w:rPr>
                <w:rFonts w:ascii="宋体"/>
              </w:rPr>
            </w:pPr>
          </w:p>
        </w:tc>
      </w:tr>
      <w:tr w:rsidR="00871BDF" w14:paraId="00BAE845" w14:textId="77777777">
        <w:trPr>
          <w:jc w:val="center"/>
        </w:trPr>
        <w:tc>
          <w:tcPr>
            <w:tcW w:w="0" w:type="auto"/>
            <w:gridSpan w:val="3"/>
            <w:shd w:val="clear" w:color="auto" w:fill="D7E4BC"/>
            <w:tcMar>
              <w:top w:w="40" w:type="dxa"/>
              <w:left w:w="380" w:type="dxa"/>
              <w:bottom w:w="40" w:type="dxa"/>
              <w:right w:w="20" w:type="dxa"/>
            </w:tcMar>
            <w:vAlign w:val="bottom"/>
          </w:tcPr>
          <w:p w14:paraId="00BAE83C" w14:textId="77777777" w:rsidR="00871BDF" w:rsidRDefault="005C5088">
            <w:pPr>
              <w:textAlignment w:val="bottom"/>
            </w:pPr>
            <w:r>
              <w:rPr>
                <w:rFonts w:ascii="Times New Roman" w:eastAsia="宋体" w:hAnsi="Times New Roman"/>
                <w:color w:val="000000"/>
                <w:sz w:val="20"/>
                <w:szCs w:val="20"/>
              </w:rPr>
              <w:t>Distributions received from equity method investees</w:t>
            </w:r>
          </w:p>
        </w:tc>
        <w:tc>
          <w:tcPr>
            <w:tcW w:w="0" w:type="auto"/>
            <w:gridSpan w:val="2"/>
            <w:shd w:val="clear" w:color="auto" w:fill="D7E4BC"/>
            <w:tcMar>
              <w:top w:w="40" w:type="dxa"/>
              <w:left w:w="20" w:type="dxa"/>
              <w:bottom w:w="40" w:type="dxa"/>
              <w:right w:w="0" w:type="dxa"/>
            </w:tcMar>
            <w:vAlign w:val="bottom"/>
          </w:tcPr>
          <w:p w14:paraId="00BAE83D" w14:textId="77777777" w:rsidR="00871BDF" w:rsidRDefault="005C5088">
            <w:pPr>
              <w:jc w:val="right"/>
              <w:textAlignment w:val="bottom"/>
            </w:pPr>
            <w:r>
              <w:rPr>
                <w:rFonts w:ascii="Times New Roman" w:eastAsia="宋体" w:hAnsi="Times New Roman"/>
                <w:color w:val="000000"/>
                <w:sz w:val="20"/>
                <w:szCs w:val="20"/>
              </w:rPr>
              <w:t>227.7 </w:t>
            </w:r>
          </w:p>
        </w:tc>
        <w:tc>
          <w:tcPr>
            <w:tcW w:w="0" w:type="auto"/>
            <w:shd w:val="clear" w:color="auto" w:fill="D7E4BC"/>
            <w:tcMar>
              <w:top w:w="40" w:type="dxa"/>
              <w:left w:w="0" w:type="dxa"/>
              <w:bottom w:w="40" w:type="dxa"/>
              <w:right w:w="20" w:type="dxa"/>
            </w:tcMar>
            <w:vAlign w:val="bottom"/>
          </w:tcPr>
          <w:p w14:paraId="00BAE83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3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40" w14:textId="77777777" w:rsidR="00871BDF" w:rsidRDefault="005C5088">
            <w:pPr>
              <w:jc w:val="right"/>
              <w:textAlignment w:val="bottom"/>
            </w:pPr>
            <w:r>
              <w:rPr>
                <w:rFonts w:ascii="Times New Roman" w:eastAsia="宋体" w:hAnsi="Times New Roman"/>
                <w:color w:val="000000"/>
                <w:sz w:val="20"/>
                <w:szCs w:val="20"/>
              </w:rPr>
              <w:t>216.8 </w:t>
            </w:r>
          </w:p>
        </w:tc>
        <w:tc>
          <w:tcPr>
            <w:tcW w:w="0" w:type="auto"/>
            <w:shd w:val="clear" w:color="auto" w:fill="D7E4BC"/>
            <w:tcMar>
              <w:top w:w="40" w:type="dxa"/>
              <w:left w:w="0" w:type="dxa"/>
              <w:bottom w:w="40" w:type="dxa"/>
              <w:right w:w="20" w:type="dxa"/>
            </w:tcMar>
            <w:vAlign w:val="bottom"/>
          </w:tcPr>
          <w:p w14:paraId="00BAE84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4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43" w14:textId="77777777" w:rsidR="00871BDF" w:rsidRDefault="005C5088">
            <w:pPr>
              <w:jc w:val="right"/>
              <w:textAlignment w:val="bottom"/>
            </w:pPr>
            <w:r>
              <w:rPr>
                <w:rFonts w:ascii="Times New Roman" w:eastAsia="宋体" w:hAnsi="Times New Roman"/>
                <w:color w:val="000000"/>
                <w:sz w:val="20"/>
                <w:szCs w:val="20"/>
              </w:rPr>
              <w:t>226.8 </w:t>
            </w:r>
          </w:p>
        </w:tc>
        <w:tc>
          <w:tcPr>
            <w:tcW w:w="0" w:type="auto"/>
            <w:shd w:val="clear" w:color="auto" w:fill="D7E4BC"/>
            <w:tcMar>
              <w:top w:w="40" w:type="dxa"/>
              <w:left w:w="0" w:type="dxa"/>
              <w:bottom w:w="40" w:type="dxa"/>
              <w:right w:w="20" w:type="dxa"/>
            </w:tcMar>
            <w:vAlign w:val="bottom"/>
          </w:tcPr>
          <w:p w14:paraId="00BAE844" w14:textId="77777777" w:rsidR="00871BDF" w:rsidRDefault="00871BDF">
            <w:pPr>
              <w:jc w:val="right"/>
              <w:rPr>
                <w:rFonts w:ascii="宋体"/>
              </w:rPr>
            </w:pPr>
          </w:p>
        </w:tc>
      </w:tr>
      <w:tr w:rsidR="00871BDF" w14:paraId="00BAE84F" w14:textId="77777777">
        <w:trPr>
          <w:jc w:val="center"/>
        </w:trPr>
        <w:tc>
          <w:tcPr>
            <w:tcW w:w="0" w:type="auto"/>
            <w:gridSpan w:val="3"/>
            <w:shd w:val="clear" w:color="auto" w:fill="FFFFFF"/>
            <w:tcMar>
              <w:top w:w="40" w:type="dxa"/>
              <w:left w:w="380" w:type="dxa"/>
              <w:bottom w:w="40" w:type="dxa"/>
              <w:right w:w="20" w:type="dxa"/>
            </w:tcMar>
            <w:vAlign w:val="bottom"/>
          </w:tcPr>
          <w:p w14:paraId="00BAE846" w14:textId="77777777" w:rsidR="00871BDF" w:rsidRDefault="005C5088">
            <w:pPr>
              <w:textAlignment w:val="bottom"/>
            </w:pPr>
            <w:r>
              <w:rPr>
                <w:rFonts w:ascii="Times New Roman" w:eastAsia="宋体" w:hAnsi="Times New Roman"/>
                <w:color w:val="000000"/>
                <w:sz w:val="20"/>
                <w:szCs w:val="20"/>
              </w:rPr>
              <w:t>Gain resulting from acquisition of joint venture</w:t>
            </w:r>
          </w:p>
        </w:tc>
        <w:tc>
          <w:tcPr>
            <w:tcW w:w="0" w:type="auto"/>
            <w:gridSpan w:val="2"/>
            <w:shd w:val="clear" w:color="auto" w:fill="FFFFFF"/>
            <w:tcMar>
              <w:top w:w="40" w:type="dxa"/>
              <w:left w:w="20" w:type="dxa"/>
              <w:bottom w:w="40" w:type="dxa"/>
              <w:right w:w="0" w:type="dxa"/>
            </w:tcMar>
            <w:vAlign w:val="bottom"/>
          </w:tcPr>
          <w:p w14:paraId="00BAE84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84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4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4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84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4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4D" w14:textId="77777777" w:rsidR="00871BDF" w:rsidRDefault="005C5088">
            <w:pPr>
              <w:jc w:val="right"/>
              <w:textAlignment w:val="bottom"/>
            </w:pPr>
            <w:r>
              <w:rPr>
                <w:rFonts w:ascii="Times New Roman" w:eastAsia="宋体" w:hAnsi="Times New Roman"/>
                <w:color w:val="000000"/>
                <w:sz w:val="20"/>
                <w:szCs w:val="20"/>
              </w:rPr>
              <w:t>(1,376.4)</w:t>
            </w:r>
          </w:p>
        </w:tc>
        <w:tc>
          <w:tcPr>
            <w:tcW w:w="0" w:type="auto"/>
            <w:shd w:val="clear" w:color="auto" w:fill="FFFFFF"/>
            <w:tcMar>
              <w:top w:w="40" w:type="dxa"/>
              <w:left w:w="0" w:type="dxa"/>
              <w:bottom w:w="40" w:type="dxa"/>
              <w:right w:w="20" w:type="dxa"/>
            </w:tcMar>
            <w:vAlign w:val="bottom"/>
          </w:tcPr>
          <w:p w14:paraId="00BAE84E" w14:textId="77777777" w:rsidR="00871BDF" w:rsidRDefault="00871BDF">
            <w:pPr>
              <w:jc w:val="right"/>
              <w:rPr>
                <w:rFonts w:ascii="宋体"/>
              </w:rPr>
            </w:pPr>
          </w:p>
        </w:tc>
      </w:tr>
      <w:tr w:rsidR="00871BDF" w14:paraId="00BAE859" w14:textId="77777777">
        <w:trPr>
          <w:jc w:val="center"/>
        </w:trPr>
        <w:tc>
          <w:tcPr>
            <w:tcW w:w="0" w:type="auto"/>
            <w:gridSpan w:val="3"/>
            <w:shd w:val="clear" w:color="auto" w:fill="D7E4BC"/>
            <w:tcMar>
              <w:top w:w="40" w:type="dxa"/>
              <w:left w:w="380" w:type="dxa"/>
              <w:bottom w:w="40" w:type="dxa"/>
              <w:right w:w="20" w:type="dxa"/>
            </w:tcMar>
            <w:vAlign w:val="bottom"/>
          </w:tcPr>
          <w:p w14:paraId="00BAE850" w14:textId="77777777" w:rsidR="00871BDF" w:rsidRDefault="005C5088">
            <w:pPr>
              <w:textAlignment w:val="bottom"/>
            </w:pPr>
            <w:r>
              <w:rPr>
                <w:rFonts w:ascii="Times New Roman" w:eastAsia="宋体" w:hAnsi="Times New Roman"/>
                <w:color w:val="000000"/>
                <w:sz w:val="20"/>
                <w:szCs w:val="20"/>
              </w:rPr>
              <w:t xml:space="preserve">Net gain resulting from divestiture of </w:t>
            </w:r>
            <w:r>
              <w:rPr>
                <w:rFonts w:ascii="Times New Roman" w:eastAsia="宋体" w:hAnsi="Times New Roman"/>
                <w:color w:val="000000"/>
                <w:sz w:val="20"/>
                <w:szCs w:val="20"/>
              </w:rPr>
              <w:t>certain retail operations</w:t>
            </w:r>
          </w:p>
        </w:tc>
        <w:tc>
          <w:tcPr>
            <w:tcW w:w="0" w:type="auto"/>
            <w:gridSpan w:val="2"/>
            <w:shd w:val="clear" w:color="auto" w:fill="D7E4BC"/>
            <w:tcMar>
              <w:top w:w="40" w:type="dxa"/>
              <w:left w:w="20" w:type="dxa"/>
              <w:bottom w:w="40" w:type="dxa"/>
              <w:right w:w="0" w:type="dxa"/>
            </w:tcMar>
            <w:vAlign w:val="bottom"/>
          </w:tcPr>
          <w:p w14:paraId="00BAE85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85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5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54" w14:textId="77777777" w:rsidR="00871BDF" w:rsidRDefault="005C5088">
            <w:pPr>
              <w:jc w:val="right"/>
              <w:textAlignment w:val="bottom"/>
            </w:pPr>
            <w:r>
              <w:rPr>
                <w:rFonts w:ascii="Times New Roman" w:eastAsia="宋体" w:hAnsi="Times New Roman"/>
                <w:color w:val="000000"/>
                <w:sz w:val="20"/>
                <w:szCs w:val="20"/>
              </w:rPr>
              <w:t>(622.8)</w:t>
            </w:r>
          </w:p>
        </w:tc>
        <w:tc>
          <w:tcPr>
            <w:tcW w:w="0" w:type="auto"/>
            <w:shd w:val="clear" w:color="auto" w:fill="D7E4BC"/>
            <w:tcMar>
              <w:top w:w="40" w:type="dxa"/>
              <w:left w:w="0" w:type="dxa"/>
              <w:bottom w:w="40" w:type="dxa"/>
              <w:right w:w="20" w:type="dxa"/>
            </w:tcMar>
            <w:vAlign w:val="bottom"/>
          </w:tcPr>
          <w:p w14:paraId="00BAE85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5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57" w14:textId="77777777" w:rsidR="00871BDF" w:rsidRDefault="005C5088">
            <w:pPr>
              <w:jc w:val="right"/>
              <w:textAlignment w:val="bottom"/>
            </w:pPr>
            <w:r>
              <w:rPr>
                <w:rFonts w:ascii="Times New Roman" w:eastAsia="宋体" w:hAnsi="Times New Roman"/>
                <w:color w:val="000000"/>
                <w:sz w:val="20"/>
                <w:szCs w:val="20"/>
              </w:rPr>
              <w:t>(499.2)</w:t>
            </w:r>
          </w:p>
        </w:tc>
        <w:tc>
          <w:tcPr>
            <w:tcW w:w="0" w:type="auto"/>
            <w:shd w:val="clear" w:color="auto" w:fill="D7E4BC"/>
            <w:tcMar>
              <w:top w:w="40" w:type="dxa"/>
              <w:left w:w="0" w:type="dxa"/>
              <w:bottom w:w="40" w:type="dxa"/>
              <w:right w:w="20" w:type="dxa"/>
            </w:tcMar>
            <w:vAlign w:val="bottom"/>
          </w:tcPr>
          <w:p w14:paraId="00BAE858" w14:textId="77777777" w:rsidR="00871BDF" w:rsidRDefault="00871BDF">
            <w:pPr>
              <w:jc w:val="right"/>
              <w:rPr>
                <w:rFonts w:ascii="宋体"/>
              </w:rPr>
            </w:pPr>
          </w:p>
        </w:tc>
      </w:tr>
      <w:tr w:rsidR="00871BDF" w14:paraId="00BAE860" w14:textId="77777777">
        <w:trPr>
          <w:jc w:val="center"/>
          <w:hidden/>
        </w:trPr>
        <w:tc>
          <w:tcPr>
            <w:tcW w:w="0" w:type="auto"/>
            <w:gridSpan w:val="3"/>
            <w:shd w:val="clear" w:color="auto" w:fill="auto"/>
          </w:tcPr>
          <w:p w14:paraId="00BAE85A" w14:textId="77777777" w:rsidR="00871BDF" w:rsidRDefault="00871BDF">
            <w:pPr>
              <w:rPr>
                <w:rFonts w:ascii="宋体"/>
                <w:vanish/>
              </w:rPr>
            </w:pPr>
          </w:p>
        </w:tc>
        <w:tc>
          <w:tcPr>
            <w:tcW w:w="0" w:type="auto"/>
            <w:gridSpan w:val="3"/>
            <w:shd w:val="clear" w:color="auto" w:fill="auto"/>
          </w:tcPr>
          <w:p w14:paraId="00BAE85B" w14:textId="77777777" w:rsidR="00871BDF" w:rsidRDefault="00871BDF">
            <w:pPr>
              <w:rPr>
                <w:rFonts w:ascii="宋体"/>
                <w:vanish/>
              </w:rPr>
            </w:pPr>
          </w:p>
        </w:tc>
        <w:tc>
          <w:tcPr>
            <w:tcW w:w="0" w:type="auto"/>
            <w:gridSpan w:val="3"/>
            <w:shd w:val="clear" w:color="auto" w:fill="auto"/>
          </w:tcPr>
          <w:p w14:paraId="00BAE85C" w14:textId="77777777" w:rsidR="00871BDF" w:rsidRDefault="00871BDF">
            <w:pPr>
              <w:rPr>
                <w:rFonts w:ascii="宋体"/>
                <w:vanish/>
              </w:rPr>
            </w:pPr>
          </w:p>
        </w:tc>
        <w:tc>
          <w:tcPr>
            <w:tcW w:w="0" w:type="auto"/>
            <w:gridSpan w:val="3"/>
            <w:shd w:val="clear" w:color="auto" w:fill="auto"/>
          </w:tcPr>
          <w:p w14:paraId="00BAE85D" w14:textId="77777777" w:rsidR="00871BDF" w:rsidRDefault="00871BDF">
            <w:pPr>
              <w:rPr>
                <w:rFonts w:ascii="宋体"/>
                <w:vanish/>
              </w:rPr>
            </w:pPr>
          </w:p>
        </w:tc>
        <w:tc>
          <w:tcPr>
            <w:tcW w:w="0" w:type="auto"/>
            <w:gridSpan w:val="3"/>
            <w:shd w:val="clear" w:color="auto" w:fill="auto"/>
          </w:tcPr>
          <w:p w14:paraId="00BAE85E" w14:textId="77777777" w:rsidR="00871BDF" w:rsidRDefault="00871BDF">
            <w:pPr>
              <w:rPr>
                <w:rFonts w:ascii="宋体"/>
                <w:vanish/>
              </w:rPr>
            </w:pPr>
          </w:p>
        </w:tc>
        <w:tc>
          <w:tcPr>
            <w:tcW w:w="0" w:type="auto"/>
            <w:gridSpan w:val="3"/>
            <w:shd w:val="clear" w:color="auto" w:fill="auto"/>
          </w:tcPr>
          <w:p w14:paraId="00BAE85F" w14:textId="77777777" w:rsidR="00871BDF" w:rsidRDefault="00871BDF">
            <w:pPr>
              <w:rPr>
                <w:rFonts w:ascii="宋体"/>
                <w:vanish/>
              </w:rPr>
            </w:pPr>
          </w:p>
        </w:tc>
      </w:tr>
      <w:tr w:rsidR="00871BDF" w14:paraId="00BAE86A" w14:textId="77777777">
        <w:trPr>
          <w:jc w:val="center"/>
        </w:trPr>
        <w:tc>
          <w:tcPr>
            <w:tcW w:w="0" w:type="auto"/>
            <w:gridSpan w:val="3"/>
            <w:shd w:val="clear" w:color="auto" w:fill="FFFFFF"/>
            <w:tcMar>
              <w:top w:w="40" w:type="dxa"/>
              <w:left w:w="380" w:type="dxa"/>
              <w:bottom w:w="40" w:type="dxa"/>
              <w:right w:w="20" w:type="dxa"/>
            </w:tcMar>
            <w:vAlign w:val="bottom"/>
          </w:tcPr>
          <w:p w14:paraId="00BAE861" w14:textId="77777777" w:rsidR="00871BDF" w:rsidRDefault="005C5088">
            <w:pPr>
              <w:textAlignment w:val="bottom"/>
            </w:pPr>
            <w:r>
              <w:rPr>
                <w:rFonts w:ascii="Times New Roman" w:eastAsia="宋体" w:hAnsi="Times New Roman"/>
                <w:color w:val="000000"/>
                <w:sz w:val="20"/>
                <w:szCs w:val="20"/>
              </w:rPr>
              <w:t>Stock-based compensation</w:t>
            </w:r>
          </w:p>
        </w:tc>
        <w:tc>
          <w:tcPr>
            <w:tcW w:w="0" w:type="auto"/>
            <w:gridSpan w:val="2"/>
            <w:shd w:val="clear" w:color="auto" w:fill="FFFFFF"/>
            <w:tcMar>
              <w:top w:w="40" w:type="dxa"/>
              <w:left w:w="20" w:type="dxa"/>
              <w:bottom w:w="40" w:type="dxa"/>
              <w:right w:w="0" w:type="dxa"/>
            </w:tcMar>
            <w:vAlign w:val="bottom"/>
          </w:tcPr>
          <w:p w14:paraId="00BAE862" w14:textId="77777777" w:rsidR="00871BDF" w:rsidRDefault="005C5088">
            <w:pPr>
              <w:jc w:val="right"/>
              <w:textAlignment w:val="bottom"/>
            </w:pPr>
            <w:r>
              <w:rPr>
                <w:rFonts w:ascii="Times New Roman" w:eastAsia="宋体" w:hAnsi="Times New Roman"/>
                <w:color w:val="000000"/>
                <w:sz w:val="20"/>
                <w:szCs w:val="20"/>
              </w:rPr>
              <w:t>248.6 </w:t>
            </w:r>
          </w:p>
        </w:tc>
        <w:tc>
          <w:tcPr>
            <w:tcW w:w="0" w:type="auto"/>
            <w:shd w:val="clear" w:color="auto" w:fill="FFFFFF"/>
            <w:tcMar>
              <w:top w:w="40" w:type="dxa"/>
              <w:left w:w="0" w:type="dxa"/>
              <w:bottom w:w="40" w:type="dxa"/>
              <w:right w:w="20" w:type="dxa"/>
            </w:tcMar>
            <w:vAlign w:val="bottom"/>
          </w:tcPr>
          <w:p w14:paraId="00BAE86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6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65" w14:textId="77777777" w:rsidR="00871BDF" w:rsidRDefault="005C5088">
            <w:pPr>
              <w:jc w:val="right"/>
              <w:textAlignment w:val="bottom"/>
            </w:pPr>
            <w:r>
              <w:rPr>
                <w:rFonts w:ascii="Times New Roman" w:eastAsia="宋体" w:hAnsi="Times New Roman"/>
                <w:color w:val="000000"/>
                <w:sz w:val="20"/>
                <w:szCs w:val="20"/>
              </w:rPr>
              <w:t>308.0 </w:t>
            </w:r>
          </w:p>
        </w:tc>
        <w:tc>
          <w:tcPr>
            <w:tcW w:w="0" w:type="auto"/>
            <w:shd w:val="clear" w:color="auto" w:fill="FFFFFF"/>
            <w:tcMar>
              <w:top w:w="40" w:type="dxa"/>
              <w:left w:w="0" w:type="dxa"/>
              <w:bottom w:w="40" w:type="dxa"/>
              <w:right w:w="20" w:type="dxa"/>
            </w:tcMar>
            <w:vAlign w:val="bottom"/>
          </w:tcPr>
          <w:p w14:paraId="00BAE86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6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68" w14:textId="77777777" w:rsidR="00871BDF" w:rsidRDefault="005C5088">
            <w:pPr>
              <w:jc w:val="right"/>
              <w:textAlignment w:val="bottom"/>
            </w:pPr>
            <w:r>
              <w:rPr>
                <w:rFonts w:ascii="Times New Roman" w:eastAsia="宋体" w:hAnsi="Times New Roman"/>
                <w:color w:val="000000"/>
                <w:sz w:val="20"/>
                <w:szCs w:val="20"/>
              </w:rPr>
              <w:t>250.3 </w:t>
            </w:r>
          </w:p>
        </w:tc>
        <w:tc>
          <w:tcPr>
            <w:tcW w:w="0" w:type="auto"/>
            <w:shd w:val="clear" w:color="auto" w:fill="FFFFFF"/>
            <w:tcMar>
              <w:top w:w="40" w:type="dxa"/>
              <w:left w:w="0" w:type="dxa"/>
              <w:bottom w:w="40" w:type="dxa"/>
              <w:right w:w="20" w:type="dxa"/>
            </w:tcMar>
            <w:vAlign w:val="bottom"/>
          </w:tcPr>
          <w:p w14:paraId="00BAE869" w14:textId="77777777" w:rsidR="00871BDF" w:rsidRDefault="00871BDF">
            <w:pPr>
              <w:jc w:val="right"/>
              <w:rPr>
                <w:rFonts w:ascii="宋体"/>
              </w:rPr>
            </w:pPr>
          </w:p>
        </w:tc>
      </w:tr>
      <w:tr w:rsidR="00871BDF" w14:paraId="00BAE874" w14:textId="77777777">
        <w:trPr>
          <w:jc w:val="center"/>
        </w:trPr>
        <w:tc>
          <w:tcPr>
            <w:tcW w:w="0" w:type="auto"/>
            <w:gridSpan w:val="3"/>
            <w:shd w:val="clear" w:color="auto" w:fill="D7E4BC"/>
            <w:tcMar>
              <w:top w:w="40" w:type="dxa"/>
              <w:left w:w="380" w:type="dxa"/>
              <w:bottom w:w="40" w:type="dxa"/>
              <w:right w:w="20" w:type="dxa"/>
            </w:tcMar>
          </w:tcPr>
          <w:p w14:paraId="00BAE86B" w14:textId="77777777" w:rsidR="00871BDF" w:rsidRDefault="005C5088">
            <w:pPr>
              <w:textAlignment w:val="top"/>
            </w:pPr>
            <w:r>
              <w:rPr>
                <w:rFonts w:ascii="Times New Roman" w:eastAsia="宋体" w:hAnsi="Times New Roman"/>
                <w:color w:val="000000"/>
                <w:sz w:val="20"/>
                <w:szCs w:val="20"/>
              </w:rPr>
              <w:t>Goodwill impairments</w:t>
            </w:r>
          </w:p>
        </w:tc>
        <w:tc>
          <w:tcPr>
            <w:tcW w:w="0" w:type="auto"/>
            <w:gridSpan w:val="2"/>
            <w:shd w:val="clear" w:color="auto" w:fill="D7E4BC"/>
            <w:tcMar>
              <w:top w:w="40" w:type="dxa"/>
              <w:left w:w="20" w:type="dxa"/>
              <w:bottom w:w="40" w:type="dxa"/>
              <w:right w:w="0" w:type="dxa"/>
            </w:tcMar>
            <w:vAlign w:val="bottom"/>
          </w:tcPr>
          <w:p w14:paraId="00BAE86C"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86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6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6F" w14:textId="77777777" w:rsidR="00871BDF" w:rsidRDefault="005C5088">
            <w:pPr>
              <w:jc w:val="right"/>
              <w:textAlignment w:val="bottom"/>
            </w:pPr>
            <w:r>
              <w:rPr>
                <w:rFonts w:ascii="Times New Roman" w:eastAsia="宋体" w:hAnsi="Times New Roman"/>
                <w:color w:val="000000"/>
                <w:sz w:val="20"/>
                <w:szCs w:val="20"/>
              </w:rPr>
              <w:t>10.5 </w:t>
            </w:r>
          </w:p>
        </w:tc>
        <w:tc>
          <w:tcPr>
            <w:tcW w:w="0" w:type="auto"/>
            <w:shd w:val="clear" w:color="auto" w:fill="D7E4BC"/>
            <w:tcMar>
              <w:top w:w="40" w:type="dxa"/>
              <w:left w:w="0" w:type="dxa"/>
              <w:bottom w:w="40" w:type="dxa"/>
              <w:right w:w="20" w:type="dxa"/>
            </w:tcMar>
            <w:vAlign w:val="bottom"/>
          </w:tcPr>
          <w:p w14:paraId="00BAE87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7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72" w14:textId="77777777" w:rsidR="00871BDF" w:rsidRDefault="005C5088">
            <w:pPr>
              <w:jc w:val="right"/>
              <w:textAlignment w:val="bottom"/>
            </w:pPr>
            <w:r>
              <w:rPr>
                <w:rFonts w:ascii="Times New Roman" w:eastAsia="宋体" w:hAnsi="Times New Roman"/>
                <w:color w:val="000000"/>
                <w:sz w:val="20"/>
                <w:szCs w:val="20"/>
              </w:rPr>
              <w:t>37.6 </w:t>
            </w:r>
          </w:p>
        </w:tc>
        <w:tc>
          <w:tcPr>
            <w:tcW w:w="0" w:type="auto"/>
            <w:shd w:val="clear" w:color="auto" w:fill="D7E4BC"/>
            <w:tcMar>
              <w:top w:w="40" w:type="dxa"/>
              <w:left w:w="0" w:type="dxa"/>
              <w:bottom w:w="40" w:type="dxa"/>
              <w:right w:w="20" w:type="dxa"/>
            </w:tcMar>
            <w:vAlign w:val="bottom"/>
          </w:tcPr>
          <w:p w14:paraId="00BAE873" w14:textId="77777777" w:rsidR="00871BDF" w:rsidRDefault="00871BDF">
            <w:pPr>
              <w:jc w:val="right"/>
              <w:rPr>
                <w:rFonts w:ascii="宋体"/>
              </w:rPr>
            </w:pPr>
          </w:p>
        </w:tc>
      </w:tr>
      <w:tr w:rsidR="00871BDF" w14:paraId="00BAE87E" w14:textId="77777777">
        <w:trPr>
          <w:jc w:val="center"/>
        </w:trPr>
        <w:tc>
          <w:tcPr>
            <w:tcW w:w="0" w:type="auto"/>
            <w:gridSpan w:val="3"/>
            <w:shd w:val="clear" w:color="auto" w:fill="FFFFFF"/>
            <w:tcMar>
              <w:top w:w="40" w:type="dxa"/>
              <w:left w:w="380" w:type="dxa"/>
              <w:bottom w:w="40" w:type="dxa"/>
              <w:right w:w="20" w:type="dxa"/>
            </w:tcMar>
            <w:vAlign w:val="bottom"/>
          </w:tcPr>
          <w:p w14:paraId="00BAE875" w14:textId="77777777" w:rsidR="00871BDF" w:rsidRDefault="005C5088">
            <w:pPr>
              <w:textAlignment w:val="bottom"/>
            </w:pPr>
            <w:r>
              <w:rPr>
                <w:rFonts w:ascii="Times New Roman" w:eastAsia="宋体" w:hAnsi="Times New Roman"/>
                <w:color w:val="000000"/>
                <w:sz w:val="20"/>
                <w:szCs w:val="20"/>
              </w:rPr>
              <w:t>Non-cash lease cost</w:t>
            </w:r>
          </w:p>
        </w:tc>
        <w:tc>
          <w:tcPr>
            <w:tcW w:w="0" w:type="auto"/>
            <w:gridSpan w:val="2"/>
            <w:shd w:val="clear" w:color="auto" w:fill="FFFFFF"/>
            <w:tcMar>
              <w:top w:w="40" w:type="dxa"/>
              <w:left w:w="20" w:type="dxa"/>
              <w:bottom w:w="40" w:type="dxa"/>
              <w:right w:w="0" w:type="dxa"/>
            </w:tcMar>
            <w:vAlign w:val="bottom"/>
          </w:tcPr>
          <w:p w14:paraId="00BAE876" w14:textId="77777777" w:rsidR="00871BDF" w:rsidRDefault="005C5088">
            <w:pPr>
              <w:jc w:val="right"/>
              <w:textAlignment w:val="bottom"/>
            </w:pPr>
            <w:r>
              <w:rPr>
                <w:rFonts w:ascii="Times New Roman" w:eastAsia="宋体" w:hAnsi="Times New Roman"/>
                <w:color w:val="000000"/>
                <w:sz w:val="20"/>
                <w:szCs w:val="20"/>
              </w:rPr>
              <w:t>1,197.6 </w:t>
            </w:r>
          </w:p>
        </w:tc>
        <w:tc>
          <w:tcPr>
            <w:tcW w:w="0" w:type="auto"/>
            <w:shd w:val="clear" w:color="auto" w:fill="FFFFFF"/>
            <w:tcMar>
              <w:top w:w="40" w:type="dxa"/>
              <w:left w:w="0" w:type="dxa"/>
              <w:bottom w:w="40" w:type="dxa"/>
              <w:right w:w="20" w:type="dxa"/>
            </w:tcMar>
            <w:vAlign w:val="bottom"/>
          </w:tcPr>
          <w:p w14:paraId="00BAE87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7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79"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87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7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7C"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87D" w14:textId="77777777" w:rsidR="00871BDF" w:rsidRDefault="00871BDF">
            <w:pPr>
              <w:jc w:val="right"/>
              <w:rPr>
                <w:rFonts w:ascii="宋体"/>
              </w:rPr>
            </w:pPr>
          </w:p>
        </w:tc>
      </w:tr>
      <w:tr w:rsidR="00871BDF" w14:paraId="00BAE888" w14:textId="77777777">
        <w:trPr>
          <w:jc w:val="center"/>
        </w:trPr>
        <w:tc>
          <w:tcPr>
            <w:tcW w:w="0" w:type="auto"/>
            <w:gridSpan w:val="3"/>
            <w:shd w:val="clear" w:color="auto" w:fill="D7E4BC"/>
            <w:tcMar>
              <w:top w:w="40" w:type="dxa"/>
              <w:left w:w="380" w:type="dxa"/>
              <w:bottom w:w="40" w:type="dxa"/>
              <w:right w:w="20" w:type="dxa"/>
            </w:tcMar>
          </w:tcPr>
          <w:p w14:paraId="00BAE87F" w14:textId="77777777" w:rsidR="00871BDF" w:rsidRDefault="005C5088">
            <w:pPr>
              <w:textAlignment w:val="top"/>
            </w:pPr>
            <w:r>
              <w:rPr>
                <w:rFonts w:ascii="Times New Roman" w:eastAsia="宋体" w:hAnsi="Times New Roman"/>
                <w:color w:val="000000"/>
                <w:sz w:val="20"/>
                <w:szCs w:val="20"/>
              </w:rPr>
              <w:t>Loss on retirement and impairment of assets</w:t>
            </w:r>
          </w:p>
        </w:tc>
        <w:tc>
          <w:tcPr>
            <w:tcW w:w="0" w:type="auto"/>
            <w:gridSpan w:val="2"/>
            <w:shd w:val="clear" w:color="auto" w:fill="D7E4BC"/>
            <w:tcMar>
              <w:top w:w="40" w:type="dxa"/>
              <w:left w:w="20" w:type="dxa"/>
              <w:bottom w:w="40" w:type="dxa"/>
              <w:right w:w="0" w:type="dxa"/>
            </w:tcMar>
            <w:vAlign w:val="bottom"/>
          </w:tcPr>
          <w:p w14:paraId="00BAE880" w14:textId="77777777" w:rsidR="00871BDF" w:rsidRDefault="005C5088">
            <w:pPr>
              <w:jc w:val="right"/>
              <w:textAlignment w:val="bottom"/>
            </w:pPr>
            <w:r>
              <w:rPr>
                <w:rFonts w:ascii="Times New Roman" w:eastAsia="宋体" w:hAnsi="Times New Roman"/>
                <w:color w:val="000000"/>
                <w:sz w:val="20"/>
                <w:szCs w:val="20"/>
              </w:rPr>
              <w:t>454.4 </w:t>
            </w:r>
          </w:p>
        </w:tc>
        <w:tc>
          <w:tcPr>
            <w:tcW w:w="0" w:type="auto"/>
            <w:shd w:val="clear" w:color="auto" w:fill="D7E4BC"/>
            <w:tcMar>
              <w:top w:w="40" w:type="dxa"/>
              <w:left w:w="0" w:type="dxa"/>
              <w:bottom w:w="40" w:type="dxa"/>
              <w:right w:w="20" w:type="dxa"/>
            </w:tcMar>
            <w:vAlign w:val="bottom"/>
          </w:tcPr>
          <w:p w14:paraId="00BAE88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8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83" w14:textId="77777777" w:rsidR="00871BDF" w:rsidRDefault="005C5088">
            <w:pPr>
              <w:jc w:val="right"/>
              <w:textAlignment w:val="bottom"/>
            </w:pPr>
            <w:r>
              <w:rPr>
                <w:rFonts w:ascii="Times New Roman" w:eastAsia="宋体" w:hAnsi="Times New Roman"/>
                <w:color w:val="000000"/>
                <w:sz w:val="20"/>
                <w:szCs w:val="20"/>
              </w:rPr>
              <w:t>142.6 </w:t>
            </w:r>
          </w:p>
        </w:tc>
        <w:tc>
          <w:tcPr>
            <w:tcW w:w="0" w:type="auto"/>
            <w:shd w:val="clear" w:color="auto" w:fill="D7E4BC"/>
            <w:tcMar>
              <w:top w:w="40" w:type="dxa"/>
              <w:left w:w="0" w:type="dxa"/>
              <w:bottom w:w="40" w:type="dxa"/>
              <w:right w:w="20" w:type="dxa"/>
            </w:tcMar>
            <w:vAlign w:val="bottom"/>
          </w:tcPr>
          <w:p w14:paraId="00BAE88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8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86" w14:textId="77777777" w:rsidR="00871BDF" w:rsidRDefault="005C5088">
            <w:pPr>
              <w:jc w:val="right"/>
              <w:textAlignment w:val="bottom"/>
            </w:pPr>
            <w:r>
              <w:rPr>
                <w:rFonts w:ascii="Times New Roman" w:eastAsia="宋体" w:hAnsi="Times New Roman"/>
                <w:color w:val="000000"/>
                <w:sz w:val="20"/>
                <w:szCs w:val="20"/>
              </w:rPr>
              <w:t>75.6 </w:t>
            </w:r>
          </w:p>
        </w:tc>
        <w:tc>
          <w:tcPr>
            <w:tcW w:w="0" w:type="auto"/>
            <w:shd w:val="clear" w:color="auto" w:fill="D7E4BC"/>
            <w:tcMar>
              <w:top w:w="40" w:type="dxa"/>
              <w:left w:w="0" w:type="dxa"/>
              <w:bottom w:w="40" w:type="dxa"/>
              <w:right w:w="20" w:type="dxa"/>
            </w:tcMar>
            <w:vAlign w:val="bottom"/>
          </w:tcPr>
          <w:p w14:paraId="00BAE887" w14:textId="77777777" w:rsidR="00871BDF" w:rsidRDefault="00871BDF">
            <w:pPr>
              <w:jc w:val="right"/>
              <w:rPr>
                <w:rFonts w:ascii="宋体"/>
              </w:rPr>
            </w:pPr>
          </w:p>
        </w:tc>
      </w:tr>
      <w:tr w:rsidR="00871BDF" w14:paraId="00BAE892" w14:textId="77777777">
        <w:trPr>
          <w:jc w:val="center"/>
        </w:trPr>
        <w:tc>
          <w:tcPr>
            <w:tcW w:w="0" w:type="auto"/>
            <w:gridSpan w:val="3"/>
            <w:shd w:val="clear" w:color="auto" w:fill="FFFFFF"/>
            <w:tcMar>
              <w:top w:w="40" w:type="dxa"/>
              <w:left w:w="380" w:type="dxa"/>
              <w:bottom w:w="40" w:type="dxa"/>
              <w:right w:w="20" w:type="dxa"/>
            </w:tcMar>
            <w:vAlign w:val="bottom"/>
          </w:tcPr>
          <w:p w14:paraId="00BAE889" w14:textId="77777777" w:rsidR="00871BDF" w:rsidRDefault="005C5088">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0BAE88A" w14:textId="77777777" w:rsidR="00871BDF" w:rsidRDefault="005C5088">
            <w:pPr>
              <w:jc w:val="right"/>
              <w:textAlignment w:val="bottom"/>
            </w:pPr>
            <w:r>
              <w:rPr>
                <w:rFonts w:ascii="Times New Roman" w:eastAsia="宋体" w:hAnsi="Times New Roman"/>
                <w:color w:val="000000"/>
                <w:sz w:val="20"/>
                <w:szCs w:val="20"/>
              </w:rPr>
              <w:t>24.5 </w:t>
            </w:r>
          </w:p>
        </w:tc>
        <w:tc>
          <w:tcPr>
            <w:tcW w:w="0" w:type="auto"/>
            <w:shd w:val="clear" w:color="auto" w:fill="FFFFFF"/>
            <w:tcMar>
              <w:top w:w="40" w:type="dxa"/>
              <w:left w:w="0" w:type="dxa"/>
              <w:bottom w:w="40" w:type="dxa"/>
              <w:right w:w="20" w:type="dxa"/>
            </w:tcMar>
            <w:vAlign w:val="bottom"/>
          </w:tcPr>
          <w:p w14:paraId="00BAE88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8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8D" w14:textId="77777777" w:rsidR="00871BDF" w:rsidRDefault="005C5088">
            <w:pPr>
              <w:jc w:val="right"/>
              <w:textAlignment w:val="bottom"/>
            </w:pPr>
            <w:r>
              <w:rPr>
                <w:rFonts w:ascii="Times New Roman" w:eastAsia="宋体" w:hAnsi="Times New Roman"/>
                <w:color w:val="000000"/>
                <w:sz w:val="20"/>
                <w:szCs w:val="20"/>
              </w:rPr>
              <w:t>45.3 </w:t>
            </w:r>
          </w:p>
        </w:tc>
        <w:tc>
          <w:tcPr>
            <w:tcW w:w="0" w:type="auto"/>
            <w:shd w:val="clear" w:color="auto" w:fill="FFFFFF"/>
            <w:tcMar>
              <w:top w:w="40" w:type="dxa"/>
              <w:left w:w="0" w:type="dxa"/>
              <w:bottom w:w="40" w:type="dxa"/>
              <w:right w:w="20" w:type="dxa"/>
            </w:tcMar>
            <w:vAlign w:val="bottom"/>
          </w:tcPr>
          <w:p w14:paraId="00BAE88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8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90" w14:textId="77777777" w:rsidR="00871BDF" w:rsidRDefault="005C5088">
            <w:pPr>
              <w:jc w:val="right"/>
              <w:textAlignment w:val="bottom"/>
            </w:pPr>
            <w:r>
              <w:rPr>
                <w:rFonts w:ascii="Times New Roman" w:eastAsia="宋体" w:hAnsi="Times New Roman"/>
                <w:color w:val="000000"/>
                <w:sz w:val="20"/>
                <w:szCs w:val="20"/>
              </w:rPr>
              <w:t>13.4 </w:t>
            </w:r>
          </w:p>
        </w:tc>
        <w:tc>
          <w:tcPr>
            <w:tcW w:w="0" w:type="auto"/>
            <w:shd w:val="clear" w:color="auto" w:fill="FFFFFF"/>
            <w:tcMar>
              <w:top w:w="40" w:type="dxa"/>
              <w:left w:w="0" w:type="dxa"/>
              <w:bottom w:w="40" w:type="dxa"/>
              <w:right w:w="20" w:type="dxa"/>
            </w:tcMar>
            <w:vAlign w:val="bottom"/>
          </w:tcPr>
          <w:p w14:paraId="00BAE891" w14:textId="77777777" w:rsidR="00871BDF" w:rsidRDefault="00871BDF">
            <w:pPr>
              <w:jc w:val="right"/>
              <w:rPr>
                <w:rFonts w:ascii="宋体"/>
              </w:rPr>
            </w:pPr>
          </w:p>
        </w:tc>
      </w:tr>
      <w:tr w:rsidR="00871BDF" w14:paraId="00BAE899" w14:textId="77777777">
        <w:trPr>
          <w:jc w:val="center"/>
        </w:trPr>
        <w:tc>
          <w:tcPr>
            <w:tcW w:w="0" w:type="auto"/>
            <w:gridSpan w:val="3"/>
            <w:shd w:val="clear" w:color="auto" w:fill="D7E4BC"/>
            <w:tcMar>
              <w:top w:w="40" w:type="dxa"/>
              <w:left w:w="380" w:type="dxa"/>
              <w:bottom w:w="40" w:type="dxa"/>
              <w:right w:w="20" w:type="dxa"/>
            </w:tcMar>
            <w:vAlign w:val="bottom"/>
          </w:tcPr>
          <w:p w14:paraId="00BAE893" w14:textId="77777777" w:rsidR="00871BDF" w:rsidRDefault="005C5088">
            <w:pPr>
              <w:textAlignment w:val="bottom"/>
            </w:pPr>
            <w:r>
              <w:rPr>
                <w:rFonts w:ascii="Times New Roman" w:eastAsia="宋体" w:hAnsi="Times New Roman"/>
                <w:color w:val="000000"/>
                <w:sz w:val="20"/>
                <w:szCs w:val="20"/>
              </w:rPr>
              <w:t>Cash provided by/(used in) changes in operating assets and liabilities:</w:t>
            </w:r>
          </w:p>
        </w:tc>
        <w:tc>
          <w:tcPr>
            <w:tcW w:w="0" w:type="auto"/>
            <w:gridSpan w:val="3"/>
            <w:shd w:val="clear" w:color="auto" w:fill="D7E4BC"/>
            <w:tcMar>
              <w:top w:w="0" w:type="dxa"/>
              <w:left w:w="20" w:type="dxa"/>
              <w:bottom w:w="0" w:type="dxa"/>
              <w:right w:w="20" w:type="dxa"/>
            </w:tcMar>
          </w:tcPr>
          <w:p w14:paraId="00BAE89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89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89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89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898" w14:textId="77777777" w:rsidR="00871BDF" w:rsidRDefault="00871BDF">
            <w:pPr>
              <w:rPr>
                <w:rFonts w:ascii="宋体"/>
              </w:rPr>
            </w:pPr>
          </w:p>
        </w:tc>
      </w:tr>
      <w:tr w:rsidR="00871BDF" w14:paraId="00BAE8A3" w14:textId="77777777">
        <w:trPr>
          <w:jc w:val="center"/>
        </w:trPr>
        <w:tc>
          <w:tcPr>
            <w:tcW w:w="0" w:type="auto"/>
            <w:gridSpan w:val="3"/>
            <w:shd w:val="clear" w:color="auto" w:fill="FFFFFF"/>
            <w:tcMar>
              <w:top w:w="40" w:type="dxa"/>
              <w:left w:w="740" w:type="dxa"/>
              <w:bottom w:w="40" w:type="dxa"/>
              <w:right w:w="20" w:type="dxa"/>
            </w:tcMar>
            <w:vAlign w:val="bottom"/>
          </w:tcPr>
          <w:p w14:paraId="00BAE89A" w14:textId="77777777" w:rsidR="00871BDF" w:rsidRDefault="005C5088">
            <w:pPr>
              <w:textAlignment w:val="bottom"/>
            </w:pPr>
            <w:r>
              <w:rPr>
                <w:rFonts w:ascii="Times New Roman" w:eastAsia="宋体" w:hAnsi="Times New Roman"/>
                <w:color w:val="000000"/>
                <w:sz w:val="20"/>
                <w:szCs w:val="20"/>
              </w:rPr>
              <w:t>Accounts receivable</w:t>
            </w:r>
          </w:p>
        </w:tc>
        <w:tc>
          <w:tcPr>
            <w:tcW w:w="0" w:type="auto"/>
            <w:gridSpan w:val="2"/>
            <w:shd w:val="clear" w:color="auto" w:fill="FFFFFF"/>
            <w:tcMar>
              <w:top w:w="40" w:type="dxa"/>
              <w:left w:w="20" w:type="dxa"/>
              <w:bottom w:w="40" w:type="dxa"/>
              <w:right w:w="0" w:type="dxa"/>
            </w:tcMar>
            <w:vAlign w:val="bottom"/>
          </w:tcPr>
          <w:p w14:paraId="00BAE89B" w14:textId="77777777" w:rsidR="00871BDF" w:rsidRDefault="005C5088">
            <w:pPr>
              <w:jc w:val="right"/>
              <w:textAlignment w:val="bottom"/>
            </w:pPr>
            <w:r>
              <w:rPr>
                <w:rFonts w:ascii="Times New Roman" w:eastAsia="宋体" w:hAnsi="Times New Roman"/>
                <w:color w:val="000000"/>
                <w:sz w:val="20"/>
                <w:szCs w:val="20"/>
              </w:rPr>
              <w:t>(2.7)</w:t>
            </w:r>
          </w:p>
        </w:tc>
        <w:tc>
          <w:tcPr>
            <w:tcW w:w="0" w:type="auto"/>
            <w:shd w:val="clear" w:color="auto" w:fill="FFFFFF"/>
            <w:tcMar>
              <w:top w:w="40" w:type="dxa"/>
              <w:left w:w="0" w:type="dxa"/>
              <w:bottom w:w="40" w:type="dxa"/>
              <w:right w:w="20" w:type="dxa"/>
            </w:tcMar>
            <w:vAlign w:val="bottom"/>
          </w:tcPr>
          <w:p w14:paraId="00BAE89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9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9E" w14:textId="77777777" w:rsidR="00871BDF" w:rsidRDefault="005C5088">
            <w:pPr>
              <w:jc w:val="right"/>
              <w:textAlignment w:val="bottom"/>
            </w:pPr>
            <w:r>
              <w:rPr>
                <w:rFonts w:ascii="Times New Roman" w:eastAsia="宋体" w:hAnsi="Times New Roman"/>
                <w:color w:val="000000"/>
                <w:sz w:val="20"/>
                <w:szCs w:val="20"/>
              </w:rPr>
              <w:t>(197.7)</w:t>
            </w:r>
          </w:p>
        </w:tc>
        <w:tc>
          <w:tcPr>
            <w:tcW w:w="0" w:type="auto"/>
            <w:shd w:val="clear" w:color="auto" w:fill="FFFFFF"/>
            <w:tcMar>
              <w:top w:w="40" w:type="dxa"/>
              <w:left w:w="0" w:type="dxa"/>
              <w:bottom w:w="40" w:type="dxa"/>
              <w:right w:w="20" w:type="dxa"/>
            </w:tcMar>
            <w:vAlign w:val="bottom"/>
          </w:tcPr>
          <w:p w14:paraId="00BAE89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A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A1" w14:textId="77777777" w:rsidR="00871BDF" w:rsidRDefault="005C5088">
            <w:pPr>
              <w:jc w:val="right"/>
              <w:textAlignment w:val="bottom"/>
            </w:pPr>
            <w:r>
              <w:rPr>
                <w:rFonts w:ascii="Times New Roman" w:eastAsia="宋体" w:hAnsi="Times New Roman"/>
                <w:color w:val="000000"/>
                <w:sz w:val="20"/>
                <w:szCs w:val="20"/>
              </w:rPr>
              <w:t>131.0 </w:t>
            </w:r>
          </w:p>
        </w:tc>
        <w:tc>
          <w:tcPr>
            <w:tcW w:w="0" w:type="auto"/>
            <w:shd w:val="clear" w:color="auto" w:fill="FFFFFF"/>
            <w:tcMar>
              <w:top w:w="40" w:type="dxa"/>
              <w:left w:w="0" w:type="dxa"/>
              <w:bottom w:w="40" w:type="dxa"/>
              <w:right w:w="20" w:type="dxa"/>
            </w:tcMar>
            <w:vAlign w:val="bottom"/>
          </w:tcPr>
          <w:p w14:paraId="00BAE8A2" w14:textId="77777777" w:rsidR="00871BDF" w:rsidRDefault="00871BDF">
            <w:pPr>
              <w:jc w:val="right"/>
              <w:rPr>
                <w:rFonts w:ascii="宋体"/>
              </w:rPr>
            </w:pPr>
          </w:p>
        </w:tc>
      </w:tr>
      <w:tr w:rsidR="00871BDF" w14:paraId="00BAE8AD" w14:textId="77777777">
        <w:trPr>
          <w:jc w:val="center"/>
        </w:trPr>
        <w:tc>
          <w:tcPr>
            <w:tcW w:w="0" w:type="auto"/>
            <w:gridSpan w:val="3"/>
            <w:shd w:val="clear" w:color="auto" w:fill="D7E4BC"/>
            <w:tcMar>
              <w:top w:w="40" w:type="dxa"/>
              <w:left w:w="740" w:type="dxa"/>
              <w:bottom w:w="40" w:type="dxa"/>
              <w:right w:w="20" w:type="dxa"/>
            </w:tcMar>
            <w:vAlign w:val="bottom"/>
          </w:tcPr>
          <w:p w14:paraId="00BAE8A4" w14:textId="77777777" w:rsidR="00871BDF" w:rsidRDefault="005C5088">
            <w:pPr>
              <w:textAlignment w:val="bottom"/>
            </w:pPr>
            <w:r>
              <w:rPr>
                <w:rFonts w:ascii="Times New Roman" w:eastAsia="宋体" w:hAnsi="Times New Roman"/>
                <w:color w:val="000000"/>
                <w:sz w:val="20"/>
                <w:szCs w:val="20"/>
              </w:rPr>
              <w:t>Inventories</w:t>
            </w:r>
          </w:p>
        </w:tc>
        <w:tc>
          <w:tcPr>
            <w:tcW w:w="0" w:type="auto"/>
            <w:gridSpan w:val="2"/>
            <w:shd w:val="clear" w:color="auto" w:fill="D7E4BC"/>
            <w:tcMar>
              <w:top w:w="40" w:type="dxa"/>
              <w:left w:w="20" w:type="dxa"/>
              <w:bottom w:w="40" w:type="dxa"/>
              <w:right w:w="0" w:type="dxa"/>
            </w:tcMar>
            <w:vAlign w:val="bottom"/>
          </w:tcPr>
          <w:p w14:paraId="00BAE8A5" w14:textId="77777777" w:rsidR="00871BDF" w:rsidRDefault="005C5088">
            <w:pPr>
              <w:jc w:val="right"/>
              <w:textAlignment w:val="bottom"/>
            </w:pPr>
            <w:r>
              <w:rPr>
                <w:rFonts w:ascii="Times New Roman" w:eastAsia="宋体" w:hAnsi="Times New Roman"/>
                <w:color w:val="000000"/>
                <w:sz w:val="20"/>
                <w:szCs w:val="20"/>
              </w:rPr>
              <w:t>(10.9)</w:t>
            </w:r>
          </w:p>
        </w:tc>
        <w:tc>
          <w:tcPr>
            <w:tcW w:w="0" w:type="auto"/>
            <w:shd w:val="clear" w:color="auto" w:fill="D7E4BC"/>
            <w:tcMar>
              <w:top w:w="40" w:type="dxa"/>
              <w:left w:w="0" w:type="dxa"/>
              <w:bottom w:w="40" w:type="dxa"/>
              <w:right w:w="20" w:type="dxa"/>
            </w:tcMar>
            <w:vAlign w:val="bottom"/>
          </w:tcPr>
          <w:p w14:paraId="00BAE8A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A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A8" w14:textId="77777777" w:rsidR="00871BDF" w:rsidRDefault="005C5088">
            <w:pPr>
              <w:jc w:val="right"/>
              <w:textAlignment w:val="bottom"/>
            </w:pPr>
            <w:r>
              <w:rPr>
                <w:rFonts w:ascii="Times New Roman" w:eastAsia="宋体" w:hAnsi="Times New Roman"/>
                <w:color w:val="000000"/>
                <w:sz w:val="20"/>
                <w:szCs w:val="20"/>
              </w:rPr>
              <w:t>(173.0)</w:t>
            </w:r>
          </w:p>
        </w:tc>
        <w:tc>
          <w:tcPr>
            <w:tcW w:w="0" w:type="auto"/>
            <w:shd w:val="clear" w:color="auto" w:fill="D7E4BC"/>
            <w:tcMar>
              <w:top w:w="40" w:type="dxa"/>
              <w:left w:w="0" w:type="dxa"/>
              <w:bottom w:w="40" w:type="dxa"/>
              <w:right w:w="20" w:type="dxa"/>
            </w:tcMar>
            <w:vAlign w:val="bottom"/>
          </w:tcPr>
          <w:p w14:paraId="00BAE8A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A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AB" w14:textId="77777777" w:rsidR="00871BDF" w:rsidRDefault="005C5088">
            <w:pPr>
              <w:jc w:val="right"/>
              <w:textAlignment w:val="bottom"/>
            </w:pPr>
            <w:r>
              <w:rPr>
                <w:rFonts w:ascii="Times New Roman" w:eastAsia="宋体" w:hAnsi="Times New Roman"/>
                <w:color w:val="000000"/>
                <w:sz w:val="20"/>
                <w:szCs w:val="20"/>
              </w:rPr>
              <w:t>(41.2)</w:t>
            </w:r>
          </w:p>
        </w:tc>
        <w:tc>
          <w:tcPr>
            <w:tcW w:w="0" w:type="auto"/>
            <w:shd w:val="clear" w:color="auto" w:fill="D7E4BC"/>
            <w:tcMar>
              <w:top w:w="40" w:type="dxa"/>
              <w:left w:w="0" w:type="dxa"/>
              <w:bottom w:w="40" w:type="dxa"/>
              <w:right w:w="20" w:type="dxa"/>
            </w:tcMar>
            <w:vAlign w:val="bottom"/>
          </w:tcPr>
          <w:p w14:paraId="00BAE8AC" w14:textId="77777777" w:rsidR="00871BDF" w:rsidRDefault="00871BDF">
            <w:pPr>
              <w:jc w:val="right"/>
              <w:rPr>
                <w:rFonts w:ascii="宋体"/>
              </w:rPr>
            </w:pPr>
          </w:p>
        </w:tc>
      </w:tr>
      <w:tr w:rsidR="00871BDF" w14:paraId="00BAE8B7" w14:textId="77777777">
        <w:trPr>
          <w:jc w:val="center"/>
        </w:trPr>
        <w:tc>
          <w:tcPr>
            <w:tcW w:w="0" w:type="auto"/>
            <w:gridSpan w:val="3"/>
            <w:shd w:val="clear" w:color="auto" w:fill="FFFFFF"/>
            <w:tcMar>
              <w:top w:w="40" w:type="dxa"/>
              <w:left w:w="740" w:type="dxa"/>
              <w:bottom w:w="40" w:type="dxa"/>
              <w:right w:w="20" w:type="dxa"/>
            </w:tcMar>
            <w:vAlign w:val="bottom"/>
          </w:tcPr>
          <w:p w14:paraId="00BAE8AE" w14:textId="77777777" w:rsidR="00871BDF" w:rsidRDefault="005C5088">
            <w:pPr>
              <w:textAlignment w:val="bottom"/>
            </w:pPr>
            <w:r>
              <w:rPr>
                <w:rFonts w:ascii="Times New Roman" w:eastAsia="宋体" w:hAnsi="Times New Roman"/>
                <w:color w:val="000000"/>
                <w:sz w:val="20"/>
                <w:szCs w:val="20"/>
              </w:rPr>
              <w:t xml:space="preserve">Prepaid expenses and other current </w:t>
            </w:r>
            <w:r>
              <w:rPr>
                <w:rFonts w:ascii="Times New Roman" w:eastAsia="宋体" w:hAnsi="Times New Roman"/>
                <w:color w:val="000000"/>
                <w:sz w:val="20"/>
                <w:szCs w:val="20"/>
              </w:rPr>
              <w:t>assets</w:t>
            </w:r>
          </w:p>
        </w:tc>
        <w:tc>
          <w:tcPr>
            <w:tcW w:w="0" w:type="auto"/>
            <w:gridSpan w:val="2"/>
            <w:shd w:val="clear" w:color="auto" w:fill="FFFFFF"/>
            <w:tcMar>
              <w:top w:w="40" w:type="dxa"/>
              <w:left w:w="20" w:type="dxa"/>
              <w:bottom w:w="40" w:type="dxa"/>
              <w:right w:w="0" w:type="dxa"/>
            </w:tcMar>
            <w:vAlign w:val="bottom"/>
          </w:tcPr>
          <w:p w14:paraId="00BAE8AF" w14:textId="77777777" w:rsidR="00871BDF" w:rsidRDefault="005C5088">
            <w:pPr>
              <w:jc w:val="right"/>
              <w:textAlignment w:val="bottom"/>
            </w:pPr>
            <w:r>
              <w:rPr>
                <w:rFonts w:ascii="Times New Roman" w:eastAsia="宋体" w:hAnsi="Times New Roman"/>
                <w:color w:val="000000"/>
                <w:sz w:val="20"/>
                <w:szCs w:val="20"/>
              </w:rPr>
              <w:t>(317.5)</w:t>
            </w:r>
          </w:p>
        </w:tc>
        <w:tc>
          <w:tcPr>
            <w:tcW w:w="0" w:type="auto"/>
            <w:shd w:val="clear" w:color="auto" w:fill="FFFFFF"/>
            <w:tcMar>
              <w:top w:w="40" w:type="dxa"/>
              <w:left w:w="0" w:type="dxa"/>
              <w:bottom w:w="40" w:type="dxa"/>
              <w:right w:w="20" w:type="dxa"/>
            </w:tcMar>
            <w:vAlign w:val="bottom"/>
          </w:tcPr>
          <w:p w14:paraId="00BAE8B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B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B2" w14:textId="77777777" w:rsidR="00871BDF" w:rsidRDefault="005C5088">
            <w:pPr>
              <w:jc w:val="right"/>
              <w:textAlignment w:val="bottom"/>
            </w:pPr>
            <w:r>
              <w:rPr>
                <w:rFonts w:ascii="Times New Roman" w:eastAsia="宋体" w:hAnsi="Times New Roman"/>
                <w:color w:val="000000"/>
                <w:sz w:val="20"/>
                <w:szCs w:val="20"/>
              </w:rPr>
              <w:t>922.0 </w:t>
            </w:r>
          </w:p>
        </w:tc>
        <w:tc>
          <w:tcPr>
            <w:tcW w:w="0" w:type="auto"/>
            <w:shd w:val="clear" w:color="auto" w:fill="FFFFFF"/>
            <w:tcMar>
              <w:top w:w="40" w:type="dxa"/>
              <w:left w:w="0" w:type="dxa"/>
              <w:bottom w:w="40" w:type="dxa"/>
              <w:right w:w="20" w:type="dxa"/>
            </w:tcMar>
            <w:vAlign w:val="bottom"/>
          </w:tcPr>
          <w:p w14:paraId="00BAE8B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B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B5" w14:textId="77777777" w:rsidR="00871BDF" w:rsidRDefault="005C5088">
            <w:pPr>
              <w:jc w:val="right"/>
              <w:textAlignment w:val="bottom"/>
            </w:pPr>
            <w:r>
              <w:rPr>
                <w:rFonts w:ascii="Times New Roman" w:eastAsia="宋体" w:hAnsi="Times New Roman"/>
                <w:color w:val="000000"/>
                <w:sz w:val="20"/>
                <w:szCs w:val="20"/>
              </w:rPr>
              <w:t>(839.5)</w:t>
            </w:r>
          </w:p>
        </w:tc>
        <w:tc>
          <w:tcPr>
            <w:tcW w:w="0" w:type="auto"/>
            <w:shd w:val="clear" w:color="auto" w:fill="FFFFFF"/>
            <w:tcMar>
              <w:top w:w="40" w:type="dxa"/>
              <w:left w:w="0" w:type="dxa"/>
              <w:bottom w:w="40" w:type="dxa"/>
              <w:right w:w="20" w:type="dxa"/>
            </w:tcMar>
            <w:vAlign w:val="bottom"/>
          </w:tcPr>
          <w:p w14:paraId="00BAE8B6" w14:textId="77777777" w:rsidR="00871BDF" w:rsidRDefault="00871BDF">
            <w:pPr>
              <w:jc w:val="right"/>
              <w:rPr>
                <w:rFonts w:ascii="宋体"/>
              </w:rPr>
            </w:pPr>
          </w:p>
        </w:tc>
      </w:tr>
      <w:tr w:rsidR="00871BDF" w14:paraId="00BAE8C1" w14:textId="77777777">
        <w:trPr>
          <w:jc w:val="center"/>
        </w:trPr>
        <w:tc>
          <w:tcPr>
            <w:tcW w:w="0" w:type="auto"/>
            <w:gridSpan w:val="3"/>
            <w:shd w:val="clear" w:color="auto" w:fill="D7E4BC"/>
            <w:tcMar>
              <w:top w:w="40" w:type="dxa"/>
              <w:left w:w="740" w:type="dxa"/>
              <w:bottom w:w="40" w:type="dxa"/>
              <w:right w:w="20" w:type="dxa"/>
            </w:tcMar>
            <w:vAlign w:val="bottom"/>
          </w:tcPr>
          <w:p w14:paraId="00BAE8B8" w14:textId="77777777" w:rsidR="00871BDF" w:rsidRDefault="005C5088">
            <w:pPr>
              <w:textAlignment w:val="bottom"/>
            </w:pPr>
            <w:r>
              <w:rPr>
                <w:rFonts w:ascii="Times New Roman" w:eastAsia="宋体" w:hAnsi="Times New Roman"/>
                <w:color w:val="000000"/>
                <w:sz w:val="20"/>
                <w:szCs w:val="20"/>
              </w:rPr>
              <w:t>Income taxes payable</w:t>
            </w:r>
          </w:p>
        </w:tc>
        <w:tc>
          <w:tcPr>
            <w:tcW w:w="0" w:type="auto"/>
            <w:gridSpan w:val="2"/>
            <w:shd w:val="clear" w:color="auto" w:fill="D7E4BC"/>
            <w:tcMar>
              <w:top w:w="40" w:type="dxa"/>
              <w:left w:w="20" w:type="dxa"/>
              <w:bottom w:w="40" w:type="dxa"/>
              <w:right w:w="0" w:type="dxa"/>
            </w:tcMar>
            <w:vAlign w:val="bottom"/>
          </w:tcPr>
          <w:p w14:paraId="00BAE8B9" w14:textId="77777777" w:rsidR="00871BDF" w:rsidRDefault="005C5088">
            <w:pPr>
              <w:jc w:val="right"/>
              <w:textAlignment w:val="bottom"/>
            </w:pPr>
            <w:r>
              <w:rPr>
                <w:rFonts w:ascii="Times New Roman" w:eastAsia="宋体" w:hAnsi="Times New Roman"/>
                <w:color w:val="000000"/>
                <w:sz w:val="20"/>
                <w:szCs w:val="20"/>
              </w:rPr>
              <w:t>(1,214.6)</w:t>
            </w:r>
          </w:p>
        </w:tc>
        <w:tc>
          <w:tcPr>
            <w:tcW w:w="0" w:type="auto"/>
            <w:shd w:val="clear" w:color="auto" w:fill="D7E4BC"/>
            <w:tcMar>
              <w:top w:w="40" w:type="dxa"/>
              <w:left w:w="0" w:type="dxa"/>
              <w:bottom w:w="40" w:type="dxa"/>
              <w:right w:w="20" w:type="dxa"/>
            </w:tcMar>
            <w:vAlign w:val="bottom"/>
          </w:tcPr>
          <w:p w14:paraId="00BAE8B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B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BC" w14:textId="77777777" w:rsidR="00871BDF" w:rsidRDefault="005C5088">
            <w:pPr>
              <w:jc w:val="right"/>
              <w:textAlignment w:val="bottom"/>
            </w:pPr>
            <w:r>
              <w:rPr>
                <w:rFonts w:ascii="Times New Roman" w:eastAsia="宋体" w:hAnsi="Times New Roman"/>
                <w:color w:val="000000"/>
                <w:sz w:val="20"/>
                <w:szCs w:val="20"/>
              </w:rPr>
              <w:t>1,237.1 </w:t>
            </w:r>
          </w:p>
        </w:tc>
        <w:tc>
          <w:tcPr>
            <w:tcW w:w="0" w:type="auto"/>
            <w:shd w:val="clear" w:color="auto" w:fill="D7E4BC"/>
            <w:tcMar>
              <w:top w:w="40" w:type="dxa"/>
              <w:left w:w="0" w:type="dxa"/>
              <w:bottom w:w="40" w:type="dxa"/>
              <w:right w:w="20" w:type="dxa"/>
            </w:tcMar>
            <w:vAlign w:val="bottom"/>
          </w:tcPr>
          <w:p w14:paraId="00BAE8B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B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BF" w14:textId="77777777" w:rsidR="00871BDF" w:rsidRDefault="005C5088">
            <w:pPr>
              <w:jc w:val="right"/>
              <w:textAlignment w:val="bottom"/>
            </w:pPr>
            <w:r>
              <w:rPr>
                <w:rFonts w:ascii="Times New Roman" w:eastAsia="宋体" w:hAnsi="Times New Roman"/>
                <w:color w:val="000000"/>
                <w:sz w:val="20"/>
                <w:szCs w:val="20"/>
              </w:rPr>
              <w:t>146.0 </w:t>
            </w:r>
          </w:p>
        </w:tc>
        <w:tc>
          <w:tcPr>
            <w:tcW w:w="0" w:type="auto"/>
            <w:shd w:val="clear" w:color="auto" w:fill="D7E4BC"/>
            <w:tcMar>
              <w:top w:w="40" w:type="dxa"/>
              <w:left w:w="0" w:type="dxa"/>
              <w:bottom w:w="40" w:type="dxa"/>
              <w:right w:w="20" w:type="dxa"/>
            </w:tcMar>
            <w:vAlign w:val="bottom"/>
          </w:tcPr>
          <w:p w14:paraId="00BAE8C0" w14:textId="77777777" w:rsidR="00871BDF" w:rsidRDefault="00871BDF">
            <w:pPr>
              <w:jc w:val="right"/>
              <w:rPr>
                <w:rFonts w:ascii="宋体"/>
              </w:rPr>
            </w:pPr>
          </w:p>
        </w:tc>
      </w:tr>
      <w:tr w:rsidR="00871BDF" w14:paraId="00BAE8CB" w14:textId="77777777">
        <w:trPr>
          <w:jc w:val="center"/>
        </w:trPr>
        <w:tc>
          <w:tcPr>
            <w:tcW w:w="0" w:type="auto"/>
            <w:gridSpan w:val="3"/>
            <w:shd w:val="clear" w:color="auto" w:fill="FFFFFF"/>
            <w:tcMar>
              <w:top w:w="40" w:type="dxa"/>
              <w:left w:w="740" w:type="dxa"/>
              <w:bottom w:w="40" w:type="dxa"/>
              <w:right w:w="20" w:type="dxa"/>
            </w:tcMar>
            <w:vAlign w:val="bottom"/>
          </w:tcPr>
          <w:p w14:paraId="00BAE8C2" w14:textId="77777777" w:rsidR="00871BDF" w:rsidRDefault="005C5088">
            <w:pPr>
              <w:textAlignment w:val="bottom"/>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00BAE8C3" w14:textId="77777777" w:rsidR="00871BDF" w:rsidRDefault="005C5088">
            <w:pPr>
              <w:jc w:val="right"/>
              <w:textAlignment w:val="bottom"/>
            </w:pPr>
            <w:r>
              <w:rPr>
                <w:rFonts w:ascii="Times New Roman" w:eastAsia="宋体" w:hAnsi="Times New Roman"/>
                <w:color w:val="000000"/>
                <w:sz w:val="20"/>
                <w:szCs w:val="20"/>
              </w:rPr>
              <w:t>(210.8)</w:t>
            </w:r>
          </w:p>
        </w:tc>
        <w:tc>
          <w:tcPr>
            <w:tcW w:w="0" w:type="auto"/>
            <w:shd w:val="clear" w:color="auto" w:fill="FFFFFF"/>
            <w:tcMar>
              <w:top w:w="40" w:type="dxa"/>
              <w:left w:w="0" w:type="dxa"/>
              <w:bottom w:w="40" w:type="dxa"/>
              <w:right w:w="20" w:type="dxa"/>
            </w:tcMar>
            <w:vAlign w:val="bottom"/>
          </w:tcPr>
          <w:p w14:paraId="00BAE8C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C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C6" w14:textId="77777777" w:rsidR="00871BDF" w:rsidRDefault="005C5088">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00BAE8C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C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C9" w14:textId="77777777" w:rsidR="00871BDF" w:rsidRDefault="005C5088">
            <w:pPr>
              <w:jc w:val="right"/>
              <w:textAlignment w:val="bottom"/>
            </w:pPr>
            <w:r>
              <w:rPr>
                <w:rFonts w:ascii="Times New Roman" w:eastAsia="宋体" w:hAnsi="Times New Roman"/>
                <w:color w:val="000000"/>
                <w:sz w:val="20"/>
                <w:szCs w:val="20"/>
              </w:rPr>
              <w:t>391.6 </w:t>
            </w:r>
          </w:p>
        </w:tc>
        <w:tc>
          <w:tcPr>
            <w:tcW w:w="0" w:type="auto"/>
            <w:shd w:val="clear" w:color="auto" w:fill="FFFFFF"/>
            <w:tcMar>
              <w:top w:w="40" w:type="dxa"/>
              <w:left w:w="0" w:type="dxa"/>
              <w:bottom w:w="40" w:type="dxa"/>
              <w:right w:w="20" w:type="dxa"/>
            </w:tcMar>
            <w:vAlign w:val="bottom"/>
          </w:tcPr>
          <w:p w14:paraId="00BAE8CA" w14:textId="77777777" w:rsidR="00871BDF" w:rsidRDefault="00871BDF">
            <w:pPr>
              <w:jc w:val="right"/>
              <w:rPr>
                <w:rFonts w:ascii="宋体"/>
              </w:rPr>
            </w:pPr>
          </w:p>
        </w:tc>
      </w:tr>
      <w:tr w:rsidR="00871BDF" w14:paraId="00BAE8D2" w14:textId="77777777">
        <w:trPr>
          <w:jc w:val="center"/>
          <w:hidden/>
        </w:trPr>
        <w:tc>
          <w:tcPr>
            <w:tcW w:w="0" w:type="auto"/>
            <w:gridSpan w:val="3"/>
            <w:shd w:val="clear" w:color="auto" w:fill="auto"/>
          </w:tcPr>
          <w:p w14:paraId="00BAE8CC" w14:textId="77777777" w:rsidR="00871BDF" w:rsidRDefault="00871BDF">
            <w:pPr>
              <w:rPr>
                <w:rFonts w:ascii="宋体"/>
                <w:vanish/>
              </w:rPr>
            </w:pPr>
          </w:p>
        </w:tc>
        <w:tc>
          <w:tcPr>
            <w:tcW w:w="0" w:type="auto"/>
            <w:gridSpan w:val="3"/>
            <w:shd w:val="clear" w:color="auto" w:fill="auto"/>
          </w:tcPr>
          <w:p w14:paraId="00BAE8CD" w14:textId="77777777" w:rsidR="00871BDF" w:rsidRDefault="00871BDF">
            <w:pPr>
              <w:rPr>
                <w:rFonts w:ascii="宋体"/>
                <w:vanish/>
              </w:rPr>
            </w:pPr>
          </w:p>
        </w:tc>
        <w:tc>
          <w:tcPr>
            <w:tcW w:w="0" w:type="auto"/>
            <w:gridSpan w:val="3"/>
            <w:shd w:val="clear" w:color="auto" w:fill="auto"/>
          </w:tcPr>
          <w:p w14:paraId="00BAE8CE" w14:textId="77777777" w:rsidR="00871BDF" w:rsidRDefault="00871BDF">
            <w:pPr>
              <w:rPr>
                <w:rFonts w:ascii="宋体"/>
                <w:vanish/>
              </w:rPr>
            </w:pPr>
          </w:p>
        </w:tc>
        <w:tc>
          <w:tcPr>
            <w:tcW w:w="0" w:type="auto"/>
            <w:gridSpan w:val="3"/>
            <w:shd w:val="clear" w:color="auto" w:fill="auto"/>
          </w:tcPr>
          <w:p w14:paraId="00BAE8CF" w14:textId="77777777" w:rsidR="00871BDF" w:rsidRDefault="00871BDF">
            <w:pPr>
              <w:rPr>
                <w:rFonts w:ascii="宋体"/>
                <w:vanish/>
              </w:rPr>
            </w:pPr>
          </w:p>
        </w:tc>
        <w:tc>
          <w:tcPr>
            <w:tcW w:w="0" w:type="auto"/>
            <w:gridSpan w:val="3"/>
            <w:shd w:val="clear" w:color="auto" w:fill="auto"/>
          </w:tcPr>
          <w:p w14:paraId="00BAE8D0" w14:textId="77777777" w:rsidR="00871BDF" w:rsidRDefault="00871BDF">
            <w:pPr>
              <w:rPr>
                <w:rFonts w:ascii="宋体"/>
                <w:vanish/>
              </w:rPr>
            </w:pPr>
          </w:p>
        </w:tc>
        <w:tc>
          <w:tcPr>
            <w:tcW w:w="0" w:type="auto"/>
            <w:gridSpan w:val="3"/>
            <w:shd w:val="clear" w:color="auto" w:fill="auto"/>
          </w:tcPr>
          <w:p w14:paraId="00BAE8D1" w14:textId="77777777" w:rsidR="00871BDF" w:rsidRDefault="00871BDF">
            <w:pPr>
              <w:rPr>
                <w:rFonts w:ascii="宋体"/>
                <w:vanish/>
              </w:rPr>
            </w:pPr>
          </w:p>
        </w:tc>
      </w:tr>
      <w:tr w:rsidR="00871BDF" w14:paraId="00BAE8DC" w14:textId="77777777">
        <w:trPr>
          <w:jc w:val="center"/>
        </w:trPr>
        <w:tc>
          <w:tcPr>
            <w:tcW w:w="0" w:type="auto"/>
            <w:gridSpan w:val="3"/>
            <w:shd w:val="clear" w:color="auto" w:fill="D7E4BC"/>
            <w:tcMar>
              <w:top w:w="40" w:type="dxa"/>
              <w:left w:w="740" w:type="dxa"/>
              <w:bottom w:w="40" w:type="dxa"/>
              <w:right w:w="20" w:type="dxa"/>
            </w:tcMar>
            <w:vAlign w:val="bottom"/>
          </w:tcPr>
          <w:p w14:paraId="00BAE8D3" w14:textId="77777777" w:rsidR="00871BDF" w:rsidRDefault="005C5088">
            <w:pPr>
              <w:textAlignment w:val="bottom"/>
            </w:pPr>
            <w:r>
              <w:rPr>
                <w:rFonts w:ascii="Times New Roman" w:eastAsia="宋体" w:hAnsi="Times New Roman"/>
                <w:color w:val="000000"/>
                <w:sz w:val="20"/>
                <w:szCs w:val="20"/>
              </w:rPr>
              <w:t>Deferred revenue</w:t>
            </w:r>
          </w:p>
        </w:tc>
        <w:tc>
          <w:tcPr>
            <w:tcW w:w="0" w:type="auto"/>
            <w:gridSpan w:val="2"/>
            <w:shd w:val="clear" w:color="auto" w:fill="D7E4BC"/>
            <w:tcMar>
              <w:top w:w="40" w:type="dxa"/>
              <w:left w:w="20" w:type="dxa"/>
              <w:bottom w:w="40" w:type="dxa"/>
              <w:right w:w="0" w:type="dxa"/>
            </w:tcMar>
            <w:vAlign w:val="bottom"/>
          </w:tcPr>
          <w:p w14:paraId="00BAE8D4" w14:textId="77777777" w:rsidR="00871BDF" w:rsidRDefault="005C5088">
            <w:pPr>
              <w:jc w:val="right"/>
              <w:textAlignment w:val="bottom"/>
            </w:pPr>
            <w:r>
              <w:rPr>
                <w:rFonts w:ascii="Times New Roman" w:eastAsia="宋体" w:hAnsi="Times New Roman"/>
                <w:color w:val="000000"/>
                <w:sz w:val="20"/>
                <w:szCs w:val="20"/>
              </w:rPr>
              <w:t>31.0 </w:t>
            </w:r>
          </w:p>
        </w:tc>
        <w:tc>
          <w:tcPr>
            <w:tcW w:w="0" w:type="auto"/>
            <w:shd w:val="clear" w:color="auto" w:fill="D7E4BC"/>
            <w:tcMar>
              <w:top w:w="40" w:type="dxa"/>
              <w:left w:w="0" w:type="dxa"/>
              <w:bottom w:w="40" w:type="dxa"/>
              <w:right w:w="20" w:type="dxa"/>
            </w:tcMar>
            <w:vAlign w:val="bottom"/>
          </w:tcPr>
          <w:p w14:paraId="00BAE8D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D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D7" w14:textId="77777777" w:rsidR="00871BDF" w:rsidRDefault="005C5088">
            <w:pPr>
              <w:jc w:val="right"/>
              <w:textAlignment w:val="bottom"/>
            </w:pPr>
            <w:r>
              <w:rPr>
                <w:rFonts w:ascii="Times New Roman" w:eastAsia="宋体" w:hAnsi="Times New Roman"/>
                <w:color w:val="000000"/>
                <w:sz w:val="20"/>
                <w:szCs w:val="20"/>
              </w:rPr>
              <w:t>(30.5)</w:t>
            </w:r>
          </w:p>
        </w:tc>
        <w:tc>
          <w:tcPr>
            <w:tcW w:w="0" w:type="auto"/>
            <w:shd w:val="clear" w:color="auto" w:fill="D7E4BC"/>
            <w:tcMar>
              <w:top w:w="40" w:type="dxa"/>
              <w:left w:w="0" w:type="dxa"/>
              <w:bottom w:w="40" w:type="dxa"/>
              <w:right w:w="20" w:type="dxa"/>
            </w:tcMar>
            <w:vAlign w:val="bottom"/>
          </w:tcPr>
          <w:p w14:paraId="00BAE8D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D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DA" w14:textId="77777777" w:rsidR="00871BDF" w:rsidRDefault="005C5088">
            <w:pPr>
              <w:jc w:val="right"/>
              <w:textAlignment w:val="bottom"/>
            </w:pPr>
            <w:r>
              <w:rPr>
                <w:rFonts w:ascii="Times New Roman" w:eastAsia="宋体" w:hAnsi="Times New Roman"/>
                <w:color w:val="000000"/>
                <w:sz w:val="20"/>
                <w:szCs w:val="20"/>
              </w:rPr>
              <w:t>7,109.4 </w:t>
            </w:r>
          </w:p>
        </w:tc>
        <w:tc>
          <w:tcPr>
            <w:tcW w:w="0" w:type="auto"/>
            <w:shd w:val="clear" w:color="auto" w:fill="D7E4BC"/>
            <w:tcMar>
              <w:top w:w="40" w:type="dxa"/>
              <w:left w:w="0" w:type="dxa"/>
              <w:bottom w:w="40" w:type="dxa"/>
              <w:right w:w="20" w:type="dxa"/>
            </w:tcMar>
            <w:vAlign w:val="bottom"/>
          </w:tcPr>
          <w:p w14:paraId="00BAE8DB" w14:textId="77777777" w:rsidR="00871BDF" w:rsidRDefault="00871BDF">
            <w:pPr>
              <w:jc w:val="right"/>
              <w:rPr>
                <w:rFonts w:ascii="宋体"/>
              </w:rPr>
            </w:pPr>
          </w:p>
        </w:tc>
      </w:tr>
      <w:tr w:rsidR="00871BDF" w14:paraId="00BAE8E6" w14:textId="77777777">
        <w:trPr>
          <w:jc w:val="center"/>
        </w:trPr>
        <w:tc>
          <w:tcPr>
            <w:tcW w:w="0" w:type="auto"/>
            <w:gridSpan w:val="3"/>
            <w:shd w:val="clear" w:color="auto" w:fill="FFFFFF"/>
            <w:tcMar>
              <w:top w:w="40" w:type="dxa"/>
              <w:left w:w="740" w:type="dxa"/>
              <w:bottom w:w="40" w:type="dxa"/>
              <w:right w:w="20" w:type="dxa"/>
            </w:tcMar>
          </w:tcPr>
          <w:p w14:paraId="00BAE8DD" w14:textId="77777777" w:rsidR="00871BDF" w:rsidRDefault="005C5088">
            <w:pPr>
              <w:textAlignment w:val="top"/>
            </w:pPr>
            <w:r>
              <w:rPr>
                <w:rFonts w:ascii="Times New Roman" w:eastAsia="宋体" w:hAnsi="Times New Roman"/>
                <w:color w:val="000000"/>
                <w:sz w:val="20"/>
                <w:szCs w:val="20"/>
              </w:rPr>
              <w:t>Operating lease liability</w:t>
            </w:r>
          </w:p>
        </w:tc>
        <w:tc>
          <w:tcPr>
            <w:tcW w:w="0" w:type="auto"/>
            <w:gridSpan w:val="2"/>
            <w:shd w:val="clear" w:color="auto" w:fill="FFFFFF"/>
            <w:tcMar>
              <w:top w:w="40" w:type="dxa"/>
              <w:left w:w="20" w:type="dxa"/>
              <w:bottom w:w="40" w:type="dxa"/>
              <w:right w:w="0" w:type="dxa"/>
            </w:tcMar>
            <w:vAlign w:val="bottom"/>
          </w:tcPr>
          <w:p w14:paraId="00BAE8DE" w14:textId="77777777" w:rsidR="00871BDF" w:rsidRDefault="005C5088">
            <w:pPr>
              <w:jc w:val="right"/>
              <w:textAlignment w:val="bottom"/>
            </w:pPr>
            <w:r>
              <w:rPr>
                <w:rFonts w:ascii="Times New Roman" w:eastAsia="宋体" w:hAnsi="Times New Roman"/>
                <w:color w:val="000000"/>
                <w:sz w:val="20"/>
                <w:szCs w:val="20"/>
              </w:rPr>
              <w:t>(1,231.4)</w:t>
            </w:r>
          </w:p>
        </w:tc>
        <w:tc>
          <w:tcPr>
            <w:tcW w:w="0" w:type="auto"/>
            <w:shd w:val="clear" w:color="auto" w:fill="FFFFFF"/>
            <w:tcMar>
              <w:top w:w="40" w:type="dxa"/>
              <w:left w:w="0" w:type="dxa"/>
              <w:bottom w:w="40" w:type="dxa"/>
              <w:right w:w="20" w:type="dxa"/>
            </w:tcMar>
            <w:vAlign w:val="bottom"/>
          </w:tcPr>
          <w:p w14:paraId="00BAE8D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E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E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8E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E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8E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8E5" w14:textId="77777777" w:rsidR="00871BDF" w:rsidRDefault="00871BDF">
            <w:pPr>
              <w:jc w:val="right"/>
              <w:rPr>
                <w:rFonts w:ascii="宋体"/>
              </w:rPr>
            </w:pPr>
          </w:p>
        </w:tc>
      </w:tr>
      <w:tr w:rsidR="00871BDF" w14:paraId="00BAE8F0" w14:textId="77777777">
        <w:trPr>
          <w:jc w:val="center"/>
        </w:trPr>
        <w:tc>
          <w:tcPr>
            <w:tcW w:w="0" w:type="auto"/>
            <w:gridSpan w:val="3"/>
            <w:shd w:val="clear" w:color="auto" w:fill="D7E4BC"/>
            <w:tcMar>
              <w:top w:w="40" w:type="dxa"/>
              <w:left w:w="740" w:type="dxa"/>
              <w:bottom w:w="40" w:type="dxa"/>
              <w:right w:w="20" w:type="dxa"/>
            </w:tcMar>
            <w:vAlign w:val="bottom"/>
          </w:tcPr>
          <w:p w14:paraId="00BAE8E7" w14:textId="77777777" w:rsidR="00871BDF" w:rsidRDefault="005C5088">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operating assets and liabilities</w:t>
            </w:r>
          </w:p>
        </w:tc>
        <w:tc>
          <w:tcPr>
            <w:tcW w:w="0" w:type="auto"/>
            <w:gridSpan w:val="2"/>
            <w:shd w:val="clear" w:color="auto" w:fill="D7E4BC"/>
            <w:tcMar>
              <w:top w:w="40" w:type="dxa"/>
              <w:left w:w="20" w:type="dxa"/>
              <w:bottom w:w="40" w:type="dxa"/>
              <w:right w:w="0" w:type="dxa"/>
            </w:tcMar>
            <w:vAlign w:val="bottom"/>
          </w:tcPr>
          <w:p w14:paraId="00BAE8E8" w14:textId="77777777" w:rsidR="00871BDF" w:rsidRDefault="005C5088">
            <w:pPr>
              <w:jc w:val="right"/>
              <w:textAlignment w:val="bottom"/>
            </w:pPr>
            <w:r>
              <w:rPr>
                <w:rFonts w:ascii="Times New Roman" w:eastAsia="宋体" w:hAnsi="Times New Roman"/>
                <w:color w:val="000000"/>
                <w:sz w:val="20"/>
                <w:szCs w:val="20"/>
              </w:rPr>
              <w:t>280.5 </w:t>
            </w:r>
          </w:p>
        </w:tc>
        <w:tc>
          <w:tcPr>
            <w:tcW w:w="0" w:type="auto"/>
            <w:shd w:val="clear" w:color="auto" w:fill="D7E4BC"/>
            <w:tcMar>
              <w:top w:w="40" w:type="dxa"/>
              <w:left w:w="0" w:type="dxa"/>
              <w:bottom w:w="40" w:type="dxa"/>
              <w:right w:w="20" w:type="dxa"/>
            </w:tcMar>
            <w:vAlign w:val="bottom"/>
          </w:tcPr>
          <w:p w14:paraId="00BAE8E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E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EB" w14:textId="77777777" w:rsidR="00871BDF" w:rsidRDefault="005C5088">
            <w:pPr>
              <w:jc w:val="right"/>
              <w:textAlignment w:val="bottom"/>
            </w:pPr>
            <w:r>
              <w:rPr>
                <w:rFonts w:ascii="Times New Roman" w:eastAsia="宋体" w:hAnsi="Times New Roman"/>
                <w:color w:val="000000"/>
                <w:sz w:val="20"/>
                <w:szCs w:val="20"/>
              </w:rPr>
              <w:t>(141.1)</w:t>
            </w:r>
          </w:p>
        </w:tc>
        <w:tc>
          <w:tcPr>
            <w:tcW w:w="0" w:type="auto"/>
            <w:shd w:val="clear" w:color="auto" w:fill="D7E4BC"/>
            <w:tcMar>
              <w:top w:w="40" w:type="dxa"/>
              <w:left w:w="0" w:type="dxa"/>
              <w:bottom w:w="40" w:type="dxa"/>
              <w:right w:w="20" w:type="dxa"/>
            </w:tcMar>
            <w:vAlign w:val="bottom"/>
          </w:tcPr>
          <w:p w14:paraId="00BAE8E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8E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8EE" w14:textId="77777777" w:rsidR="00871BDF" w:rsidRDefault="005C5088">
            <w:pPr>
              <w:jc w:val="right"/>
              <w:textAlignment w:val="bottom"/>
            </w:pPr>
            <w:r>
              <w:rPr>
                <w:rFonts w:ascii="Times New Roman" w:eastAsia="宋体" w:hAnsi="Times New Roman"/>
                <w:color w:val="000000"/>
                <w:sz w:val="20"/>
                <w:szCs w:val="20"/>
              </w:rPr>
              <w:t>16.4 </w:t>
            </w:r>
          </w:p>
        </w:tc>
        <w:tc>
          <w:tcPr>
            <w:tcW w:w="0" w:type="auto"/>
            <w:shd w:val="clear" w:color="auto" w:fill="D7E4BC"/>
            <w:tcMar>
              <w:top w:w="40" w:type="dxa"/>
              <w:left w:w="0" w:type="dxa"/>
              <w:bottom w:w="40" w:type="dxa"/>
              <w:right w:w="20" w:type="dxa"/>
            </w:tcMar>
            <w:vAlign w:val="bottom"/>
          </w:tcPr>
          <w:p w14:paraId="00BAE8EF" w14:textId="77777777" w:rsidR="00871BDF" w:rsidRDefault="00871BDF">
            <w:pPr>
              <w:jc w:val="right"/>
              <w:rPr>
                <w:rFonts w:ascii="宋体"/>
              </w:rPr>
            </w:pPr>
          </w:p>
        </w:tc>
      </w:tr>
      <w:tr w:rsidR="00871BDF" w14:paraId="00BAE8FA" w14:textId="77777777">
        <w:trPr>
          <w:jc w:val="center"/>
        </w:trPr>
        <w:tc>
          <w:tcPr>
            <w:tcW w:w="0" w:type="auto"/>
            <w:gridSpan w:val="3"/>
            <w:shd w:val="clear" w:color="auto" w:fill="FFFFFF"/>
            <w:tcMar>
              <w:top w:w="40" w:type="dxa"/>
              <w:left w:w="20" w:type="dxa"/>
              <w:bottom w:w="40" w:type="dxa"/>
              <w:right w:w="20" w:type="dxa"/>
            </w:tcMar>
            <w:vAlign w:val="bottom"/>
          </w:tcPr>
          <w:p w14:paraId="00BAE8F1" w14:textId="77777777" w:rsidR="00871BDF" w:rsidRDefault="005C5088">
            <w:pPr>
              <w:textAlignment w:val="bottom"/>
            </w:pPr>
            <w:r>
              <w:rPr>
                <w:rFonts w:ascii="Times New Roman" w:eastAsia="宋体" w:hAnsi="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8F2" w14:textId="77777777" w:rsidR="00871BDF" w:rsidRDefault="005C5088">
            <w:pPr>
              <w:jc w:val="right"/>
              <w:textAlignment w:val="bottom"/>
            </w:pPr>
            <w:r>
              <w:rPr>
                <w:rFonts w:ascii="Times New Roman" w:eastAsia="宋体" w:hAnsi="Times New Roman"/>
                <w:color w:val="000000"/>
                <w:sz w:val="20"/>
                <w:szCs w:val="20"/>
              </w:rPr>
              <w:t>1,597.8 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8F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F4"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8F5" w14:textId="77777777" w:rsidR="00871BDF" w:rsidRDefault="005C5088">
            <w:pPr>
              <w:jc w:val="right"/>
              <w:textAlignment w:val="bottom"/>
            </w:pPr>
            <w:r>
              <w:rPr>
                <w:rFonts w:ascii="Times New Roman" w:eastAsia="宋体" w:hAnsi="Times New Roman"/>
                <w:color w:val="000000"/>
                <w:sz w:val="20"/>
                <w:szCs w:val="20"/>
              </w:rPr>
              <w:t>5,047.0 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8F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8F7"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8F8" w14:textId="77777777" w:rsidR="00871BDF" w:rsidRDefault="005C5088">
            <w:pPr>
              <w:jc w:val="right"/>
              <w:textAlignment w:val="bottom"/>
            </w:pPr>
            <w:r>
              <w:rPr>
                <w:rFonts w:ascii="Times New Roman" w:eastAsia="宋体" w:hAnsi="Times New Roman"/>
                <w:color w:val="000000"/>
                <w:sz w:val="20"/>
                <w:szCs w:val="20"/>
              </w:rPr>
              <w:t>11,937.8 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8F9" w14:textId="77777777" w:rsidR="00871BDF" w:rsidRDefault="00871BDF">
            <w:pPr>
              <w:jc w:val="right"/>
              <w:rPr>
                <w:rFonts w:ascii="宋体"/>
              </w:rPr>
            </w:pPr>
          </w:p>
        </w:tc>
      </w:tr>
      <w:tr w:rsidR="00871BDF" w14:paraId="00BAE901" w14:textId="77777777">
        <w:trPr>
          <w:jc w:val="center"/>
        </w:trPr>
        <w:tc>
          <w:tcPr>
            <w:tcW w:w="0" w:type="auto"/>
            <w:gridSpan w:val="3"/>
            <w:shd w:val="clear" w:color="auto" w:fill="D7E4BC"/>
            <w:tcMar>
              <w:top w:w="40" w:type="dxa"/>
              <w:left w:w="20" w:type="dxa"/>
              <w:bottom w:w="40" w:type="dxa"/>
              <w:right w:w="20" w:type="dxa"/>
            </w:tcMar>
            <w:vAlign w:val="bottom"/>
          </w:tcPr>
          <w:p w14:paraId="00BAE8FB" w14:textId="77777777" w:rsidR="00871BDF" w:rsidRDefault="005C5088">
            <w:pPr>
              <w:textAlignment w:val="bottom"/>
            </w:pPr>
            <w:r>
              <w:rPr>
                <w:rFonts w:ascii="Times New Roman" w:eastAsia="宋体" w:hAnsi="Times New Roman"/>
                <w:color w:val="000000"/>
                <w:sz w:val="20"/>
                <w:szCs w:val="20"/>
              </w:rPr>
              <w:t xml:space="preserve">INVESTING </w:t>
            </w:r>
            <w:r>
              <w:rPr>
                <w:rFonts w:ascii="Times New Roman" w:eastAsia="宋体" w:hAnsi="Times New Roman"/>
                <w:color w:val="000000"/>
                <w:sz w:val="20"/>
                <w:szCs w:val="20"/>
              </w:rPr>
              <w:t>ACTIVITIES:</w:t>
            </w:r>
          </w:p>
        </w:tc>
        <w:tc>
          <w:tcPr>
            <w:tcW w:w="0" w:type="auto"/>
            <w:gridSpan w:val="3"/>
            <w:shd w:val="clear" w:color="auto" w:fill="D7E4BC"/>
            <w:tcMar>
              <w:top w:w="0" w:type="dxa"/>
              <w:left w:w="20" w:type="dxa"/>
              <w:bottom w:w="0" w:type="dxa"/>
              <w:right w:w="20" w:type="dxa"/>
            </w:tcMar>
          </w:tcPr>
          <w:p w14:paraId="00BAE8F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8F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8F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8F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900" w14:textId="77777777" w:rsidR="00871BDF" w:rsidRDefault="00871BDF">
            <w:pPr>
              <w:rPr>
                <w:rFonts w:ascii="宋体"/>
              </w:rPr>
            </w:pPr>
          </w:p>
        </w:tc>
      </w:tr>
      <w:tr w:rsidR="00871BDF" w14:paraId="00BAE90B" w14:textId="77777777">
        <w:trPr>
          <w:jc w:val="center"/>
        </w:trPr>
        <w:tc>
          <w:tcPr>
            <w:tcW w:w="0" w:type="auto"/>
            <w:gridSpan w:val="3"/>
            <w:shd w:val="clear" w:color="auto" w:fill="FFFFFF"/>
            <w:tcMar>
              <w:top w:w="40" w:type="dxa"/>
              <w:left w:w="20" w:type="dxa"/>
              <w:bottom w:w="40" w:type="dxa"/>
              <w:right w:w="20" w:type="dxa"/>
            </w:tcMar>
            <w:vAlign w:val="bottom"/>
          </w:tcPr>
          <w:p w14:paraId="00BAE902" w14:textId="77777777" w:rsidR="00871BDF" w:rsidRDefault="005C5088">
            <w:pPr>
              <w:textAlignment w:val="bottom"/>
            </w:pPr>
            <w:r>
              <w:rPr>
                <w:rFonts w:ascii="Times New Roman" w:eastAsia="宋体" w:hAnsi="Times New Roman"/>
                <w:color w:val="000000"/>
                <w:sz w:val="20"/>
                <w:szCs w:val="20"/>
              </w:rPr>
              <w:t>Purchases of investments</w:t>
            </w:r>
          </w:p>
        </w:tc>
        <w:tc>
          <w:tcPr>
            <w:tcW w:w="0" w:type="auto"/>
            <w:gridSpan w:val="2"/>
            <w:shd w:val="clear" w:color="auto" w:fill="FFFFFF"/>
            <w:tcMar>
              <w:top w:w="40" w:type="dxa"/>
              <w:left w:w="20" w:type="dxa"/>
              <w:bottom w:w="40" w:type="dxa"/>
              <w:right w:w="0" w:type="dxa"/>
            </w:tcMar>
            <w:vAlign w:val="bottom"/>
          </w:tcPr>
          <w:p w14:paraId="00BAE903" w14:textId="77777777" w:rsidR="00871BDF" w:rsidRDefault="005C5088">
            <w:pPr>
              <w:jc w:val="right"/>
              <w:textAlignment w:val="bottom"/>
            </w:pPr>
            <w:r>
              <w:rPr>
                <w:rFonts w:ascii="Times New Roman" w:eastAsia="宋体" w:hAnsi="Times New Roman"/>
                <w:color w:val="000000"/>
                <w:sz w:val="20"/>
                <w:szCs w:val="20"/>
              </w:rPr>
              <w:t>(443.9)</w:t>
            </w:r>
          </w:p>
        </w:tc>
        <w:tc>
          <w:tcPr>
            <w:tcW w:w="0" w:type="auto"/>
            <w:shd w:val="clear" w:color="auto" w:fill="FFFFFF"/>
            <w:tcMar>
              <w:top w:w="40" w:type="dxa"/>
              <w:left w:w="0" w:type="dxa"/>
              <w:bottom w:w="40" w:type="dxa"/>
              <w:right w:w="20" w:type="dxa"/>
            </w:tcMar>
            <w:vAlign w:val="bottom"/>
          </w:tcPr>
          <w:p w14:paraId="00BAE90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0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06" w14:textId="77777777" w:rsidR="00871BDF" w:rsidRDefault="005C5088">
            <w:pPr>
              <w:jc w:val="right"/>
              <w:textAlignment w:val="bottom"/>
            </w:pPr>
            <w:r>
              <w:rPr>
                <w:rFonts w:ascii="Times New Roman" w:eastAsia="宋体" w:hAnsi="Times New Roman"/>
                <w:color w:val="000000"/>
                <w:sz w:val="20"/>
                <w:szCs w:val="20"/>
              </w:rPr>
              <w:t>(190.4)</w:t>
            </w:r>
          </w:p>
        </w:tc>
        <w:tc>
          <w:tcPr>
            <w:tcW w:w="0" w:type="auto"/>
            <w:shd w:val="clear" w:color="auto" w:fill="FFFFFF"/>
            <w:tcMar>
              <w:top w:w="40" w:type="dxa"/>
              <w:left w:w="0" w:type="dxa"/>
              <w:bottom w:w="40" w:type="dxa"/>
              <w:right w:w="20" w:type="dxa"/>
            </w:tcMar>
            <w:vAlign w:val="bottom"/>
          </w:tcPr>
          <w:p w14:paraId="00BAE90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0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09" w14:textId="77777777" w:rsidR="00871BDF" w:rsidRDefault="005C5088">
            <w:pPr>
              <w:jc w:val="right"/>
              <w:textAlignment w:val="bottom"/>
            </w:pPr>
            <w:r>
              <w:rPr>
                <w:rFonts w:ascii="Times New Roman" w:eastAsia="宋体" w:hAnsi="Times New Roman"/>
                <w:color w:val="000000"/>
                <w:sz w:val="20"/>
                <w:szCs w:val="20"/>
              </w:rPr>
              <w:t>(191.9)</w:t>
            </w:r>
          </w:p>
        </w:tc>
        <w:tc>
          <w:tcPr>
            <w:tcW w:w="0" w:type="auto"/>
            <w:shd w:val="clear" w:color="auto" w:fill="FFFFFF"/>
            <w:tcMar>
              <w:top w:w="40" w:type="dxa"/>
              <w:left w:w="0" w:type="dxa"/>
              <w:bottom w:w="40" w:type="dxa"/>
              <w:right w:w="20" w:type="dxa"/>
            </w:tcMar>
            <w:vAlign w:val="bottom"/>
          </w:tcPr>
          <w:p w14:paraId="00BAE90A" w14:textId="77777777" w:rsidR="00871BDF" w:rsidRDefault="00871BDF">
            <w:pPr>
              <w:jc w:val="right"/>
              <w:rPr>
                <w:rFonts w:ascii="宋体"/>
              </w:rPr>
            </w:pPr>
          </w:p>
        </w:tc>
      </w:tr>
      <w:tr w:rsidR="00871BDF" w14:paraId="00BAE915" w14:textId="77777777">
        <w:trPr>
          <w:jc w:val="center"/>
        </w:trPr>
        <w:tc>
          <w:tcPr>
            <w:tcW w:w="0" w:type="auto"/>
            <w:gridSpan w:val="3"/>
            <w:shd w:val="clear" w:color="auto" w:fill="D7E4BC"/>
            <w:tcMar>
              <w:top w:w="40" w:type="dxa"/>
              <w:left w:w="20" w:type="dxa"/>
              <w:bottom w:w="40" w:type="dxa"/>
              <w:right w:w="20" w:type="dxa"/>
            </w:tcMar>
            <w:vAlign w:val="bottom"/>
          </w:tcPr>
          <w:p w14:paraId="00BAE90C" w14:textId="77777777" w:rsidR="00871BDF" w:rsidRDefault="005C5088">
            <w:pPr>
              <w:textAlignment w:val="bottom"/>
            </w:pPr>
            <w:r>
              <w:rPr>
                <w:rFonts w:ascii="Times New Roman" w:eastAsia="宋体" w:hAnsi="Times New Roman"/>
                <w:color w:val="000000"/>
                <w:sz w:val="20"/>
                <w:szCs w:val="20"/>
              </w:rPr>
              <w:t>Sales of investments</w:t>
            </w:r>
          </w:p>
        </w:tc>
        <w:tc>
          <w:tcPr>
            <w:tcW w:w="0" w:type="auto"/>
            <w:gridSpan w:val="2"/>
            <w:shd w:val="clear" w:color="auto" w:fill="D7E4BC"/>
            <w:tcMar>
              <w:top w:w="40" w:type="dxa"/>
              <w:left w:w="20" w:type="dxa"/>
              <w:bottom w:w="40" w:type="dxa"/>
              <w:right w:w="0" w:type="dxa"/>
            </w:tcMar>
            <w:vAlign w:val="bottom"/>
          </w:tcPr>
          <w:p w14:paraId="00BAE90D" w14:textId="77777777" w:rsidR="00871BDF" w:rsidRDefault="005C5088">
            <w:pPr>
              <w:jc w:val="right"/>
              <w:textAlignment w:val="bottom"/>
            </w:pPr>
            <w:r>
              <w:rPr>
                <w:rFonts w:ascii="Times New Roman" w:eastAsia="宋体" w:hAnsi="Times New Roman"/>
                <w:color w:val="000000"/>
                <w:sz w:val="20"/>
                <w:szCs w:val="20"/>
              </w:rPr>
              <w:t>186.7 </w:t>
            </w:r>
          </w:p>
        </w:tc>
        <w:tc>
          <w:tcPr>
            <w:tcW w:w="0" w:type="auto"/>
            <w:shd w:val="clear" w:color="auto" w:fill="D7E4BC"/>
            <w:tcMar>
              <w:top w:w="40" w:type="dxa"/>
              <w:left w:w="0" w:type="dxa"/>
              <w:bottom w:w="40" w:type="dxa"/>
              <w:right w:w="20" w:type="dxa"/>
            </w:tcMar>
            <w:vAlign w:val="bottom"/>
          </w:tcPr>
          <w:p w14:paraId="00BAE90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0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10" w14:textId="77777777" w:rsidR="00871BDF" w:rsidRDefault="005C5088">
            <w:pPr>
              <w:jc w:val="right"/>
              <w:textAlignment w:val="bottom"/>
            </w:pPr>
            <w:r>
              <w:rPr>
                <w:rFonts w:ascii="Times New Roman" w:eastAsia="宋体" w:hAnsi="Times New Roman"/>
                <w:color w:val="000000"/>
                <w:sz w:val="20"/>
                <w:szCs w:val="20"/>
              </w:rPr>
              <w:t>298.3 </w:t>
            </w:r>
          </w:p>
        </w:tc>
        <w:tc>
          <w:tcPr>
            <w:tcW w:w="0" w:type="auto"/>
            <w:shd w:val="clear" w:color="auto" w:fill="D7E4BC"/>
            <w:tcMar>
              <w:top w:w="40" w:type="dxa"/>
              <w:left w:w="0" w:type="dxa"/>
              <w:bottom w:w="40" w:type="dxa"/>
              <w:right w:w="20" w:type="dxa"/>
            </w:tcMar>
            <w:vAlign w:val="bottom"/>
          </w:tcPr>
          <w:p w14:paraId="00BAE91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1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13" w14:textId="77777777" w:rsidR="00871BDF" w:rsidRDefault="005C5088">
            <w:pPr>
              <w:jc w:val="right"/>
              <w:textAlignment w:val="bottom"/>
            </w:pPr>
            <w:r>
              <w:rPr>
                <w:rFonts w:ascii="Times New Roman" w:eastAsia="宋体" w:hAnsi="Times New Roman"/>
                <w:color w:val="000000"/>
                <w:sz w:val="20"/>
                <w:szCs w:val="20"/>
              </w:rPr>
              <w:t>459.0 </w:t>
            </w:r>
          </w:p>
        </w:tc>
        <w:tc>
          <w:tcPr>
            <w:tcW w:w="0" w:type="auto"/>
            <w:shd w:val="clear" w:color="auto" w:fill="D7E4BC"/>
            <w:tcMar>
              <w:top w:w="40" w:type="dxa"/>
              <w:left w:w="0" w:type="dxa"/>
              <w:bottom w:w="40" w:type="dxa"/>
              <w:right w:w="20" w:type="dxa"/>
            </w:tcMar>
            <w:vAlign w:val="bottom"/>
          </w:tcPr>
          <w:p w14:paraId="00BAE914" w14:textId="77777777" w:rsidR="00871BDF" w:rsidRDefault="00871BDF">
            <w:pPr>
              <w:jc w:val="right"/>
              <w:rPr>
                <w:rFonts w:ascii="宋体"/>
              </w:rPr>
            </w:pPr>
          </w:p>
        </w:tc>
      </w:tr>
      <w:tr w:rsidR="00871BDF" w14:paraId="00BAE91F" w14:textId="77777777">
        <w:trPr>
          <w:jc w:val="center"/>
        </w:trPr>
        <w:tc>
          <w:tcPr>
            <w:tcW w:w="0" w:type="auto"/>
            <w:gridSpan w:val="3"/>
            <w:shd w:val="clear" w:color="auto" w:fill="FFFFFF"/>
            <w:tcMar>
              <w:top w:w="40" w:type="dxa"/>
              <w:left w:w="20" w:type="dxa"/>
              <w:bottom w:w="40" w:type="dxa"/>
              <w:right w:w="20" w:type="dxa"/>
            </w:tcMar>
            <w:vAlign w:val="bottom"/>
          </w:tcPr>
          <w:p w14:paraId="00BAE916" w14:textId="77777777" w:rsidR="00871BDF" w:rsidRDefault="005C5088">
            <w:pPr>
              <w:textAlignment w:val="bottom"/>
            </w:pPr>
            <w:r>
              <w:rPr>
                <w:rFonts w:ascii="Times New Roman" w:eastAsia="宋体" w:hAnsi="Times New Roman"/>
                <w:color w:val="000000"/>
                <w:sz w:val="20"/>
                <w:szCs w:val="20"/>
              </w:rPr>
              <w:t>Maturities and calls of investments</w:t>
            </w:r>
          </w:p>
        </w:tc>
        <w:tc>
          <w:tcPr>
            <w:tcW w:w="0" w:type="auto"/>
            <w:gridSpan w:val="2"/>
            <w:shd w:val="clear" w:color="auto" w:fill="FFFFFF"/>
            <w:tcMar>
              <w:top w:w="40" w:type="dxa"/>
              <w:left w:w="20" w:type="dxa"/>
              <w:bottom w:w="40" w:type="dxa"/>
              <w:right w:w="0" w:type="dxa"/>
            </w:tcMar>
            <w:vAlign w:val="bottom"/>
          </w:tcPr>
          <w:p w14:paraId="00BAE917" w14:textId="77777777" w:rsidR="00871BDF" w:rsidRDefault="005C5088">
            <w:pPr>
              <w:jc w:val="right"/>
              <w:textAlignment w:val="bottom"/>
            </w:pPr>
            <w:r>
              <w:rPr>
                <w:rFonts w:ascii="Times New Roman" w:eastAsia="宋体" w:hAnsi="Times New Roman"/>
                <w:color w:val="000000"/>
                <w:sz w:val="20"/>
                <w:szCs w:val="20"/>
              </w:rPr>
              <w:t>73.7 </w:t>
            </w:r>
          </w:p>
        </w:tc>
        <w:tc>
          <w:tcPr>
            <w:tcW w:w="0" w:type="auto"/>
            <w:shd w:val="clear" w:color="auto" w:fill="FFFFFF"/>
            <w:tcMar>
              <w:top w:w="40" w:type="dxa"/>
              <w:left w:w="0" w:type="dxa"/>
              <w:bottom w:w="40" w:type="dxa"/>
              <w:right w:w="20" w:type="dxa"/>
            </w:tcMar>
            <w:vAlign w:val="bottom"/>
          </w:tcPr>
          <w:p w14:paraId="00BAE91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1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1A" w14:textId="77777777" w:rsidR="00871BDF" w:rsidRDefault="005C5088">
            <w:pPr>
              <w:jc w:val="right"/>
              <w:textAlignment w:val="bottom"/>
            </w:pPr>
            <w:r>
              <w:rPr>
                <w:rFonts w:ascii="Times New Roman" w:eastAsia="宋体" w:hAnsi="Times New Roman"/>
                <w:color w:val="000000"/>
                <w:sz w:val="20"/>
                <w:szCs w:val="20"/>
              </w:rPr>
              <w:t>59.8 </w:t>
            </w:r>
          </w:p>
        </w:tc>
        <w:tc>
          <w:tcPr>
            <w:tcW w:w="0" w:type="auto"/>
            <w:shd w:val="clear" w:color="auto" w:fill="FFFFFF"/>
            <w:tcMar>
              <w:top w:w="40" w:type="dxa"/>
              <w:left w:w="0" w:type="dxa"/>
              <w:bottom w:w="40" w:type="dxa"/>
              <w:right w:w="20" w:type="dxa"/>
            </w:tcMar>
            <w:vAlign w:val="bottom"/>
          </w:tcPr>
          <w:p w14:paraId="00BAE91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1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1D" w14:textId="77777777" w:rsidR="00871BDF" w:rsidRDefault="005C5088">
            <w:pPr>
              <w:jc w:val="right"/>
              <w:textAlignment w:val="bottom"/>
            </w:pPr>
            <w:r>
              <w:rPr>
                <w:rFonts w:ascii="Times New Roman" w:eastAsia="宋体" w:hAnsi="Times New Roman"/>
                <w:color w:val="000000"/>
                <w:sz w:val="20"/>
                <w:szCs w:val="20"/>
              </w:rPr>
              <w:t>45.3 </w:t>
            </w:r>
          </w:p>
        </w:tc>
        <w:tc>
          <w:tcPr>
            <w:tcW w:w="0" w:type="auto"/>
            <w:shd w:val="clear" w:color="auto" w:fill="FFFFFF"/>
            <w:tcMar>
              <w:top w:w="40" w:type="dxa"/>
              <w:left w:w="0" w:type="dxa"/>
              <w:bottom w:w="40" w:type="dxa"/>
              <w:right w:w="20" w:type="dxa"/>
            </w:tcMar>
            <w:vAlign w:val="bottom"/>
          </w:tcPr>
          <w:p w14:paraId="00BAE91E" w14:textId="77777777" w:rsidR="00871BDF" w:rsidRDefault="00871BDF">
            <w:pPr>
              <w:jc w:val="right"/>
              <w:rPr>
                <w:rFonts w:ascii="宋体"/>
              </w:rPr>
            </w:pPr>
          </w:p>
        </w:tc>
      </w:tr>
      <w:tr w:rsidR="00871BDF" w14:paraId="00BAE929" w14:textId="77777777">
        <w:trPr>
          <w:jc w:val="center"/>
        </w:trPr>
        <w:tc>
          <w:tcPr>
            <w:tcW w:w="0" w:type="auto"/>
            <w:gridSpan w:val="3"/>
            <w:shd w:val="clear" w:color="auto" w:fill="D7E4BC"/>
            <w:tcMar>
              <w:top w:w="40" w:type="dxa"/>
              <w:left w:w="20" w:type="dxa"/>
              <w:bottom w:w="40" w:type="dxa"/>
              <w:right w:w="20" w:type="dxa"/>
            </w:tcMar>
            <w:vAlign w:val="bottom"/>
          </w:tcPr>
          <w:p w14:paraId="00BAE920" w14:textId="77777777" w:rsidR="00871BDF" w:rsidRDefault="005C5088">
            <w:pPr>
              <w:textAlignment w:val="bottom"/>
            </w:pPr>
            <w:r>
              <w:rPr>
                <w:rFonts w:ascii="Times New Roman" w:eastAsia="宋体" w:hAnsi="Times New Roman"/>
                <w:color w:val="000000"/>
                <w:sz w:val="20"/>
                <w:szCs w:val="20"/>
              </w:rPr>
              <w:t>Acquisitions, net of cash acquired</w:t>
            </w:r>
          </w:p>
        </w:tc>
        <w:tc>
          <w:tcPr>
            <w:tcW w:w="0" w:type="auto"/>
            <w:gridSpan w:val="2"/>
            <w:shd w:val="clear" w:color="auto" w:fill="D7E4BC"/>
            <w:tcMar>
              <w:top w:w="40" w:type="dxa"/>
              <w:left w:w="20" w:type="dxa"/>
              <w:bottom w:w="40" w:type="dxa"/>
              <w:right w:w="0" w:type="dxa"/>
            </w:tcMar>
            <w:vAlign w:val="bottom"/>
          </w:tcPr>
          <w:p w14:paraId="00BAE92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92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2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2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92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2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27" w14:textId="77777777" w:rsidR="00871BDF" w:rsidRDefault="005C5088">
            <w:pPr>
              <w:jc w:val="right"/>
              <w:textAlignment w:val="bottom"/>
            </w:pPr>
            <w:r>
              <w:rPr>
                <w:rFonts w:ascii="Times New Roman" w:eastAsia="宋体" w:hAnsi="Times New Roman"/>
                <w:color w:val="000000"/>
                <w:sz w:val="20"/>
                <w:szCs w:val="20"/>
              </w:rPr>
              <w:t>(1,311.3)</w:t>
            </w:r>
          </w:p>
        </w:tc>
        <w:tc>
          <w:tcPr>
            <w:tcW w:w="0" w:type="auto"/>
            <w:shd w:val="clear" w:color="auto" w:fill="D7E4BC"/>
            <w:tcMar>
              <w:top w:w="40" w:type="dxa"/>
              <w:left w:w="0" w:type="dxa"/>
              <w:bottom w:w="40" w:type="dxa"/>
              <w:right w:w="20" w:type="dxa"/>
            </w:tcMar>
            <w:vAlign w:val="bottom"/>
          </w:tcPr>
          <w:p w14:paraId="00BAE928" w14:textId="77777777" w:rsidR="00871BDF" w:rsidRDefault="00871BDF">
            <w:pPr>
              <w:jc w:val="right"/>
              <w:rPr>
                <w:rFonts w:ascii="宋体"/>
              </w:rPr>
            </w:pPr>
          </w:p>
        </w:tc>
      </w:tr>
      <w:tr w:rsidR="00871BDF" w14:paraId="00BAE933" w14:textId="77777777">
        <w:trPr>
          <w:jc w:val="center"/>
        </w:trPr>
        <w:tc>
          <w:tcPr>
            <w:tcW w:w="0" w:type="auto"/>
            <w:gridSpan w:val="3"/>
            <w:shd w:val="clear" w:color="auto" w:fill="FFFFFF"/>
            <w:tcMar>
              <w:top w:w="40" w:type="dxa"/>
              <w:left w:w="20" w:type="dxa"/>
              <w:bottom w:w="40" w:type="dxa"/>
              <w:right w:w="20" w:type="dxa"/>
            </w:tcMar>
            <w:vAlign w:val="bottom"/>
          </w:tcPr>
          <w:p w14:paraId="00BAE92A" w14:textId="77777777" w:rsidR="00871BDF" w:rsidRDefault="005C5088">
            <w:pPr>
              <w:textAlignment w:val="bottom"/>
            </w:pPr>
            <w:r>
              <w:rPr>
                <w:rFonts w:ascii="Times New Roman" w:eastAsia="宋体" w:hAnsi="Times New Roman"/>
                <w:color w:val="000000"/>
                <w:sz w:val="20"/>
                <w:szCs w:val="20"/>
              </w:rPr>
              <w:t xml:space="preserve">Additions to </w:t>
            </w:r>
            <w:r>
              <w:rPr>
                <w:rFonts w:ascii="Times New Roman" w:eastAsia="宋体" w:hAnsi="Times New Roman"/>
                <w:color w:val="000000"/>
                <w:sz w:val="20"/>
                <w:szCs w:val="20"/>
              </w:rPr>
              <w:t>property, plant and equipment</w:t>
            </w:r>
          </w:p>
        </w:tc>
        <w:tc>
          <w:tcPr>
            <w:tcW w:w="0" w:type="auto"/>
            <w:gridSpan w:val="2"/>
            <w:shd w:val="clear" w:color="auto" w:fill="FFFFFF"/>
            <w:tcMar>
              <w:top w:w="40" w:type="dxa"/>
              <w:left w:w="20" w:type="dxa"/>
              <w:bottom w:w="40" w:type="dxa"/>
              <w:right w:w="0" w:type="dxa"/>
            </w:tcMar>
            <w:vAlign w:val="bottom"/>
          </w:tcPr>
          <w:p w14:paraId="00BAE92B" w14:textId="77777777" w:rsidR="00871BDF" w:rsidRDefault="005C5088">
            <w:pPr>
              <w:jc w:val="right"/>
              <w:textAlignment w:val="bottom"/>
            </w:pPr>
            <w:r>
              <w:rPr>
                <w:rFonts w:ascii="Times New Roman" w:eastAsia="宋体" w:hAnsi="Times New Roman"/>
                <w:color w:val="000000"/>
                <w:sz w:val="20"/>
                <w:szCs w:val="20"/>
              </w:rPr>
              <w:t>(1,483.6)</w:t>
            </w:r>
          </w:p>
        </w:tc>
        <w:tc>
          <w:tcPr>
            <w:tcW w:w="0" w:type="auto"/>
            <w:shd w:val="clear" w:color="auto" w:fill="FFFFFF"/>
            <w:tcMar>
              <w:top w:w="40" w:type="dxa"/>
              <w:left w:w="0" w:type="dxa"/>
              <w:bottom w:w="40" w:type="dxa"/>
              <w:right w:w="20" w:type="dxa"/>
            </w:tcMar>
            <w:vAlign w:val="bottom"/>
          </w:tcPr>
          <w:p w14:paraId="00BAE92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2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2E" w14:textId="77777777" w:rsidR="00871BDF" w:rsidRDefault="005C5088">
            <w:pPr>
              <w:jc w:val="right"/>
              <w:textAlignment w:val="bottom"/>
            </w:pPr>
            <w:r>
              <w:rPr>
                <w:rFonts w:ascii="Times New Roman" w:eastAsia="宋体" w:hAnsi="Times New Roman"/>
                <w:color w:val="000000"/>
                <w:sz w:val="20"/>
                <w:szCs w:val="20"/>
              </w:rPr>
              <w:t>(1,806.6)</w:t>
            </w:r>
          </w:p>
        </w:tc>
        <w:tc>
          <w:tcPr>
            <w:tcW w:w="0" w:type="auto"/>
            <w:shd w:val="clear" w:color="auto" w:fill="FFFFFF"/>
            <w:tcMar>
              <w:top w:w="40" w:type="dxa"/>
              <w:left w:w="0" w:type="dxa"/>
              <w:bottom w:w="40" w:type="dxa"/>
              <w:right w:w="20" w:type="dxa"/>
            </w:tcMar>
            <w:vAlign w:val="bottom"/>
          </w:tcPr>
          <w:p w14:paraId="00BAE92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3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31" w14:textId="77777777" w:rsidR="00871BDF" w:rsidRDefault="005C5088">
            <w:pPr>
              <w:jc w:val="right"/>
              <w:textAlignment w:val="bottom"/>
            </w:pPr>
            <w:r>
              <w:rPr>
                <w:rFonts w:ascii="Times New Roman" w:eastAsia="宋体" w:hAnsi="Times New Roman"/>
                <w:color w:val="000000"/>
                <w:sz w:val="20"/>
                <w:szCs w:val="20"/>
              </w:rPr>
              <w:t>(1,976.4)</w:t>
            </w:r>
          </w:p>
        </w:tc>
        <w:tc>
          <w:tcPr>
            <w:tcW w:w="0" w:type="auto"/>
            <w:shd w:val="clear" w:color="auto" w:fill="FFFFFF"/>
            <w:tcMar>
              <w:top w:w="40" w:type="dxa"/>
              <w:left w:w="0" w:type="dxa"/>
              <w:bottom w:w="40" w:type="dxa"/>
              <w:right w:w="20" w:type="dxa"/>
            </w:tcMar>
            <w:vAlign w:val="bottom"/>
          </w:tcPr>
          <w:p w14:paraId="00BAE932" w14:textId="77777777" w:rsidR="00871BDF" w:rsidRDefault="00871BDF">
            <w:pPr>
              <w:jc w:val="right"/>
              <w:rPr>
                <w:rFonts w:ascii="宋体"/>
              </w:rPr>
            </w:pPr>
          </w:p>
        </w:tc>
      </w:tr>
      <w:tr w:rsidR="00871BDF" w14:paraId="00BAE93D" w14:textId="77777777">
        <w:trPr>
          <w:jc w:val="center"/>
        </w:trPr>
        <w:tc>
          <w:tcPr>
            <w:tcW w:w="0" w:type="auto"/>
            <w:gridSpan w:val="3"/>
            <w:shd w:val="clear" w:color="auto" w:fill="D7E4BC"/>
            <w:tcMar>
              <w:top w:w="40" w:type="dxa"/>
              <w:left w:w="20" w:type="dxa"/>
              <w:bottom w:w="40" w:type="dxa"/>
              <w:right w:w="20" w:type="dxa"/>
            </w:tcMar>
            <w:vAlign w:val="bottom"/>
          </w:tcPr>
          <w:p w14:paraId="00BAE934" w14:textId="77777777" w:rsidR="00871BDF" w:rsidRDefault="005C5088">
            <w:pPr>
              <w:textAlignment w:val="bottom"/>
            </w:pPr>
            <w:r>
              <w:rPr>
                <w:rFonts w:ascii="Times New Roman" w:eastAsia="宋体" w:hAnsi="Times New Roman"/>
                <w:color w:val="000000"/>
                <w:sz w:val="20"/>
                <w:szCs w:val="20"/>
              </w:rPr>
              <w:t>Net proceeds from the divestiture of certain operations</w:t>
            </w:r>
          </w:p>
        </w:tc>
        <w:tc>
          <w:tcPr>
            <w:tcW w:w="0" w:type="auto"/>
            <w:gridSpan w:val="2"/>
            <w:shd w:val="clear" w:color="auto" w:fill="D7E4BC"/>
            <w:tcMar>
              <w:top w:w="40" w:type="dxa"/>
              <w:left w:w="20" w:type="dxa"/>
              <w:bottom w:w="40" w:type="dxa"/>
              <w:right w:w="0" w:type="dxa"/>
            </w:tcMar>
            <w:vAlign w:val="bottom"/>
          </w:tcPr>
          <w:p w14:paraId="00BAE935"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93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3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38" w14:textId="77777777" w:rsidR="00871BDF" w:rsidRDefault="005C5088">
            <w:pPr>
              <w:jc w:val="right"/>
              <w:textAlignment w:val="bottom"/>
            </w:pPr>
            <w:r>
              <w:rPr>
                <w:rFonts w:ascii="Times New Roman" w:eastAsia="宋体" w:hAnsi="Times New Roman"/>
                <w:color w:val="000000"/>
                <w:sz w:val="20"/>
                <w:szCs w:val="20"/>
              </w:rPr>
              <w:t>684.3 </w:t>
            </w:r>
          </w:p>
        </w:tc>
        <w:tc>
          <w:tcPr>
            <w:tcW w:w="0" w:type="auto"/>
            <w:shd w:val="clear" w:color="auto" w:fill="D7E4BC"/>
            <w:tcMar>
              <w:top w:w="40" w:type="dxa"/>
              <w:left w:w="0" w:type="dxa"/>
              <w:bottom w:w="40" w:type="dxa"/>
              <w:right w:w="20" w:type="dxa"/>
            </w:tcMar>
            <w:vAlign w:val="bottom"/>
          </w:tcPr>
          <w:p w14:paraId="00BAE93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3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3B" w14:textId="77777777" w:rsidR="00871BDF" w:rsidRDefault="005C5088">
            <w:pPr>
              <w:jc w:val="right"/>
              <w:textAlignment w:val="bottom"/>
            </w:pPr>
            <w:r>
              <w:rPr>
                <w:rFonts w:ascii="Times New Roman" w:eastAsia="宋体" w:hAnsi="Times New Roman"/>
                <w:color w:val="000000"/>
                <w:sz w:val="20"/>
                <w:szCs w:val="20"/>
              </w:rPr>
              <w:t>608.2 </w:t>
            </w:r>
          </w:p>
        </w:tc>
        <w:tc>
          <w:tcPr>
            <w:tcW w:w="0" w:type="auto"/>
            <w:shd w:val="clear" w:color="auto" w:fill="D7E4BC"/>
            <w:tcMar>
              <w:top w:w="40" w:type="dxa"/>
              <w:left w:w="0" w:type="dxa"/>
              <w:bottom w:w="40" w:type="dxa"/>
              <w:right w:w="20" w:type="dxa"/>
            </w:tcMar>
            <w:vAlign w:val="bottom"/>
          </w:tcPr>
          <w:p w14:paraId="00BAE93C" w14:textId="77777777" w:rsidR="00871BDF" w:rsidRDefault="00871BDF">
            <w:pPr>
              <w:jc w:val="right"/>
              <w:rPr>
                <w:rFonts w:ascii="宋体"/>
              </w:rPr>
            </w:pPr>
          </w:p>
        </w:tc>
      </w:tr>
      <w:tr w:rsidR="00871BDF" w14:paraId="00BAE947" w14:textId="77777777">
        <w:trPr>
          <w:jc w:val="center"/>
        </w:trPr>
        <w:tc>
          <w:tcPr>
            <w:tcW w:w="0" w:type="auto"/>
            <w:gridSpan w:val="3"/>
            <w:shd w:val="clear" w:color="auto" w:fill="FFFFFF"/>
            <w:tcMar>
              <w:top w:w="40" w:type="dxa"/>
              <w:left w:w="20" w:type="dxa"/>
              <w:bottom w:w="40" w:type="dxa"/>
              <w:right w:w="20" w:type="dxa"/>
            </w:tcMar>
            <w:vAlign w:val="bottom"/>
          </w:tcPr>
          <w:p w14:paraId="00BAE93E" w14:textId="77777777" w:rsidR="00871BDF" w:rsidRDefault="005C5088">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0BAE93F" w14:textId="77777777" w:rsidR="00871BDF" w:rsidRDefault="005C5088">
            <w:pPr>
              <w:jc w:val="right"/>
              <w:textAlignment w:val="bottom"/>
            </w:pPr>
            <w:r>
              <w:rPr>
                <w:rFonts w:ascii="Times New Roman" w:eastAsia="宋体" w:hAnsi="Times New Roman"/>
                <w:color w:val="000000"/>
                <w:sz w:val="20"/>
                <w:szCs w:val="20"/>
              </w:rPr>
              <w:t>(44.4)</w:t>
            </w:r>
          </w:p>
        </w:tc>
        <w:tc>
          <w:tcPr>
            <w:tcW w:w="0" w:type="auto"/>
            <w:shd w:val="clear" w:color="auto" w:fill="FFFFFF"/>
            <w:tcMar>
              <w:top w:w="40" w:type="dxa"/>
              <w:left w:w="0" w:type="dxa"/>
              <w:bottom w:w="40" w:type="dxa"/>
              <w:right w:w="20" w:type="dxa"/>
            </w:tcMar>
            <w:vAlign w:val="bottom"/>
          </w:tcPr>
          <w:p w14:paraId="00BAE94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4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42" w14:textId="77777777" w:rsidR="00871BDF" w:rsidRDefault="005C5088">
            <w:pPr>
              <w:jc w:val="right"/>
              <w:textAlignment w:val="bottom"/>
            </w:pPr>
            <w:r>
              <w:rPr>
                <w:rFonts w:ascii="Times New Roman" w:eastAsia="宋体" w:hAnsi="Times New Roman"/>
                <w:color w:val="000000"/>
                <w:sz w:val="20"/>
                <w:szCs w:val="20"/>
              </w:rPr>
              <w:t>(56.2)</w:t>
            </w:r>
          </w:p>
        </w:tc>
        <w:tc>
          <w:tcPr>
            <w:tcW w:w="0" w:type="auto"/>
            <w:shd w:val="clear" w:color="auto" w:fill="FFFFFF"/>
            <w:tcMar>
              <w:top w:w="40" w:type="dxa"/>
              <w:left w:w="0" w:type="dxa"/>
              <w:bottom w:w="40" w:type="dxa"/>
              <w:right w:w="20" w:type="dxa"/>
            </w:tcMar>
            <w:vAlign w:val="bottom"/>
          </w:tcPr>
          <w:p w14:paraId="00BAE94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4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45" w14:textId="77777777" w:rsidR="00871BDF" w:rsidRDefault="005C5088">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00BAE946" w14:textId="77777777" w:rsidR="00871BDF" w:rsidRDefault="00871BDF">
            <w:pPr>
              <w:jc w:val="right"/>
              <w:rPr>
                <w:rFonts w:ascii="宋体"/>
              </w:rPr>
            </w:pPr>
          </w:p>
        </w:tc>
      </w:tr>
      <w:tr w:rsidR="00871BDF" w14:paraId="00BAE951" w14:textId="77777777">
        <w:trPr>
          <w:jc w:val="center"/>
        </w:trPr>
        <w:tc>
          <w:tcPr>
            <w:tcW w:w="0" w:type="auto"/>
            <w:gridSpan w:val="3"/>
            <w:shd w:val="clear" w:color="auto" w:fill="D7E4BC"/>
            <w:tcMar>
              <w:top w:w="40" w:type="dxa"/>
              <w:left w:w="20" w:type="dxa"/>
              <w:bottom w:w="40" w:type="dxa"/>
              <w:right w:w="20" w:type="dxa"/>
            </w:tcMar>
            <w:vAlign w:val="bottom"/>
          </w:tcPr>
          <w:p w14:paraId="00BAE948" w14:textId="77777777" w:rsidR="00871BDF" w:rsidRDefault="005C5088">
            <w:pPr>
              <w:textAlignment w:val="bottom"/>
            </w:pPr>
            <w:r>
              <w:rPr>
                <w:rFonts w:ascii="Times New Roman" w:eastAsia="宋体" w:hAnsi="Times New Roman"/>
                <w:color w:val="000000"/>
                <w:sz w:val="20"/>
                <w:szCs w:val="20"/>
              </w:rPr>
              <w:t>Net cash used in investing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949" w14:textId="77777777" w:rsidR="00871BDF" w:rsidRDefault="005C5088">
            <w:pPr>
              <w:jc w:val="right"/>
              <w:textAlignment w:val="bottom"/>
            </w:pPr>
            <w:r>
              <w:rPr>
                <w:rFonts w:ascii="Times New Roman" w:eastAsia="宋体" w:hAnsi="Times New Roman"/>
                <w:color w:val="000000"/>
                <w:sz w:val="20"/>
                <w:szCs w:val="20"/>
              </w:rPr>
              <w:t>(1,711.5)</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94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4B"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94C" w14:textId="77777777" w:rsidR="00871BDF" w:rsidRDefault="005C5088">
            <w:pPr>
              <w:jc w:val="right"/>
              <w:textAlignment w:val="bottom"/>
            </w:pPr>
            <w:r>
              <w:rPr>
                <w:rFonts w:ascii="Times New Roman" w:eastAsia="宋体" w:hAnsi="Times New Roman"/>
                <w:color w:val="000000"/>
                <w:sz w:val="20"/>
                <w:szCs w:val="20"/>
              </w:rPr>
              <w:t>(1,010.8)</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94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4E"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94F" w14:textId="77777777" w:rsidR="00871BDF" w:rsidRDefault="005C5088">
            <w:pPr>
              <w:jc w:val="right"/>
              <w:textAlignment w:val="bottom"/>
            </w:pPr>
            <w:r>
              <w:rPr>
                <w:rFonts w:ascii="Times New Roman" w:eastAsia="宋体" w:hAnsi="Times New Roman"/>
                <w:color w:val="000000"/>
                <w:sz w:val="20"/>
                <w:szCs w:val="20"/>
              </w:rPr>
              <w:t>(2,361.5)</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950" w14:textId="77777777" w:rsidR="00871BDF" w:rsidRDefault="00871BDF">
            <w:pPr>
              <w:jc w:val="right"/>
              <w:rPr>
                <w:rFonts w:ascii="宋体"/>
              </w:rPr>
            </w:pPr>
          </w:p>
        </w:tc>
      </w:tr>
      <w:tr w:rsidR="00871BDF" w14:paraId="00BAE958" w14:textId="77777777">
        <w:trPr>
          <w:jc w:val="center"/>
        </w:trPr>
        <w:tc>
          <w:tcPr>
            <w:tcW w:w="0" w:type="auto"/>
            <w:gridSpan w:val="3"/>
            <w:shd w:val="clear" w:color="auto" w:fill="FFFFFF"/>
            <w:tcMar>
              <w:top w:w="40" w:type="dxa"/>
              <w:left w:w="20" w:type="dxa"/>
              <w:bottom w:w="40" w:type="dxa"/>
              <w:right w:w="20" w:type="dxa"/>
            </w:tcMar>
            <w:vAlign w:val="bottom"/>
          </w:tcPr>
          <w:p w14:paraId="00BAE952" w14:textId="77777777" w:rsidR="00871BDF" w:rsidRDefault="005C5088">
            <w:pPr>
              <w:textAlignment w:val="bottom"/>
            </w:pPr>
            <w:r>
              <w:rPr>
                <w:rFonts w:ascii="Times New Roman" w:eastAsia="宋体" w:hAnsi="Times New Roman"/>
                <w:color w:val="000000"/>
                <w:sz w:val="20"/>
                <w:szCs w:val="20"/>
              </w:rPr>
              <w:t xml:space="preserve">FINANCING </w:t>
            </w:r>
            <w:r>
              <w:rPr>
                <w:rFonts w:ascii="Times New Roman" w:eastAsia="宋体" w:hAnsi="Times New Roman"/>
                <w:color w:val="000000"/>
                <w:sz w:val="20"/>
                <w:szCs w:val="20"/>
              </w:rPr>
              <w:t>ACTIVITIES:</w:t>
            </w:r>
          </w:p>
        </w:tc>
        <w:tc>
          <w:tcPr>
            <w:tcW w:w="0" w:type="auto"/>
            <w:gridSpan w:val="3"/>
            <w:shd w:val="clear" w:color="auto" w:fill="FFFFFF"/>
            <w:tcMar>
              <w:top w:w="0" w:type="dxa"/>
              <w:left w:w="20" w:type="dxa"/>
              <w:bottom w:w="0" w:type="dxa"/>
              <w:right w:w="20" w:type="dxa"/>
            </w:tcMar>
          </w:tcPr>
          <w:p w14:paraId="00BAE95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95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95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95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957" w14:textId="77777777" w:rsidR="00871BDF" w:rsidRDefault="00871BDF">
            <w:pPr>
              <w:rPr>
                <w:rFonts w:ascii="宋体"/>
              </w:rPr>
            </w:pPr>
          </w:p>
        </w:tc>
      </w:tr>
      <w:tr w:rsidR="00871BDF" w14:paraId="00BAE962" w14:textId="77777777">
        <w:trPr>
          <w:jc w:val="center"/>
        </w:trPr>
        <w:tc>
          <w:tcPr>
            <w:tcW w:w="0" w:type="auto"/>
            <w:gridSpan w:val="3"/>
            <w:shd w:val="clear" w:color="auto" w:fill="D7E4BC"/>
            <w:tcMar>
              <w:top w:w="40" w:type="dxa"/>
              <w:left w:w="20" w:type="dxa"/>
              <w:bottom w:w="40" w:type="dxa"/>
              <w:right w:w="20" w:type="dxa"/>
            </w:tcMar>
          </w:tcPr>
          <w:p w14:paraId="00BAE959" w14:textId="77777777" w:rsidR="00871BDF" w:rsidRDefault="005C5088">
            <w:pPr>
              <w:textAlignment w:val="top"/>
            </w:pPr>
            <w:r>
              <w:rPr>
                <w:rFonts w:ascii="Times New Roman" w:eastAsia="宋体" w:hAnsi="Times New Roman"/>
                <w:color w:val="000000"/>
                <w:sz w:val="20"/>
                <w:szCs w:val="20"/>
              </w:rPr>
              <w:t>Proceeds from issuance of short-term debt</w:t>
            </w:r>
          </w:p>
        </w:tc>
        <w:tc>
          <w:tcPr>
            <w:tcW w:w="0" w:type="auto"/>
            <w:gridSpan w:val="2"/>
            <w:shd w:val="clear" w:color="auto" w:fill="D7E4BC"/>
            <w:tcMar>
              <w:top w:w="40" w:type="dxa"/>
              <w:left w:w="20" w:type="dxa"/>
              <w:bottom w:w="40" w:type="dxa"/>
              <w:right w:w="0" w:type="dxa"/>
            </w:tcMar>
            <w:vAlign w:val="bottom"/>
          </w:tcPr>
          <w:p w14:paraId="00BAE95A" w14:textId="77777777" w:rsidR="00871BDF" w:rsidRDefault="005C5088">
            <w:pPr>
              <w:jc w:val="right"/>
              <w:textAlignment w:val="bottom"/>
            </w:pPr>
            <w:r>
              <w:rPr>
                <w:rFonts w:ascii="Times New Roman" w:eastAsia="宋体" w:hAnsi="Times New Roman"/>
                <w:color w:val="000000"/>
                <w:sz w:val="20"/>
                <w:szCs w:val="20"/>
              </w:rPr>
              <w:t>1,406.6 </w:t>
            </w:r>
          </w:p>
        </w:tc>
        <w:tc>
          <w:tcPr>
            <w:tcW w:w="0" w:type="auto"/>
            <w:shd w:val="clear" w:color="auto" w:fill="D7E4BC"/>
            <w:tcMar>
              <w:top w:w="40" w:type="dxa"/>
              <w:left w:w="0" w:type="dxa"/>
              <w:bottom w:w="40" w:type="dxa"/>
              <w:right w:w="20" w:type="dxa"/>
            </w:tcMar>
            <w:vAlign w:val="bottom"/>
          </w:tcPr>
          <w:p w14:paraId="00BAE95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5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5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95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5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60"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961" w14:textId="77777777" w:rsidR="00871BDF" w:rsidRDefault="00871BDF">
            <w:pPr>
              <w:jc w:val="right"/>
              <w:rPr>
                <w:rFonts w:ascii="宋体"/>
              </w:rPr>
            </w:pPr>
          </w:p>
        </w:tc>
      </w:tr>
      <w:tr w:rsidR="00871BDF" w14:paraId="00BAE96C" w14:textId="77777777">
        <w:trPr>
          <w:jc w:val="center"/>
        </w:trPr>
        <w:tc>
          <w:tcPr>
            <w:tcW w:w="0" w:type="auto"/>
            <w:gridSpan w:val="3"/>
            <w:shd w:val="clear" w:color="auto" w:fill="FFFFFF"/>
            <w:tcMar>
              <w:top w:w="40" w:type="dxa"/>
              <w:left w:w="20" w:type="dxa"/>
              <w:bottom w:w="40" w:type="dxa"/>
              <w:right w:w="20" w:type="dxa"/>
            </w:tcMar>
          </w:tcPr>
          <w:p w14:paraId="00BAE963" w14:textId="77777777" w:rsidR="00871BDF" w:rsidRDefault="005C5088">
            <w:pPr>
              <w:textAlignment w:val="top"/>
            </w:pPr>
            <w:r>
              <w:rPr>
                <w:rFonts w:ascii="Times New Roman" w:eastAsia="宋体" w:hAnsi="Times New Roman"/>
                <w:color w:val="000000"/>
                <w:sz w:val="20"/>
                <w:szCs w:val="20"/>
              </w:rPr>
              <w:t>Repayments of short-term debt</w:t>
            </w:r>
          </w:p>
        </w:tc>
        <w:tc>
          <w:tcPr>
            <w:tcW w:w="0" w:type="auto"/>
            <w:gridSpan w:val="2"/>
            <w:shd w:val="clear" w:color="auto" w:fill="FFFFFF"/>
            <w:tcMar>
              <w:top w:w="40" w:type="dxa"/>
              <w:left w:w="20" w:type="dxa"/>
              <w:bottom w:w="40" w:type="dxa"/>
              <w:right w:w="0" w:type="dxa"/>
            </w:tcMar>
            <w:vAlign w:val="bottom"/>
          </w:tcPr>
          <w:p w14:paraId="00BAE964" w14:textId="77777777" w:rsidR="00871BDF" w:rsidRDefault="005C5088">
            <w:pPr>
              <w:jc w:val="right"/>
              <w:textAlignment w:val="bottom"/>
            </w:pPr>
            <w:r>
              <w:rPr>
                <w:rFonts w:ascii="Times New Roman" w:eastAsia="宋体" w:hAnsi="Times New Roman"/>
                <w:color w:val="000000"/>
                <w:sz w:val="20"/>
                <w:szCs w:val="20"/>
              </w:rPr>
              <w:t>(967.7)</w:t>
            </w:r>
          </w:p>
        </w:tc>
        <w:tc>
          <w:tcPr>
            <w:tcW w:w="0" w:type="auto"/>
            <w:shd w:val="clear" w:color="auto" w:fill="FFFFFF"/>
            <w:tcMar>
              <w:top w:w="40" w:type="dxa"/>
              <w:left w:w="0" w:type="dxa"/>
              <w:bottom w:w="40" w:type="dxa"/>
              <w:right w:w="20" w:type="dxa"/>
            </w:tcMar>
            <w:vAlign w:val="bottom"/>
          </w:tcPr>
          <w:p w14:paraId="00BAE96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6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6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96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6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6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96B" w14:textId="77777777" w:rsidR="00871BDF" w:rsidRDefault="00871BDF">
            <w:pPr>
              <w:jc w:val="right"/>
              <w:rPr>
                <w:rFonts w:ascii="宋体"/>
              </w:rPr>
            </w:pPr>
          </w:p>
        </w:tc>
      </w:tr>
      <w:tr w:rsidR="00871BDF" w14:paraId="00BAE976" w14:textId="77777777">
        <w:trPr>
          <w:jc w:val="center"/>
        </w:trPr>
        <w:tc>
          <w:tcPr>
            <w:tcW w:w="0" w:type="auto"/>
            <w:gridSpan w:val="3"/>
            <w:shd w:val="clear" w:color="auto" w:fill="D7E4BC"/>
            <w:tcMar>
              <w:top w:w="40" w:type="dxa"/>
              <w:left w:w="20" w:type="dxa"/>
              <w:bottom w:w="40" w:type="dxa"/>
              <w:right w:w="20" w:type="dxa"/>
            </w:tcMar>
            <w:vAlign w:val="bottom"/>
          </w:tcPr>
          <w:p w14:paraId="00BAE96D" w14:textId="77777777" w:rsidR="00871BDF" w:rsidRDefault="005C5088">
            <w:pPr>
              <w:textAlignment w:val="bottom"/>
            </w:pPr>
            <w:r>
              <w:rPr>
                <w:rFonts w:ascii="Times New Roman" w:eastAsia="宋体" w:hAnsi="Times New Roman"/>
                <w:color w:val="000000"/>
                <w:sz w:val="20"/>
                <w:szCs w:val="20"/>
              </w:rPr>
              <w:t>Proceeds from issuance of long-term debt</w:t>
            </w:r>
          </w:p>
        </w:tc>
        <w:tc>
          <w:tcPr>
            <w:tcW w:w="0" w:type="auto"/>
            <w:gridSpan w:val="2"/>
            <w:shd w:val="clear" w:color="auto" w:fill="D7E4BC"/>
            <w:tcMar>
              <w:top w:w="40" w:type="dxa"/>
              <w:left w:w="20" w:type="dxa"/>
              <w:bottom w:w="40" w:type="dxa"/>
              <w:right w:w="0" w:type="dxa"/>
            </w:tcMar>
            <w:vAlign w:val="bottom"/>
          </w:tcPr>
          <w:p w14:paraId="00BAE96E" w14:textId="77777777" w:rsidR="00871BDF" w:rsidRDefault="005C5088">
            <w:pPr>
              <w:jc w:val="right"/>
              <w:textAlignment w:val="bottom"/>
            </w:pPr>
            <w:r>
              <w:rPr>
                <w:rFonts w:ascii="Times New Roman" w:eastAsia="宋体" w:hAnsi="Times New Roman"/>
                <w:color w:val="000000"/>
                <w:sz w:val="20"/>
                <w:szCs w:val="20"/>
              </w:rPr>
              <w:t>4,727.6 </w:t>
            </w:r>
          </w:p>
        </w:tc>
        <w:tc>
          <w:tcPr>
            <w:tcW w:w="0" w:type="auto"/>
            <w:shd w:val="clear" w:color="auto" w:fill="D7E4BC"/>
            <w:tcMar>
              <w:top w:w="40" w:type="dxa"/>
              <w:left w:w="0" w:type="dxa"/>
              <w:bottom w:w="40" w:type="dxa"/>
              <w:right w:w="20" w:type="dxa"/>
            </w:tcMar>
            <w:vAlign w:val="bottom"/>
          </w:tcPr>
          <w:p w14:paraId="00BAE96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7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71" w14:textId="77777777" w:rsidR="00871BDF" w:rsidRDefault="005C5088">
            <w:pPr>
              <w:jc w:val="right"/>
              <w:textAlignment w:val="bottom"/>
            </w:pPr>
            <w:r>
              <w:rPr>
                <w:rFonts w:ascii="Times New Roman" w:eastAsia="宋体" w:hAnsi="Times New Roman"/>
                <w:color w:val="000000"/>
                <w:sz w:val="20"/>
                <w:szCs w:val="20"/>
              </w:rPr>
              <w:t>1,996.0 </w:t>
            </w:r>
          </w:p>
        </w:tc>
        <w:tc>
          <w:tcPr>
            <w:tcW w:w="0" w:type="auto"/>
            <w:shd w:val="clear" w:color="auto" w:fill="D7E4BC"/>
            <w:tcMar>
              <w:top w:w="40" w:type="dxa"/>
              <w:left w:w="0" w:type="dxa"/>
              <w:bottom w:w="40" w:type="dxa"/>
              <w:right w:w="20" w:type="dxa"/>
            </w:tcMar>
            <w:vAlign w:val="bottom"/>
          </w:tcPr>
          <w:p w14:paraId="00BAE97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7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74" w14:textId="77777777" w:rsidR="00871BDF" w:rsidRDefault="005C5088">
            <w:pPr>
              <w:jc w:val="right"/>
              <w:textAlignment w:val="bottom"/>
            </w:pPr>
            <w:r>
              <w:rPr>
                <w:rFonts w:ascii="Times New Roman" w:eastAsia="宋体" w:hAnsi="Times New Roman"/>
                <w:color w:val="000000"/>
                <w:sz w:val="20"/>
                <w:szCs w:val="20"/>
              </w:rPr>
              <w:t>5,584.1 </w:t>
            </w:r>
          </w:p>
        </w:tc>
        <w:tc>
          <w:tcPr>
            <w:tcW w:w="0" w:type="auto"/>
            <w:shd w:val="clear" w:color="auto" w:fill="D7E4BC"/>
            <w:tcMar>
              <w:top w:w="40" w:type="dxa"/>
              <w:left w:w="0" w:type="dxa"/>
              <w:bottom w:w="40" w:type="dxa"/>
              <w:right w:w="20" w:type="dxa"/>
            </w:tcMar>
            <w:vAlign w:val="bottom"/>
          </w:tcPr>
          <w:p w14:paraId="00BAE975" w14:textId="77777777" w:rsidR="00871BDF" w:rsidRDefault="00871BDF">
            <w:pPr>
              <w:jc w:val="right"/>
              <w:rPr>
                <w:rFonts w:ascii="宋体"/>
              </w:rPr>
            </w:pPr>
          </w:p>
        </w:tc>
      </w:tr>
      <w:tr w:rsidR="00871BDF" w14:paraId="00BAE980" w14:textId="77777777">
        <w:trPr>
          <w:jc w:val="center"/>
        </w:trPr>
        <w:tc>
          <w:tcPr>
            <w:tcW w:w="0" w:type="auto"/>
            <w:gridSpan w:val="3"/>
            <w:shd w:val="clear" w:color="auto" w:fill="FFFFFF"/>
            <w:tcMar>
              <w:top w:w="40" w:type="dxa"/>
              <w:left w:w="20" w:type="dxa"/>
              <w:bottom w:w="40" w:type="dxa"/>
              <w:right w:w="20" w:type="dxa"/>
            </w:tcMar>
            <w:vAlign w:val="bottom"/>
          </w:tcPr>
          <w:p w14:paraId="00BAE977" w14:textId="77777777" w:rsidR="00871BDF" w:rsidRDefault="005C5088">
            <w:pPr>
              <w:textAlignment w:val="bottom"/>
            </w:pPr>
            <w:r>
              <w:rPr>
                <w:rFonts w:ascii="Times New Roman" w:eastAsia="宋体" w:hAnsi="Times New Roman"/>
                <w:color w:val="000000"/>
                <w:sz w:val="20"/>
                <w:szCs w:val="20"/>
              </w:rPr>
              <w:t>Repayments of long-term debt</w:t>
            </w:r>
          </w:p>
        </w:tc>
        <w:tc>
          <w:tcPr>
            <w:tcW w:w="0" w:type="auto"/>
            <w:gridSpan w:val="2"/>
            <w:shd w:val="clear" w:color="auto" w:fill="FFFFFF"/>
            <w:tcMar>
              <w:top w:w="40" w:type="dxa"/>
              <w:left w:w="20" w:type="dxa"/>
              <w:bottom w:w="40" w:type="dxa"/>
              <w:right w:w="0" w:type="dxa"/>
            </w:tcMar>
            <w:vAlign w:val="bottom"/>
          </w:tcPr>
          <w:p w14:paraId="00BAE97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97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7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7B" w14:textId="77777777" w:rsidR="00871BDF" w:rsidRDefault="005C5088">
            <w:pPr>
              <w:jc w:val="right"/>
              <w:textAlignment w:val="bottom"/>
            </w:pPr>
            <w:r>
              <w:rPr>
                <w:rFonts w:ascii="Times New Roman" w:eastAsia="宋体" w:hAnsi="Times New Roman"/>
                <w:color w:val="000000"/>
                <w:sz w:val="20"/>
                <w:szCs w:val="20"/>
              </w:rPr>
              <w:t>(350.0)</w:t>
            </w:r>
          </w:p>
        </w:tc>
        <w:tc>
          <w:tcPr>
            <w:tcW w:w="0" w:type="auto"/>
            <w:shd w:val="clear" w:color="auto" w:fill="FFFFFF"/>
            <w:tcMar>
              <w:top w:w="40" w:type="dxa"/>
              <w:left w:w="0" w:type="dxa"/>
              <w:bottom w:w="40" w:type="dxa"/>
              <w:right w:w="20" w:type="dxa"/>
            </w:tcMar>
            <w:vAlign w:val="bottom"/>
          </w:tcPr>
          <w:p w14:paraId="00BAE97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7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7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97F" w14:textId="77777777" w:rsidR="00871BDF" w:rsidRDefault="00871BDF">
            <w:pPr>
              <w:jc w:val="right"/>
              <w:rPr>
                <w:rFonts w:ascii="宋体"/>
              </w:rPr>
            </w:pPr>
          </w:p>
        </w:tc>
      </w:tr>
      <w:tr w:rsidR="00871BDF" w14:paraId="00BAE987" w14:textId="77777777">
        <w:trPr>
          <w:jc w:val="center"/>
          <w:hidden/>
        </w:trPr>
        <w:tc>
          <w:tcPr>
            <w:tcW w:w="0" w:type="auto"/>
            <w:gridSpan w:val="3"/>
            <w:shd w:val="clear" w:color="auto" w:fill="auto"/>
          </w:tcPr>
          <w:p w14:paraId="00BAE981" w14:textId="77777777" w:rsidR="00871BDF" w:rsidRDefault="00871BDF">
            <w:pPr>
              <w:rPr>
                <w:rFonts w:ascii="宋体"/>
                <w:vanish/>
              </w:rPr>
            </w:pPr>
          </w:p>
        </w:tc>
        <w:tc>
          <w:tcPr>
            <w:tcW w:w="0" w:type="auto"/>
            <w:gridSpan w:val="3"/>
            <w:shd w:val="clear" w:color="auto" w:fill="auto"/>
          </w:tcPr>
          <w:p w14:paraId="00BAE982" w14:textId="77777777" w:rsidR="00871BDF" w:rsidRDefault="00871BDF">
            <w:pPr>
              <w:rPr>
                <w:rFonts w:ascii="宋体"/>
                <w:vanish/>
              </w:rPr>
            </w:pPr>
          </w:p>
        </w:tc>
        <w:tc>
          <w:tcPr>
            <w:tcW w:w="0" w:type="auto"/>
            <w:gridSpan w:val="3"/>
            <w:shd w:val="clear" w:color="auto" w:fill="auto"/>
          </w:tcPr>
          <w:p w14:paraId="00BAE983" w14:textId="77777777" w:rsidR="00871BDF" w:rsidRDefault="00871BDF">
            <w:pPr>
              <w:rPr>
                <w:rFonts w:ascii="宋体"/>
                <w:vanish/>
              </w:rPr>
            </w:pPr>
          </w:p>
        </w:tc>
        <w:tc>
          <w:tcPr>
            <w:tcW w:w="0" w:type="auto"/>
            <w:gridSpan w:val="3"/>
            <w:shd w:val="clear" w:color="auto" w:fill="auto"/>
          </w:tcPr>
          <w:p w14:paraId="00BAE984" w14:textId="77777777" w:rsidR="00871BDF" w:rsidRDefault="00871BDF">
            <w:pPr>
              <w:rPr>
                <w:rFonts w:ascii="宋体"/>
                <w:vanish/>
              </w:rPr>
            </w:pPr>
          </w:p>
        </w:tc>
        <w:tc>
          <w:tcPr>
            <w:tcW w:w="0" w:type="auto"/>
            <w:gridSpan w:val="3"/>
            <w:shd w:val="clear" w:color="auto" w:fill="auto"/>
          </w:tcPr>
          <w:p w14:paraId="00BAE985" w14:textId="77777777" w:rsidR="00871BDF" w:rsidRDefault="00871BDF">
            <w:pPr>
              <w:rPr>
                <w:rFonts w:ascii="宋体"/>
                <w:vanish/>
              </w:rPr>
            </w:pPr>
          </w:p>
        </w:tc>
        <w:tc>
          <w:tcPr>
            <w:tcW w:w="0" w:type="auto"/>
            <w:gridSpan w:val="3"/>
            <w:shd w:val="clear" w:color="auto" w:fill="auto"/>
          </w:tcPr>
          <w:p w14:paraId="00BAE986" w14:textId="77777777" w:rsidR="00871BDF" w:rsidRDefault="00871BDF">
            <w:pPr>
              <w:rPr>
                <w:rFonts w:ascii="宋体"/>
                <w:vanish/>
              </w:rPr>
            </w:pPr>
          </w:p>
        </w:tc>
      </w:tr>
      <w:tr w:rsidR="00871BDF" w14:paraId="00BAE98E" w14:textId="77777777">
        <w:trPr>
          <w:jc w:val="center"/>
          <w:hidden/>
        </w:trPr>
        <w:tc>
          <w:tcPr>
            <w:tcW w:w="0" w:type="auto"/>
            <w:gridSpan w:val="3"/>
            <w:shd w:val="clear" w:color="auto" w:fill="auto"/>
          </w:tcPr>
          <w:p w14:paraId="00BAE988" w14:textId="77777777" w:rsidR="00871BDF" w:rsidRDefault="00871BDF">
            <w:pPr>
              <w:rPr>
                <w:rFonts w:ascii="宋体"/>
                <w:vanish/>
              </w:rPr>
            </w:pPr>
          </w:p>
        </w:tc>
        <w:tc>
          <w:tcPr>
            <w:tcW w:w="0" w:type="auto"/>
            <w:gridSpan w:val="3"/>
            <w:shd w:val="clear" w:color="auto" w:fill="auto"/>
          </w:tcPr>
          <w:p w14:paraId="00BAE989" w14:textId="77777777" w:rsidR="00871BDF" w:rsidRDefault="00871BDF">
            <w:pPr>
              <w:rPr>
                <w:rFonts w:ascii="宋体"/>
                <w:vanish/>
              </w:rPr>
            </w:pPr>
          </w:p>
        </w:tc>
        <w:tc>
          <w:tcPr>
            <w:tcW w:w="0" w:type="auto"/>
            <w:gridSpan w:val="3"/>
            <w:shd w:val="clear" w:color="auto" w:fill="auto"/>
          </w:tcPr>
          <w:p w14:paraId="00BAE98A" w14:textId="77777777" w:rsidR="00871BDF" w:rsidRDefault="00871BDF">
            <w:pPr>
              <w:rPr>
                <w:rFonts w:ascii="宋体"/>
                <w:vanish/>
              </w:rPr>
            </w:pPr>
          </w:p>
        </w:tc>
        <w:tc>
          <w:tcPr>
            <w:tcW w:w="0" w:type="auto"/>
            <w:gridSpan w:val="3"/>
            <w:shd w:val="clear" w:color="auto" w:fill="auto"/>
          </w:tcPr>
          <w:p w14:paraId="00BAE98B" w14:textId="77777777" w:rsidR="00871BDF" w:rsidRDefault="00871BDF">
            <w:pPr>
              <w:rPr>
                <w:rFonts w:ascii="宋体"/>
                <w:vanish/>
              </w:rPr>
            </w:pPr>
          </w:p>
        </w:tc>
        <w:tc>
          <w:tcPr>
            <w:tcW w:w="0" w:type="auto"/>
            <w:gridSpan w:val="3"/>
            <w:shd w:val="clear" w:color="auto" w:fill="auto"/>
          </w:tcPr>
          <w:p w14:paraId="00BAE98C" w14:textId="77777777" w:rsidR="00871BDF" w:rsidRDefault="00871BDF">
            <w:pPr>
              <w:rPr>
                <w:rFonts w:ascii="宋体"/>
                <w:vanish/>
              </w:rPr>
            </w:pPr>
          </w:p>
        </w:tc>
        <w:tc>
          <w:tcPr>
            <w:tcW w:w="0" w:type="auto"/>
            <w:gridSpan w:val="3"/>
            <w:shd w:val="clear" w:color="auto" w:fill="auto"/>
          </w:tcPr>
          <w:p w14:paraId="00BAE98D" w14:textId="77777777" w:rsidR="00871BDF" w:rsidRDefault="00871BDF">
            <w:pPr>
              <w:rPr>
                <w:rFonts w:ascii="宋体"/>
                <w:vanish/>
              </w:rPr>
            </w:pPr>
          </w:p>
        </w:tc>
      </w:tr>
      <w:tr w:rsidR="00871BDF" w14:paraId="00BAE998" w14:textId="77777777">
        <w:trPr>
          <w:jc w:val="center"/>
        </w:trPr>
        <w:tc>
          <w:tcPr>
            <w:tcW w:w="0" w:type="auto"/>
            <w:gridSpan w:val="3"/>
            <w:shd w:val="clear" w:color="auto" w:fill="D7E4BC"/>
            <w:tcMar>
              <w:top w:w="40" w:type="dxa"/>
              <w:left w:w="20" w:type="dxa"/>
              <w:bottom w:w="40" w:type="dxa"/>
              <w:right w:w="20" w:type="dxa"/>
            </w:tcMar>
            <w:vAlign w:val="bottom"/>
          </w:tcPr>
          <w:p w14:paraId="00BAE98F" w14:textId="77777777" w:rsidR="00871BDF" w:rsidRDefault="005C5088">
            <w:pPr>
              <w:textAlignment w:val="bottom"/>
            </w:pPr>
            <w:r>
              <w:rPr>
                <w:rFonts w:ascii="Times New Roman" w:eastAsia="宋体" w:hAnsi="Times New Roman"/>
                <w:color w:val="000000"/>
                <w:sz w:val="20"/>
                <w:szCs w:val="20"/>
              </w:rPr>
              <w:t>Proceeds from issuance of common stock</w:t>
            </w:r>
          </w:p>
        </w:tc>
        <w:tc>
          <w:tcPr>
            <w:tcW w:w="0" w:type="auto"/>
            <w:gridSpan w:val="2"/>
            <w:shd w:val="clear" w:color="auto" w:fill="D7E4BC"/>
            <w:tcMar>
              <w:top w:w="40" w:type="dxa"/>
              <w:left w:w="20" w:type="dxa"/>
              <w:bottom w:w="40" w:type="dxa"/>
              <w:right w:w="0" w:type="dxa"/>
            </w:tcMar>
            <w:vAlign w:val="bottom"/>
          </w:tcPr>
          <w:p w14:paraId="00BAE990" w14:textId="77777777" w:rsidR="00871BDF" w:rsidRDefault="005C5088">
            <w:pPr>
              <w:jc w:val="right"/>
              <w:textAlignment w:val="bottom"/>
            </w:pPr>
            <w:r>
              <w:rPr>
                <w:rFonts w:ascii="Times New Roman" w:eastAsia="宋体" w:hAnsi="Times New Roman"/>
                <w:color w:val="000000"/>
                <w:sz w:val="20"/>
                <w:szCs w:val="20"/>
              </w:rPr>
              <w:t>298.8 </w:t>
            </w:r>
          </w:p>
        </w:tc>
        <w:tc>
          <w:tcPr>
            <w:tcW w:w="0" w:type="auto"/>
            <w:shd w:val="clear" w:color="auto" w:fill="D7E4BC"/>
            <w:tcMar>
              <w:top w:w="40" w:type="dxa"/>
              <w:left w:w="0" w:type="dxa"/>
              <w:bottom w:w="40" w:type="dxa"/>
              <w:right w:w="20" w:type="dxa"/>
            </w:tcMar>
            <w:vAlign w:val="bottom"/>
          </w:tcPr>
          <w:p w14:paraId="00BAE99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9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93" w14:textId="77777777" w:rsidR="00871BDF" w:rsidRDefault="005C5088">
            <w:pPr>
              <w:jc w:val="right"/>
              <w:textAlignment w:val="bottom"/>
            </w:pPr>
            <w:r>
              <w:rPr>
                <w:rFonts w:ascii="Times New Roman" w:eastAsia="宋体" w:hAnsi="Times New Roman"/>
                <w:color w:val="000000"/>
                <w:sz w:val="20"/>
                <w:szCs w:val="20"/>
              </w:rPr>
              <w:t>409.8 </w:t>
            </w:r>
          </w:p>
        </w:tc>
        <w:tc>
          <w:tcPr>
            <w:tcW w:w="0" w:type="auto"/>
            <w:shd w:val="clear" w:color="auto" w:fill="D7E4BC"/>
            <w:tcMar>
              <w:top w:w="40" w:type="dxa"/>
              <w:left w:w="0" w:type="dxa"/>
              <w:bottom w:w="40" w:type="dxa"/>
              <w:right w:w="20" w:type="dxa"/>
            </w:tcMar>
            <w:vAlign w:val="bottom"/>
          </w:tcPr>
          <w:p w14:paraId="00BAE99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9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96" w14:textId="77777777" w:rsidR="00871BDF" w:rsidRDefault="005C5088">
            <w:pPr>
              <w:jc w:val="right"/>
              <w:textAlignment w:val="bottom"/>
            </w:pPr>
            <w:r>
              <w:rPr>
                <w:rFonts w:ascii="Times New Roman" w:eastAsia="宋体" w:hAnsi="Times New Roman"/>
                <w:color w:val="000000"/>
                <w:sz w:val="20"/>
                <w:szCs w:val="20"/>
              </w:rPr>
              <w:t>153.9 </w:t>
            </w:r>
          </w:p>
        </w:tc>
        <w:tc>
          <w:tcPr>
            <w:tcW w:w="0" w:type="auto"/>
            <w:shd w:val="clear" w:color="auto" w:fill="D7E4BC"/>
            <w:tcMar>
              <w:top w:w="40" w:type="dxa"/>
              <w:left w:w="0" w:type="dxa"/>
              <w:bottom w:w="40" w:type="dxa"/>
              <w:right w:w="20" w:type="dxa"/>
            </w:tcMar>
            <w:vAlign w:val="bottom"/>
          </w:tcPr>
          <w:p w14:paraId="00BAE997" w14:textId="77777777" w:rsidR="00871BDF" w:rsidRDefault="00871BDF">
            <w:pPr>
              <w:jc w:val="right"/>
              <w:rPr>
                <w:rFonts w:ascii="宋体"/>
              </w:rPr>
            </w:pPr>
          </w:p>
        </w:tc>
      </w:tr>
      <w:tr w:rsidR="00871BDF" w14:paraId="00BAE99F" w14:textId="77777777">
        <w:trPr>
          <w:jc w:val="center"/>
          <w:hidden/>
        </w:trPr>
        <w:tc>
          <w:tcPr>
            <w:tcW w:w="0" w:type="auto"/>
            <w:gridSpan w:val="3"/>
            <w:shd w:val="clear" w:color="auto" w:fill="auto"/>
          </w:tcPr>
          <w:p w14:paraId="00BAE999" w14:textId="77777777" w:rsidR="00871BDF" w:rsidRDefault="00871BDF">
            <w:pPr>
              <w:rPr>
                <w:rFonts w:ascii="宋体"/>
                <w:vanish/>
              </w:rPr>
            </w:pPr>
          </w:p>
        </w:tc>
        <w:tc>
          <w:tcPr>
            <w:tcW w:w="0" w:type="auto"/>
            <w:gridSpan w:val="3"/>
            <w:shd w:val="clear" w:color="auto" w:fill="auto"/>
          </w:tcPr>
          <w:p w14:paraId="00BAE99A" w14:textId="77777777" w:rsidR="00871BDF" w:rsidRDefault="00871BDF">
            <w:pPr>
              <w:rPr>
                <w:rFonts w:ascii="宋体"/>
                <w:vanish/>
              </w:rPr>
            </w:pPr>
          </w:p>
        </w:tc>
        <w:tc>
          <w:tcPr>
            <w:tcW w:w="0" w:type="auto"/>
            <w:gridSpan w:val="3"/>
            <w:shd w:val="clear" w:color="auto" w:fill="auto"/>
          </w:tcPr>
          <w:p w14:paraId="00BAE99B" w14:textId="77777777" w:rsidR="00871BDF" w:rsidRDefault="00871BDF">
            <w:pPr>
              <w:rPr>
                <w:rFonts w:ascii="宋体"/>
                <w:vanish/>
              </w:rPr>
            </w:pPr>
          </w:p>
        </w:tc>
        <w:tc>
          <w:tcPr>
            <w:tcW w:w="0" w:type="auto"/>
            <w:gridSpan w:val="3"/>
            <w:shd w:val="clear" w:color="auto" w:fill="auto"/>
          </w:tcPr>
          <w:p w14:paraId="00BAE99C" w14:textId="77777777" w:rsidR="00871BDF" w:rsidRDefault="00871BDF">
            <w:pPr>
              <w:rPr>
                <w:rFonts w:ascii="宋体"/>
                <w:vanish/>
              </w:rPr>
            </w:pPr>
          </w:p>
        </w:tc>
        <w:tc>
          <w:tcPr>
            <w:tcW w:w="0" w:type="auto"/>
            <w:gridSpan w:val="3"/>
            <w:shd w:val="clear" w:color="auto" w:fill="auto"/>
          </w:tcPr>
          <w:p w14:paraId="00BAE99D" w14:textId="77777777" w:rsidR="00871BDF" w:rsidRDefault="00871BDF">
            <w:pPr>
              <w:rPr>
                <w:rFonts w:ascii="宋体"/>
                <w:vanish/>
              </w:rPr>
            </w:pPr>
          </w:p>
        </w:tc>
        <w:tc>
          <w:tcPr>
            <w:tcW w:w="0" w:type="auto"/>
            <w:gridSpan w:val="3"/>
            <w:shd w:val="clear" w:color="auto" w:fill="auto"/>
          </w:tcPr>
          <w:p w14:paraId="00BAE99E" w14:textId="77777777" w:rsidR="00871BDF" w:rsidRDefault="00871BDF">
            <w:pPr>
              <w:rPr>
                <w:rFonts w:ascii="宋体"/>
                <w:vanish/>
              </w:rPr>
            </w:pPr>
          </w:p>
        </w:tc>
      </w:tr>
      <w:tr w:rsidR="00871BDF" w14:paraId="00BAE9A9" w14:textId="77777777">
        <w:trPr>
          <w:jc w:val="center"/>
        </w:trPr>
        <w:tc>
          <w:tcPr>
            <w:tcW w:w="0" w:type="auto"/>
            <w:gridSpan w:val="3"/>
            <w:shd w:val="clear" w:color="auto" w:fill="FFFFFF"/>
            <w:tcMar>
              <w:top w:w="40" w:type="dxa"/>
              <w:left w:w="20" w:type="dxa"/>
              <w:bottom w:w="40" w:type="dxa"/>
              <w:right w:w="20" w:type="dxa"/>
            </w:tcMar>
            <w:vAlign w:val="bottom"/>
          </w:tcPr>
          <w:p w14:paraId="00BAE9A0" w14:textId="77777777" w:rsidR="00871BDF" w:rsidRDefault="005C5088">
            <w:pPr>
              <w:textAlignment w:val="bottom"/>
            </w:pPr>
            <w:r>
              <w:rPr>
                <w:rFonts w:ascii="Times New Roman" w:eastAsia="宋体" w:hAnsi="Times New Roman"/>
                <w:color w:val="000000"/>
                <w:sz w:val="20"/>
                <w:szCs w:val="20"/>
              </w:rPr>
              <w:t>Cash dividends paid</w:t>
            </w:r>
          </w:p>
        </w:tc>
        <w:tc>
          <w:tcPr>
            <w:tcW w:w="0" w:type="auto"/>
            <w:gridSpan w:val="2"/>
            <w:shd w:val="clear" w:color="auto" w:fill="FFFFFF"/>
            <w:tcMar>
              <w:top w:w="40" w:type="dxa"/>
              <w:left w:w="20" w:type="dxa"/>
              <w:bottom w:w="40" w:type="dxa"/>
              <w:right w:w="0" w:type="dxa"/>
            </w:tcMar>
            <w:vAlign w:val="bottom"/>
          </w:tcPr>
          <w:p w14:paraId="00BAE9A1" w14:textId="77777777" w:rsidR="00871BDF" w:rsidRDefault="005C5088">
            <w:pPr>
              <w:jc w:val="right"/>
              <w:textAlignment w:val="bottom"/>
            </w:pPr>
            <w:r>
              <w:rPr>
                <w:rFonts w:ascii="Times New Roman" w:eastAsia="宋体" w:hAnsi="Times New Roman"/>
                <w:color w:val="000000"/>
                <w:sz w:val="20"/>
                <w:szCs w:val="20"/>
              </w:rPr>
              <w:t>(1,923.5)</w:t>
            </w:r>
          </w:p>
        </w:tc>
        <w:tc>
          <w:tcPr>
            <w:tcW w:w="0" w:type="auto"/>
            <w:shd w:val="clear" w:color="auto" w:fill="FFFFFF"/>
            <w:tcMar>
              <w:top w:w="40" w:type="dxa"/>
              <w:left w:w="0" w:type="dxa"/>
              <w:bottom w:w="40" w:type="dxa"/>
              <w:right w:w="20" w:type="dxa"/>
            </w:tcMar>
            <w:vAlign w:val="bottom"/>
          </w:tcPr>
          <w:p w14:paraId="00BAE9A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A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A4" w14:textId="77777777" w:rsidR="00871BDF" w:rsidRDefault="005C5088">
            <w:pPr>
              <w:jc w:val="right"/>
              <w:textAlignment w:val="bottom"/>
            </w:pPr>
            <w:r>
              <w:rPr>
                <w:rFonts w:ascii="Times New Roman" w:eastAsia="宋体" w:hAnsi="Times New Roman"/>
                <w:color w:val="000000"/>
                <w:sz w:val="20"/>
                <w:szCs w:val="20"/>
              </w:rPr>
              <w:t>(1,761.3)</w:t>
            </w:r>
          </w:p>
        </w:tc>
        <w:tc>
          <w:tcPr>
            <w:tcW w:w="0" w:type="auto"/>
            <w:shd w:val="clear" w:color="auto" w:fill="FFFFFF"/>
            <w:tcMar>
              <w:top w:w="40" w:type="dxa"/>
              <w:left w:w="0" w:type="dxa"/>
              <w:bottom w:w="40" w:type="dxa"/>
              <w:right w:w="20" w:type="dxa"/>
            </w:tcMar>
            <w:vAlign w:val="bottom"/>
          </w:tcPr>
          <w:p w14:paraId="00BAE9A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A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A7" w14:textId="77777777" w:rsidR="00871BDF" w:rsidRDefault="005C5088">
            <w:pPr>
              <w:jc w:val="right"/>
              <w:textAlignment w:val="bottom"/>
            </w:pPr>
            <w:r>
              <w:rPr>
                <w:rFonts w:ascii="Times New Roman" w:eastAsia="宋体" w:hAnsi="Times New Roman"/>
                <w:color w:val="000000"/>
                <w:sz w:val="20"/>
                <w:szCs w:val="20"/>
              </w:rPr>
              <w:t>(1,743.4)</w:t>
            </w:r>
          </w:p>
        </w:tc>
        <w:tc>
          <w:tcPr>
            <w:tcW w:w="0" w:type="auto"/>
            <w:shd w:val="clear" w:color="auto" w:fill="FFFFFF"/>
            <w:tcMar>
              <w:top w:w="40" w:type="dxa"/>
              <w:left w:w="0" w:type="dxa"/>
              <w:bottom w:w="40" w:type="dxa"/>
              <w:right w:w="20" w:type="dxa"/>
            </w:tcMar>
            <w:vAlign w:val="bottom"/>
          </w:tcPr>
          <w:p w14:paraId="00BAE9A8" w14:textId="77777777" w:rsidR="00871BDF" w:rsidRDefault="00871BDF">
            <w:pPr>
              <w:jc w:val="right"/>
              <w:rPr>
                <w:rFonts w:ascii="宋体"/>
              </w:rPr>
            </w:pPr>
          </w:p>
        </w:tc>
      </w:tr>
      <w:tr w:rsidR="00871BDF" w14:paraId="00BAE9B3" w14:textId="77777777">
        <w:trPr>
          <w:jc w:val="center"/>
        </w:trPr>
        <w:tc>
          <w:tcPr>
            <w:tcW w:w="0" w:type="auto"/>
            <w:gridSpan w:val="3"/>
            <w:shd w:val="clear" w:color="auto" w:fill="D7E4BC"/>
            <w:tcMar>
              <w:top w:w="40" w:type="dxa"/>
              <w:left w:w="20" w:type="dxa"/>
              <w:bottom w:w="40" w:type="dxa"/>
              <w:right w:w="20" w:type="dxa"/>
            </w:tcMar>
            <w:vAlign w:val="bottom"/>
          </w:tcPr>
          <w:p w14:paraId="00BAE9AA" w14:textId="77777777" w:rsidR="00871BDF" w:rsidRDefault="005C5088">
            <w:pPr>
              <w:textAlignment w:val="bottom"/>
            </w:pPr>
            <w:r>
              <w:rPr>
                <w:rFonts w:ascii="Times New Roman" w:eastAsia="宋体" w:hAnsi="Times New Roman"/>
                <w:color w:val="000000"/>
                <w:sz w:val="20"/>
                <w:szCs w:val="20"/>
              </w:rPr>
              <w:t>Repurchase of common stock</w:t>
            </w:r>
          </w:p>
        </w:tc>
        <w:tc>
          <w:tcPr>
            <w:tcW w:w="0" w:type="auto"/>
            <w:gridSpan w:val="2"/>
            <w:shd w:val="clear" w:color="auto" w:fill="D7E4BC"/>
            <w:tcMar>
              <w:top w:w="40" w:type="dxa"/>
              <w:left w:w="20" w:type="dxa"/>
              <w:bottom w:w="40" w:type="dxa"/>
              <w:right w:w="0" w:type="dxa"/>
            </w:tcMar>
            <w:vAlign w:val="bottom"/>
          </w:tcPr>
          <w:p w14:paraId="00BAE9AB" w14:textId="77777777" w:rsidR="00871BDF" w:rsidRDefault="005C5088">
            <w:pPr>
              <w:jc w:val="right"/>
              <w:textAlignment w:val="bottom"/>
            </w:pPr>
            <w:r>
              <w:rPr>
                <w:rFonts w:ascii="Times New Roman" w:eastAsia="宋体" w:hAnsi="Times New Roman"/>
                <w:color w:val="000000"/>
                <w:sz w:val="20"/>
                <w:szCs w:val="20"/>
              </w:rPr>
              <w:t>(1,698.9)</w:t>
            </w:r>
          </w:p>
        </w:tc>
        <w:tc>
          <w:tcPr>
            <w:tcW w:w="0" w:type="auto"/>
            <w:shd w:val="clear" w:color="auto" w:fill="D7E4BC"/>
            <w:tcMar>
              <w:top w:w="40" w:type="dxa"/>
              <w:left w:w="0" w:type="dxa"/>
              <w:bottom w:w="40" w:type="dxa"/>
              <w:right w:w="20" w:type="dxa"/>
            </w:tcMar>
            <w:vAlign w:val="bottom"/>
          </w:tcPr>
          <w:p w14:paraId="00BAE9A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A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AE" w14:textId="77777777" w:rsidR="00871BDF" w:rsidRDefault="005C5088">
            <w:pPr>
              <w:jc w:val="right"/>
              <w:textAlignment w:val="bottom"/>
            </w:pPr>
            <w:r>
              <w:rPr>
                <w:rFonts w:ascii="Times New Roman" w:eastAsia="宋体" w:hAnsi="Times New Roman"/>
                <w:color w:val="000000"/>
                <w:sz w:val="20"/>
                <w:szCs w:val="20"/>
              </w:rPr>
              <w:t>(10,222.3)</w:t>
            </w:r>
          </w:p>
        </w:tc>
        <w:tc>
          <w:tcPr>
            <w:tcW w:w="0" w:type="auto"/>
            <w:shd w:val="clear" w:color="auto" w:fill="D7E4BC"/>
            <w:tcMar>
              <w:top w:w="40" w:type="dxa"/>
              <w:left w:w="0" w:type="dxa"/>
              <w:bottom w:w="40" w:type="dxa"/>
              <w:right w:w="20" w:type="dxa"/>
            </w:tcMar>
            <w:vAlign w:val="bottom"/>
          </w:tcPr>
          <w:p w14:paraId="00BAE9A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B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B1" w14:textId="77777777" w:rsidR="00871BDF" w:rsidRDefault="005C5088">
            <w:pPr>
              <w:jc w:val="right"/>
              <w:textAlignment w:val="bottom"/>
            </w:pPr>
            <w:r>
              <w:rPr>
                <w:rFonts w:ascii="Times New Roman" w:eastAsia="宋体" w:hAnsi="Times New Roman"/>
                <w:color w:val="000000"/>
                <w:sz w:val="20"/>
                <w:szCs w:val="20"/>
              </w:rPr>
              <w:t>(7,133.5)</w:t>
            </w:r>
          </w:p>
        </w:tc>
        <w:tc>
          <w:tcPr>
            <w:tcW w:w="0" w:type="auto"/>
            <w:shd w:val="clear" w:color="auto" w:fill="D7E4BC"/>
            <w:tcMar>
              <w:top w:w="40" w:type="dxa"/>
              <w:left w:w="0" w:type="dxa"/>
              <w:bottom w:w="40" w:type="dxa"/>
              <w:right w:w="20" w:type="dxa"/>
            </w:tcMar>
            <w:vAlign w:val="bottom"/>
          </w:tcPr>
          <w:p w14:paraId="00BAE9B2" w14:textId="77777777" w:rsidR="00871BDF" w:rsidRDefault="00871BDF">
            <w:pPr>
              <w:jc w:val="right"/>
              <w:rPr>
                <w:rFonts w:ascii="宋体"/>
              </w:rPr>
            </w:pPr>
          </w:p>
        </w:tc>
      </w:tr>
      <w:tr w:rsidR="00871BDF" w14:paraId="00BAE9BD" w14:textId="77777777">
        <w:trPr>
          <w:jc w:val="center"/>
        </w:trPr>
        <w:tc>
          <w:tcPr>
            <w:tcW w:w="0" w:type="auto"/>
            <w:gridSpan w:val="3"/>
            <w:shd w:val="clear" w:color="auto" w:fill="FFFFFF"/>
            <w:tcMar>
              <w:top w:w="40" w:type="dxa"/>
              <w:left w:w="20" w:type="dxa"/>
              <w:bottom w:w="40" w:type="dxa"/>
              <w:right w:w="20" w:type="dxa"/>
            </w:tcMar>
            <w:vAlign w:val="bottom"/>
          </w:tcPr>
          <w:p w14:paraId="00BAE9B4" w14:textId="77777777" w:rsidR="00871BDF" w:rsidRDefault="005C5088">
            <w:pPr>
              <w:textAlignment w:val="bottom"/>
            </w:pPr>
            <w:r>
              <w:rPr>
                <w:rFonts w:ascii="Times New Roman" w:eastAsia="宋体" w:hAnsi="Times New Roman"/>
                <w:color w:val="000000"/>
                <w:sz w:val="20"/>
                <w:szCs w:val="20"/>
              </w:rPr>
              <w:t xml:space="preserve">Minimum tax withholdings on share-based </w:t>
            </w:r>
            <w:r>
              <w:rPr>
                <w:rFonts w:ascii="Times New Roman" w:eastAsia="宋体" w:hAnsi="Times New Roman"/>
                <w:color w:val="000000"/>
                <w:sz w:val="20"/>
                <w:szCs w:val="20"/>
              </w:rPr>
              <w:t>awards</w:t>
            </w:r>
          </w:p>
        </w:tc>
        <w:tc>
          <w:tcPr>
            <w:tcW w:w="0" w:type="auto"/>
            <w:gridSpan w:val="2"/>
            <w:shd w:val="clear" w:color="auto" w:fill="FFFFFF"/>
            <w:tcMar>
              <w:top w:w="40" w:type="dxa"/>
              <w:left w:w="20" w:type="dxa"/>
              <w:bottom w:w="40" w:type="dxa"/>
              <w:right w:w="0" w:type="dxa"/>
            </w:tcMar>
            <w:vAlign w:val="bottom"/>
          </w:tcPr>
          <w:p w14:paraId="00BAE9B5" w14:textId="77777777" w:rsidR="00871BDF" w:rsidRDefault="005C5088">
            <w:pPr>
              <w:jc w:val="right"/>
              <w:textAlignment w:val="bottom"/>
            </w:pPr>
            <w:r>
              <w:rPr>
                <w:rFonts w:ascii="Times New Roman" w:eastAsia="宋体" w:hAnsi="Times New Roman"/>
                <w:color w:val="000000"/>
                <w:sz w:val="20"/>
                <w:szCs w:val="20"/>
              </w:rPr>
              <w:t>(91.9)</w:t>
            </w:r>
          </w:p>
        </w:tc>
        <w:tc>
          <w:tcPr>
            <w:tcW w:w="0" w:type="auto"/>
            <w:shd w:val="clear" w:color="auto" w:fill="FFFFFF"/>
            <w:tcMar>
              <w:top w:w="40" w:type="dxa"/>
              <w:left w:w="0" w:type="dxa"/>
              <w:bottom w:w="40" w:type="dxa"/>
              <w:right w:w="20" w:type="dxa"/>
            </w:tcMar>
            <w:vAlign w:val="bottom"/>
          </w:tcPr>
          <w:p w14:paraId="00BAE9B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B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B8" w14:textId="77777777" w:rsidR="00871BDF" w:rsidRDefault="005C5088">
            <w:pPr>
              <w:jc w:val="right"/>
              <w:textAlignment w:val="bottom"/>
            </w:pPr>
            <w:r>
              <w:rPr>
                <w:rFonts w:ascii="Times New Roman" w:eastAsia="宋体" w:hAnsi="Times New Roman"/>
                <w:color w:val="000000"/>
                <w:sz w:val="20"/>
                <w:szCs w:val="20"/>
              </w:rPr>
              <w:t>(111.6)</w:t>
            </w:r>
          </w:p>
        </w:tc>
        <w:tc>
          <w:tcPr>
            <w:tcW w:w="0" w:type="auto"/>
            <w:shd w:val="clear" w:color="auto" w:fill="FFFFFF"/>
            <w:tcMar>
              <w:top w:w="40" w:type="dxa"/>
              <w:left w:w="0" w:type="dxa"/>
              <w:bottom w:w="40" w:type="dxa"/>
              <w:right w:w="20" w:type="dxa"/>
            </w:tcMar>
            <w:vAlign w:val="bottom"/>
          </w:tcPr>
          <w:p w14:paraId="00BAE9B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B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BB" w14:textId="77777777" w:rsidR="00871BDF" w:rsidRDefault="005C5088">
            <w:pPr>
              <w:jc w:val="right"/>
              <w:textAlignment w:val="bottom"/>
            </w:pPr>
            <w:r>
              <w:rPr>
                <w:rFonts w:ascii="Times New Roman" w:eastAsia="宋体" w:hAnsi="Times New Roman"/>
                <w:color w:val="000000"/>
                <w:sz w:val="20"/>
                <w:szCs w:val="20"/>
              </w:rPr>
              <w:t>(62.7)</w:t>
            </w:r>
          </w:p>
        </w:tc>
        <w:tc>
          <w:tcPr>
            <w:tcW w:w="0" w:type="auto"/>
            <w:shd w:val="clear" w:color="auto" w:fill="FFFFFF"/>
            <w:tcMar>
              <w:top w:w="40" w:type="dxa"/>
              <w:left w:w="0" w:type="dxa"/>
              <w:bottom w:w="40" w:type="dxa"/>
              <w:right w:w="20" w:type="dxa"/>
            </w:tcMar>
            <w:vAlign w:val="bottom"/>
          </w:tcPr>
          <w:p w14:paraId="00BAE9BC" w14:textId="77777777" w:rsidR="00871BDF" w:rsidRDefault="00871BDF">
            <w:pPr>
              <w:jc w:val="right"/>
              <w:rPr>
                <w:rFonts w:ascii="宋体"/>
              </w:rPr>
            </w:pPr>
          </w:p>
        </w:tc>
      </w:tr>
      <w:tr w:rsidR="00871BDF" w14:paraId="00BAE9C7" w14:textId="77777777">
        <w:trPr>
          <w:jc w:val="center"/>
        </w:trPr>
        <w:tc>
          <w:tcPr>
            <w:tcW w:w="0" w:type="auto"/>
            <w:gridSpan w:val="3"/>
            <w:shd w:val="clear" w:color="auto" w:fill="D7E4BC"/>
            <w:tcMar>
              <w:top w:w="40" w:type="dxa"/>
              <w:left w:w="20" w:type="dxa"/>
              <w:bottom w:w="40" w:type="dxa"/>
              <w:right w:w="20" w:type="dxa"/>
            </w:tcMar>
            <w:vAlign w:val="bottom"/>
          </w:tcPr>
          <w:p w14:paraId="00BAE9BE" w14:textId="77777777" w:rsidR="00871BDF" w:rsidRDefault="005C5088">
            <w:pPr>
              <w:textAlignment w:val="bottom"/>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00BAE9BF" w14:textId="77777777" w:rsidR="00871BDF" w:rsidRDefault="005C5088">
            <w:pPr>
              <w:jc w:val="right"/>
              <w:textAlignment w:val="bottom"/>
            </w:pPr>
            <w:r>
              <w:rPr>
                <w:rFonts w:ascii="Times New Roman" w:eastAsia="宋体" w:hAnsi="Times New Roman"/>
                <w:color w:val="000000"/>
                <w:sz w:val="20"/>
                <w:szCs w:val="20"/>
              </w:rPr>
              <w:t>(37.7)</w:t>
            </w:r>
          </w:p>
        </w:tc>
        <w:tc>
          <w:tcPr>
            <w:tcW w:w="0" w:type="auto"/>
            <w:shd w:val="clear" w:color="auto" w:fill="D7E4BC"/>
            <w:tcMar>
              <w:top w:w="40" w:type="dxa"/>
              <w:left w:w="0" w:type="dxa"/>
              <w:bottom w:w="40" w:type="dxa"/>
              <w:right w:w="20" w:type="dxa"/>
            </w:tcMar>
            <w:vAlign w:val="bottom"/>
          </w:tcPr>
          <w:p w14:paraId="00BAE9C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C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C2" w14:textId="77777777" w:rsidR="00871BDF" w:rsidRDefault="005C5088">
            <w:pPr>
              <w:jc w:val="right"/>
              <w:textAlignment w:val="bottom"/>
            </w:pPr>
            <w:r>
              <w:rPr>
                <w:rFonts w:ascii="Times New Roman" w:eastAsia="宋体" w:hAnsi="Times New Roman"/>
                <w:color w:val="000000"/>
                <w:sz w:val="20"/>
                <w:szCs w:val="20"/>
              </w:rPr>
              <w:t>(17.5)</w:t>
            </w:r>
          </w:p>
        </w:tc>
        <w:tc>
          <w:tcPr>
            <w:tcW w:w="0" w:type="auto"/>
            <w:shd w:val="clear" w:color="auto" w:fill="D7E4BC"/>
            <w:tcMar>
              <w:top w:w="40" w:type="dxa"/>
              <w:left w:w="0" w:type="dxa"/>
              <w:bottom w:w="40" w:type="dxa"/>
              <w:right w:w="20" w:type="dxa"/>
            </w:tcMar>
            <w:vAlign w:val="bottom"/>
          </w:tcPr>
          <w:p w14:paraId="00BAE9C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C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C5" w14:textId="77777777" w:rsidR="00871BDF" w:rsidRDefault="005C5088">
            <w:pPr>
              <w:jc w:val="right"/>
              <w:textAlignment w:val="bottom"/>
            </w:pPr>
            <w:r>
              <w:rPr>
                <w:rFonts w:ascii="Times New Roman" w:eastAsia="宋体" w:hAnsi="Times New Roman"/>
                <w:color w:val="000000"/>
                <w:sz w:val="20"/>
                <w:szCs w:val="20"/>
              </w:rPr>
              <w:t>(41.2)</w:t>
            </w:r>
          </w:p>
        </w:tc>
        <w:tc>
          <w:tcPr>
            <w:tcW w:w="0" w:type="auto"/>
            <w:shd w:val="clear" w:color="auto" w:fill="D7E4BC"/>
            <w:tcMar>
              <w:top w:w="40" w:type="dxa"/>
              <w:left w:w="0" w:type="dxa"/>
              <w:bottom w:w="40" w:type="dxa"/>
              <w:right w:w="20" w:type="dxa"/>
            </w:tcMar>
            <w:vAlign w:val="bottom"/>
          </w:tcPr>
          <w:p w14:paraId="00BAE9C6" w14:textId="77777777" w:rsidR="00871BDF" w:rsidRDefault="00871BDF">
            <w:pPr>
              <w:jc w:val="right"/>
              <w:rPr>
                <w:rFonts w:ascii="宋体"/>
              </w:rPr>
            </w:pPr>
          </w:p>
        </w:tc>
      </w:tr>
      <w:tr w:rsidR="00871BDF" w14:paraId="00BAE9D1" w14:textId="77777777">
        <w:trPr>
          <w:jc w:val="center"/>
        </w:trPr>
        <w:tc>
          <w:tcPr>
            <w:tcW w:w="0" w:type="auto"/>
            <w:gridSpan w:val="3"/>
            <w:shd w:val="clear" w:color="auto" w:fill="FFFFFF"/>
            <w:tcMar>
              <w:top w:w="40" w:type="dxa"/>
              <w:left w:w="20" w:type="dxa"/>
              <w:bottom w:w="40" w:type="dxa"/>
              <w:right w:w="20" w:type="dxa"/>
            </w:tcMar>
            <w:vAlign w:val="bottom"/>
          </w:tcPr>
          <w:p w14:paraId="00BAE9C8" w14:textId="77777777" w:rsidR="00871BDF" w:rsidRDefault="005C5088">
            <w:pPr>
              <w:textAlignment w:val="bottom"/>
            </w:pPr>
            <w:r>
              <w:rPr>
                <w:rFonts w:ascii="Times New Roman" w:eastAsia="宋体" w:hAnsi="Times New Roman"/>
                <w:color w:val="000000"/>
                <w:sz w:val="20"/>
                <w:szCs w:val="20"/>
              </w:rPr>
              <w:t>Net cash provided by/(used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9C9" w14:textId="77777777" w:rsidR="00871BDF" w:rsidRDefault="005C5088">
            <w:pPr>
              <w:jc w:val="right"/>
              <w:textAlignment w:val="bottom"/>
            </w:pPr>
            <w:r>
              <w:rPr>
                <w:rFonts w:ascii="Times New Roman" w:eastAsia="宋体" w:hAnsi="Times New Roman"/>
                <w:color w:val="000000"/>
                <w:sz w:val="20"/>
                <w:szCs w:val="20"/>
              </w:rPr>
              <w:t>1,713.3 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9C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CB"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9CC" w14:textId="77777777" w:rsidR="00871BDF" w:rsidRDefault="005C5088">
            <w:pPr>
              <w:jc w:val="right"/>
              <w:textAlignment w:val="bottom"/>
            </w:pPr>
            <w:r>
              <w:rPr>
                <w:rFonts w:ascii="Times New Roman" w:eastAsia="宋体" w:hAnsi="Times New Roman"/>
                <w:color w:val="000000"/>
                <w:sz w:val="20"/>
                <w:szCs w:val="20"/>
              </w:rPr>
              <w:t>(10,056.9)</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9C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CE"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9CF" w14:textId="77777777" w:rsidR="00871BDF" w:rsidRDefault="005C5088">
            <w:pPr>
              <w:jc w:val="right"/>
              <w:textAlignment w:val="bottom"/>
            </w:pPr>
            <w:r>
              <w:rPr>
                <w:rFonts w:ascii="Times New Roman" w:eastAsia="宋体" w:hAnsi="Times New Roman"/>
                <w:color w:val="000000"/>
                <w:sz w:val="20"/>
                <w:szCs w:val="20"/>
              </w:rPr>
              <w:t>(3,242.8)</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9D0" w14:textId="77777777" w:rsidR="00871BDF" w:rsidRDefault="00871BDF">
            <w:pPr>
              <w:jc w:val="right"/>
              <w:rPr>
                <w:rFonts w:ascii="宋体"/>
              </w:rPr>
            </w:pPr>
          </w:p>
        </w:tc>
      </w:tr>
      <w:tr w:rsidR="00871BDF" w14:paraId="00BAE9DB" w14:textId="77777777">
        <w:trPr>
          <w:jc w:val="center"/>
        </w:trPr>
        <w:tc>
          <w:tcPr>
            <w:tcW w:w="0" w:type="auto"/>
            <w:gridSpan w:val="3"/>
            <w:shd w:val="clear" w:color="auto" w:fill="D7E4BC"/>
            <w:tcMar>
              <w:top w:w="40" w:type="dxa"/>
              <w:left w:w="20" w:type="dxa"/>
              <w:bottom w:w="40" w:type="dxa"/>
              <w:right w:w="20" w:type="dxa"/>
            </w:tcMar>
            <w:vAlign w:val="bottom"/>
          </w:tcPr>
          <w:p w14:paraId="00BAE9D2" w14:textId="77777777" w:rsidR="00871BDF" w:rsidRDefault="005C5088">
            <w:pPr>
              <w:textAlignment w:val="bottom"/>
            </w:pPr>
            <w:r>
              <w:rPr>
                <w:rFonts w:ascii="Times New Roman" w:eastAsia="宋体" w:hAnsi="Times New Roman"/>
                <w:color w:val="000000"/>
                <w:sz w:val="20"/>
                <w:szCs w:val="20"/>
              </w:rPr>
              <w:t xml:space="preserve">Effect of </w:t>
            </w:r>
            <w:r>
              <w:rPr>
                <w:rFonts w:ascii="Times New Roman" w:eastAsia="宋体" w:hAnsi="Times New Roman"/>
                <w:color w:val="000000"/>
                <w:sz w:val="20"/>
                <w:szCs w:val="20"/>
              </w:rPr>
              <w:t>exchange rate changes on cash and cash equivalents</w:t>
            </w:r>
          </w:p>
        </w:tc>
        <w:tc>
          <w:tcPr>
            <w:tcW w:w="0" w:type="auto"/>
            <w:gridSpan w:val="2"/>
            <w:shd w:val="clear" w:color="auto" w:fill="D7E4BC"/>
            <w:tcMar>
              <w:top w:w="40" w:type="dxa"/>
              <w:left w:w="20" w:type="dxa"/>
              <w:bottom w:w="40" w:type="dxa"/>
              <w:right w:w="0" w:type="dxa"/>
            </w:tcMar>
            <w:vAlign w:val="bottom"/>
          </w:tcPr>
          <w:p w14:paraId="00BAE9D3" w14:textId="77777777" w:rsidR="00871BDF" w:rsidRDefault="005C5088">
            <w:pPr>
              <w:jc w:val="right"/>
              <w:textAlignment w:val="bottom"/>
            </w:pPr>
            <w:r>
              <w:rPr>
                <w:rFonts w:ascii="Times New Roman" w:eastAsia="宋体" w:hAnsi="Times New Roman"/>
                <w:color w:val="000000"/>
                <w:sz w:val="20"/>
                <w:szCs w:val="20"/>
              </w:rPr>
              <w:t>64.7 </w:t>
            </w:r>
          </w:p>
        </w:tc>
        <w:tc>
          <w:tcPr>
            <w:tcW w:w="0" w:type="auto"/>
            <w:shd w:val="clear" w:color="auto" w:fill="D7E4BC"/>
            <w:tcMar>
              <w:top w:w="40" w:type="dxa"/>
              <w:left w:w="0" w:type="dxa"/>
              <w:bottom w:w="40" w:type="dxa"/>
              <w:right w:w="20" w:type="dxa"/>
            </w:tcMar>
            <w:vAlign w:val="bottom"/>
          </w:tcPr>
          <w:p w14:paraId="00BAE9D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D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D6" w14:textId="77777777" w:rsidR="00871BDF" w:rsidRDefault="005C5088">
            <w:pPr>
              <w:jc w:val="right"/>
              <w:textAlignment w:val="bottom"/>
            </w:pPr>
            <w:r>
              <w:rPr>
                <w:rFonts w:ascii="Times New Roman" w:eastAsia="宋体" w:hAnsi="Times New Roman"/>
                <w:color w:val="000000"/>
                <w:sz w:val="20"/>
                <w:szCs w:val="20"/>
              </w:rPr>
              <w:t>(49.0)</w:t>
            </w:r>
          </w:p>
        </w:tc>
        <w:tc>
          <w:tcPr>
            <w:tcW w:w="0" w:type="auto"/>
            <w:shd w:val="clear" w:color="auto" w:fill="D7E4BC"/>
            <w:tcMar>
              <w:top w:w="40" w:type="dxa"/>
              <w:left w:w="0" w:type="dxa"/>
              <w:bottom w:w="40" w:type="dxa"/>
              <w:right w:w="20" w:type="dxa"/>
            </w:tcMar>
            <w:vAlign w:val="bottom"/>
          </w:tcPr>
          <w:p w14:paraId="00BAE9D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D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9D9" w14:textId="77777777" w:rsidR="00871BDF" w:rsidRDefault="005C5088">
            <w:pPr>
              <w:jc w:val="right"/>
              <w:textAlignment w:val="bottom"/>
            </w:pPr>
            <w:r>
              <w:rPr>
                <w:rFonts w:ascii="Times New Roman" w:eastAsia="宋体" w:hAnsi="Times New Roman"/>
                <w:color w:val="000000"/>
                <w:sz w:val="20"/>
                <w:szCs w:val="20"/>
              </w:rPr>
              <w:t>(39.5)</w:t>
            </w:r>
          </w:p>
        </w:tc>
        <w:tc>
          <w:tcPr>
            <w:tcW w:w="0" w:type="auto"/>
            <w:shd w:val="clear" w:color="auto" w:fill="D7E4BC"/>
            <w:tcMar>
              <w:top w:w="40" w:type="dxa"/>
              <w:left w:w="0" w:type="dxa"/>
              <w:bottom w:w="40" w:type="dxa"/>
              <w:right w:w="20" w:type="dxa"/>
            </w:tcMar>
            <w:vAlign w:val="bottom"/>
          </w:tcPr>
          <w:p w14:paraId="00BAE9DA" w14:textId="77777777" w:rsidR="00871BDF" w:rsidRDefault="00871BDF">
            <w:pPr>
              <w:jc w:val="right"/>
              <w:rPr>
                <w:rFonts w:ascii="宋体"/>
              </w:rPr>
            </w:pPr>
          </w:p>
        </w:tc>
      </w:tr>
      <w:tr w:rsidR="00871BDF" w14:paraId="00BAE9E5" w14:textId="77777777">
        <w:trPr>
          <w:jc w:val="center"/>
        </w:trPr>
        <w:tc>
          <w:tcPr>
            <w:tcW w:w="0" w:type="auto"/>
            <w:gridSpan w:val="3"/>
            <w:shd w:val="clear" w:color="auto" w:fill="FFFFFF"/>
            <w:tcMar>
              <w:top w:w="40" w:type="dxa"/>
              <w:left w:w="20" w:type="dxa"/>
              <w:bottom w:w="40" w:type="dxa"/>
              <w:right w:w="20" w:type="dxa"/>
            </w:tcMar>
            <w:vAlign w:val="bottom"/>
          </w:tcPr>
          <w:p w14:paraId="00BAE9DC" w14:textId="77777777" w:rsidR="00871BDF" w:rsidRDefault="005C5088">
            <w:pPr>
              <w:textAlignment w:val="bottom"/>
            </w:pPr>
            <w:r>
              <w:rPr>
                <w:rFonts w:ascii="Times New Roman" w:eastAsia="宋体" w:hAnsi="Times New Roman"/>
                <w:color w:val="000000"/>
                <w:sz w:val="20"/>
                <w:szCs w:val="20"/>
              </w:rPr>
              <w:t>Net increase/(decrease) in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9DD" w14:textId="77777777" w:rsidR="00871BDF" w:rsidRDefault="005C5088">
            <w:pPr>
              <w:jc w:val="right"/>
              <w:textAlignment w:val="bottom"/>
            </w:pPr>
            <w:r>
              <w:rPr>
                <w:rFonts w:ascii="Times New Roman" w:eastAsia="宋体" w:hAnsi="Times New Roman"/>
                <w:color w:val="000000"/>
                <w:sz w:val="20"/>
                <w:szCs w:val="20"/>
              </w:rPr>
              <w:t>1,664.3 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9D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DF"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9E0" w14:textId="77777777" w:rsidR="00871BDF" w:rsidRDefault="005C5088">
            <w:pPr>
              <w:jc w:val="right"/>
              <w:textAlignment w:val="bottom"/>
            </w:pPr>
            <w:r>
              <w:rPr>
                <w:rFonts w:ascii="Times New Roman" w:eastAsia="宋体" w:hAnsi="Times New Roman"/>
                <w:color w:val="000000"/>
                <w:sz w:val="20"/>
                <w:szCs w:val="20"/>
              </w:rPr>
              <w:t>(6,069.7)</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9E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E2"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9E3" w14:textId="77777777" w:rsidR="00871BDF" w:rsidRDefault="005C5088">
            <w:pPr>
              <w:jc w:val="right"/>
              <w:textAlignment w:val="bottom"/>
            </w:pPr>
            <w:r>
              <w:rPr>
                <w:rFonts w:ascii="Times New Roman" w:eastAsia="宋体" w:hAnsi="Times New Roman"/>
                <w:color w:val="000000"/>
                <w:sz w:val="20"/>
                <w:szCs w:val="20"/>
              </w:rPr>
              <w:t>6,294.0 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9E4" w14:textId="77777777" w:rsidR="00871BDF" w:rsidRDefault="00871BDF">
            <w:pPr>
              <w:jc w:val="right"/>
              <w:rPr>
                <w:rFonts w:ascii="宋体"/>
              </w:rPr>
            </w:pPr>
          </w:p>
        </w:tc>
      </w:tr>
      <w:tr w:rsidR="00871BDF" w14:paraId="00BAE9EC" w14:textId="77777777">
        <w:trPr>
          <w:jc w:val="center"/>
        </w:trPr>
        <w:tc>
          <w:tcPr>
            <w:tcW w:w="0" w:type="auto"/>
            <w:gridSpan w:val="3"/>
            <w:shd w:val="clear" w:color="auto" w:fill="D7E4BC"/>
            <w:tcMar>
              <w:top w:w="40" w:type="dxa"/>
              <w:left w:w="20" w:type="dxa"/>
              <w:bottom w:w="40" w:type="dxa"/>
              <w:right w:w="20" w:type="dxa"/>
            </w:tcMar>
            <w:vAlign w:val="bottom"/>
          </w:tcPr>
          <w:p w14:paraId="00BAE9E6" w14:textId="77777777" w:rsidR="00871BDF" w:rsidRDefault="005C5088">
            <w:pPr>
              <w:textAlignment w:val="bottom"/>
            </w:pPr>
            <w:r>
              <w:rPr>
                <w:rFonts w:ascii="Times New Roman" w:eastAsia="宋体" w:hAnsi="Times New Roman"/>
                <w:color w:val="000000"/>
                <w:sz w:val="20"/>
                <w:szCs w:val="20"/>
              </w:rPr>
              <w:t>CASH AND C</w:t>
            </w:r>
            <w:r>
              <w:rPr>
                <w:rFonts w:ascii="Times New Roman" w:eastAsia="宋体" w:hAnsi="Times New Roman"/>
                <w:color w:val="000000"/>
                <w:sz w:val="20"/>
                <w:szCs w:val="20"/>
              </w:rPr>
              <w:t>ASH EQUIVALENTS:</w:t>
            </w:r>
          </w:p>
        </w:tc>
        <w:tc>
          <w:tcPr>
            <w:tcW w:w="0" w:type="auto"/>
            <w:gridSpan w:val="3"/>
            <w:shd w:val="clear" w:color="auto" w:fill="D7E4BC"/>
            <w:tcMar>
              <w:top w:w="0" w:type="dxa"/>
              <w:left w:w="20" w:type="dxa"/>
              <w:bottom w:w="0" w:type="dxa"/>
              <w:right w:w="20" w:type="dxa"/>
            </w:tcMar>
          </w:tcPr>
          <w:p w14:paraId="00BAE9E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9E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9E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9E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9EB" w14:textId="77777777" w:rsidR="00871BDF" w:rsidRDefault="00871BDF">
            <w:pPr>
              <w:rPr>
                <w:rFonts w:ascii="宋体"/>
              </w:rPr>
            </w:pPr>
          </w:p>
        </w:tc>
      </w:tr>
      <w:tr w:rsidR="00871BDF" w14:paraId="00BAE9F6" w14:textId="77777777">
        <w:trPr>
          <w:jc w:val="center"/>
        </w:trPr>
        <w:tc>
          <w:tcPr>
            <w:tcW w:w="0" w:type="auto"/>
            <w:gridSpan w:val="3"/>
            <w:shd w:val="clear" w:color="auto" w:fill="FFFFFF"/>
            <w:tcMar>
              <w:top w:w="40" w:type="dxa"/>
              <w:left w:w="20" w:type="dxa"/>
              <w:bottom w:w="40" w:type="dxa"/>
              <w:right w:w="20" w:type="dxa"/>
            </w:tcMar>
            <w:vAlign w:val="bottom"/>
          </w:tcPr>
          <w:p w14:paraId="00BAE9ED" w14:textId="77777777" w:rsidR="00871BDF" w:rsidRDefault="005C5088">
            <w:pPr>
              <w:textAlignment w:val="bottom"/>
            </w:pPr>
            <w:r>
              <w:rPr>
                <w:rFonts w:ascii="Times New Roman" w:eastAsia="宋体" w:hAnsi="Times New Roman"/>
                <w:color w:val="000000"/>
                <w:sz w:val="20"/>
                <w:szCs w:val="20"/>
              </w:rPr>
              <w:t>Beginning of period</w:t>
            </w:r>
          </w:p>
        </w:tc>
        <w:tc>
          <w:tcPr>
            <w:tcW w:w="0" w:type="auto"/>
            <w:gridSpan w:val="2"/>
            <w:shd w:val="clear" w:color="auto" w:fill="FFFFFF"/>
            <w:tcMar>
              <w:top w:w="40" w:type="dxa"/>
              <w:left w:w="20" w:type="dxa"/>
              <w:bottom w:w="40" w:type="dxa"/>
              <w:right w:w="0" w:type="dxa"/>
            </w:tcMar>
            <w:vAlign w:val="bottom"/>
          </w:tcPr>
          <w:p w14:paraId="00BAE9EE" w14:textId="77777777" w:rsidR="00871BDF" w:rsidRDefault="005C5088">
            <w:pPr>
              <w:jc w:val="right"/>
              <w:textAlignment w:val="bottom"/>
            </w:pPr>
            <w:r>
              <w:rPr>
                <w:rFonts w:ascii="Times New Roman" w:eastAsia="宋体" w:hAnsi="Times New Roman"/>
                <w:color w:val="000000"/>
                <w:sz w:val="20"/>
                <w:szCs w:val="20"/>
              </w:rPr>
              <w:t>2,686.6 </w:t>
            </w:r>
          </w:p>
        </w:tc>
        <w:tc>
          <w:tcPr>
            <w:tcW w:w="0" w:type="auto"/>
            <w:shd w:val="clear" w:color="auto" w:fill="FFFFFF"/>
            <w:tcMar>
              <w:top w:w="40" w:type="dxa"/>
              <w:left w:w="0" w:type="dxa"/>
              <w:bottom w:w="40" w:type="dxa"/>
              <w:right w:w="20" w:type="dxa"/>
            </w:tcMar>
            <w:vAlign w:val="bottom"/>
          </w:tcPr>
          <w:p w14:paraId="00BAE9E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F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F1" w14:textId="77777777" w:rsidR="00871BDF" w:rsidRDefault="005C5088">
            <w:pPr>
              <w:jc w:val="right"/>
              <w:textAlignment w:val="bottom"/>
            </w:pPr>
            <w:r>
              <w:rPr>
                <w:rFonts w:ascii="Times New Roman" w:eastAsia="宋体" w:hAnsi="Times New Roman"/>
                <w:color w:val="000000"/>
                <w:sz w:val="20"/>
                <w:szCs w:val="20"/>
              </w:rPr>
              <w:t>8,756.3 </w:t>
            </w:r>
          </w:p>
        </w:tc>
        <w:tc>
          <w:tcPr>
            <w:tcW w:w="0" w:type="auto"/>
            <w:shd w:val="clear" w:color="auto" w:fill="FFFFFF"/>
            <w:tcMar>
              <w:top w:w="40" w:type="dxa"/>
              <w:left w:w="0" w:type="dxa"/>
              <w:bottom w:w="40" w:type="dxa"/>
              <w:right w:w="20" w:type="dxa"/>
            </w:tcMar>
            <w:vAlign w:val="bottom"/>
          </w:tcPr>
          <w:p w14:paraId="00BAE9F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9F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9F4" w14:textId="77777777" w:rsidR="00871BDF" w:rsidRDefault="005C5088">
            <w:pPr>
              <w:jc w:val="right"/>
              <w:textAlignment w:val="bottom"/>
            </w:pPr>
            <w:r>
              <w:rPr>
                <w:rFonts w:ascii="Times New Roman" w:eastAsia="宋体" w:hAnsi="Times New Roman"/>
                <w:color w:val="000000"/>
                <w:sz w:val="20"/>
                <w:szCs w:val="20"/>
              </w:rPr>
              <w:t>2,462.3 </w:t>
            </w:r>
          </w:p>
        </w:tc>
        <w:tc>
          <w:tcPr>
            <w:tcW w:w="0" w:type="auto"/>
            <w:shd w:val="clear" w:color="auto" w:fill="FFFFFF"/>
            <w:tcMar>
              <w:top w:w="40" w:type="dxa"/>
              <w:left w:w="0" w:type="dxa"/>
              <w:bottom w:w="40" w:type="dxa"/>
              <w:right w:w="20" w:type="dxa"/>
            </w:tcMar>
            <w:vAlign w:val="bottom"/>
          </w:tcPr>
          <w:p w14:paraId="00BAE9F5" w14:textId="77777777" w:rsidR="00871BDF" w:rsidRDefault="00871BDF">
            <w:pPr>
              <w:jc w:val="right"/>
              <w:rPr>
                <w:rFonts w:ascii="宋体"/>
              </w:rPr>
            </w:pPr>
          </w:p>
        </w:tc>
      </w:tr>
      <w:tr w:rsidR="00871BDF" w14:paraId="00BAEA03" w14:textId="77777777">
        <w:trPr>
          <w:jc w:val="center"/>
        </w:trPr>
        <w:tc>
          <w:tcPr>
            <w:tcW w:w="0" w:type="auto"/>
            <w:gridSpan w:val="3"/>
            <w:shd w:val="clear" w:color="auto" w:fill="D7E4BC"/>
            <w:tcMar>
              <w:top w:w="40" w:type="dxa"/>
              <w:left w:w="20" w:type="dxa"/>
              <w:bottom w:w="40" w:type="dxa"/>
              <w:right w:w="20" w:type="dxa"/>
            </w:tcMar>
            <w:vAlign w:val="bottom"/>
          </w:tcPr>
          <w:p w14:paraId="00BAE9F7" w14:textId="77777777" w:rsidR="00871BDF" w:rsidRDefault="005C5088">
            <w:pPr>
              <w:textAlignment w:val="bottom"/>
            </w:pPr>
            <w:r>
              <w:rPr>
                <w:rFonts w:ascii="Times New Roman" w:eastAsia="宋体" w:hAnsi="Times New Roman"/>
                <w:color w:val="000000"/>
                <w:sz w:val="20"/>
                <w:szCs w:val="20"/>
              </w:rPr>
              <w:t>End of period</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E9F8"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9F9" w14:textId="77777777" w:rsidR="00871BDF" w:rsidRDefault="005C5088">
            <w:pPr>
              <w:jc w:val="right"/>
              <w:textAlignment w:val="bottom"/>
            </w:pPr>
            <w:r>
              <w:rPr>
                <w:rFonts w:ascii="Times New Roman" w:eastAsia="宋体" w:hAnsi="Times New Roman"/>
                <w:color w:val="000000"/>
                <w:sz w:val="20"/>
                <w:szCs w:val="20"/>
              </w:rPr>
              <w:t>4,350.9 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9F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FB"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9FC"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9FD" w14:textId="77777777" w:rsidR="00871BDF" w:rsidRDefault="005C5088">
            <w:pPr>
              <w:jc w:val="right"/>
              <w:textAlignment w:val="bottom"/>
            </w:pPr>
            <w:r>
              <w:rPr>
                <w:rFonts w:ascii="Times New Roman" w:eastAsia="宋体" w:hAnsi="Times New Roman"/>
                <w:color w:val="000000"/>
                <w:sz w:val="20"/>
                <w:szCs w:val="20"/>
              </w:rPr>
              <w:t>2,686.6 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9F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9FF"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A00"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A01" w14:textId="77777777" w:rsidR="00871BDF" w:rsidRDefault="005C5088">
            <w:pPr>
              <w:jc w:val="right"/>
              <w:textAlignment w:val="bottom"/>
            </w:pPr>
            <w:r>
              <w:rPr>
                <w:rFonts w:ascii="Times New Roman" w:eastAsia="宋体" w:hAnsi="Times New Roman"/>
                <w:color w:val="000000"/>
                <w:sz w:val="20"/>
                <w:szCs w:val="20"/>
              </w:rPr>
              <w:t>8,756.3 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A02" w14:textId="77777777" w:rsidR="00871BDF" w:rsidRDefault="00871BDF">
            <w:pPr>
              <w:jc w:val="right"/>
              <w:rPr>
                <w:rFonts w:ascii="宋体"/>
              </w:rPr>
            </w:pPr>
          </w:p>
        </w:tc>
      </w:tr>
      <w:tr w:rsidR="00871BDF" w14:paraId="00BAEA0A" w14:textId="77777777">
        <w:trPr>
          <w:jc w:val="center"/>
        </w:trPr>
        <w:tc>
          <w:tcPr>
            <w:tcW w:w="0" w:type="auto"/>
            <w:gridSpan w:val="3"/>
            <w:shd w:val="clear" w:color="auto" w:fill="FFFFFF"/>
            <w:tcMar>
              <w:top w:w="40" w:type="dxa"/>
              <w:left w:w="20" w:type="dxa"/>
              <w:bottom w:w="40" w:type="dxa"/>
              <w:right w:w="20" w:type="dxa"/>
            </w:tcMar>
            <w:vAlign w:val="bottom"/>
          </w:tcPr>
          <w:p w14:paraId="00BAEA04" w14:textId="77777777" w:rsidR="00871BDF" w:rsidRDefault="005C5088">
            <w:pPr>
              <w:textAlignment w:val="bottom"/>
            </w:pPr>
            <w:r>
              <w:rPr>
                <w:rFonts w:ascii="Times New Roman" w:eastAsia="宋体" w:hAnsi="Times New Roman"/>
                <w:color w:val="000000"/>
                <w:sz w:val="20"/>
                <w:szCs w:val="20"/>
              </w:rPr>
              <w:t>SUPPLEMENTAL DISCLOSURE OF CASH FLOW INFORMATION:</w:t>
            </w:r>
          </w:p>
        </w:tc>
        <w:tc>
          <w:tcPr>
            <w:tcW w:w="0" w:type="auto"/>
            <w:gridSpan w:val="3"/>
            <w:tcBorders>
              <w:top w:val="double" w:sz="6" w:space="0" w:color="000000"/>
            </w:tcBorders>
            <w:shd w:val="clear" w:color="auto" w:fill="FFFFFF"/>
            <w:tcMar>
              <w:top w:w="0" w:type="dxa"/>
              <w:left w:w="20" w:type="dxa"/>
              <w:bottom w:w="0" w:type="dxa"/>
              <w:right w:w="20" w:type="dxa"/>
            </w:tcMar>
          </w:tcPr>
          <w:p w14:paraId="00BAEA0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A06"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AEA0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A08"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AEA09" w14:textId="77777777" w:rsidR="00871BDF" w:rsidRDefault="00871BDF">
            <w:pPr>
              <w:rPr>
                <w:rFonts w:ascii="宋体"/>
              </w:rPr>
            </w:pPr>
          </w:p>
        </w:tc>
      </w:tr>
      <w:tr w:rsidR="00871BDF" w14:paraId="00BAEA11" w14:textId="77777777">
        <w:trPr>
          <w:jc w:val="center"/>
        </w:trPr>
        <w:tc>
          <w:tcPr>
            <w:tcW w:w="0" w:type="auto"/>
            <w:gridSpan w:val="3"/>
            <w:shd w:val="clear" w:color="auto" w:fill="D7E4BC"/>
            <w:tcMar>
              <w:top w:w="40" w:type="dxa"/>
              <w:left w:w="20" w:type="dxa"/>
              <w:bottom w:w="40" w:type="dxa"/>
              <w:right w:w="20" w:type="dxa"/>
            </w:tcMar>
            <w:vAlign w:val="bottom"/>
          </w:tcPr>
          <w:p w14:paraId="00BAEA0B" w14:textId="77777777" w:rsidR="00871BDF" w:rsidRDefault="005C5088">
            <w:pPr>
              <w:textAlignment w:val="bottom"/>
            </w:pPr>
            <w:r>
              <w:rPr>
                <w:rFonts w:ascii="Times New Roman" w:eastAsia="宋体" w:hAnsi="Times New Roman"/>
                <w:color w:val="000000"/>
                <w:sz w:val="20"/>
                <w:szCs w:val="20"/>
              </w:rPr>
              <w:t>Cash paid during the period for:</w:t>
            </w:r>
          </w:p>
        </w:tc>
        <w:tc>
          <w:tcPr>
            <w:tcW w:w="0" w:type="auto"/>
            <w:gridSpan w:val="3"/>
            <w:shd w:val="clear" w:color="auto" w:fill="D7E4BC"/>
            <w:tcMar>
              <w:top w:w="0" w:type="dxa"/>
              <w:left w:w="20" w:type="dxa"/>
              <w:bottom w:w="0" w:type="dxa"/>
              <w:right w:w="20" w:type="dxa"/>
            </w:tcMar>
          </w:tcPr>
          <w:p w14:paraId="00BAEA0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A0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A0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A0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A10" w14:textId="77777777" w:rsidR="00871BDF" w:rsidRDefault="00871BDF">
            <w:pPr>
              <w:rPr>
                <w:rFonts w:ascii="宋体"/>
              </w:rPr>
            </w:pPr>
          </w:p>
        </w:tc>
      </w:tr>
      <w:tr w:rsidR="00871BDF" w14:paraId="00BAEA1E" w14:textId="77777777">
        <w:trPr>
          <w:jc w:val="center"/>
        </w:trPr>
        <w:tc>
          <w:tcPr>
            <w:tcW w:w="0" w:type="auto"/>
            <w:gridSpan w:val="3"/>
            <w:shd w:val="clear" w:color="auto" w:fill="FFFFFF"/>
            <w:tcMar>
              <w:top w:w="40" w:type="dxa"/>
              <w:left w:w="20" w:type="dxa"/>
              <w:bottom w:w="40" w:type="dxa"/>
              <w:right w:w="20" w:type="dxa"/>
            </w:tcMar>
            <w:vAlign w:val="bottom"/>
          </w:tcPr>
          <w:p w14:paraId="00BAEA12" w14:textId="77777777" w:rsidR="00871BDF" w:rsidRDefault="005C5088">
            <w:pPr>
              <w:textAlignment w:val="bottom"/>
            </w:pPr>
            <w:r>
              <w:rPr>
                <w:rFonts w:ascii="Times New Roman" w:eastAsia="宋体" w:hAnsi="Times New Roman"/>
                <w:color w:val="000000"/>
                <w:sz w:val="20"/>
                <w:szCs w:val="20"/>
              </w:rPr>
              <w:t>Interest, net of capitalized interest</w:t>
            </w:r>
          </w:p>
        </w:tc>
        <w:tc>
          <w:tcPr>
            <w:tcW w:w="0" w:type="auto"/>
            <w:shd w:val="clear" w:color="auto" w:fill="FFFFFF"/>
            <w:tcMar>
              <w:top w:w="40" w:type="dxa"/>
              <w:left w:w="20" w:type="dxa"/>
              <w:bottom w:w="40" w:type="dxa"/>
              <w:right w:w="0" w:type="dxa"/>
            </w:tcMar>
            <w:vAlign w:val="bottom"/>
          </w:tcPr>
          <w:p w14:paraId="00BAEA1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A14" w14:textId="77777777" w:rsidR="00871BDF" w:rsidRDefault="005C5088">
            <w:pPr>
              <w:jc w:val="right"/>
              <w:textAlignment w:val="bottom"/>
            </w:pPr>
            <w:r>
              <w:rPr>
                <w:rFonts w:ascii="Times New Roman" w:eastAsia="宋体" w:hAnsi="Times New Roman"/>
                <w:color w:val="000000"/>
                <w:sz w:val="20"/>
                <w:szCs w:val="20"/>
              </w:rPr>
              <w:t>396.9 </w:t>
            </w:r>
          </w:p>
        </w:tc>
        <w:tc>
          <w:tcPr>
            <w:tcW w:w="0" w:type="auto"/>
            <w:shd w:val="clear" w:color="auto" w:fill="FFFFFF"/>
            <w:tcMar>
              <w:top w:w="40" w:type="dxa"/>
              <w:left w:w="0" w:type="dxa"/>
              <w:bottom w:w="40" w:type="dxa"/>
              <w:right w:w="20" w:type="dxa"/>
            </w:tcMar>
            <w:vAlign w:val="bottom"/>
          </w:tcPr>
          <w:p w14:paraId="00BAEA1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16"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EA1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A18" w14:textId="77777777" w:rsidR="00871BDF" w:rsidRDefault="005C5088">
            <w:pPr>
              <w:jc w:val="right"/>
              <w:textAlignment w:val="bottom"/>
            </w:pPr>
            <w:r>
              <w:rPr>
                <w:rFonts w:ascii="Times New Roman" w:eastAsia="宋体" w:hAnsi="Times New Roman"/>
                <w:color w:val="000000"/>
                <w:sz w:val="20"/>
                <w:szCs w:val="20"/>
              </w:rPr>
              <w:t>299.5 </w:t>
            </w:r>
          </w:p>
        </w:tc>
        <w:tc>
          <w:tcPr>
            <w:tcW w:w="0" w:type="auto"/>
            <w:shd w:val="clear" w:color="auto" w:fill="FFFFFF"/>
            <w:tcMar>
              <w:top w:w="40" w:type="dxa"/>
              <w:left w:w="0" w:type="dxa"/>
              <w:bottom w:w="40" w:type="dxa"/>
              <w:right w:w="20" w:type="dxa"/>
            </w:tcMar>
            <w:vAlign w:val="bottom"/>
          </w:tcPr>
          <w:p w14:paraId="00BAEA1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1A"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EA1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A1C" w14:textId="77777777" w:rsidR="00871BDF" w:rsidRDefault="005C5088">
            <w:pPr>
              <w:jc w:val="right"/>
              <w:textAlignment w:val="bottom"/>
            </w:pPr>
            <w:r>
              <w:rPr>
                <w:rFonts w:ascii="Times New Roman" w:eastAsia="宋体" w:hAnsi="Times New Roman"/>
                <w:color w:val="000000"/>
                <w:sz w:val="20"/>
                <w:szCs w:val="20"/>
              </w:rPr>
              <w:t>137.1 </w:t>
            </w:r>
          </w:p>
        </w:tc>
        <w:tc>
          <w:tcPr>
            <w:tcW w:w="0" w:type="auto"/>
            <w:shd w:val="clear" w:color="auto" w:fill="FFFFFF"/>
            <w:tcMar>
              <w:top w:w="40" w:type="dxa"/>
              <w:left w:w="0" w:type="dxa"/>
              <w:bottom w:w="40" w:type="dxa"/>
              <w:right w:w="20" w:type="dxa"/>
            </w:tcMar>
            <w:vAlign w:val="bottom"/>
          </w:tcPr>
          <w:p w14:paraId="00BAEA1D" w14:textId="77777777" w:rsidR="00871BDF" w:rsidRDefault="00871BDF">
            <w:pPr>
              <w:jc w:val="right"/>
              <w:rPr>
                <w:rFonts w:ascii="宋体"/>
              </w:rPr>
            </w:pPr>
          </w:p>
        </w:tc>
      </w:tr>
      <w:tr w:rsidR="00871BDF" w14:paraId="00BAEA2B" w14:textId="77777777">
        <w:trPr>
          <w:jc w:val="center"/>
        </w:trPr>
        <w:tc>
          <w:tcPr>
            <w:tcW w:w="0" w:type="auto"/>
            <w:gridSpan w:val="3"/>
            <w:shd w:val="clear" w:color="auto" w:fill="D7E4BC"/>
            <w:tcMar>
              <w:top w:w="40" w:type="dxa"/>
              <w:left w:w="20" w:type="dxa"/>
              <w:bottom w:w="40" w:type="dxa"/>
              <w:right w:w="20" w:type="dxa"/>
            </w:tcMar>
            <w:vAlign w:val="bottom"/>
          </w:tcPr>
          <w:p w14:paraId="00BAEA1F" w14:textId="77777777" w:rsidR="00871BDF" w:rsidRDefault="005C5088">
            <w:pPr>
              <w:textAlignment w:val="bottom"/>
            </w:pPr>
            <w:r>
              <w:rPr>
                <w:rFonts w:ascii="Times New Roman" w:eastAsia="宋体" w:hAnsi="Times New Roman"/>
                <w:color w:val="000000"/>
                <w:sz w:val="20"/>
                <w:szCs w:val="20"/>
              </w:rPr>
              <w:t>Income taxes</w:t>
            </w:r>
          </w:p>
        </w:tc>
        <w:tc>
          <w:tcPr>
            <w:tcW w:w="0" w:type="auto"/>
            <w:shd w:val="clear" w:color="auto" w:fill="D7E4BC"/>
            <w:tcMar>
              <w:top w:w="40" w:type="dxa"/>
              <w:left w:w="20" w:type="dxa"/>
              <w:bottom w:w="40" w:type="dxa"/>
              <w:right w:w="0" w:type="dxa"/>
            </w:tcMar>
            <w:vAlign w:val="bottom"/>
          </w:tcPr>
          <w:p w14:paraId="00BAEA20"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EA21" w14:textId="77777777" w:rsidR="00871BDF" w:rsidRDefault="005C5088">
            <w:pPr>
              <w:jc w:val="right"/>
              <w:textAlignment w:val="bottom"/>
            </w:pPr>
            <w:r>
              <w:rPr>
                <w:rFonts w:ascii="Times New Roman" w:eastAsia="宋体" w:hAnsi="Times New Roman"/>
                <w:color w:val="000000"/>
                <w:sz w:val="20"/>
                <w:szCs w:val="20"/>
              </w:rPr>
              <w:t>1,699.1 </w:t>
            </w:r>
          </w:p>
        </w:tc>
        <w:tc>
          <w:tcPr>
            <w:tcW w:w="0" w:type="auto"/>
            <w:shd w:val="clear" w:color="auto" w:fill="D7E4BC"/>
            <w:tcMar>
              <w:top w:w="40" w:type="dxa"/>
              <w:left w:w="0" w:type="dxa"/>
              <w:bottom w:w="40" w:type="dxa"/>
              <w:right w:w="20" w:type="dxa"/>
            </w:tcMar>
            <w:vAlign w:val="bottom"/>
          </w:tcPr>
          <w:p w14:paraId="00BAEA2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23"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EA24"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EA25" w14:textId="77777777" w:rsidR="00871BDF" w:rsidRDefault="005C5088">
            <w:pPr>
              <w:jc w:val="right"/>
              <w:textAlignment w:val="bottom"/>
            </w:pPr>
            <w:r>
              <w:rPr>
                <w:rFonts w:ascii="Times New Roman" w:eastAsia="宋体" w:hAnsi="Times New Roman"/>
                <w:color w:val="000000"/>
                <w:sz w:val="20"/>
                <w:szCs w:val="20"/>
              </w:rPr>
              <w:t>470.1 </w:t>
            </w:r>
          </w:p>
        </w:tc>
        <w:tc>
          <w:tcPr>
            <w:tcW w:w="0" w:type="auto"/>
            <w:shd w:val="clear" w:color="auto" w:fill="D7E4BC"/>
            <w:tcMar>
              <w:top w:w="40" w:type="dxa"/>
              <w:left w:w="0" w:type="dxa"/>
              <w:bottom w:w="40" w:type="dxa"/>
              <w:right w:w="20" w:type="dxa"/>
            </w:tcMar>
            <w:vAlign w:val="bottom"/>
          </w:tcPr>
          <w:p w14:paraId="00BAEA2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27"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EA28"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EA29" w14:textId="77777777" w:rsidR="00871BDF" w:rsidRDefault="005C5088">
            <w:pPr>
              <w:jc w:val="right"/>
              <w:textAlignment w:val="bottom"/>
            </w:pPr>
            <w:r>
              <w:rPr>
                <w:rFonts w:ascii="Times New Roman" w:eastAsia="宋体" w:hAnsi="Times New Roman"/>
                <w:color w:val="000000"/>
                <w:sz w:val="20"/>
                <w:szCs w:val="20"/>
              </w:rPr>
              <w:t>1,176.9 </w:t>
            </w:r>
          </w:p>
        </w:tc>
        <w:tc>
          <w:tcPr>
            <w:tcW w:w="0" w:type="auto"/>
            <w:shd w:val="clear" w:color="auto" w:fill="D7E4BC"/>
            <w:tcMar>
              <w:top w:w="40" w:type="dxa"/>
              <w:left w:w="0" w:type="dxa"/>
              <w:bottom w:w="40" w:type="dxa"/>
              <w:right w:w="20" w:type="dxa"/>
            </w:tcMar>
            <w:vAlign w:val="bottom"/>
          </w:tcPr>
          <w:p w14:paraId="00BAEA2A" w14:textId="77777777" w:rsidR="00871BDF" w:rsidRDefault="00871BDF">
            <w:pPr>
              <w:jc w:val="right"/>
              <w:rPr>
                <w:rFonts w:ascii="宋体"/>
              </w:rPr>
            </w:pPr>
          </w:p>
        </w:tc>
      </w:tr>
    </w:tbl>
    <w:p w14:paraId="00BAEA2C" w14:textId="77777777" w:rsidR="00871BDF" w:rsidRDefault="005C5088">
      <w:pPr>
        <w:spacing w:before="60"/>
        <w:jc w:val="center"/>
      </w:pPr>
      <w:r>
        <w:rPr>
          <w:rFonts w:ascii="Times New Roman" w:eastAsia="宋体" w:hAnsi="Times New Roman"/>
          <w:color w:val="000000"/>
          <w:sz w:val="20"/>
          <w:szCs w:val="20"/>
        </w:rPr>
        <w:t>See Notes to Consolidated Financial Statements.</w:t>
      </w:r>
    </w:p>
    <w:p w14:paraId="00BAEA2D" w14:textId="77777777" w:rsidR="00871BDF" w:rsidRDefault="005C5088">
      <w:pPr>
        <w:jc w:val="center"/>
      </w:pPr>
      <w:r>
        <w:rPr>
          <w:rFonts w:ascii="Times New Roman" w:eastAsia="宋体" w:hAnsi="Times New Roman"/>
          <w:color w:val="000000"/>
          <w:sz w:val="20"/>
          <w:szCs w:val="20"/>
        </w:rPr>
        <w:t>50</w:t>
      </w:r>
    </w:p>
    <w:p w14:paraId="00BAEA2E" w14:textId="77777777" w:rsidR="00871BDF" w:rsidRDefault="005C5088">
      <w:r>
        <w:pict w14:anchorId="00BB1497">
          <v:rect id="_x0000_i1077" style="width:415.3pt;height:1.5pt" o:hralign="center" o:hrstd="t" o:hr="t" fillcolor="#a0a0a0" stroked="f"/>
        </w:pict>
      </w:r>
    </w:p>
    <w:p w14:paraId="00BAEA2F" w14:textId="77777777" w:rsidR="00871BDF" w:rsidRDefault="005C5088">
      <w:hyperlink r:id="rId133" w:anchor="i54ccc64cb5384be5a4849ef1cdef4dde_7" w:history="1">
        <w:r>
          <w:rPr>
            <w:rStyle w:val="a5"/>
            <w:rFonts w:ascii="Times New Roman" w:eastAsia="宋体" w:hAnsi="Times New Roman"/>
            <w:sz w:val="20"/>
            <w:szCs w:val="20"/>
          </w:rPr>
          <w:t>Table of Contents</w:t>
        </w:r>
      </w:hyperlink>
    </w:p>
    <w:p w14:paraId="00BAEA30" w14:textId="77777777" w:rsidR="00871BDF" w:rsidRDefault="005C5088">
      <w:pPr>
        <w:jc w:val="center"/>
      </w:pPr>
      <w:r>
        <w:rPr>
          <w:rFonts w:ascii="Times New Roman" w:eastAsia="宋体" w:hAnsi="Times New Roman"/>
          <w:b/>
          <w:bCs/>
          <w:color w:val="000000"/>
          <w:sz w:val="20"/>
          <w:szCs w:val="20"/>
        </w:rPr>
        <w:t>STARBUCKS CORPORATION</w:t>
      </w:r>
    </w:p>
    <w:p w14:paraId="00BAEA31" w14:textId="77777777" w:rsidR="00871BDF" w:rsidRDefault="005C5088">
      <w:pPr>
        <w:jc w:val="center"/>
      </w:pPr>
      <w:r>
        <w:rPr>
          <w:rFonts w:ascii="Times New Roman" w:eastAsia="宋体" w:hAnsi="Times New Roman"/>
          <w:b/>
          <w:bCs/>
          <w:color w:val="000000"/>
          <w:sz w:val="20"/>
          <w:szCs w:val="20"/>
        </w:rPr>
        <w:t>CONSOLIDATED STATEMENTS OF EQUITY</w:t>
      </w:r>
    </w:p>
    <w:p w14:paraId="00BAEA32" w14:textId="77777777" w:rsidR="00871BDF" w:rsidRDefault="005C5088">
      <w:pPr>
        <w:jc w:val="center"/>
      </w:pPr>
      <w:r>
        <w:rPr>
          <w:rFonts w:ascii="Times New Roman" w:eastAsia="宋体" w:hAnsi="Times New Roman"/>
          <w:i/>
          <w:iCs/>
          <w:color w:val="000000"/>
          <w:sz w:val="20"/>
          <w:szCs w:val="20"/>
        </w:rPr>
        <w:t>(in millions, except per share data)</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940"/>
        <w:gridCol w:w="37"/>
        <w:gridCol w:w="77"/>
        <w:gridCol w:w="448"/>
        <w:gridCol w:w="36"/>
        <w:gridCol w:w="37"/>
        <w:gridCol w:w="36"/>
        <w:gridCol w:w="36"/>
        <w:gridCol w:w="100"/>
        <w:gridCol w:w="440"/>
        <w:gridCol w:w="35"/>
        <w:gridCol w:w="37"/>
        <w:gridCol w:w="35"/>
        <w:gridCol w:w="35"/>
        <w:gridCol w:w="100"/>
        <w:gridCol w:w="578"/>
        <w:gridCol w:w="35"/>
        <w:gridCol w:w="37"/>
        <w:gridCol w:w="35"/>
        <w:gridCol w:w="35"/>
        <w:gridCol w:w="129"/>
        <w:gridCol w:w="949"/>
        <w:gridCol w:w="35"/>
        <w:gridCol w:w="37"/>
        <w:gridCol w:w="35"/>
        <w:gridCol w:w="35"/>
        <w:gridCol w:w="113"/>
        <w:gridCol w:w="830"/>
        <w:gridCol w:w="35"/>
        <w:gridCol w:w="37"/>
        <w:gridCol w:w="35"/>
        <w:gridCol w:w="35"/>
        <w:gridCol w:w="113"/>
        <w:gridCol w:w="830"/>
        <w:gridCol w:w="35"/>
        <w:gridCol w:w="37"/>
        <w:gridCol w:w="35"/>
        <w:gridCol w:w="35"/>
        <w:gridCol w:w="110"/>
        <w:gridCol w:w="803"/>
        <w:gridCol w:w="35"/>
        <w:gridCol w:w="37"/>
        <w:gridCol w:w="35"/>
        <w:gridCol w:w="35"/>
        <w:gridCol w:w="100"/>
        <w:gridCol w:w="567"/>
        <w:gridCol w:w="35"/>
      </w:tblGrid>
      <w:tr w:rsidR="00871BDF" w14:paraId="00BAEA63" w14:textId="77777777">
        <w:trPr>
          <w:jc w:val="center"/>
        </w:trPr>
        <w:tc>
          <w:tcPr>
            <w:tcW w:w="50" w:type="pct"/>
            <w:shd w:val="clear" w:color="auto" w:fill="auto"/>
          </w:tcPr>
          <w:p w14:paraId="00BAEA33" w14:textId="77777777" w:rsidR="00871BDF" w:rsidRDefault="00871BDF">
            <w:pPr>
              <w:rPr>
                <w:rFonts w:ascii="宋体"/>
              </w:rPr>
            </w:pPr>
          </w:p>
        </w:tc>
        <w:tc>
          <w:tcPr>
            <w:tcW w:w="1374" w:type="pct"/>
            <w:shd w:val="clear" w:color="auto" w:fill="auto"/>
          </w:tcPr>
          <w:p w14:paraId="00BAEA34" w14:textId="77777777" w:rsidR="00871BDF" w:rsidRDefault="00871BDF">
            <w:pPr>
              <w:rPr>
                <w:rFonts w:ascii="宋体"/>
              </w:rPr>
            </w:pPr>
          </w:p>
        </w:tc>
        <w:tc>
          <w:tcPr>
            <w:tcW w:w="5" w:type="pct"/>
            <w:shd w:val="clear" w:color="auto" w:fill="auto"/>
          </w:tcPr>
          <w:p w14:paraId="00BAEA35" w14:textId="77777777" w:rsidR="00871BDF" w:rsidRDefault="00871BDF">
            <w:pPr>
              <w:rPr>
                <w:rFonts w:ascii="宋体"/>
              </w:rPr>
            </w:pPr>
          </w:p>
        </w:tc>
        <w:tc>
          <w:tcPr>
            <w:tcW w:w="50" w:type="pct"/>
            <w:shd w:val="clear" w:color="auto" w:fill="auto"/>
          </w:tcPr>
          <w:p w14:paraId="00BAEA36" w14:textId="77777777" w:rsidR="00871BDF" w:rsidRDefault="00871BDF">
            <w:pPr>
              <w:rPr>
                <w:rFonts w:ascii="宋体"/>
              </w:rPr>
            </w:pPr>
          </w:p>
        </w:tc>
        <w:tc>
          <w:tcPr>
            <w:tcW w:w="314" w:type="pct"/>
            <w:shd w:val="clear" w:color="auto" w:fill="auto"/>
          </w:tcPr>
          <w:p w14:paraId="00BAEA37" w14:textId="77777777" w:rsidR="00871BDF" w:rsidRDefault="00871BDF">
            <w:pPr>
              <w:rPr>
                <w:rFonts w:ascii="宋体"/>
              </w:rPr>
            </w:pPr>
          </w:p>
        </w:tc>
        <w:tc>
          <w:tcPr>
            <w:tcW w:w="5" w:type="pct"/>
            <w:shd w:val="clear" w:color="auto" w:fill="auto"/>
          </w:tcPr>
          <w:p w14:paraId="00BAEA38" w14:textId="77777777" w:rsidR="00871BDF" w:rsidRDefault="00871BDF">
            <w:pPr>
              <w:rPr>
                <w:rFonts w:ascii="宋体"/>
              </w:rPr>
            </w:pPr>
          </w:p>
        </w:tc>
        <w:tc>
          <w:tcPr>
            <w:tcW w:w="5" w:type="pct"/>
            <w:shd w:val="clear" w:color="auto" w:fill="auto"/>
          </w:tcPr>
          <w:p w14:paraId="00BAEA39" w14:textId="77777777" w:rsidR="00871BDF" w:rsidRDefault="00871BDF">
            <w:pPr>
              <w:rPr>
                <w:rFonts w:ascii="宋体"/>
              </w:rPr>
            </w:pPr>
          </w:p>
        </w:tc>
        <w:tc>
          <w:tcPr>
            <w:tcW w:w="17" w:type="pct"/>
            <w:shd w:val="clear" w:color="auto" w:fill="auto"/>
          </w:tcPr>
          <w:p w14:paraId="00BAEA3A" w14:textId="77777777" w:rsidR="00871BDF" w:rsidRDefault="00871BDF">
            <w:pPr>
              <w:rPr>
                <w:rFonts w:ascii="宋体"/>
              </w:rPr>
            </w:pPr>
          </w:p>
        </w:tc>
        <w:tc>
          <w:tcPr>
            <w:tcW w:w="5" w:type="pct"/>
            <w:shd w:val="clear" w:color="auto" w:fill="auto"/>
          </w:tcPr>
          <w:p w14:paraId="00BAEA3B" w14:textId="77777777" w:rsidR="00871BDF" w:rsidRDefault="00871BDF">
            <w:pPr>
              <w:rPr>
                <w:rFonts w:ascii="宋体"/>
              </w:rPr>
            </w:pPr>
          </w:p>
        </w:tc>
        <w:tc>
          <w:tcPr>
            <w:tcW w:w="50" w:type="pct"/>
            <w:shd w:val="clear" w:color="auto" w:fill="auto"/>
          </w:tcPr>
          <w:p w14:paraId="00BAEA3C" w14:textId="77777777" w:rsidR="00871BDF" w:rsidRDefault="00871BDF">
            <w:pPr>
              <w:rPr>
                <w:rFonts w:ascii="宋体"/>
              </w:rPr>
            </w:pPr>
          </w:p>
        </w:tc>
        <w:tc>
          <w:tcPr>
            <w:tcW w:w="314" w:type="pct"/>
            <w:shd w:val="clear" w:color="auto" w:fill="auto"/>
          </w:tcPr>
          <w:p w14:paraId="00BAEA3D" w14:textId="77777777" w:rsidR="00871BDF" w:rsidRDefault="00871BDF">
            <w:pPr>
              <w:rPr>
                <w:rFonts w:ascii="宋体"/>
              </w:rPr>
            </w:pPr>
          </w:p>
        </w:tc>
        <w:tc>
          <w:tcPr>
            <w:tcW w:w="5" w:type="pct"/>
            <w:shd w:val="clear" w:color="auto" w:fill="auto"/>
          </w:tcPr>
          <w:p w14:paraId="00BAEA3E" w14:textId="77777777" w:rsidR="00871BDF" w:rsidRDefault="00871BDF">
            <w:pPr>
              <w:rPr>
                <w:rFonts w:ascii="宋体"/>
              </w:rPr>
            </w:pPr>
          </w:p>
        </w:tc>
        <w:tc>
          <w:tcPr>
            <w:tcW w:w="5" w:type="pct"/>
            <w:shd w:val="clear" w:color="auto" w:fill="auto"/>
          </w:tcPr>
          <w:p w14:paraId="00BAEA3F" w14:textId="77777777" w:rsidR="00871BDF" w:rsidRDefault="00871BDF">
            <w:pPr>
              <w:rPr>
                <w:rFonts w:ascii="宋体"/>
              </w:rPr>
            </w:pPr>
          </w:p>
        </w:tc>
        <w:tc>
          <w:tcPr>
            <w:tcW w:w="17" w:type="pct"/>
            <w:shd w:val="clear" w:color="auto" w:fill="auto"/>
          </w:tcPr>
          <w:p w14:paraId="00BAEA40" w14:textId="77777777" w:rsidR="00871BDF" w:rsidRDefault="00871BDF">
            <w:pPr>
              <w:rPr>
                <w:rFonts w:ascii="宋体"/>
              </w:rPr>
            </w:pPr>
          </w:p>
        </w:tc>
        <w:tc>
          <w:tcPr>
            <w:tcW w:w="5" w:type="pct"/>
            <w:shd w:val="clear" w:color="auto" w:fill="auto"/>
          </w:tcPr>
          <w:p w14:paraId="00BAEA41" w14:textId="77777777" w:rsidR="00871BDF" w:rsidRDefault="00871BDF">
            <w:pPr>
              <w:rPr>
                <w:rFonts w:ascii="宋体"/>
              </w:rPr>
            </w:pPr>
          </w:p>
        </w:tc>
        <w:tc>
          <w:tcPr>
            <w:tcW w:w="50" w:type="pct"/>
            <w:shd w:val="clear" w:color="auto" w:fill="auto"/>
          </w:tcPr>
          <w:p w14:paraId="00BAEA42" w14:textId="77777777" w:rsidR="00871BDF" w:rsidRDefault="00871BDF">
            <w:pPr>
              <w:rPr>
                <w:rFonts w:ascii="宋体"/>
              </w:rPr>
            </w:pPr>
          </w:p>
        </w:tc>
        <w:tc>
          <w:tcPr>
            <w:tcW w:w="385" w:type="pct"/>
            <w:shd w:val="clear" w:color="auto" w:fill="auto"/>
          </w:tcPr>
          <w:p w14:paraId="00BAEA43" w14:textId="77777777" w:rsidR="00871BDF" w:rsidRDefault="00871BDF">
            <w:pPr>
              <w:rPr>
                <w:rFonts w:ascii="宋体"/>
              </w:rPr>
            </w:pPr>
          </w:p>
        </w:tc>
        <w:tc>
          <w:tcPr>
            <w:tcW w:w="5" w:type="pct"/>
            <w:shd w:val="clear" w:color="auto" w:fill="auto"/>
          </w:tcPr>
          <w:p w14:paraId="00BAEA44" w14:textId="77777777" w:rsidR="00871BDF" w:rsidRDefault="00871BDF">
            <w:pPr>
              <w:rPr>
                <w:rFonts w:ascii="宋体"/>
              </w:rPr>
            </w:pPr>
          </w:p>
        </w:tc>
        <w:tc>
          <w:tcPr>
            <w:tcW w:w="5" w:type="pct"/>
            <w:shd w:val="clear" w:color="auto" w:fill="auto"/>
          </w:tcPr>
          <w:p w14:paraId="00BAEA45" w14:textId="77777777" w:rsidR="00871BDF" w:rsidRDefault="00871BDF">
            <w:pPr>
              <w:rPr>
                <w:rFonts w:ascii="宋体"/>
              </w:rPr>
            </w:pPr>
          </w:p>
        </w:tc>
        <w:tc>
          <w:tcPr>
            <w:tcW w:w="17" w:type="pct"/>
            <w:shd w:val="clear" w:color="auto" w:fill="auto"/>
          </w:tcPr>
          <w:p w14:paraId="00BAEA46" w14:textId="77777777" w:rsidR="00871BDF" w:rsidRDefault="00871BDF">
            <w:pPr>
              <w:rPr>
                <w:rFonts w:ascii="宋体"/>
              </w:rPr>
            </w:pPr>
          </w:p>
        </w:tc>
        <w:tc>
          <w:tcPr>
            <w:tcW w:w="5" w:type="pct"/>
            <w:shd w:val="clear" w:color="auto" w:fill="auto"/>
          </w:tcPr>
          <w:p w14:paraId="00BAEA47" w14:textId="77777777" w:rsidR="00871BDF" w:rsidRDefault="00871BDF">
            <w:pPr>
              <w:rPr>
                <w:rFonts w:ascii="宋体"/>
              </w:rPr>
            </w:pPr>
          </w:p>
        </w:tc>
        <w:tc>
          <w:tcPr>
            <w:tcW w:w="50" w:type="pct"/>
            <w:shd w:val="clear" w:color="auto" w:fill="auto"/>
          </w:tcPr>
          <w:p w14:paraId="00BAEA48" w14:textId="77777777" w:rsidR="00871BDF" w:rsidRDefault="00871BDF">
            <w:pPr>
              <w:rPr>
                <w:rFonts w:ascii="宋体"/>
              </w:rPr>
            </w:pPr>
          </w:p>
        </w:tc>
        <w:tc>
          <w:tcPr>
            <w:tcW w:w="385" w:type="pct"/>
            <w:shd w:val="clear" w:color="auto" w:fill="auto"/>
          </w:tcPr>
          <w:p w14:paraId="00BAEA49" w14:textId="77777777" w:rsidR="00871BDF" w:rsidRDefault="00871BDF">
            <w:pPr>
              <w:rPr>
                <w:rFonts w:ascii="宋体"/>
              </w:rPr>
            </w:pPr>
          </w:p>
        </w:tc>
        <w:tc>
          <w:tcPr>
            <w:tcW w:w="5" w:type="pct"/>
            <w:shd w:val="clear" w:color="auto" w:fill="auto"/>
          </w:tcPr>
          <w:p w14:paraId="00BAEA4A" w14:textId="77777777" w:rsidR="00871BDF" w:rsidRDefault="00871BDF">
            <w:pPr>
              <w:rPr>
                <w:rFonts w:ascii="宋体"/>
              </w:rPr>
            </w:pPr>
          </w:p>
        </w:tc>
        <w:tc>
          <w:tcPr>
            <w:tcW w:w="5" w:type="pct"/>
            <w:shd w:val="clear" w:color="auto" w:fill="auto"/>
          </w:tcPr>
          <w:p w14:paraId="00BAEA4B" w14:textId="77777777" w:rsidR="00871BDF" w:rsidRDefault="00871BDF">
            <w:pPr>
              <w:rPr>
                <w:rFonts w:ascii="宋体"/>
              </w:rPr>
            </w:pPr>
          </w:p>
        </w:tc>
        <w:tc>
          <w:tcPr>
            <w:tcW w:w="17" w:type="pct"/>
            <w:shd w:val="clear" w:color="auto" w:fill="auto"/>
          </w:tcPr>
          <w:p w14:paraId="00BAEA4C" w14:textId="77777777" w:rsidR="00871BDF" w:rsidRDefault="00871BDF">
            <w:pPr>
              <w:rPr>
                <w:rFonts w:ascii="宋体"/>
              </w:rPr>
            </w:pPr>
          </w:p>
        </w:tc>
        <w:tc>
          <w:tcPr>
            <w:tcW w:w="5" w:type="pct"/>
            <w:shd w:val="clear" w:color="auto" w:fill="auto"/>
          </w:tcPr>
          <w:p w14:paraId="00BAEA4D" w14:textId="77777777" w:rsidR="00871BDF" w:rsidRDefault="00871BDF">
            <w:pPr>
              <w:rPr>
                <w:rFonts w:ascii="宋体"/>
              </w:rPr>
            </w:pPr>
          </w:p>
        </w:tc>
        <w:tc>
          <w:tcPr>
            <w:tcW w:w="50" w:type="pct"/>
            <w:shd w:val="clear" w:color="auto" w:fill="auto"/>
          </w:tcPr>
          <w:p w14:paraId="00BAEA4E" w14:textId="77777777" w:rsidR="00871BDF" w:rsidRDefault="00871BDF">
            <w:pPr>
              <w:rPr>
                <w:rFonts w:ascii="宋体"/>
              </w:rPr>
            </w:pPr>
          </w:p>
        </w:tc>
        <w:tc>
          <w:tcPr>
            <w:tcW w:w="385" w:type="pct"/>
            <w:shd w:val="clear" w:color="auto" w:fill="auto"/>
          </w:tcPr>
          <w:p w14:paraId="00BAEA4F" w14:textId="77777777" w:rsidR="00871BDF" w:rsidRDefault="00871BDF">
            <w:pPr>
              <w:rPr>
                <w:rFonts w:ascii="宋体"/>
              </w:rPr>
            </w:pPr>
          </w:p>
        </w:tc>
        <w:tc>
          <w:tcPr>
            <w:tcW w:w="5" w:type="pct"/>
            <w:shd w:val="clear" w:color="auto" w:fill="auto"/>
          </w:tcPr>
          <w:p w14:paraId="00BAEA50" w14:textId="77777777" w:rsidR="00871BDF" w:rsidRDefault="00871BDF">
            <w:pPr>
              <w:rPr>
                <w:rFonts w:ascii="宋体"/>
              </w:rPr>
            </w:pPr>
          </w:p>
        </w:tc>
        <w:tc>
          <w:tcPr>
            <w:tcW w:w="5" w:type="pct"/>
            <w:shd w:val="clear" w:color="auto" w:fill="auto"/>
          </w:tcPr>
          <w:p w14:paraId="00BAEA51" w14:textId="77777777" w:rsidR="00871BDF" w:rsidRDefault="00871BDF">
            <w:pPr>
              <w:rPr>
                <w:rFonts w:ascii="宋体"/>
              </w:rPr>
            </w:pPr>
          </w:p>
        </w:tc>
        <w:tc>
          <w:tcPr>
            <w:tcW w:w="17" w:type="pct"/>
            <w:shd w:val="clear" w:color="auto" w:fill="auto"/>
          </w:tcPr>
          <w:p w14:paraId="00BAEA52" w14:textId="77777777" w:rsidR="00871BDF" w:rsidRDefault="00871BDF">
            <w:pPr>
              <w:rPr>
                <w:rFonts w:ascii="宋体"/>
              </w:rPr>
            </w:pPr>
          </w:p>
        </w:tc>
        <w:tc>
          <w:tcPr>
            <w:tcW w:w="5" w:type="pct"/>
            <w:shd w:val="clear" w:color="auto" w:fill="auto"/>
          </w:tcPr>
          <w:p w14:paraId="00BAEA53" w14:textId="77777777" w:rsidR="00871BDF" w:rsidRDefault="00871BDF">
            <w:pPr>
              <w:rPr>
                <w:rFonts w:ascii="宋体"/>
              </w:rPr>
            </w:pPr>
          </w:p>
        </w:tc>
        <w:tc>
          <w:tcPr>
            <w:tcW w:w="50" w:type="pct"/>
            <w:shd w:val="clear" w:color="auto" w:fill="auto"/>
          </w:tcPr>
          <w:p w14:paraId="00BAEA54" w14:textId="77777777" w:rsidR="00871BDF" w:rsidRDefault="00871BDF">
            <w:pPr>
              <w:rPr>
                <w:rFonts w:ascii="宋体"/>
              </w:rPr>
            </w:pPr>
          </w:p>
        </w:tc>
        <w:tc>
          <w:tcPr>
            <w:tcW w:w="385" w:type="pct"/>
            <w:shd w:val="clear" w:color="auto" w:fill="auto"/>
          </w:tcPr>
          <w:p w14:paraId="00BAEA55" w14:textId="77777777" w:rsidR="00871BDF" w:rsidRDefault="00871BDF">
            <w:pPr>
              <w:rPr>
                <w:rFonts w:ascii="宋体"/>
              </w:rPr>
            </w:pPr>
          </w:p>
        </w:tc>
        <w:tc>
          <w:tcPr>
            <w:tcW w:w="5" w:type="pct"/>
            <w:shd w:val="clear" w:color="auto" w:fill="auto"/>
          </w:tcPr>
          <w:p w14:paraId="00BAEA56" w14:textId="77777777" w:rsidR="00871BDF" w:rsidRDefault="00871BDF">
            <w:pPr>
              <w:rPr>
                <w:rFonts w:ascii="宋体"/>
              </w:rPr>
            </w:pPr>
          </w:p>
        </w:tc>
        <w:tc>
          <w:tcPr>
            <w:tcW w:w="5" w:type="pct"/>
            <w:shd w:val="clear" w:color="auto" w:fill="auto"/>
          </w:tcPr>
          <w:p w14:paraId="00BAEA57" w14:textId="77777777" w:rsidR="00871BDF" w:rsidRDefault="00871BDF">
            <w:pPr>
              <w:rPr>
                <w:rFonts w:ascii="宋体"/>
              </w:rPr>
            </w:pPr>
          </w:p>
        </w:tc>
        <w:tc>
          <w:tcPr>
            <w:tcW w:w="17" w:type="pct"/>
            <w:shd w:val="clear" w:color="auto" w:fill="auto"/>
          </w:tcPr>
          <w:p w14:paraId="00BAEA58" w14:textId="77777777" w:rsidR="00871BDF" w:rsidRDefault="00871BDF">
            <w:pPr>
              <w:rPr>
                <w:rFonts w:ascii="宋体"/>
              </w:rPr>
            </w:pPr>
          </w:p>
        </w:tc>
        <w:tc>
          <w:tcPr>
            <w:tcW w:w="5" w:type="pct"/>
            <w:shd w:val="clear" w:color="auto" w:fill="auto"/>
          </w:tcPr>
          <w:p w14:paraId="00BAEA59" w14:textId="77777777" w:rsidR="00871BDF" w:rsidRDefault="00871BDF">
            <w:pPr>
              <w:rPr>
                <w:rFonts w:ascii="宋体"/>
              </w:rPr>
            </w:pPr>
          </w:p>
        </w:tc>
        <w:tc>
          <w:tcPr>
            <w:tcW w:w="50" w:type="pct"/>
            <w:shd w:val="clear" w:color="auto" w:fill="auto"/>
          </w:tcPr>
          <w:p w14:paraId="00BAEA5A" w14:textId="77777777" w:rsidR="00871BDF" w:rsidRDefault="00871BDF">
            <w:pPr>
              <w:rPr>
                <w:rFonts w:ascii="宋体"/>
              </w:rPr>
            </w:pPr>
          </w:p>
        </w:tc>
        <w:tc>
          <w:tcPr>
            <w:tcW w:w="385" w:type="pct"/>
            <w:shd w:val="clear" w:color="auto" w:fill="auto"/>
          </w:tcPr>
          <w:p w14:paraId="00BAEA5B" w14:textId="77777777" w:rsidR="00871BDF" w:rsidRDefault="00871BDF">
            <w:pPr>
              <w:rPr>
                <w:rFonts w:ascii="宋体"/>
              </w:rPr>
            </w:pPr>
          </w:p>
        </w:tc>
        <w:tc>
          <w:tcPr>
            <w:tcW w:w="5" w:type="pct"/>
            <w:shd w:val="clear" w:color="auto" w:fill="auto"/>
          </w:tcPr>
          <w:p w14:paraId="00BAEA5C" w14:textId="77777777" w:rsidR="00871BDF" w:rsidRDefault="00871BDF">
            <w:pPr>
              <w:rPr>
                <w:rFonts w:ascii="宋体"/>
              </w:rPr>
            </w:pPr>
          </w:p>
        </w:tc>
        <w:tc>
          <w:tcPr>
            <w:tcW w:w="5" w:type="pct"/>
            <w:shd w:val="clear" w:color="auto" w:fill="auto"/>
          </w:tcPr>
          <w:p w14:paraId="00BAEA5D" w14:textId="77777777" w:rsidR="00871BDF" w:rsidRDefault="00871BDF">
            <w:pPr>
              <w:rPr>
                <w:rFonts w:ascii="宋体"/>
              </w:rPr>
            </w:pPr>
          </w:p>
        </w:tc>
        <w:tc>
          <w:tcPr>
            <w:tcW w:w="17" w:type="pct"/>
            <w:shd w:val="clear" w:color="auto" w:fill="auto"/>
          </w:tcPr>
          <w:p w14:paraId="00BAEA5E" w14:textId="77777777" w:rsidR="00871BDF" w:rsidRDefault="00871BDF">
            <w:pPr>
              <w:rPr>
                <w:rFonts w:ascii="宋体"/>
              </w:rPr>
            </w:pPr>
          </w:p>
        </w:tc>
        <w:tc>
          <w:tcPr>
            <w:tcW w:w="5" w:type="pct"/>
            <w:shd w:val="clear" w:color="auto" w:fill="auto"/>
          </w:tcPr>
          <w:p w14:paraId="00BAEA5F" w14:textId="77777777" w:rsidR="00871BDF" w:rsidRDefault="00871BDF">
            <w:pPr>
              <w:rPr>
                <w:rFonts w:ascii="宋体"/>
              </w:rPr>
            </w:pPr>
          </w:p>
        </w:tc>
        <w:tc>
          <w:tcPr>
            <w:tcW w:w="50" w:type="pct"/>
            <w:shd w:val="clear" w:color="auto" w:fill="auto"/>
          </w:tcPr>
          <w:p w14:paraId="00BAEA60" w14:textId="77777777" w:rsidR="00871BDF" w:rsidRDefault="00871BDF">
            <w:pPr>
              <w:rPr>
                <w:rFonts w:ascii="宋体"/>
              </w:rPr>
            </w:pPr>
          </w:p>
        </w:tc>
        <w:tc>
          <w:tcPr>
            <w:tcW w:w="385" w:type="pct"/>
            <w:shd w:val="clear" w:color="auto" w:fill="auto"/>
          </w:tcPr>
          <w:p w14:paraId="00BAEA61" w14:textId="77777777" w:rsidR="00871BDF" w:rsidRDefault="00871BDF">
            <w:pPr>
              <w:rPr>
                <w:rFonts w:ascii="宋体"/>
              </w:rPr>
            </w:pPr>
          </w:p>
        </w:tc>
        <w:tc>
          <w:tcPr>
            <w:tcW w:w="5" w:type="pct"/>
            <w:shd w:val="clear" w:color="auto" w:fill="auto"/>
          </w:tcPr>
          <w:p w14:paraId="00BAEA62" w14:textId="77777777" w:rsidR="00871BDF" w:rsidRDefault="00871BDF">
            <w:pPr>
              <w:rPr>
                <w:rFonts w:ascii="宋体"/>
              </w:rPr>
            </w:pPr>
          </w:p>
        </w:tc>
      </w:tr>
      <w:tr w:rsidR="00871BDF" w14:paraId="00BAEA72" w14:textId="77777777">
        <w:trPr>
          <w:trHeight w:val="240"/>
          <w:jc w:val="center"/>
        </w:trPr>
        <w:tc>
          <w:tcPr>
            <w:tcW w:w="0" w:type="auto"/>
            <w:gridSpan w:val="3"/>
            <w:shd w:val="clear" w:color="auto" w:fill="auto"/>
            <w:tcMar>
              <w:top w:w="40" w:type="dxa"/>
              <w:left w:w="20" w:type="dxa"/>
              <w:bottom w:w="40" w:type="dxa"/>
              <w:right w:w="20" w:type="dxa"/>
            </w:tcMar>
            <w:vAlign w:val="bottom"/>
          </w:tcPr>
          <w:p w14:paraId="00BAEA64" w14:textId="77777777" w:rsidR="00871BDF" w:rsidRDefault="005C5088">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00BAEA65" w14:textId="77777777" w:rsidR="00871BDF" w:rsidRDefault="005C5088">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Mar>
              <w:top w:w="0" w:type="dxa"/>
              <w:left w:w="20" w:type="dxa"/>
              <w:bottom w:w="0" w:type="dxa"/>
              <w:right w:w="20" w:type="dxa"/>
            </w:tcMar>
          </w:tcPr>
          <w:p w14:paraId="00BAEA66"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0BAEA67" w14:textId="77777777" w:rsidR="00871BDF" w:rsidRDefault="005C5088">
            <w:pPr>
              <w:jc w:val="center"/>
              <w:textAlignment w:val="bottom"/>
            </w:pPr>
            <w:r>
              <w:rPr>
                <w:rFonts w:ascii="Times New Roman" w:eastAsia="宋体" w:hAnsi="Times New Roman"/>
                <w:b/>
                <w:bCs/>
                <w:color w:val="FFFFFF"/>
                <w:sz w:val="16"/>
                <w:szCs w:val="16"/>
              </w:rPr>
              <w:t>Additional Paid-in Capital</w:t>
            </w:r>
          </w:p>
        </w:tc>
        <w:tc>
          <w:tcPr>
            <w:tcW w:w="0" w:type="auto"/>
            <w:gridSpan w:val="3"/>
            <w:vMerge w:val="restart"/>
            <w:shd w:val="clear" w:color="auto" w:fill="auto"/>
            <w:tcMar>
              <w:top w:w="0" w:type="dxa"/>
              <w:left w:w="20" w:type="dxa"/>
              <w:bottom w:w="0" w:type="dxa"/>
              <w:right w:w="20" w:type="dxa"/>
            </w:tcMar>
          </w:tcPr>
          <w:p w14:paraId="00BAEA68"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0BAEA69" w14:textId="77777777" w:rsidR="00871BDF" w:rsidRDefault="005C5088">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vMerge w:val="restart"/>
            <w:shd w:val="clear" w:color="auto" w:fill="auto"/>
            <w:tcMar>
              <w:top w:w="0" w:type="dxa"/>
              <w:left w:w="20" w:type="dxa"/>
              <w:bottom w:w="0" w:type="dxa"/>
              <w:right w:w="20" w:type="dxa"/>
            </w:tcMar>
          </w:tcPr>
          <w:p w14:paraId="00BAEA6A"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0BAEA6B" w14:textId="77777777" w:rsidR="00871BDF" w:rsidRDefault="005C5088">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vMerge w:val="restart"/>
            <w:shd w:val="clear" w:color="auto" w:fill="auto"/>
            <w:tcMar>
              <w:top w:w="0" w:type="dxa"/>
              <w:left w:w="20" w:type="dxa"/>
              <w:bottom w:w="0" w:type="dxa"/>
              <w:right w:w="20" w:type="dxa"/>
            </w:tcMar>
          </w:tcPr>
          <w:p w14:paraId="00BAEA6C"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0BAEA6D" w14:textId="77777777" w:rsidR="00871BDF" w:rsidRDefault="005C5088">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vMerge w:val="restart"/>
            <w:shd w:val="clear" w:color="auto" w:fill="auto"/>
            <w:tcMar>
              <w:top w:w="0" w:type="dxa"/>
              <w:left w:w="20" w:type="dxa"/>
              <w:bottom w:w="0" w:type="dxa"/>
              <w:right w:w="20" w:type="dxa"/>
            </w:tcMar>
          </w:tcPr>
          <w:p w14:paraId="00BAEA6E"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0BAEA6F" w14:textId="77777777" w:rsidR="00871BDF" w:rsidRDefault="005C5088">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vMerge w:val="restart"/>
            <w:shd w:val="clear" w:color="auto" w:fill="auto"/>
            <w:tcMar>
              <w:top w:w="0" w:type="dxa"/>
              <w:left w:w="20" w:type="dxa"/>
              <w:bottom w:w="0" w:type="dxa"/>
              <w:right w:w="20" w:type="dxa"/>
            </w:tcMar>
          </w:tcPr>
          <w:p w14:paraId="00BAEA70"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0BAEA71" w14:textId="77777777" w:rsidR="00871BDF" w:rsidRDefault="005C5088">
            <w:pPr>
              <w:jc w:val="center"/>
              <w:textAlignment w:val="bottom"/>
            </w:pPr>
            <w:r>
              <w:rPr>
                <w:rFonts w:ascii="Times New Roman" w:eastAsia="宋体" w:hAnsi="Times New Roman"/>
                <w:b/>
                <w:bCs/>
                <w:color w:val="FFFFFF"/>
                <w:sz w:val="16"/>
                <w:szCs w:val="16"/>
              </w:rPr>
              <w:t>Total</w:t>
            </w:r>
          </w:p>
        </w:tc>
      </w:tr>
      <w:tr w:rsidR="00871BDF" w14:paraId="00BAEA83" w14:textId="77777777">
        <w:trPr>
          <w:trHeight w:val="480"/>
          <w:jc w:val="center"/>
        </w:trPr>
        <w:tc>
          <w:tcPr>
            <w:tcW w:w="0" w:type="auto"/>
            <w:gridSpan w:val="3"/>
            <w:shd w:val="clear" w:color="auto" w:fill="auto"/>
            <w:tcMar>
              <w:top w:w="40" w:type="dxa"/>
              <w:left w:w="20" w:type="dxa"/>
              <w:bottom w:w="40" w:type="dxa"/>
              <w:right w:w="20" w:type="dxa"/>
            </w:tcMar>
            <w:vAlign w:val="bottom"/>
          </w:tcPr>
          <w:p w14:paraId="00BAEA73" w14:textId="77777777" w:rsidR="00871BDF" w:rsidRDefault="005C5088">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A74" w14:textId="77777777" w:rsidR="00871BDF" w:rsidRDefault="005C5088">
            <w:pPr>
              <w:jc w:val="center"/>
              <w:textAlignment w:val="bottom"/>
            </w:pPr>
            <w:r>
              <w:rPr>
                <w:rFonts w:ascii="Times New Roman" w:eastAsia="宋体" w:hAnsi="Times New Roman"/>
                <w:b/>
                <w:bCs/>
                <w:color w:val="FFFFFF"/>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tcPr>
          <w:p w14:paraId="00BAEA75"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A76" w14:textId="77777777" w:rsidR="00871BDF" w:rsidRDefault="005C5088">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tcPr>
          <w:p w14:paraId="00BAEA77"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bottom"/>
          </w:tcPr>
          <w:p w14:paraId="00BAEA78"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EA79"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bottom"/>
          </w:tcPr>
          <w:p w14:paraId="00BAEA7A"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EA7B"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bottom"/>
          </w:tcPr>
          <w:p w14:paraId="00BAEA7C"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EA7D"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bottom"/>
          </w:tcPr>
          <w:p w14:paraId="00BAEA7E"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EA7F"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bottom"/>
          </w:tcPr>
          <w:p w14:paraId="00BAEA80" w14:textId="77777777" w:rsidR="00871BDF" w:rsidRDefault="00871BDF">
            <w:pPr>
              <w:jc w:val="center"/>
              <w:rPr>
                <w:rFonts w:ascii="宋体"/>
              </w:rPr>
            </w:pPr>
          </w:p>
        </w:tc>
        <w:tc>
          <w:tcPr>
            <w:tcW w:w="0" w:type="auto"/>
            <w:gridSpan w:val="3"/>
            <w:vMerge/>
            <w:shd w:val="clear" w:color="auto" w:fill="auto"/>
            <w:tcMar>
              <w:top w:w="0" w:type="dxa"/>
              <w:left w:w="20" w:type="dxa"/>
              <w:bottom w:w="0" w:type="dxa"/>
              <w:right w:w="20" w:type="dxa"/>
            </w:tcMar>
          </w:tcPr>
          <w:p w14:paraId="00BAEA81"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bottom"/>
          </w:tcPr>
          <w:p w14:paraId="00BAEA82" w14:textId="77777777" w:rsidR="00871BDF" w:rsidRDefault="00871BDF">
            <w:pPr>
              <w:jc w:val="center"/>
              <w:rPr>
                <w:rFonts w:ascii="宋体"/>
              </w:rPr>
            </w:pPr>
          </w:p>
        </w:tc>
      </w:tr>
      <w:tr w:rsidR="005C5088" w14:paraId="00BAEAA3" w14:textId="77777777">
        <w:trPr>
          <w:jc w:val="center"/>
        </w:trPr>
        <w:tc>
          <w:tcPr>
            <w:tcW w:w="0" w:type="auto"/>
            <w:gridSpan w:val="3"/>
            <w:shd w:val="clear" w:color="auto" w:fill="D7E4BC"/>
            <w:tcMar>
              <w:top w:w="40" w:type="dxa"/>
              <w:left w:w="20" w:type="dxa"/>
              <w:bottom w:w="40" w:type="dxa"/>
              <w:right w:w="20" w:type="dxa"/>
            </w:tcMar>
            <w:vAlign w:val="bottom"/>
          </w:tcPr>
          <w:p w14:paraId="00BAEA84" w14:textId="77777777" w:rsidR="00871BDF" w:rsidRDefault="005C5088">
            <w:pPr>
              <w:textAlignment w:val="bottom"/>
            </w:pPr>
            <w:r>
              <w:rPr>
                <w:rFonts w:ascii="Times New Roman" w:eastAsia="宋体" w:hAnsi="Times New Roman"/>
                <w:b/>
                <w:bCs/>
                <w:color w:val="000000"/>
                <w:sz w:val="18"/>
                <w:szCs w:val="18"/>
              </w:rPr>
              <w:t>Balance, October 1, 2017</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A85" w14:textId="77777777" w:rsidR="00871BDF" w:rsidRDefault="005C5088">
            <w:pPr>
              <w:jc w:val="right"/>
              <w:textAlignment w:val="bottom"/>
            </w:pPr>
            <w:r>
              <w:rPr>
                <w:rFonts w:ascii="Times New Roman" w:eastAsia="宋体" w:hAnsi="Times New Roman"/>
                <w:color w:val="000000"/>
                <w:sz w:val="18"/>
                <w:szCs w:val="18"/>
              </w:rPr>
              <w:t>1,431.6 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A8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87"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A88"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A89" w14:textId="77777777" w:rsidR="00871BDF" w:rsidRDefault="005C5088">
            <w:pPr>
              <w:jc w:val="right"/>
              <w:textAlignment w:val="bottom"/>
            </w:pPr>
            <w:r>
              <w:rPr>
                <w:rFonts w:ascii="Times New Roman" w:eastAsia="宋体" w:hAnsi="Times New Roman"/>
                <w:color w:val="000000"/>
                <w:sz w:val="18"/>
                <w:szCs w:val="18"/>
              </w:rPr>
              <w:t>1.4 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A8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8B"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A8C"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A8D" w14:textId="77777777" w:rsidR="00871BDF" w:rsidRDefault="005C5088">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A8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8F"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A90"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A91" w14:textId="77777777" w:rsidR="00871BDF" w:rsidRDefault="005C5088">
            <w:pPr>
              <w:jc w:val="right"/>
              <w:textAlignment w:val="bottom"/>
            </w:pPr>
            <w:r>
              <w:rPr>
                <w:rFonts w:ascii="Times New Roman" w:eastAsia="宋体" w:hAnsi="Times New Roman"/>
                <w:color w:val="000000"/>
                <w:sz w:val="18"/>
                <w:szCs w:val="18"/>
              </w:rPr>
              <w:t>5,563.2 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A9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93"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A94"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A95" w14:textId="77777777" w:rsidR="00871BDF" w:rsidRDefault="005C5088">
            <w:pPr>
              <w:jc w:val="right"/>
              <w:textAlignment w:val="bottom"/>
            </w:pPr>
            <w:r>
              <w:rPr>
                <w:rFonts w:ascii="Times New Roman" w:eastAsia="宋体" w:hAnsi="Times New Roman"/>
                <w:color w:val="000000"/>
                <w:sz w:val="18"/>
                <w:szCs w:val="18"/>
              </w:rPr>
              <w:t>(155.6)</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A9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97"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A98"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A99" w14:textId="77777777" w:rsidR="00871BDF" w:rsidRDefault="005C5088">
            <w:pPr>
              <w:jc w:val="right"/>
              <w:textAlignment w:val="bottom"/>
            </w:pPr>
            <w:r>
              <w:rPr>
                <w:rFonts w:ascii="Times New Roman" w:eastAsia="宋体" w:hAnsi="Times New Roman"/>
                <w:color w:val="000000"/>
                <w:sz w:val="18"/>
                <w:szCs w:val="18"/>
              </w:rPr>
              <w:t>5,450.1 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A9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9B"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A9C"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A9D" w14:textId="77777777" w:rsidR="00871BDF" w:rsidRDefault="005C5088">
            <w:pPr>
              <w:jc w:val="right"/>
              <w:textAlignment w:val="bottom"/>
            </w:pPr>
            <w:r>
              <w:rPr>
                <w:rFonts w:ascii="Times New Roman" w:eastAsia="宋体" w:hAnsi="Times New Roman"/>
                <w:color w:val="000000"/>
                <w:sz w:val="18"/>
                <w:szCs w:val="18"/>
              </w:rPr>
              <w:t>6.9 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A9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9F"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AA0"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AA1" w14:textId="77777777" w:rsidR="00871BDF" w:rsidRDefault="005C5088">
            <w:pPr>
              <w:jc w:val="right"/>
              <w:textAlignment w:val="bottom"/>
            </w:pPr>
            <w:r>
              <w:rPr>
                <w:rFonts w:ascii="Times New Roman" w:eastAsia="宋体" w:hAnsi="Times New Roman"/>
                <w:color w:val="000000"/>
                <w:sz w:val="18"/>
                <w:szCs w:val="18"/>
              </w:rPr>
              <w:t>5,457.0 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AA2" w14:textId="77777777" w:rsidR="00871BDF" w:rsidRDefault="00871BDF">
            <w:pPr>
              <w:jc w:val="right"/>
              <w:rPr>
                <w:rFonts w:ascii="宋体"/>
              </w:rPr>
            </w:pPr>
          </w:p>
        </w:tc>
      </w:tr>
      <w:tr w:rsidR="00871BDF" w14:paraId="00BAEABC" w14:textId="77777777">
        <w:trPr>
          <w:jc w:val="center"/>
        </w:trPr>
        <w:tc>
          <w:tcPr>
            <w:tcW w:w="0" w:type="auto"/>
            <w:gridSpan w:val="3"/>
            <w:shd w:val="clear" w:color="auto" w:fill="FFFFFF"/>
            <w:tcMar>
              <w:top w:w="40" w:type="dxa"/>
              <w:left w:w="20" w:type="dxa"/>
              <w:bottom w:w="40" w:type="dxa"/>
              <w:right w:w="20" w:type="dxa"/>
            </w:tcMar>
          </w:tcPr>
          <w:p w14:paraId="00BAEAA4" w14:textId="77777777" w:rsidR="00871BDF" w:rsidRDefault="005C5088">
            <w:pPr>
              <w:textAlignment w:val="top"/>
            </w:pPr>
            <w:r>
              <w:rPr>
                <w:rFonts w:ascii="Times New Roman" w:eastAsia="宋体" w:hAnsi="Times New Roman"/>
                <w:color w:val="000000"/>
                <w:sz w:val="18"/>
                <w:szCs w:val="18"/>
              </w:rPr>
              <w:t>Net earnings/(loss)</w:t>
            </w:r>
          </w:p>
        </w:tc>
        <w:tc>
          <w:tcPr>
            <w:tcW w:w="0" w:type="auto"/>
            <w:gridSpan w:val="2"/>
            <w:shd w:val="clear" w:color="auto" w:fill="FFFFFF"/>
            <w:tcMar>
              <w:top w:w="40" w:type="dxa"/>
              <w:left w:w="20" w:type="dxa"/>
              <w:bottom w:w="40" w:type="dxa"/>
              <w:right w:w="0" w:type="dxa"/>
            </w:tcMar>
            <w:vAlign w:val="bottom"/>
          </w:tcPr>
          <w:p w14:paraId="00BAEAA5"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AA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A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A8"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AA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A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AB"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AA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A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AE" w14:textId="77777777" w:rsidR="00871BDF" w:rsidRDefault="005C5088">
            <w:pPr>
              <w:jc w:val="right"/>
              <w:textAlignment w:val="bottom"/>
            </w:pPr>
            <w:r>
              <w:rPr>
                <w:rFonts w:ascii="Times New Roman" w:eastAsia="宋体" w:hAnsi="Times New Roman"/>
                <w:color w:val="000000"/>
                <w:sz w:val="18"/>
                <w:szCs w:val="18"/>
              </w:rPr>
              <w:t>4,518.3 </w:t>
            </w:r>
          </w:p>
        </w:tc>
        <w:tc>
          <w:tcPr>
            <w:tcW w:w="0" w:type="auto"/>
            <w:shd w:val="clear" w:color="auto" w:fill="FFFFFF"/>
            <w:tcMar>
              <w:top w:w="40" w:type="dxa"/>
              <w:left w:w="0" w:type="dxa"/>
              <w:bottom w:w="40" w:type="dxa"/>
              <w:right w:w="20" w:type="dxa"/>
            </w:tcMar>
            <w:vAlign w:val="bottom"/>
          </w:tcPr>
          <w:p w14:paraId="00BAEAA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B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B1"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AB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B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B4" w14:textId="77777777" w:rsidR="00871BDF" w:rsidRDefault="005C5088">
            <w:pPr>
              <w:jc w:val="right"/>
              <w:textAlignment w:val="bottom"/>
            </w:pPr>
            <w:r>
              <w:rPr>
                <w:rFonts w:ascii="Times New Roman" w:eastAsia="宋体" w:hAnsi="Times New Roman"/>
                <w:color w:val="000000"/>
                <w:sz w:val="18"/>
                <w:szCs w:val="18"/>
              </w:rPr>
              <w:t>4,518.3 </w:t>
            </w:r>
          </w:p>
        </w:tc>
        <w:tc>
          <w:tcPr>
            <w:tcW w:w="0" w:type="auto"/>
            <w:shd w:val="clear" w:color="auto" w:fill="FFFFFF"/>
            <w:tcMar>
              <w:top w:w="40" w:type="dxa"/>
              <w:left w:w="0" w:type="dxa"/>
              <w:bottom w:w="40" w:type="dxa"/>
              <w:right w:w="20" w:type="dxa"/>
            </w:tcMar>
            <w:vAlign w:val="bottom"/>
          </w:tcPr>
          <w:p w14:paraId="00BAEAB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B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B7" w14:textId="77777777" w:rsidR="00871BDF" w:rsidRDefault="005C5088">
            <w:pPr>
              <w:jc w:val="right"/>
              <w:textAlignment w:val="bottom"/>
            </w:pPr>
            <w:r>
              <w:rPr>
                <w:rFonts w:ascii="Times New Roman" w:eastAsia="宋体" w:hAnsi="Times New Roman"/>
                <w:color w:val="000000"/>
                <w:sz w:val="18"/>
                <w:szCs w:val="18"/>
              </w:rPr>
              <w:t>(0.3)</w:t>
            </w:r>
          </w:p>
        </w:tc>
        <w:tc>
          <w:tcPr>
            <w:tcW w:w="0" w:type="auto"/>
            <w:shd w:val="clear" w:color="auto" w:fill="FFFFFF"/>
            <w:tcMar>
              <w:top w:w="40" w:type="dxa"/>
              <w:left w:w="0" w:type="dxa"/>
              <w:bottom w:w="40" w:type="dxa"/>
              <w:right w:w="20" w:type="dxa"/>
            </w:tcMar>
            <w:vAlign w:val="bottom"/>
          </w:tcPr>
          <w:p w14:paraId="00BAEAB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B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BA" w14:textId="77777777" w:rsidR="00871BDF" w:rsidRDefault="005C5088">
            <w:pPr>
              <w:jc w:val="right"/>
              <w:textAlignment w:val="bottom"/>
            </w:pPr>
            <w:r>
              <w:rPr>
                <w:rFonts w:ascii="Times New Roman" w:eastAsia="宋体" w:hAnsi="Times New Roman"/>
                <w:color w:val="000000"/>
                <w:sz w:val="18"/>
                <w:szCs w:val="18"/>
              </w:rPr>
              <w:t>4,518.0 </w:t>
            </w:r>
          </w:p>
        </w:tc>
        <w:tc>
          <w:tcPr>
            <w:tcW w:w="0" w:type="auto"/>
            <w:shd w:val="clear" w:color="auto" w:fill="FFFFFF"/>
            <w:tcMar>
              <w:top w:w="40" w:type="dxa"/>
              <w:left w:w="0" w:type="dxa"/>
              <w:bottom w:w="40" w:type="dxa"/>
              <w:right w:w="20" w:type="dxa"/>
            </w:tcMar>
            <w:vAlign w:val="bottom"/>
          </w:tcPr>
          <w:p w14:paraId="00BAEABB" w14:textId="77777777" w:rsidR="00871BDF" w:rsidRDefault="00871BDF">
            <w:pPr>
              <w:jc w:val="right"/>
              <w:rPr>
                <w:rFonts w:ascii="宋体"/>
              </w:rPr>
            </w:pPr>
          </w:p>
        </w:tc>
      </w:tr>
      <w:tr w:rsidR="00871BDF" w14:paraId="00BAEAD5" w14:textId="77777777">
        <w:trPr>
          <w:jc w:val="center"/>
        </w:trPr>
        <w:tc>
          <w:tcPr>
            <w:tcW w:w="0" w:type="auto"/>
            <w:gridSpan w:val="3"/>
            <w:shd w:val="clear" w:color="auto" w:fill="D7E4BC"/>
            <w:tcMar>
              <w:top w:w="40" w:type="dxa"/>
              <w:left w:w="20" w:type="dxa"/>
              <w:bottom w:w="40" w:type="dxa"/>
              <w:right w:w="20" w:type="dxa"/>
            </w:tcMar>
          </w:tcPr>
          <w:p w14:paraId="00BAEABD" w14:textId="77777777" w:rsidR="00871BDF" w:rsidRDefault="005C5088">
            <w:pPr>
              <w:textAlignment w:val="top"/>
            </w:pPr>
            <w:r>
              <w:rPr>
                <w:rFonts w:ascii="Times New Roman" w:eastAsia="宋体" w:hAnsi="Times New Roman"/>
                <w:color w:val="000000"/>
                <w:sz w:val="18"/>
                <w:szCs w:val="18"/>
              </w:rPr>
              <w:t>Other comprehensive income/(loss)</w:t>
            </w:r>
          </w:p>
        </w:tc>
        <w:tc>
          <w:tcPr>
            <w:tcW w:w="0" w:type="auto"/>
            <w:gridSpan w:val="2"/>
            <w:shd w:val="clear" w:color="auto" w:fill="D7E4BC"/>
            <w:tcMar>
              <w:top w:w="40" w:type="dxa"/>
              <w:left w:w="20" w:type="dxa"/>
              <w:bottom w:w="40" w:type="dxa"/>
              <w:right w:w="0" w:type="dxa"/>
            </w:tcMar>
            <w:vAlign w:val="bottom"/>
          </w:tcPr>
          <w:p w14:paraId="00BAEABE"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AB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C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AC1"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AC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C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AC4"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AC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C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AC7"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AC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C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ACA" w14:textId="77777777" w:rsidR="00871BDF" w:rsidRDefault="005C5088">
            <w:pPr>
              <w:jc w:val="right"/>
              <w:textAlignment w:val="bottom"/>
            </w:pPr>
            <w:r>
              <w:rPr>
                <w:rFonts w:ascii="Times New Roman" w:eastAsia="宋体" w:hAnsi="Times New Roman"/>
                <w:color w:val="000000"/>
                <w:sz w:val="18"/>
                <w:szCs w:val="18"/>
              </w:rPr>
              <w:t>(174.7)</w:t>
            </w:r>
          </w:p>
        </w:tc>
        <w:tc>
          <w:tcPr>
            <w:tcW w:w="0" w:type="auto"/>
            <w:shd w:val="clear" w:color="auto" w:fill="D7E4BC"/>
            <w:tcMar>
              <w:top w:w="40" w:type="dxa"/>
              <w:left w:w="0" w:type="dxa"/>
              <w:bottom w:w="40" w:type="dxa"/>
              <w:right w:w="20" w:type="dxa"/>
            </w:tcMar>
            <w:vAlign w:val="bottom"/>
          </w:tcPr>
          <w:p w14:paraId="00BAEAC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C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ACD" w14:textId="77777777" w:rsidR="00871BDF" w:rsidRDefault="005C5088">
            <w:pPr>
              <w:jc w:val="right"/>
              <w:textAlignment w:val="bottom"/>
            </w:pPr>
            <w:r>
              <w:rPr>
                <w:rFonts w:ascii="Times New Roman" w:eastAsia="宋体" w:hAnsi="Times New Roman"/>
                <w:color w:val="000000"/>
                <w:sz w:val="18"/>
                <w:szCs w:val="18"/>
              </w:rPr>
              <w:t>(174.7)</w:t>
            </w:r>
          </w:p>
        </w:tc>
        <w:tc>
          <w:tcPr>
            <w:tcW w:w="0" w:type="auto"/>
            <w:shd w:val="clear" w:color="auto" w:fill="D7E4BC"/>
            <w:tcMar>
              <w:top w:w="40" w:type="dxa"/>
              <w:left w:w="0" w:type="dxa"/>
              <w:bottom w:w="40" w:type="dxa"/>
              <w:right w:w="20" w:type="dxa"/>
            </w:tcMar>
            <w:vAlign w:val="bottom"/>
          </w:tcPr>
          <w:p w14:paraId="00BAEAC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C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AD0"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AD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D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AD3" w14:textId="77777777" w:rsidR="00871BDF" w:rsidRDefault="005C5088">
            <w:pPr>
              <w:jc w:val="right"/>
              <w:textAlignment w:val="bottom"/>
            </w:pPr>
            <w:r>
              <w:rPr>
                <w:rFonts w:ascii="Times New Roman" w:eastAsia="宋体" w:hAnsi="Times New Roman"/>
                <w:color w:val="000000"/>
                <w:sz w:val="18"/>
                <w:szCs w:val="18"/>
              </w:rPr>
              <w:t>(174.7)</w:t>
            </w:r>
          </w:p>
        </w:tc>
        <w:tc>
          <w:tcPr>
            <w:tcW w:w="0" w:type="auto"/>
            <w:shd w:val="clear" w:color="auto" w:fill="D7E4BC"/>
            <w:tcMar>
              <w:top w:w="40" w:type="dxa"/>
              <w:left w:w="0" w:type="dxa"/>
              <w:bottom w:w="40" w:type="dxa"/>
              <w:right w:w="20" w:type="dxa"/>
            </w:tcMar>
            <w:vAlign w:val="bottom"/>
          </w:tcPr>
          <w:p w14:paraId="00BAEAD4" w14:textId="77777777" w:rsidR="00871BDF" w:rsidRDefault="00871BDF">
            <w:pPr>
              <w:jc w:val="right"/>
              <w:rPr>
                <w:rFonts w:ascii="宋体"/>
              </w:rPr>
            </w:pPr>
          </w:p>
        </w:tc>
      </w:tr>
      <w:tr w:rsidR="00871BDF" w14:paraId="00BAEAEE" w14:textId="77777777">
        <w:trPr>
          <w:jc w:val="center"/>
        </w:trPr>
        <w:tc>
          <w:tcPr>
            <w:tcW w:w="0" w:type="auto"/>
            <w:gridSpan w:val="3"/>
            <w:shd w:val="clear" w:color="auto" w:fill="FFFFFF"/>
            <w:tcMar>
              <w:top w:w="40" w:type="dxa"/>
              <w:left w:w="20" w:type="dxa"/>
              <w:bottom w:w="40" w:type="dxa"/>
              <w:right w:w="20" w:type="dxa"/>
            </w:tcMar>
          </w:tcPr>
          <w:p w14:paraId="00BAEAD6" w14:textId="77777777" w:rsidR="00871BDF" w:rsidRDefault="005C5088">
            <w:pPr>
              <w:textAlignment w:val="top"/>
            </w:pPr>
            <w:r>
              <w:rPr>
                <w:rFonts w:ascii="Times New Roman" w:eastAsia="宋体" w:hAnsi="Times New Roman"/>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00BAEAD7"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AD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D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DA"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AD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D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DD" w14:textId="77777777" w:rsidR="00871BDF" w:rsidRDefault="005C5088">
            <w:pPr>
              <w:jc w:val="right"/>
              <w:textAlignment w:val="bottom"/>
            </w:pPr>
            <w:r>
              <w:rPr>
                <w:rFonts w:ascii="Times New Roman" w:eastAsia="宋体" w:hAnsi="Times New Roman"/>
                <w:color w:val="000000"/>
                <w:sz w:val="18"/>
                <w:szCs w:val="18"/>
              </w:rPr>
              <w:t>253.8 </w:t>
            </w:r>
          </w:p>
        </w:tc>
        <w:tc>
          <w:tcPr>
            <w:tcW w:w="0" w:type="auto"/>
            <w:shd w:val="clear" w:color="auto" w:fill="FFFFFF"/>
            <w:tcMar>
              <w:top w:w="40" w:type="dxa"/>
              <w:left w:w="0" w:type="dxa"/>
              <w:bottom w:w="40" w:type="dxa"/>
              <w:right w:w="20" w:type="dxa"/>
            </w:tcMar>
            <w:vAlign w:val="bottom"/>
          </w:tcPr>
          <w:p w14:paraId="00BAEAD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D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E0"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AE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E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E3"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AE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E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E6" w14:textId="77777777" w:rsidR="00871BDF" w:rsidRDefault="005C5088">
            <w:pPr>
              <w:jc w:val="right"/>
              <w:textAlignment w:val="bottom"/>
            </w:pPr>
            <w:r>
              <w:rPr>
                <w:rFonts w:ascii="Times New Roman" w:eastAsia="宋体" w:hAnsi="Times New Roman"/>
                <w:color w:val="000000"/>
                <w:sz w:val="18"/>
                <w:szCs w:val="18"/>
              </w:rPr>
              <w:t>253.8 </w:t>
            </w:r>
          </w:p>
        </w:tc>
        <w:tc>
          <w:tcPr>
            <w:tcW w:w="0" w:type="auto"/>
            <w:shd w:val="clear" w:color="auto" w:fill="FFFFFF"/>
            <w:tcMar>
              <w:top w:w="40" w:type="dxa"/>
              <w:left w:w="0" w:type="dxa"/>
              <w:bottom w:w="40" w:type="dxa"/>
              <w:right w:w="20" w:type="dxa"/>
            </w:tcMar>
            <w:vAlign w:val="bottom"/>
          </w:tcPr>
          <w:p w14:paraId="00BAEAE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E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E9"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AE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AE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AEC" w14:textId="77777777" w:rsidR="00871BDF" w:rsidRDefault="005C5088">
            <w:pPr>
              <w:jc w:val="right"/>
              <w:textAlignment w:val="bottom"/>
            </w:pPr>
            <w:r>
              <w:rPr>
                <w:rFonts w:ascii="Times New Roman" w:eastAsia="宋体" w:hAnsi="Times New Roman"/>
                <w:color w:val="000000"/>
                <w:sz w:val="18"/>
                <w:szCs w:val="18"/>
              </w:rPr>
              <w:t>253.8 </w:t>
            </w:r>
          </w:p>
        </w:tc>
        <w:tc>
          <w:tcPr>
            <w:tcW w:w="0" w:type="auto"/>
            <w:shd w:val="clear" w:color="auto" w:fill="FFFFFF"/>
            <w:tcMar>
              <w:top w:w="40" w:type="dxa"/>
              <w:left w:w="0" w:type="dxa"/>
              <w:bottom w:w="40" w:type="dxa"/>
              <w:right w:w="20" w:type="dxa"/>
            </w:tcMar>
            <w:vAlign w:val="bottom"/>
          </w:tcPr>
          <w:p w14:paraId="00BAEAED" w14:textId="77777777" w:rsidR="00871BDF" w:rsidRDefault="00871BDF">
            <w:pPr>
              <w:jc w:val="right"/>
              <w:rPr>
                <w:rFonts w:ascii="宋体"/>
              </w:rPr>
            </w:pPr>
          </w:p>
        </w:tc>
      </w:tr>
      <w:tr w:rsidR="00871BDF" w14:paraId="00BAEB07" w14:textId="77777777">
        <w:trPr>
          <w:jc w:val="center"/>
        </w:trPr>
        <w:tc>
          <w:tcPr>
            <w:tcW w:w="0" w:type="auto"/>
            <w:gridSpan w:val="3"/>
            <w:shd w:val="clear" w:color="auto" w:fill="D7E4BC"/>
            <w:tcMar>
              <w:top w:w="40" w:type="dxa"/>
              <w:left w:w="20" w:type="dxa"/>
              <w:bottom w:w="40" w:type="dxa"/>
              <w:right w:w="20" w:type="dxa"/>
            </w:tcMar>
          </w:tcPr>
          <w:p w14:paraId="00BAEAEF" w14:textId="77777777" w:rsidR="00871BDF" w:rsidRDefault="005C5088">
            <w:pPr>
              <w:textAlignment w:val="top"/>
            </w:pPr>
            <w:r>
              <w:rPr>
                <w:rFonts w:ascii="Times New Roman" w:eastAsia="宋体" w:hAnsi="Times New Roman"/>
                <w:color w:val="000000"/>
                <w:sz w:val="18"/>
                <w:szCs w:val="18"/>
              </w:rPr>
              <w:t>Exercise of stock options/vesting of RSUs</w:t>
            </w:r>
          </w:p>
        </w:tc>
        <w:tc>
          <w:tcPr>
            <w:tcW w:w="0" w:type="auto"/>
            <w:gridSpan w:val="2"/>
            <w:shd w:val="clear" w:color="auto" w:fill="D7E4BC"/>
            <w:tcMar>
              <w:top w:w="40" w:type="dxa"/>
              <w:left w:w="20" w:type="dxa"/>
              <w:bottom w:w="40" w:type="dxa"/>
              <w:right w:w="0" w:type="dxa"/>
            </w:tcMar>
            <w:vAlign w:val="bottom"/>
          </w:tcPr>
          <w:p w14:paraId="00BAEAF0" w14:textId="77777777" w:rsidR="00871BDF" w:rsidRDefault="005C5088">
            <w:pPr>
              <w:jc w:val="right"/>
              <w:textAlignment w:val="bottom"/>
            </w:pPr>
            <w:r>
              <w:rPr>
                <w:rFonts w:ascii="Times New Roman" w:eastAsia="宋体" w:hAnsi="Times New Roman"/>
                <w:color w:val="000000"/>
                <w:sz w:val="18"/>
                <w:szCs w:val="18"/>
              </w:rPr>
              <w:t>8.4 </w:t>
            </w:r>
          </w:p>
        </w:tc>
        <w:tc>
          <w:tcPr>
            <w:tcW w:w="0" w:type="auto"/>
            <w:shd w:val="clear" w:color="auto" w:fill="D7E4BC"/>
            <w:tcMar>
              <w:top w:w="40" w:type="dxa"/>
              <w:left w:w="0" w:type="dxa"/>
              <w:bottom w:w="40" w:type="dxa"/>
              <w:right w:w="20" w:type="dxa"/>
            </w:tcMar>
            <w:vAlign w:val="bottom"/>
          </w:tcPr>
          <w:p w14:paraId="00BAEAF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F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AF3"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AF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F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AF6" w14:textId="77777777" w:rsidR="00871BDF" w:rsidRDefault="005C5088">
            <w:pPr>
              <w:jc w:val="right"/>
              <w:textAlignment w:val="bottom"/>
            </w:pPr>
            <w:r>
              <w:rPr>
                <w:rFonts w:ascii="Times New Roman" w:eastAsia="宋体" w:hAnsi="Times New Roman"/>
                <w:color w:val="000000"/>
                <w:sz w:val="18"/>
                <w:szCs w:val="18"/>
              </w:rPr>
              <w:t>59.4 </w:t>
            </w:r>
          </w:p>
        </w:tc>
        <w:tc>
          <w:tcPr>
            <w:tcW w:w="0" w:type="auto"/>
            <w:shd w:val="clear" w:color="auto" w:fill="D7E4BC"/>
            <w:tcMar>
              <w:top w:w="40" w:type="dxa"/>
              <w:left w:w="0" w:type="dxa"/>
              <w:bottom w:w="40" w:type="dxa"/>
              <w:right w:w="20" w:type="dxa"/>
            </w:tcMar>
            <w:vAlign w:val="bottom"/>
          </w:tcPr>
          <w:p w14:paraId="00BAEAF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F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AF9"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AF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F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AFC"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AF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AF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AFF" w14:textId="77777777" w:rsidR="00871BDF" w:rsidRDefault="005C5088">
            <w:pPr>
              <w:jc w:val="right"/>
              <w:textAlignment w:val="bottom"/>
            </w:pPr>
            <w:r>
              <w:rPr>
                <w:rFonts w:ascii="Times New Roman" w:eastAsia="宋体" w:hAnsi="Times New Roman"/>
                <w:color w:val="000000"/>
                <w:sz w:val="18"/>
                <w:szCs w:val="18"/>
              </w:rPr>
              <w:t>59.4 </w:t>
            </w:r>
          </w:p>
        </w:tc>
        <w:tc>
          <w:tcPr>
            <w:tcW w:w="0" w:type="auto"/>
            <w:shd w:val="clear" w:color="auto" w:fill="D7E4BC"/>
            <w:tcMar>
              <w:top w:w="40" w:type="dxa"/>
              <w:left w:w="0" w:type="dxa"/>
              <w:bottom w:w="40" w:type="dxa"/>
              <w:right w:w="20" w:type="dxa"/>
            </w:tcMar>
            <w:vAlign w:val="bottom"/>
          </w:tcPr>
          <w:p w14:paraId="00BAEB0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0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02"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0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0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05" w14:textId="77777777" w:rsidR="00871BDF" w:rsidRDefault="005C5088">
            <w:pPr>
              <w:jc w:val="right"/>
              <w:textAlignment w:val="bottom"/>
            </w:pPr>
            <w:r>
              <w:rPr>
                <w:rFonts w:ascii="Times New Roman" w:eastAsia="宋体" w:hAnsi="Times New Roman"/>
                <w:color w:val="000000"/>
                <w:sz w:val="18"/>
                <w:szCs w:val="18"/>
              </w:rPr>
              <w:t>59.4 </w:t>
            </w:r>
          </w:p>
        </w:tc>
        <w:tc>
          <w:tcPr>
            <w:tcW w:w="0" w:type="auto"/>
            <w:shd w:val="clear" w:color="auto" w:fill="D7E4BC"/>
            <w:tcMar>
              <w:top w:w="40" w:type="dxa"/>
              <w:left w:w="0" w:type="dxa"/>
              <w:bottom w:w="40" w:type="dxa"/>
              <w:right w:w="20" w:type="dxa"/>
            </w:tcMar>
            <w:vAlign w:val="bottom"/>
          </w:tcPr>
          <w:p w14:paraId="00BAEB06" w14:textId="77777777" w:rsidR="00871BDF" w:rsidRDefault="00871BDF">
            <w:pPr>
              <w:jc w:val="right"/>
              <w:rPr>
                <w:rFonts w:ascii="宋体"/>
              </w:rPr>
            </w:pPr>
          </w:p>
        </w:tc>
      </w:tr>
      <w:tr w:rsidR="00871BDF" w14:paraId="00BAEB20" w14:textId="77777777">
        <w:trPr>
          <w:jc w:val="center"/>
        </w:trPr>
        <w:tc>
          <w:tcPr>
            <w:tcW w:w="0" w:type="auto"/>
            <w:gridSpan w:val="3"/>
            <w:shd w:val="clear" w:color="auto" w:fill="FFFFFF"/>
            <w:tcMar>
              <w:top w:w="40" w:type="dxa"/>
              <w:left w:w="20" w:type="dxa"/>
              <w:bottom w:w="40" w:type="dxa"/>
              <w:right w:w="20" w:type="dxa"/>
            </w:tcMar>
          </w:tcPr>
          <w:p w14:paraId="00BAEB08" w14:textId="77777777" w:rsidR="00871BDF" w:rsidRDefault="005C5088">
            <w:pPr>
              <w:textAlignment w:val="top"/>
            </w:pPr>
            <w:r>
              <w:rPr>
                <w:rFonts w:ascii="Times New Roman" w:eastAsia="宋体" w:hAnsi="Times New Roman"/>
                <w:color w:val="000000"/>
                <w:sz w:val="18"/>
                <w:szCs w:val="18"/>
              </w:rPr>
              <w:t>Sale of common stock</w:t>
            </w:r>
          </w:p>
        </w:tc>
        <w:tc>
          <w:tcPr>
            <w:tcW w:w="0" w:type="auto"/>
            <w:gridSpan w:val="2"/>
            <w:shd w:val="clear" w:color="auto" w:fill="FFFFFF"/>
            <w:tcMar>
              <w:top w:w="40" w:type="dxa"/>
              <w:left w:w="20" w:type="dxa"/>
              <w:bottom w:w="40" w:type="dxa"/>
              <w:right w:w="0" w:type="dxa"/>
            </w:tcMar>
            <w:vAlign w:val="bottom"/>
          </w:tcPr>
          <w:p w14:paraId="00BAEB09" w14:textId="77777777" w:rsidR="00871BDF" w:rsidRDefault="005C5088">
            <w:pPr>
              <w:jc w:val="right"/>
              <w:textAlignment w:val="bottom"/>
            </w:pPr>
            <w:r>
              <w:rPr>
                <w:rFonts w:ascii="Times New Roman" w:eastAsia="宋体" w:hAnsi="Times New Roman"/>
                <w:color w:val="000000"/>
                <w:sz w:val="18"/>
                <w:szCs w:val="18"/>
              </w:rPr>
              <w:t>0.6 </w:t>
            </w:r>
          </w:p>
        </w:tc>
        <w:tc>
          <w:tcPr>
            <w:tcW w:w="0" w:type="auto"/>
            <w:shd w:val="clear" w:color="auto" w:fill="FFFFFF"/>
            <w:tcMar>
              <w:top w:w="40" w:type="dxa"/>
              <w:left w:w="0" w:type="dxa"/>
              <w:bottom w:w="40" w:type="dxa"/>
              <w:right w:w="20" w:type="dxa"/>
            </w:tcMar>
            <w:vAlign w:val="bottom"/>
          </w:tcPr>
          <w:p w14:paraId="00BAEB0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0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0C"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0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0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0F" w14:textId="77777777" w:rsidR="00871BDF" w:rsidRDefault="005C5088">
            <w:pPr>
              <w:jc w:val="right"/>
              <w:textAlignment w:val="bottom"/>
            </w:pPr>
            <w:r>
              <w:rPr>
                <w:rFonts w:ascii="Times New Roman" w:eastAsia="宋体" w:hAnsi="Times New Roman"/>
                <w:color w:val="000000"/>
                <w:sz w:val="18"/>
                <w:szCs w:val="18"/>
              </w:rPr>
              <w:t>31.8 </w:t>
            </w:r>
          </w:p>
        </w:tc>
        <w:tc>
          <w:tcPr>
            <w:tcW w:w="0" w:type="auto"/>
            <w:shd w:val="clear" w:color="auto" w:fill="FFFFFF"/>
            <w:tcMar>
              <w:top w:w="40" w:type="dxa"/>
              <w:left w:w="0" w:type="dxa"/>
              <w:bottom w:w="40" w:type="dxa"/>
              <w:right w:w="20" w:type="dxa"/>
            </w:tcMar>
            <w:vAlign w:val="bottom"/>
          </w:tcPr>
          <w:p w14:paraId="00BAEB1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1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12"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1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1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15"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1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1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18" w14:textId="77777777" w:rsidR="00871BDF" w:rsidRDefault="005C5088">
            <w:pPr>
              <w:jc w:val="right"/>
              <w:textAlignment w:val="bottom"/>
            </w:pPr>
            <w:r>
              <w:rPr>
                <w:rFonts w:ascii="Times New Roman" w:eastAsia="宋体" w:hAnsi="Times New Roman"/>
                <w:color w:val="000000"/>
                <w:sz w:val="18"/>
                <w:szCs w:val="18"/>
              </w:rPr>
              <w:t>31.8 </w:t>
            </w:r>
          </w:p>
        </w:tc>
        <w:tc>
          <w:tcPr>
            <w:tcW w:w="0" w:type="auto"/>
            <w:shd w:val="clear" w:color="auto" w:fill="FFFFFF"/>
            <w:tcMar>
              <w:top w:w="40" w:type="dxa"/>
              <w:left w:w="0" w:type="dxa"/>
              <w:bottom w:w="40" w:type="dxa"/>
              <w:right w:w="20" w:type="dxa"/>
            </w:tcMar>
            <w:vAlign w:val="bottom"/>
          </w:tcPr>
          <w:p w14:paraId="00BAEB1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1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1B"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1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1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1E" w14:textId="77777777" w:rsidR="00871BDF" w:rsidRDefault="005C5088">
            <w:pPr>
              <w:jc w:val="right"/>
              <w:textAlignment w:val="bottom"/>
            </w:pPr>
            <w:r>
              <w:rPr>
                <w:rFonts w:ascii="Times New Roman" w:eastAsia="宋体" w:hAnsi="Times New Roman"/>
                <w:color w:val="000000"/>
                <w:sz w:val="18"/>
                <w:szCs w:val="18"/>
              </w:rPr>
              <w:t>31.8 </w:t>
            </w:r>
          </w:p>
        </w:tc>
        <w:tc>
          <w:tcPr>
            <w:tcW w:w="0" w:type="auto"/>
            <w:shd w:val="clear" w:color="auto" w:fill="FFFFFF"/>
            <w:tcMar>
              <w:top w:w="40" w:type="dxa"/>
              <w:left w:w="0" w:type="dxa"/>
              <w:bottom w:w="40" w:type="dxa"/>
              <w:right w:w="20" w:type="dxa"/>
            </w:tcMar>
            <w:vAlign w:val="bottom"/>
          </w:tcPr>
          <w:p w14:paraId="00BAEB1F" w14:textId="77777777" w:rsidR="00871BDF" w:rsidRDefault="00871BDF">
            <w:pPr>
              <w:jc w:val="right"/>
              <w:rPr>
                <w:rFonts w:ascii="宋体"/>
              </w:rPr>
            </w:pPr>
          </w:p>
        </w:tc>
      </w:tr>
      <w:tr w:rsidR="00871BDF" w14:paraId="00BAEB39" w14:textId="77777777">
        <w:trPr>
          <w:jc w:val="center"/>
        </w:trPr>
        <w:tc>
          <w:tcPr>
            <w:tcW w:w="0" w:type="auto"/>
            <w:gridSpan w:val="3"/>
            <w:shd w:val="clear" w:color="auto" w:fill="D7E4BC"/>
            <w:tcMar>
              <w:top w:w="40" w:type="dxa"/>
              <w:left w:w="20" w:type="dxa"/>
              <w:bottom w:w="40" w:type="dxa"/>
              <w:right w:w="20" w:type="dxa"/>
            </w:tcMar>
          </w:tcPr>
          <w:p w14:paraId="00BAEB21" w14:textId="77777777" w:rsidR="00871BDF" w:rsidRDefault="005C5088">
            <w:pPr>
              <w:textAlignment w:val="top"/>
            </w:pPr>
            <w:r>
              <w:rPr>
                <w:rFonts w:ascii="Times New Roman" w:eastAsia="宋体" w:hAnsi="Times New Roman"/>
                <w:color w:val="000000"/>
                <w:sz w:val="18"/>
                <w:szCs w:val="18"/>
              </w:rPr>
              <w:t>Repurchase of common stock</w:t>
            </w:r>
          </w:p>
        </w:tc>
        <w:tc>
          <w:tcPr>
            <w:tcW w:w="0" w:type="auto"/>
            <w:gridSpan w:val="2"/>
            <w:shd w:val="clear" w:color="auto" w:fill="D7E4BC"/>
            <w:tcMar>
              <w:top w:w="40" w:type="dxa"/>
              <w:left w:w="20" w:type="dxa"/>
              <w:bottom w:w="40" w:type="dxa"/>
              <w:right w:w="0" w:type="dxa"/>
            </w:tcMar>
            <w:vAlign w:val="bottom"/>
          </w:tcPr>
          <w:p w14:paraId="00BAEB22" w14:textId="77777777" w:rsidR="00871BDF" w:rsidRDefault="005C5088">
            <w:pPr>
              <w:jc w:val="right"/>
              <w:textAlignment w:val="bottom"/>
            </w:pPr>
            <w:r>
              <w:rPr>
                <w:rFonts w:ascii="Times New Roman" w:eastAsia="宋体" w:hAnsi="Times New Roman"/>
                <w:color w:val="000000"/>
                <w:sz w:val="18"/>
                <w:szCs w:val="18"/>
              </w:rPr>
              <w:t>(131.5)</w:t>
            </w:r>
          </w:p>
        </w:tc>
        <w:tc>
          <w:tcPr>
            <w:tcW w:w="0" w:type="auto"/>
            <w:shd w:val="clear" w:color="auto" w:fill="D7E4BC"/>
            <w:tcMar>
              <w:top w:w="40" w:type="dxa"/>
              <w:left w:w="0" w:type="dxa"/>
              <w:bottom w:w="40" w:type="dxa"/>
              <w:right w:w="20" w:type="dxa"/>
            </w:tcMar>
            <w:vAlign w:val="bottom"/>
          </w:tcPr>
          <w:p w14:paraId="00BAEB2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2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25" w14:textId="77777777" w:rsidR="00871BDF" w:rsidRDefault="005C5088">
            <w:pPr>
              <w:jc w:val="right"/>
              <w:textAlignment w:val="bottom"/>
            </w:pPr>
            <w:r>
              <w:rPr>
                <w:rFonts w:ascii="Times New Roman" w:eastAsia="宋体" w:hAnsi="Times New Roman"/>
                <w:color w:val="000000"/>
                <w:sz w:val="18"/>
                <w:szCs w:val="18"/>
              </w:rPr>
              <w:t>(0.1)</w:t>
            </w:r>
          </w:p>
        </w:tc>
        <w:tc>
          <w:tcPr>
            <w:tcW w:w="0" w:type="auto"/>
            <w:shd w:val="clear" w:color="auto" w:fill="D7E4BC"/>
            <w:tcMar>
              <w:top w:w="40" w:type="dxa"/>
              <w:left w:w="0" w:type="dxa"/>
              <w:bottom w:w="40" w:type="dxa"/>
              <w:right w:w="20" w:type="dxa"/>
            </w:tcMar>
            <w:vAlign w:val="bottom"/>
          </w:tcPr>
          <w:p w14:paraId="00BAEB2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2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28" w14:textId="77777777" w:rsidR="00871BDF" w:rsidRDefault="005C5088">
            <w:pPr>
              <w:jc w:val="right"/>
              <w:textAlignment w:val="bottom"/>
            </w:pPr>
            <w:r>
              <w:rPr>
                <w:rFonts w:ascii="Times New Roman" w:eastAsia="宋体" w:hAnsi="Times New Roman"/>
                <w:color w:val="000000"/>
                <w:sz w:val="18"/>
                <w:szCs w:val="18"/>
              </w:rPr>
              <w:t>(345.0)</w:t>
            </w:r>
          </w:p>
        </w:tc>
        <w:tc>
          <w:tcPr>
            <w:tcW w:w="0" w:type="auto"/>
            <w:shd w:val="clear" w:color="auto" w:fill="D7E4BC"/>
            <w:tcMar>
              <w:top w:w="40" w:type="dxa"/>
              <w:left w:w="0" w:type="dxa"/>
              <w:bottom w:w="40" w:type="dxa"/>
              <w:right w:w="20" w:type="dxa"/>
            </w:tcMar>
            <w:vAlign w:val="bottom"/>
          </w:tcPr>
          <w:p w14:paraId="00BAEB2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2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2B" w14:textId="77777777" w:rsidR="00871BDF" w:rsidRDefault="005C5088">
            <w:pPr>
              <w:jc w:val="right"/>
              <w:textAlignment w:val="bottom"/>
            </w:pPr>
            <w:r>
              <w:rPr>
                <w:rFonts w:ascii="Times New Roman" w:eastAsia="宋体" w:hAnsi="Times New Roman"/>
                <w:color w:val="000000"/>
                <w:sz w:val="18"/>
                <w:szCs w:val="18"/>
              </w:rPr>
              <w:t>(6,863.6)</w:t>
            </w:r>
          </w:p>
        </w:tc>
        <w:tc>
          <w:tcPr>
            <w:tcW w:w="0" w:type="auto"/>
            <w:shd w:val="clear" w:color="auto" w:fill="D7E4BC"/>
            <w:tcMar>
              <w:top w:w="40" w:type="dxa"/>
              <w:left w:w="0" w:type="dxa"/>
              <w:bottom w:w="40" w:type="dxa"/>
              <w:right w:w="20" w:type="dxa"/>
            </w:tcMar>
            <w:vAlign w:val="bottom"/>
          </w:tcPr>
          <w:p w14:paraId="00BAEB2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2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2E"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2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3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31" w14:textId="77777777" w:rsidR="00871BDF" w:rsidRDefault="005C5088">
            <w:pPr>
              <w:jc w:val="right"/>
              <w:textAlignment w:val="bottom"/>
            </w:pPr>
            <w:r>
              <w:rPr>
                <w:rFonts w:ascii="Times New Roman" w:eastAsia="宋体" w:hAnsi="Times New Roman"/>
                <w:color w:val="000000"/>
                <w:sz w:val="18"/>
                <w:szCs w:val="18"/>
              </w:rPr>
              <w:t>(7,208.7)</w:t>
            </w:r>
          </w:p>
        </w:tc>
        <w:tc>
          <w:tcPr>
            <w:tcW w:w="0" w:type="auto"/>
            <w:shd w:val="clear" w:color="auto" w:fill="D7E4BC"/>
            <w:tcMar>
              <w:top w:w="40" w:type="dxa"/>
              <w:left w:w="0" w:type="dxa"/>
              <w:bottom w:w="40" w:type="dxa"/>
              <w:right w:w="20" w:type="dxa"/>
            </w:tcMar>
            <w:vAlign w:val="bottom"/>
          </w:tcPr>
          <w:p w14:paraId="00BAEB3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3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34"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3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3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37" w14:textId="77777777" w:rsidR="00871BDF" w:rsidRDefault="005C5088">
            <w:pPr>
              <w:jc w:val="right"/>
              <w:textAlignment w:val="bottom"/>
            </w:pPr>
            <w:r>
              <w:rPr>
                <w:rFonts w:ascii="Times New Roman" w:eastAsia="宋体" w:hAnsi="Times New Roman"/>
                <w:color w:val="000000"/>
                <w:sz w:val="18"/>
                <w:szCs w:val="18"/>
              </w:rPr>
              <w:t>(7,208.7)</w:t>
            </w:r>
          </w:p>
        </w:tc>
        <w:tc>
          <w:tcPr>
            <w:tcW w:w="0" w:type="auto"/>
            <w:shd w:val="clear" w:color="auto" w:fill="D7E4BC"/>
            <w:tcMar>
              <w:top w:w="40" w:type="dxa"/>
              <w:left w:w="0" w:type="dxa"/>
              <w:bottom w:w="40" w:type="dxa"/>
              <w:right w:w="20" w:type="dxa"/>
            </w:tcMar>
            <w:vAlign w:val="bottom"/>
          </w:tcPr>
          <w:p w14:paraId="00BAEB38" w14:textId="77777777" w:rsidR="00871BDF" w:rsidRDefault="00871BDF">
            <w:pPr>
              <w:jc w:val="right"/>
              <w:rPr>
                <w:rFonts w:ascii="宋体"/>
              </w:rPr>
            </w:pPr>
          </w:p>
        </w:tc>
      </w:tr>
      <w:tr w:rsidR="00871BDF" w14:paraId="00BAEB52" w14:textId="77777777">
        <w:trPr>
          <w:jc w:val="center"/>
        </w:trPr>
        <w:tc>
          <w:tcPr>
            <w:tcW w:w="0" w:type="auto"/>
            <w:gridSpan w:val="3"/>
            <w:shd w:val="clear" w:color="auto" w:fill="FFFFFF"/>
            <w:tcMar>
              <w:top w:w="40" w:type="dxa"/>
              <w:left w:w="20" w:type="dxa"/>
              <w:bottom w:w="40" w:type="dxa"/>
              <w:right w:w="20" w:type="dxa"/>
            </w:tcMar>
          </w:tcPr>
          <w:p w14:paraId="00BAEB3A" w14:textId="77777777" w:rsidR="00871BDF" w:rsidRDefault="005C5088">
            <w:pPr>
              <w:textAlignment w:val="top"/>
            </w:pPr>
            <w:r>
              <w:rPr>
                <w:rFonts w:ascii="Times New Roman" w:eastAsia="宋体" w:hAnsi="Times New Roman"/>
                <w:color w:val="000000"/>
                <w:sz w:val="18"/>
                <w:szCs w:val="18"/>
              </w:rPr>
              <w:t>Cash dividends declared, $1.32 per share</w:t>
            </w:r>
          </w:p>
        </w:tc>
        <w:tc>
          <w:tcPr>
            <w:tcW w:w="0" w:type="auto"/>
            <w:gridSpan w:val="2"/>
            <w:shd w:val="clear" w:color="auto" w:fill="FFFFFF"/>
            <w:tcMar>
              <w:top w:w="40" w:type="dxa"/>
              <w:left w:w="20" w:type="dxa"/>
              <w:bottom w:w="40" w:type="dxa"/>
              <w:right w:w="0" w:type="dxa"/>
            </w:tcMar>
            <w:vAlign w:val="bottom"/>
          </w:tcPr>
          <w:p w14:paraId="00BAEB3B"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3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3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3E"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3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4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41"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4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4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44" w14:textId="77777777" w:rsidR="00871BDF" w:rsidRDefault="005C5088">
            <w:pPr>
              <w:jc w:val="right"/>
              <w:textAlignment w:val="bottom"/>
            </w:pPr>
            <w:r>
              <w:rPr>
                <w:rFonts w:ascii="Times New Roman" w:eastAsia="宋体" w:hAnsi="Times New Roman"/>
                <w:color w:val="000000"/>
                <w:sz w:val="18"/>
                <w:szCs w:val="18"/>
              </w:rPr>
              <w:t>(1,760.5)</w:t>
            </w:r>
          </w:p>
        </w:tc>
        <w:tc>
          <w:tcPr>
            <w:tcW w:w="0" w:type="auto"/>
            <w:shd w:val="clear" w:color="auto" w:fill="FFFFFF"/>
            <w:tcMar>
              <w:top w:w="40" w:type="dxa"/>
              <w:left w:w="0" w:type="dxa"/>
              <w:bottom w:w="40" w:type="dxa"/>
              <w:right w:w="20" w:type="dxa"/>
            </w:tcMar>
            <w:vAlign w:val="bottom"/>
          </w:tcPr>
          <w:p w14:paraId="00BAEB4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4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47"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4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4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4A" w14:textId="77777777" w:rsidR="00871BDF" w:rsidRDefault="005C5088">
            <w:pPr>
              <w:jc w:val="right"/>
              <w:textAlignment w:val="bottom"/>
            </w:pPr>
            <w:r>
              <w:rPr>
                <w:rFonts w:ascii="Times New Roman" w:eastAsia="宋体" w:hAnsi="Times New Roman"/>
                <w:color w:val="000000"/>
                <w:sz w:val="18"/>
                <w:szCs w:val="18"/>
              </w:rPr>
              <w:t>(1,760.5)</w:t>
            </w:r>
          </w:p>
        </w:tc>
        <w:tc>
          <w:tcPr>
            <w:tcW w:w="0" w:type="auto"/>
            <w:shd w:val="clear" w:color="auto" w:fill="FFFFFF"/>
            <w:tcMar>
              <w:top w:w="40" w:type="dxa"/>
              <w:left w:w="0" w:type="dxa"/>
              <w:bottom w:w="40" w:type="dxa"/>
              <w:right w:w="20" w:type="dxa"/>
            </w:tcMar>
            <w:vAlign w:val="bottom"/>
          </w:tcPr>
          <w:p w14:paraId="00BAEB4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4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4D"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4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4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50" w14:textId="77777777" w:rsidR="00871BDF" w:rsidRDefault="005C5088">
            <w:pPr>
              <w:jc w:val="right"/>
              <w:textAlignment w:val="bottom"/>
            </w:pPr>
            <w:r>
              <w:rPr>
                <w:rFonts w:ascii="Times New Roman" w:eastAsia="宋体" w:hAnsi="Times New Roman"/>
                <w:color w:val="000000"/>
                <w:sz w:val="18"/>
                <w:szCs w:val="18"/>
              </w:rPr>
              <w:t>(1,760.5)</w:t>
            </w:r>
          </w:p>
        </w:tc>
        <w:tc>
          <w:tcPr>
            <w:tcW w:w="0" w:type="auto"/>
            <w:shd w:val="clear" w:color="auto" w:fill="FFFFFF"/>
            <w:tcMar>
              <w:top w:w="40" w:type="dxa"/>
              <w:left w:w="0" w:type="dxa"/>
              <w:bottom w:w="40" w:type="dxa"/>
              <w:right w:w="20" w:type="dxa"/>
            </w:tcMar>
            <w:vAlign w:val="bottom"/>
          </w:tcPr>
          <w:p w14:paraId="00BAEB51" w14:textId="77777777" w:rsidR="00871BDF" w:rsidRDefault="00871BDF">
            <w:pPr>
              <w:jc w:val="right"/>
              <w:rPr>
                <w:rFonts w:ascii="宋体"/>
              </w:rPr>
            </w:pPr>
          </w:p>
        </w:tc>
      </w:tr>
      <w:tr w:rsidR="00871BDF" w14:paraId="00BAEB6B" w14:textId="77777777">
        <w:trPr>
          <w:jc w:val="center"/>
        </w:trPr>
        <w:tc>
          <w:tcPr>
            <w:tcW w:w="0" w:type="auto"/>
            <w:gridSpan w:val="3"/>
            <w:shd w:val="clear" w:color="auto" w:fill="D7E4BC"/>
            <w:tcMar>
              <w:top w:w="40" w:type="dxa"/>
              <w:left w:w="20" w:type="dxa"/>
              <w:bottom w:w="40" w:type="dxa"/>
              <w:right w:w="20" w:type="dxa"/>
            </w:tcMar>
            <w:vAlign w:val="bottom"/>
          </w:tcPr>
          <w:p w14:paraId="00BAEB53" w14:textId="77777777" w:rsidR="00871BDF" w:rsidRDefault="005C5088">
            <w:pPr>
              <w:textAlignment w:val="bottom"/>
            </w:pPr>
            <w:r>
              <w:rPr>
                <w:rFonts w:ascii="Times New Roman" w:eastAsia="宋体" w:hAnsi="Times New Roman"/>
                <w:color w:val="000000"/>
                <w:sz w:val="18"/>
                <w:szCs w:val="18"/>
              </w:rPr>
              <w:t>Net distributions to noncontrolling interests</w:t>
            </w:r>
          </w:p>
        </w:tc>
        <w:tc>
          <w:tcPr>
            <w:tcW w:w="0" w:type="auto"/>
            <w:gridSpan w:val="2"/>
            <w:shd w:val="clear" w:color="auto" w:fill="D7E4BC"/>
            <w:tcMar>
              <w:top w:w="40" w:type="dxa"/>
              <w:left w:w="20" w:type="dxa"/>
              <w:bottom w:w="40" w:type="dxa"/>
              <w:right w:w="0" w:type="dxa"/>
            </w:tcMar>
            <w:vAlign w:val="bottom"/>
          </w:tcPr>
          <w:p w14:paraId="00BAEB54"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5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5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57"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5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5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5A"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5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5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5D"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5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5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60"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6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6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63"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6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6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66" w14:textId="77777777" w:rsidR="00871BDF" w:rsidRDefault="005C5088">
            <w:pPr>
              <w:jc w:val="right"/>
              <w:textAlignment w:val="bottom"/>
            </w:pPr>
            <w:r>
              <w:rPr>
                <w:rFonts w:ascii="Times New Roman" w:eastAsia="宋体" w:hAnsi="Times New Roman"/>
                <w:color w:val="000000"/>
                <w:sz w:val="18"/>
                <w:szCs w:val="18"/>
              </w:rPr>
              <w:t>(0.3)</w:t>
            </w:r>
          </w:p>
        </w:tc>
        <w:tc>
          <w:tcPr>
            <w:tcW w:w="0" w:type="auto"/>
            <w:shd w:val="clear" w:color="auto" w:fill="D7E4BC"/>
            <w:tcMar>
              <w:top w:w="40" w:type="dxa"/>
              <w:left w:w="0" w:type="dxa"/>
              <w:bottom w:w="40" w:type="dxa"/>
              <w:right w:w="20" w:type="dxa"/>
            </w:tcMar>
            <w:vAlign w:val="bottom"/>
          </w:tcPr>
          <w:p w14:paraId="00BAEB6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6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69" w14:textId="77777777" w:rsidR="00871BDF" w:rsidRDefault="005C5088">
            <w:pPr>
              <w:jc w:val="right"/>
              <w:textAlignment w:val="bottom"/>
            </w:pPr>
            <w:r>
              <w:rPr>
                <w:rFonts w:ascii="Times New Roman" w:eastAsia="宋体" w:hAnsi="Times New Roman"/>
                <w:color w:val="000000"/>
                <w:sz w:val="18"/>
                <w:szCs w:val="18"/>
              </w:rPr>
              <w:t>(0.3)</w:t>
            </w:r>
          </w:p>
        </w:tc>
        <w:tc>
          <w:tcPr>
            <w:tcW w:w="0" w:type="auto"/>
            <w:shd w:val="clear" w:color="auto" w:fill="D7E4BC"/>
            <w:tcMar>
              <w:top w:w="40" w:type="dxa"/>
              <w:left w:w="0" w:type="dxa"/>
              <w:bottom w:w="40" w:type="dxa"/>
              <w:right w:w="20" w:type="dxa"/>
            </w:tcMar>
            <w:vAlign w:val="bottom"/>
          </w:tcPr>
          <w:p w14:paraId="00BAEB6A" w14:textId="77777777" w:rsidR="00871BDF" w:rsidRDefault="00871BDF">
            <w:pPr>
              <w:jc w:val="right"/>
              <w:rPr>
                <w:rFonts w:ascii="宋体"/>
              </w:rPr>
            </w:pPr>
          </w:p>
        </w:tc>
      </w:tr>
      <w:tr w:rsidR="005C5088" w14:paraId="00BAEB8B" w14:textId="77777777">
        <w:trPr>
          <w:jc w:val="center"/>
        </w:trPr>
        <w:tc>
          <w:tcPr>
            <w:tcW w:w="0" w:type="auto"/>
            <w:gridSpan w:val="3"/>
            <w:shd w:val="clear" w:color="auto" w:fill="FFFFFF"/>
            <w:tcMar>
              <w:top w:w="40" w:type="dxa"/>
              <w:left w:w="20" w:type="dxa"/>
              <w:bottom w:w="40" w:type="dxa"/>
              <w:right w:w="20" w:type="dxa"/>
            </w:tcMar>
            <w:vAlign w:val="bottom"/>
          </w:tcPr>
          <w:p w14:paraId="00BAEB6C" w14:textId="77777777" w:rsidR="00871BDF" w:rsidRDefault="005C5088">
            <w:pPr>
              <w:textAlignment w:val="bottom"/>
            </w:pPr>
            <w:r>
              <w:rPr>
                <w:rFonts w:ascii="Times New Roman" w:eastAsia="宋体" w:hAnsi="Times New Roman"/>
                <w:b/>
                <w:bCs/>
                <w:color w:val="000000"/>
                <w:sz w:val="18"/>
                <w:szCs w:val="18"/>
              </w:rPr>
              <w:t>Balance, September 30, 2018</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B6D" w14:textId="77777777" w:rsidR="00871BDF" w:rsidRDefault="005C5088">
            <w:pPr>
              <w:jc w:val="right"/>
              <w:textAlignment w:val="bottom"/>
            </w:pPr>
            <w:r>
              <w:rPr>
                <w:rFonts w:ascii="Times New Roman" w:eastAsia="宋体" w:hAnsi="Times New Roman"/>
                <w:color w:val="000000"/>
                <w:sz w:val="18"/>
                <w:szCs w:val="18"/>
              </w:rPr>
              <w:t>1,309.1 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B6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6F"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B70"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B71" w14:textId="77777777" w:rsidR="00871BDF" w:rsidRDefault="005C5088">
            <w:pPr>
              <w:jc w:val="right"/>
              <w:textAlignment w:val="bottom"/>
            </w:pPr>
            <w:r>
              <w:rPr>
                <w:rFonts w:ascii="Times New Roman" w:eastAsia="宋体" w:hAnsi="Times New Roman"/>
                <w:color w:val="000000"/>
                <w:sz w:val="18"/>
                <w:szCs w:val="18"/>
              </w:rPr>
              <w:t>1.3 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B7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73"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B74"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B75" w14:textId="77777777" w:rsidR="00871BDF" w:rsidRDefault="005C5088">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B7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77"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B78"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B79" w14:textId="77777777" w:rsidR="00871BDF" w:rsidRDefault="005C5088">
            <w:pPr>
              <w:jc w:val="right"/>
              <w:textAlignment w:val="bottom"/>
            </w:pPr>
            <w:r>
              <w:rPr>
                <w:rFonts w:ascii="Times New Roman" w:eastAsia="宋体" w:hAnsi="Times New Roman"/>
                <w:color w:val="000000"/>
                <w:sz w:val="18"/>
                <w:szCs w:val="18"/>
              </w:rPr>
              <w:t>1,457.4 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B7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7B"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B7C"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B7D" w14:textId="77777777" w:rsidR="00871BDF" w:rsidRDefault="005C5088">
            <w:pPr>
              <w:jc w:val="right"/>
              <w:textAlignment w:val="bottom"/>
            </w:pPr>
            <w:r>
              <w:rPr>
                <w:rFonts w:ascii="Times New Roman" w:eastAsia="宋体" w:hAnsi="Times New Roman"/>
                <w:color w:val="000000"/>
                <w:sz w:val="18"/>
                <w:szCs w:val="18"/>
              </w:rPr>
              <w:t>(330.3)</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B7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7F"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B80"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B81" w14:textId="77777777" w:rsidR="00871BDF" w:rsidRDefault="005C5088">
            <w:pPr>
              <w:jc w:val="right"/>
              <w:textAlignment w:val="bottom"/>
            </w:pPr>
            <w:r>
              <w:rPr>
                <w:rFonts w:ascii="Times New Roman" w:eastAsia="宋体" w:hAnsi="Times New Roman"/>
                <w:color w:val="000000"/>
                <w:sz w:val="18"/>
                <w:szCs w:val="18"/>
              </w:rPr>
              <w:t>1,169.5 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B8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83"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B84"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B85" w14:textId="77777777" w:rsidR="00871BDF" w:rsidRDefault="005C5088">
            <w:pPr>
              <w:jc w:val="right"/>
              <w:textAlignment w:val="bottom"/>
            </w:pPr>
            <w:r>
              <w:rPr>
                <w:rFonts w:ascii="Times New Roman" w:eastAsia="宋体" w:hAnsi="Times New Roman"/>
                <w:color w:val="000000"/>
                <w:sz w:val="18"/>
                <w:szCs w:val="18"/>
              </w:rPr>
              <w:t>6.3 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B8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87"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B88"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B89" w14:textId="77777777" w:rsidR="00871BDF" w:rsidRDefault="005C5088">
            <w:pPr>
              <w:jc w:val="right"/>
              <w:textAlignment w:val="bottom"/>
            </w:pPr>
            <w:r>
              <w:rPr>
                <w:rFonts w:ascii="Times New Roman" w:eastAsia="宋体" w:hAnsi="Times New Roman"/>
                <w:color w:val="000000"/>
                <w:sz w:val="18"/>
                <w:szCs w:val="18"/>
              </w:rPr>
              <w:t>1,175.8 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B8A" w14:textId="77777777" w:rsidR="00871BDF" w:rsidRDefault="00871BDF">
            <w:pPr>
              <w:jc w:val="right"/>
              <w:rPr>
                <w:rFonts w:ascii="宋体"/>
              </w:rPr>
            </w:pPr>
          </w:p>
        </w:tc>
      </w:tr>
      <w:tr w:rsidR="00871BDF" w14:paraId="00BAEBA4" w14:textId="77777777">
        <w:trPr>
          <w:jc w:val="center"/>
        </w:trPr>
        <w:tc>
          <w:tcPr>
            <w:tcW w:w="0" w:type="auto"/>
            <w:gridSpan w:val="3"/>
            <w:shd w:val="clear" w:color="auto" w:fill="D7E4BC"/>
            <w:tcMar>
              <w:top w:w="40" w:type="dxa"/>
              <w:left w:w="20" w:type="dxa"/>
              <w:bottom w:w="40" w:type="dxa"/>
              <w:right w:w="20" w:type="dxa"/>
            </w:tcMar>
          </w:tcPr>
          <w:p w14:paraId="00BAEB8C" w14:textId="77777777" w:rsidR="00871BDF" w:rsidRDefault="005C5088">
            <w:pPr>
              <w:textAlignment w:val="top"/>
            </w:pPr>
            <w:r>
              <w:rPr>
                <w:rFonts w:ascii="Times New Roman" w:eastAsia="宋体" w:hAnsi="Times New Roman"/>
                <w:color w:val="000000"/>
                <w:sz w:val="18"/>
                <w:szCs w:val="18"/>
              </w:rPr>
              <w:t>Cumulative effect of adoption of new accounting gui</w:t>
            </w:r>
            <w:r>
              <w:rPr>
                <w:rFonts w:ascii="Times New Roman" w:eastAsia="宋体" w:hAnsi="Times New Roman"/>
                <w:color w:val="000000"/>
                <w:sz w:val="18"/>
                <w:szCs w:val="18"/>
              </w:rPr>
              <w:t>dance</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B8D" w14:textId="77777777" w:rsidR="00871BDF" w:rsidRDefault="005C5088">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B8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8F"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B90" w14:textId="77777777" w:rsidR="00871BDF" w:rsidRDefault="005C5088">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B9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92"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B93" w14:textId="77777777" w:rsidR="00871BDF" w:rsidRDefault="005C5088">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B9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95"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B96" w14:textId="77777777" w:rsidR="00871BDF" w:rsidRDefault="005C5088">
            <w:pPr>
              <w:jc w:val="right"/>
              <w:textAlignment w:val="bottom"/>
            </w:pPr>
            <w:r>
              <w:rPr>
                <w:rFonts w:ascii="Times New Roman" w:eastAsia="宋体" w:hAnsi="Times New Roman"/>
                <w:color w:val="000000"/>
                <w:sz w:val="18"/>
                <w:szCs w:val="18"/>
              </w:rPr>
              <w:t>495.6 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B9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98"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B99" w14:textId="77777777" w:rsidR="00871BDF" w:rsidRDefault="005C5088">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B9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9B"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B9C" w14:textId="77777777" w:rsidR="00871BDF" w:rsidRDefault="005C5088">
            <w:pPr>
              <w:jc w:val="right"/>
              <w:textAlignment w:val="bottom"/>
            </w:pPr>
            <w:r>
              <w:rPr>
                <w:rFonts w:ascii="Times New Roman" w:eastAsia="宋体" w:hAnsi="Times New Roman"/>
                <w:color w:val="000000"/>
                <w:sz w:val="18"/>
                <w:szCs w:val="18"/>
              </w:rPr>
              <w:t>495.6 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B9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9E"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B9F" w14:textId="77777777" w:rsidR="00871BDF" w:rsidRDefault="005C5088">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BA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A1"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BA2" w14:textId="77777777" w:rsidR="00871BDF" w:rsidRDefault="005C5088">
            <w:pPr>
              <w:jc w:val="right"/>
              <w:textAlignment w:val="bottom"/>
            </w:pPr>
            <w:r>
              <w:rPr>
                <w:rFonts w:ascii="Times New Roman" w:eastAsia="宋体" w:hAnsi="Times New Roman"/>
                <w:color w:val="000000"/>
                <w:sz w:val="18"/>
                <w:szCs w:val="18"/>
              </w:rPr>
              <w:t>495.6 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BA3" w14:textId="77777777" w:rsidR="00871BDF" w:rsidRDefault="00871BDF">
            <w:pPr>
              <w:jc w:val="right"/>
              <w:rPr>
                <w:rFonts w:ascii="宋体"/>
              </w:rPr>
            </w:pPr>
          </w:p>
        </w:tc>
      </w:tr>
      <w:tr w:rsidR="00871BDF" w14:paraId="00BAEBBD" w14:textId="77777777">
        <w:trPr>
          <w:jc w:val="center"/>
        </w:trPr>
        <w:tc>
          <w:tcPr>
            <w:tcW w:w="0" w:type="auto"/>
            <w:gridSpan w:val="3"/>
            <w:shd w:val="clear" w:color="auto" w:fill="FFFFFF"/>
            <w:tcMar>
              <w:top w:w="40" w:type="dxa"/>
              <w:left w:w="20" w:type="dxa"/>
              <w:bottom w:w="40" w:type="dxa"/>
              <w:right w:w="20" w:type="dxa"/>
            </w:tcMar>
          </w:tcPr>
          <w:p w14:paraId="00BAEBA5" w14:textId="77777777" w:rsidR="00871BDF" w:rsidRDefault="005C5088">
            <w:pPr>
              <w:textAlignment w:val="top"/>
            </w:pPr>
            <w:r>
              <w:rPr>
                <w:rFonts w:ascii="Times New Roman" w:eastAsia="宋体" w:hAnsi="Times New Roman"/>
                <w:color w:val="000000"/>
                <w:sz w:val="18"/>
                <w:szCs w:val="18"/>
              </w:rPr>
              <w:t>Net earnings/(loss)</w:t>
            </w:r>
          </w:p>
        </w:tc>
        <w:tc>
          <w:tcPr>
            <w:tcW w:w="0" w:type="auto"/>
            <w:gridSpan w:val="2"/>
            <w:shd w:val="clear" w:color="auto" w:fill="FFFFFF"/>
            <w:tcMar>
              <w:top w:w="40" w:type="dxa"/>
              <w:left w:w="20" w:type="dxa"/>
              <w:bottom w:w="40" w:type="dxa"/>
              <w:right w:w="0" w:type="dxa"/>
            </w:tcMar>
            <w:vAlign w:val="bottom"/>
          </w:tcPr>
          <w:p w14:paraId="00BAEBA6"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A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A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A9"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A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A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AC"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A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A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AF" w14:textId="77777777" w:rsidR="00871BDF" w:rsidRDefault="005C5088">
            <w:pPr>
              <w:jc w:val="right"/>
              <w:textAlignment w:val="bottom"/>
            </w:pPr>
            <w:r>
              <w:rPr>
                <w:rFonts w:ascii="Times New Roman" w:eastAsia="宋体" w:hAnsi="Times New Roman"/>
                <w:color w:val="000000"/>
                <w:sz w:val="18"/>
                <w:szCs w:val="18"/>
              </w:rPr>
              <w:t>3,599.2 </w:t>
            </w:r>
          </w:p>
        </w:tc>
        <w:tc>
          <w:tcPr>
            <w:tcW w:w="0" w:type="auto"/>
            <w:shd w:val="clear" w:color="auto" w:fill="FFFFFF"/>
            <w:tcMar>
              <w:top w:w="40" w:type="dxa"/>
              <w:left w:w="0" w:type="dxa"/>
              <w:bottom w:w="40" w:type="dxa"/>
              <w:right w:w="20" w:type="dxa"/>
            </w:tcMar>
            <w:vAlign w:val="bottom"/>
          </w:tcPr>
          <w:p w14:paraId="00BAEBB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B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B2"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B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B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B5" w14:textId="77777777" w:rsidR="00871BDF" w:rsidRDefault="005C5088">
            <w:pPr>
              <w:jc w:val="right"/>
              <w:textAlignment w:val="bottom"/>
            </w:pPr>
            <w:r>
              <w:rPr>
                <w:rFonts w:ascii="Times New Roman" w:eastAsia="宋体" w:hAnsi="Times New Roman"/>
                <w:color w:val="000000"/>
                <w:sz w:val="18"/>
                <w:szCs w:val="18"/>
              </w:rPr>
              <w:t>3,599.2 </w:t>
            </w:r>
          </w:p>
        </w:tc>
        <w:tc>
          <w:tcPr>
            <w:tcW w:w="0" w:type="auto"/>
            <w:shd w:val="clear" w:color="auto" w:fill="FFFFFF"/>
            <w:tcMar>
              <w:top w:w="40" w:type="dxa"/>
              <w:left w:w="0" w:type="dxa"/>
              <w:bottom w:w="40" w:type="dxa"/>
              <w:right w:w="20" w:type="dxa"/>
            </w:tcMar>
            <w:vAlign w:val="bottom"/>
          </w:tcPr>
          <w:p w14:paraId="00BAEBB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B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B8" w14:textId="77777777" w:rsidR="00871BDF" w:rsidRDefault="005C5088">
            <w:pPr>
              <w:jc w:val="right"/>
              <w:textAlignment w:val="bottom"/>
            </w:pPr>
            <w:r>
              <w:rPr>
                <w:rFonts w:ascii="Times New Roman" w:eastAsia="宋体" w:hAnsi="Times New Roman"/>
                <w:color w:val="000000"/>
                <w:sz w:val="18"/>
                <w:szCs w:val="18"/>
              </w:rPr>
              <w:t>(4.6)</w:t>
            </w:r>
          </w:p>
        </w:tc>
        <w:tc>
          <w:tcPr>
            <w:tcW w:w="0" w:type="auto"/>
            <w:shd w:val="clear" w:color="auto" w:fill="FFFFFF"/>
            <w:tcMar>
              <w:top w:w="40" w:type="dxa"/>
              <w:left w:w="0" w:type="dxa"/>
              <w:bottom w:w="40" w:type="dxa"/>
              <w:right w:w="20" w:type="dxa"/>
            </w:tcMar>
            <w:vAlign w:val="bottom"/>
          </w:tcPr>
          <w:p w14:paraId="00BAEBB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B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BB" w14:textId="77777777" w:rsidR="00871BDF" w:rsidRDefault="005C5088">
            <w:pPr>
              <w:jc w:val="right"/>
              <w:textAlignment w:val="bottom"/>
            </w:pPr>
            <w:r>
              <w:rPr>
                <w:rFonts w:ascii="Times New Roman" w:eastAsia="宋体" w:hAnsi="Times New Roman"/>
                <w:color w:val="000000"/>
                <w:sz w:val="18"/>
                <w:szCs w:val="18"/>
              </w:rPr>
              <w:t>3,594.6 </w:t>
            </w:r>
          </w:p>
        </w:tc>
        <w:tc>
          <w:tcPr>
            <w:tcW w:w="0" w:type="auto"/>
            <w:shd w:val="clear" w:color="auto" w:fill="FFFFFF"/>
            <w:tcMar>
              <w:top w:w="40" w:type="dxa"/>
              <w:left w:w="0" w:type="dxa"/>
              <w:bottom w:w="40" w:type="dxa"/>
              <w:right w:w="20" w:type="dxa"/>
            </w:tcMar>
            <w:vAlign w:val="bottom"/>
          </w:tcPr>
          <w:p w14:paraId="00BAEBBC" w14:textId="77777777" w:rsidR="00871BDF" w:rsidRDefault="00871BDF">
            <w:pPr>
              <w:jc w:val="right"/>
              <w:rPr>
                <w:rFonts w:ascii="宋体"/>
              </w:rPr>
            </w:pPr>
          </w:p>
        </w:tc>
      </w:tr>
      <w:tr w:rsidR="00871BDF" w14:paraId="00BAEBD6" w14:textId="77777777">
        <w:trPr>
          <w:jc w:val="center"/>
        </w:trPr>
        <w:tc>
          <w:tcPr>
            <w:tcW w:w="0" w:type="auto"/>
            <w:gridSpan w:val="3"/>
            <w:shd w:val="clear" w:color="auto" w:fill="D7E4BC"/>
            <w:tcMar>
              <w:top w:w="40" w:type="dxa"/>
              <w:left w:w="20" w:type="dxa"/>
              <w:bottom w:w="40" w:type="dxa"/>
              <w:right w:w="20" w:type="dxa"/>
            </w:tcMar>
            <w:vAlign w:val="bottom"/>
          </w:tcPr>
          <w:p w14:paraId="00BAEBBE" w14:textId="77777777" w:rsidR="00871BDF" w:rsidRDefault="005C5088">
            <w:pPr>
              <w:textAlignment w:val="bottom"/>
            </w:pPr>
            <w:r>
              <w:rPr>
                <w:rFonts w:ascii="Times New Roman" w:eastAsia="宋体" w:hAnsi="Times New Roman"/>
                <w:color w:val="000000"/>
                <w:sz w:val="18"/>
                <w:szCs w:val="18"/>
              </w:rPr>
              <w:t>Other comprehensive income/(loss)</w:t>
            </w:r>
          </w:p>
        </w:tc>
        <w:tc>
          <w:tcPr>
            <w:tcW w:w="0" w:type="auto"/>
            <w:gridSpan w:val="2"/>
            <w:shd w:val="clear" w:color="auto" w:fill="D7E4BC"/>
            <w:tcMar>
              <w:top w:w="40" w:type="dxa"/>
              <w:left w:w="20" w:type="dxa"/>
              <w:bottom w:w="40" w:type="dxa"/>
              <w:right w:w="0" w:type="dxa"/>
            </w:tcMar>
            <w:vAlign w:val="bottom"/>
          </w:tcPr>
          <w:p w14:paraId="00BAEBBF"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C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C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C2"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C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C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C5"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C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C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C8"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C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C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CB" w14:textId="77777777" w:rsidR="00871BDF" w:rsidRDefault="005C5088">
            <w:pPr>
              <w:jc w:val="right"/>
              <w:textAlignment w:val="bottom"/>
            </w:pPr>
            <w:r>
              <w:rPr>
                <w:rFonts w:ascii="Times New Roman" w:eastAsia="宋体" w:hAnsi="Times New Roman"/>
                <w:color w:val="000000"/>
                <w:sz w:val="18"/>
                <w:szCs w:val="18"/>
              </w:rPr>
              <w:t>(173.0)</w:t>
            </w:r>
          </w:p>
        </w:tc>
        <w:tc>
          <w:tcPr>
            <w:tcW w:w="0" w:type="auto"/>
            <w:shd w:val="clear" w:color="auto" w:fill="D7E4BC"/>
            <w:tcMar>
              <w:top w:w="40" w:type="dxa"/>
              <w:left w:w="0" w:type="dxa"/>
              <w:bottom w:w="40" w:type="dxa"/>
              <w:right w:w="20" w:type="dxa"/>
            </w:tcMar>
            <w:vAlign w:val="bottom"/>
          </w:tcPr>
          <w:p w14:paraId="00BAEBC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C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CE" w14:textId="77777777" w:rsidR="00871BDF" w:rsidRDefault="005C5088">
            <w:pPr>
              <w:jc w:val="right"/>
              <w:textAlignment w:val="bottom"/>
            </w:pPr>
            <w:r>
              <w:rPr>
                <w:rFonts w:ascii="Times New Roman" w:eastAsia="宋体" w:hAnsi="Times New Roman"/>
                <w:color w:val="000000"/>
                <w:sz w:val="18"/>
                <w:szCs w:val="18"/>
              </w:rPr>
              <w:t>(173.0)</w:t>
            </w:r>
          </w:p>
        </w:tc>
        <w:tc>
          <w:tcPr>
            <w:tcW w:w="0" w:type="auto"/>
            <w:shd w:val="clear" w:color="auto" w:fill="D7E4BC"/>
            <w:tcMar>
              <w:top w:w="40" w:type="dxa"/>
              <w:left w:w="0" w:type="dxa"/>
              <w:bottom w:w="40" w:type="dxa"/>
              <w:right w:w="20" w:type="dxa"/>
            </w:tcMar>
            <w:vAlign w:val="bottom"/>
          </w:tcPr>
          <w:p w14:paraId="00BAEBC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D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D1"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D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D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D4" w14:textId="77777777" w:rsidR="00871BDF" w:rsidRDefault="005C5088">
            <w:pPr>
              <w:jc w:val="right"/>
              <w:textAlignment w:val="bottom"/>
            </w:pPr>
            <w:r>
              <w:rPr>
                <w:rFonts w:ascii="Times New Roman" w:eastAsia="宋体" w:hAnsi="Times New Roman"/>
                <w:color w:val="000000"/>
                <w:sz w:val="18"/>
                <w:szCs w:val="18"/>
              </w:rPr>
              <w:t>(173.0)</w:t>
            </w:r>
          </w:p>
        </w:tc>
        <w:tc>
          <w:tcPr>
            <w:tcW w:w="0" w:type="auto"/>
            <w:shd w:val="clear" w:color="auto" w:fill="D7E4BC"/>
            <w:tcMar>
              <w:top w:w="40" w:type="dxa"/>
              <w:left w:w="0" w:type="dxa"/>
              <w:bottom w:w="40" w:type="dxa"/>
              <w:right w:w="20" w:type="dxa"/>
            </w:tcMar>
            <w:vAlign w:val="bottom"/>
          </w:tcPr>
          <w:p w14:paraId="00BAEBD5" w14:textId="77777777" w:rsidR="00871BDF" w:rsidRDefault="00871BDF">
            <w:pPr>
              <w:jc w:val="right"/>
              <w:rPr>
                <w:rFonts w:ascii="宋体"/>
              </w:rPr>
            </w:pPr>
          </w:p>
        </w:tc>
      </w:tr>
      <w:tr w:rsidR="00871BDF" w14:paraId="00BAEBEF" w14:textId="77777777">
        <w:trPr>
          <w:jc w:val="center"/>
        </w:trPr>
        <w:tc>
          <w:tcPr>
            <w:tcW w:w="0" w:type="auto"/>
            <w:gridSpan w:val="3"/>
            <w:shd w:val="clear" w:color="auto" w:fill="FFFFFF"/>
            <w:tcMar>
              <w:top w:w="40" w:type="dxa"/>
              <w:left w:w="20" w:type="dxa"/>
              <w:bottom w:w="40" w:type="dxa"/>
              <w:right w:w="20" w:type="dxa"/>
            </w:tcMar>
            <w:vAlign w:val="bottom"/>
          </w:tcPr>
          <w:p w14:paraId="00BAEBD7" w14:textId="77777777" w:rsidR="00871BDF" w:rsidRDefault="005C5088">
            <w:pPr>
              <w:textAlignment w:val="bottom"/>
            </w:pPr>
            <w:r>
              <w:rPr>
                <w:rFonts w:ascii="Times New Roman" w:eastAsia="宋体" w:hAnsi="Times New Roman"/>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00BAEBD8"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D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D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DB"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D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D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DE" w14:textId="77777777" w:rsidR="00871BDF" w:rsidRDefault="005C5088">
            <w:pPr>
              <w:jc w:val="right"/>
              <w:textAlignment w:val="bottom"/>
            </w:pPr>
            <w:r>
              <w:rPr>
                <w:rFonts w:ascii="Times New Roman" w:eastAsia="宋体" w:hAnsi="Times New Roman"/>
                <w:color w:val="000000"/>
                <w:sz w:val="18"/>
                <w:szCs w:val="18"/>
              </w:rPr>
              <w:t>311.3 </w:t>
            </w:r>
          </w:p>
        </w:tc>
        <w:tc>
          <w:tcPr>
            <w:tcW w:w="0" w:type="auto"/>
            <w:shd w:val="clear" w:color="auto" w:fill="FFFFFF"/>
            <w:tcMar>
              <w:top w:w="40" w:type="dxa"/>
              <w:left w:w="0" w:type="dxa"/>
              <w:bottom w:w="40" w:type="dxa"/>
              <w:right w:w="20" w:type="dxa"/>
            </w:tcMar>
            <w:vAlign w:val="bottom"/>
          </w:tcPr>
          <w:p w14:paraId="00BAEBD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E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E1"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E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E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E4"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E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E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E7" w14:textId="77777777" w:rsidR="00871BDF" w:rsidRDefault="005C5088">
            <w:pPr>
              <w:jc w:val="right"/>
              <w:textAlignment w:val="bottom"/>
            </w:pPr>
            <w:r>
              <w:rPr>
                <w:rFonts w:ascii="Times New Roman" w:eastAsia="宋体" w:hAnsi="Times New Roman"/>
                <w:color w:val="000000"/>
                <w:sz w:val="18"/>
                <w:szCs w:val="18"/>
              </w:rPr>
              <w:t>311.3 </w:t>
            </w:r>
          </w:p>
        </w:tc>
        <w:tc>
          <w:tcPr>
            <w:tcW w:w="0" w:type="auto"/>
            <w:shd w:val="clear" w:color="auto" w:fill="FFFFFF"/>
            <w:tcMar>
              <w:top w:w="40" w:type="dxa"/>
              <w:left w:w="0" w:type="dxa"/>
              <w:bottom w:w="40" w:type="dxa"/>
              <w:right w:w="20" w:type="dxa"/>
            </w:tcMar>
            <w:vAlign w:val="bottom"/>
          </w:tcPr>
          <w:p w14:paraId="00BAEBE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E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EA"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BE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BE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BED" w14:textId="77777777" w:rsidR="00871BDF" w:rsidRDefault="005C5088">
            <w:pPr>
              <w:jc w:val="right"/>
              <w:textAlignment w:val="bottom"/>
            </w:pPr>
            <w:r>
              <w:rPr>
                <w:rFonts w:ascii="Times New Roman" w:eastAsia="宋体" w:hAnsi="Times New Roman"/>
                <w:color w:val="000000"/>
                <w:sz w:val="18"/>
                <w:szCs w:val="18"/>
              </w:rPr>
              <w:t>311.3 </w:t>
            </w:r>
          </w:p>
        </w:tc>
        <w:tc>
          <w:tcPr>
            <w:tcW w:w="0" w:type="auto"/>
            <w:shd w:val="clear" w:color="auto" w:fill="FFFFFF"/>
            <w:tcMar>
              <w:top w:w="40" w:type="dxa"/>
              <w:left w:w="0" w:type="dxa"/>
              <w:bottom w:w="40" w:type="dxa"/>
              <w:right w:w="20" w:type="dxa"/>
            </w:tcMar>
            <w:vAlign w:val="bottom"/>
          </w:tcPr>
          <w:p w14:paraId="00BAEBEE" w14:textId="77777777" w:rsidR="00871BDF" w:rsidRDefault="00871BDF">
            <w:pPr>
              <w:jc w:val="right"/>
              <w:rPr>
                <w:rFonts w:ascii="宋体"/>
              </w:rPr>
            </w:pPr>
          </w:p>
        </w:tc>
      </w:tr>
      <w:tr w:rsidR="00871BDF" w14:paraId="00BAEC08" w14:textId="77777777">
        <w:trPr>
          <w:jc w:val="center"/>
        </w:trPr>
        <w:tc>
          <w:tcPr>
            <w:tcW w:w="0" w:type="auto"/>
            <w:gridSpan w:val="3"/>
            <w:shd w:val="clear" w:color="auto" w:fill="D7E4BC"/>
            <w:tcMar>
              <w:top w:w="40" w:type="dxa"/>
              <w:left w:w="20" w:type="dxa"/>
              <w:bottom w:w="40" w:type="dxa"/>
              <w:right w:w="20" w:type="dxa"/>
            </w:tcMar>
            <w:vAlign w:val="bottom"/>
          </w:tcPr>
          <w:p w14:paraId="00BAEBF0" w14:textId="77777777" w:rsidR="00871BDF" w:rsidRDefault="005C5088">
            <w:pPr>
              <w:textAlignment w:val="bottom"/>
            </w:pPr>
            <w:r>
              <w:rPr>
                <w:rFonts w:ascii="Times New Roman" w:eastAsia="宋体" w:hAnsi="Times New Roman"/>
                <w:color w:val="000000"/>
                <w:sz w:val="18"/>
                <w:szCs w:val="18"/>
              </w:rPr>
              <w:t>Exercise of stock options/vesting of RSUs</w:t>
            </w:r>
          </w:p>
        </w:tc>
        <w:tc>
          <w:tcPr>
            <w:tcW w:w="0" w:type="auto"/>
            <w:gridSpan w:val="2"/>
            <w:shd w:val="clear" w:color="auto" w:fill="D7E4BC"/>
            <w:tcMar>
              <w:top w:w="40" w:type="dxa"/>
              <w:left w:w="20" w:type="dxa"/>
              <w:bottom w:w="40" w:type="dxa"/>
              <w:right w:w="0" w:type="dxa"/>
            </w:tcMar>
            <w:vAlign w:val="bottom"/>
          </w:tcPr>
          <w:p w14:paraId="00BAEBF1" w14:textId="77777777" w:rsidR="00871BDF" w:rsidRDefault="005C5088">
            <w:pPr>
              <w:jc w:val="right"/>
              <w:textAlignment w:val="bottom"/>
            </w:pPr>
            <w:r>
              <w:rPr>
                <w:rFonts w:ascii="Times New Roman" w:eastAsia="宋体" w:hAnsi="Times New Roman"/>
                <w:color w:val="000000"/>
                <w:sz w:val="18"/>
                <w:szCs w:val="18"/>
              </w:rPr>
              <w:t>14.7 </w:t>
            </w:r>
          </w:p>
        </w:tc>
        <w:tc>
          <w:tcPr>
            <w:tcW w:w="0" w:type="auto"/>
            <w:shd w:val="clear" w:color="auto" w:fill="D7E4BC"/>
            <w:tcMar>
              <w:top w:w="40" w:type="dxa"/>
              <w:left w:w="0" w:type="dxa"/>
              <w:bottom w:w="40" w:type="dxa"/>
              <w:right w:w="20" w:type="dxa"/>
            </w:tcMar>
            <w:vAlign w:val="bottom"/>
          </w:tcPr>
          <w:p w14:paraId="00BAEBF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F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F4"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F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F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F7" w14:textId="77777777" w:rsidR="00871BDF" w:rsidRDefault="005C5088">
            <w:pPr>
              <w:jc w:val="right"/>
              <w:textAlignment w:val="bottom"/>
            </w:pPr>
            <w:r>
              <w:rPr>
                <w:rFonts w:ascii="Times New Roman" w:eastAsia="宋体" w:hAnsi="Times New Roman"/>
                <w:color w:val="000000"/>
                <w:sz w:val="18"/>
                <w:szCs w:val="18"/>
              </w:rPr>
              <w:t>264.9 </w:t>
            </w:r>
          </w:p>
        </w:tc>
        <w:tc>
          <w:tcPr>
            <w:tcW w:w="0" w:type="auto"/>
            <w:shd w:val="clear" w:color="auto" w:fill="D7E4BC"/>
            <w:tcMar>
              <w:top w:w="40" w:type="dxa"/>
              <w:left w:w="0" w:type="dxa"/>
              <w:bottom w:w="40" w:type="dxa"/>
              <w:right w:w="20" w:type="dxa"/>
            </w:tcMar>
            <w:vAlign w:val="bottom"/>
          </w:tcPr>
          <w:p w14:paraId="00BAEBF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F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FA"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F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F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BFD"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BF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BF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00" w14:textId="77777777" w:rsidR="00871BDF" w:rsidRDefault="005C5088">
            <w:pPr>
              <w:jc w:val="right"/>
              <w:textAlignment w:val="bottom"/>
            </w:pPr>
            <w:r>
              <w:rPr>
                <w:rFonts w:ascii="Times New Roman" w:eastAsia="宋体" w:hAnsi="Times New Roman"/>
                <w:color w:val="000000"/>
                <w:sz w:val="18"/>
                <w:szCs w:val="18"/>
              </w:rPr>
              <w:t>264.9 </w:t>
            </w:r>
          </w:p>
        </w:tc>
        <w:tc>
          <w:tcPr>
            <w:tcW w:w="0" w:type="auto"/>
            <w:shd w:val="clear" w:color="auto" w:fill="D7E4BC"/>
            <w:tcMar>
              <w:top w:w="40" w:type="dxa"/>
              <w:left w:w="0" w:type="dxa"/>
              <w:bottom w:w="40" w:type="dxa"/>
              <w:right w:w="20" w:type="dxa"/>
            </w:tcMar>
            <w:vAlign w:val="bottom"/>
          </w:tcPr>
          <w:p w14:paraId="00BAEC0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0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03"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0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0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06" w14:textId="77777777" w:rsidR="00871BDF" w:rsidRDefault="005C5088">
            <w:pPr>
              <w:jc w:val="right"/>
              <w:textAlignment w:val="bottom"/>
            </w:pPr>
            <w:r>
              <w:rPr>
                <w:rFonts w:ascii="Times New Roman" w:eastAsia="宋体" w:hAnsi="Times New Roman"/>
                <w:color w:val="000000"/>
                <w:sz w:val="18"/>
                <w:szCs w:val="18"/>
              </w:rPr>
              <w:t>264.9 </w:t>
            </w:r>
          </w:p>
        </w:tc>
        <w:tc>
          <w:tcPr>
            <w:tcW w:w="0" w:type="auto"/>
            <w:shd w:val="clear" w:color="auto" w:fill="D7E4BC"/>
            <w:tcMar>
              <w:top w:w="40" w:type="dxa"/>
              <w:left w:w="0" w:type="dxa"/>
              <w:bottom w:w="40" w:type="dxa"/>
              <w:right w:w="20" w:type="dxa"/>
            </w:tcMar>
            <w:vAlign w:val="bottom"/>
          </w:tcPr>
          <w:p w14:paraId="00BAEC07" w14:textId="77777777" w:rsidR="00871BDF" w:rsidRDefault="00871BDF">
            <w:pPr>
              <w:jc w:val="right"/>
              <w:rPr>
                <w:rFonts w:ascii="宋体"/>
              </w:rPr>
            </w:pPr>
          </w:p>
        </w:tc>
      </w:tr>
      <w:tr w:rsidR="00871BDF" w14:paraId="00BAEC21" w14:textId="77777777">
        <w:trPr>
          <w:jc w:val="center"/>
        </w:trPr>
        <w:tc>
          <w:tcPr>
            <w:tcW w:w="0" w:type="auto"/>
            <w:gridSpan w:val="3"/>
            <w:shd w:val="clear" w:color="auto" w:fill="FFFFFF"/>
            <w:tcMar>
              <w:top w:w="40" w:type="dxa"/>
              <w:left w:w="20" w:type="dxa"/>
              <w:bottom w:w="40" w:type="dxa"/>
              <w:right w:w="20" w:type="dxa"/>
            </w:tcMar>
            <w:vAlign w:val="bottom"/>
          </w:tcPr>
          <w:p w14:paraId="00BAEC09" w14:textId="77777777" w:rsidR="00871BDF" w:rsidRDefault="005C5088">
            <w:pPr>
              <w:textAlignment w:val="bottom"/>
            </w:pPr>
            <w:r>
              <w:rPr>
                <w:rFonts w:ascii="Times New Roman" w:eastAsia="宋体" w:hAnsi="Times New Roman"/>
                <w:color w:val="000000"/>
                <w:sz w:val="18"/>
                <w:szCs w:val="18"/>
              </w:rPr>
              <w:t>Sale of common stock</w:t>
            </w:r>
          </w:p>
        </w:tc>
        <w:tc>
          <w:tcPr>
            <w:tcW w:w="0" w:type="auto"/>
            <w:gridSpan w:val="2"/>
            <w:shd w:val="clear" w:color="auto" w:fill="FFFFFF"/>
            <w:tcMar>
              <w:top w:w="40" w:type="dxa"/>
              <w:left w:w="20" w:type="dxa"/>
              <w:bottom w:w="40" w:type="dxa"/>
              <w:right w:w="0" w:type="dxa"/>
            </w:tcMar>
            <w:vAlign w:val="bottom"/>
          </w:tcPr>
          <w:p w14:paraId="00BAEC0A" w14:textId="77777777" w:rsidR="00871BDF" w:rsidRDefault="005C5088">
            <w:pPr>
              <w:jc w:val="right"/>
              <w:textAlignment w:val="bottom"/>
            </w:pPr>
            <w:r>
              <w:rPr>
                <w:rFonts w:ascii="Times New Roman" w:eastAsia="宋体" w:hAnsi="Times New Roman"/>
                <w:color w:val="000000"/>
                <w:sz w:val="18"/>
                <w:szCs w:val="18"/>
              </w:rPr>
              <w:t>0.4 </w:t>
            </w:r>
          </w:p>
        </w:tc>
        <w:tc>
          <w:tcPr>
            <w:tcW w:w="0" w:type="auto"/>
            <w:shd w:val="clear" w:color="auto" w:fill="FFFFFF"/>
            <w:tcMar>
              <w:top w:w="40" w:type="dxa"/>
              <w:left w:w="0" w:type="dxa"/>
              <w:bottom w:w="40" w:type="dxa"/>
              <w:right w:w="20" w:type="dxa"/>
            </w:tcMar>
            <w:vAlign w:val="bottom"/>
          </w:tcPr>
          <w:p w14:paraId="00BAEC0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0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0D"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0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0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10" w14:textId="77777777" w:rsidR="00871BDF" w:rsidRDefault="005C5088">
            <w:pPr>
              <w:jc w:val="right"/>
              <w:textAlignment w:val="bottom"/>
            </w:pPr>
            <w:r>
              <w:rPr>
                <w:rFonts w:ascii="Times New Roman" w:eastAsia="宋体" w:hAnsi="Times New Roman"/>
                <w:color w:val="000000"/>
                <w:sz w:val="18"/>
                <w:szCs w:val="18"/>
              </w:rPr>
              <w:t>33.4 </w:t>
            </w:r>
          </w:p>
        </w:tc>
        <w:tc>
          <w:tcPr>
            <w:tcW w:w="0" w:type="auto"/>
            <w:shd w:val="clear" w:color="auto" w:fill="FFFFFF"/>
            <w:tcMar>
              <w:top w:w="40" w:type="dxa"/>
              <w:left w:w="0" w:type="dxa"/>
              <w:bottom w:w="40" w:type="dxa"/>
              <w:right w:w="20" w:type="dxa"/>
            </w:tcMar>
            <w:vAlign w:val="bottom"/>
          </w:tcPr>
          <w:p w14:paraId="00BAEC1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1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13"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1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1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16"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1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1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19" w14:textId="77777777" w:rsidR="00871BDF" w:rsidRDefault="005C5088">
            <w:pPr>
              <w:jc w:val="right"/>
              <w:textAlignment w:val="bottom"/>
            </w:pPr>
            <w:r>
              <w:rPr>
                <w:rFonts w:ascii="Times New Roman" w:eastAsia="宋体" w:hAnsi="Times New Roman"/>
                <w:color w:val="000000"/>
                <w:sz w:val="18"/>
                <w:szCs w:val="18"/>
              </w:rPr>
              <w:t>33.4 </w:t>
            </w:r>
          </w:p>
        </w:tc>
        <w:tc>
          <w:tcPr>
            <w:tcW w:w="0" w:type="auto"/>
            <w:shd w:val="clear" w:color="auto" w:fill="FFFFFF"/>
            <w:tcMar>
              <w:top w:w="40" w:type="dxa"/>
              <w:left w:w="0" w:type="dxa"/>
              <w:bottom w:w="40" w:type="dxa"/>
              <w:right w:w="20" w:type="dxa"/>
            </w:tcMar>
            <w:vAlign w:val="bottom"/>
          </w:tcPr>
          <w:p w14:paraId="00BAEC1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1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1C"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1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1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1F" w14:textId="77777777" w:rsidR="00871BDF" w:rsidRDefault="005C5088">
            <w:pPr>
              <w:jc w:val="right"/>
              <w:textAlignment w:val="bottom"/>
            </w:pPr>
            <w:r>
              <w:rPr>
                <w:rFonts w:ascii="Times New Roman" w:eastAsia="宋体" w:hAnsi="Times New Roman"/>
                <w:color w:val="000000"/>
                <w:sz w:val="18"/>
                <w:szCs w:val="18"/>
              </w:rPr>
              <w:t>33.4 </w:t>
            </w:r>
          </w:p>
        </w:tc>
        <w:tc>
          <w:tcPr>
            <w:tcW w:w="0" w:type="auto"/>
            <w:shd w:val="clear" w:color="auto" w:fill="FFFFFF"/>
            <w:tcMar>
              <w:top w:w="40" w:type="dxa"/>
              <w:left w:w="0" w:type="dxa"/>
              <w:bottom w:w="40" w:type="dxa"/>
              <w:right w:w="20" w:type="dxa"/>
            </w:tcMar>
            <w:vAlign w:val="bottom"/>
          </w:tcPr>
          <w:p w14:paraId="00BAEC20" w14:textId="77777777" w:rsidR="00871BDF" w:rsidRDefault="00871BDF">
            <w:pPr>
              <w:jc w:val="right"/>
              <w:rPr>
                <w:rFonts w:ascii="宋体"/>
              </w:rPr>
            </w:pPr>
          </w:p>
        </w:tc>
      </w:tr>
      <w:tr w:rsidR="00871BDF" w14:paraId="00BAEC3A" w14:textId="77777777">
        <w:trPr>
          <w:jc w:val="center"/>
        </w:trPr>
        <w:tc>
          <w:tcPr>
            <w:tcW w:w="0" w:type="auto"/>
            <w:gridSpan w:val="3"/>
            <w:shd w:val="clear" w:color="auto" w:fill="D7E4BC"/>
            <w:tcMar>
              <w:top w:w="40" w:type="dxa"/>
              <w:left w:w="20" w:type="dxa"/>
              <w:bottom w:w="40" w:type="dxa"/>
              <w:right w:w="20" w:type="dxa"/>
            </w:tcMar>
            <w:vAlign w:val="bottom"/>
          </w:tcPr>
          <w:p w14:paraId="00BAEC22" w14:textId="77777777" w:rsidR="00871BDF" w:rsidRDefault="005C5088">
            <w:pPr>
              <w:textAlignment w:val="bottom"/>
            </w:pPr>
            <w:r>
              <w:rPr>
                <w:rFonts w:ascii="Times New Roman" w:eastAsia="宋体" w:hAnsi="Times New Roman"/>
                <w:color w:val="000000"/>
                <w:sz w:val="18"/>
                <w:szCs w:val="18"/>
              </w:rPr>
              <w:t>Repurchase of common stock</w:t>
            </w:r>
          </w:p>
        </w:tc>
        <w:tc>
          <w:tcPr>
            <w:tcW w:w="0" w:type="auto"/>
            <w:gridSpan w:val="2"/>
            <w:shd w:val="clear" w:color="auto" w:fill="D7E4BC"/>
            <w:tcMar>
              <w:top w:w="40" w:type="dxa"/>
              <w:left w:w="20" w:type="dxa"/>
              <w:bottom w:w="40" w:type="dxa"/>
              <w:right w:w="0" w:type="dxa"/>
            </w:tcMar>
            <w:vAlign w:val="bottom"/>
          </w:tcPr>
          <w:p w14:paraId="00BAEC23" w14:textId="77777777" w:rsidR="00871BDF" w:rsidRDefault="005C5088">
            <w:pPr>
              <w:jc w:val="right"/>
              <w:textAlignment w:val="bottom"/>
            </w:pPr>
            <w:r>
              <w:rPr>
                <w:rFonts w:ascii="Times New Roman" w:eastAsia="宋体" w:hAnsi="Times New Roman"/>
                <w:color w:val="000000"/>
                <w:sz w:val="18"/>
                <w:szCs w:val="18"/>
              </w:rPr>
              <w:t>(139.6)</w:t>
            </w:r>
          </w:p>
        </w:tc>
        <w:tc>
          <w:tcPr>
            <w:tcW w:w="0" w:type="auto"/>
            <w:shd w:val="clear" w:color="auto" w:fill="D7E4BC"/>
            <w:tcMar>
              <w:top w:w="40" w:type="dxa"/>
              <w:left w:w="0" w:type="dxa"/>
              <w:bottom w:w="40" w:type="dxa"/>
              <w:right w:w="20" w:type="dxa"/>
            </w:tcMar>
            <w:vAlign w:val="bottom"/>
          </w:tcPr>
          <w:p w14:paraId="00BAEC2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2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26" w14:textId="77777777" w:rsidR="00871BDF" w:rsidRDefault="005C5088">
            <w:pPr>
              <w:jc w:val="right"/>
              <w:textAlignment w:val="bottom"/>
            </w:pPr>
            <w:r>
              <w:rPr>
                <w:rFonts w:ascii="Times New Roman" w:eastAsia="宋体" w:hAnsi="Times New Roman"/>
                <w:color w:val="000000"/>
                <w:sz w:val="18"/>
                <w:szCs w:val="18"/>
              </w:rPr>
              <w:t>(0.1)</w:t>
            </w:r>
          </w:p>
        </w:tc>
        <w:tc>
          <w:tcPr>
            <w:tcW w:w="0" w:type="auto"/>
            <w:shd w:val="clear" w:color="auto" w:fill="D7E4BC"/>
            <w:tcMar>
              <w:top w:w="40" w:type="dxa"/>
              <w:left w:w="0" w:type="dxa"/>
              <w:bottom w:w="40" w:type="dxa"/>
              <w:right w:w="20" w:type="dxa"/>
            </w:tcMar>
            <w:vAlign w:val="bottom"/>
          </w:tcPr>
          <w:p w14:paraId="00BAEC2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2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29" w14:textId="77777777" w:rsidR="00871BDF" w:rsidRDefault="005C5088">
            <w:pPr>
              <w:jc w:val="right"/>
              <w:textAlignment w:val="bottom"/>
            </w:pPr>
            <w:r>
              <w:rPr>
                <w:rFonts w:ascii="Times New Roman" w:eastAsia="宋体" w:hAnsi="Times New Roman"/>
                <w:color w:val="000000"/>
                <w:sz w:val="18"/>
                <w:szCs w:val="18"/>
              </w:rPr>
              <w:t>(609.6)</w:t>
            </w:r>
          </w:p>
        </w:tc>
        <w:tc>
          <w:tcPr>
            <w:tcW w:w="0" w:type="auto"/>
            <w:shd w:val="clear" w:color="auto" w:fill="D7E4BC"/>
            <w:tcMar>
              <w:top w:w="40" w:type="dxa"/>
              <w:left w:w="0" w:type="dxa"/>
              <w:bottom w:w="40" w:type="dxa"/>
              <w:right w:w="20" w:type="dxa"/>
            </w:tcMar>
            <w:vAlign w:val="bottom"/>
          </w:tcPr>
          <w:p w14:paraId="00BAEC2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2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2C" w14:textId="77777777" w:rsidR="00871BDF" w:rsidRDefault="005C5088">
            <w:pPr>
              <w:jc w:val="right"/>
              <w:textAlignment w:val="bottom"/>
            </w:pPr>
            <w:r>
              <w:rPr>
                <w:rFonts w:ascii="Times New Roman" w:eastAsia="宋体" w:hAnsi="Times New Roman"/>
                <w:color w:val="000000"/>
                <w:sz w:val="18"/>
                <w:szCs w:val="18"/>
              </w:rPr>
              <w:t>(9,521.8)</w:t>
            </w:r>
          </w:p>
        </w:tc>
        <w:tc>
          <w:tcPr>
            <w:tcW w:w="0" w:type="auto"/>
            <w:shd w:val="clear" w:color="auto" w:fill="D7E4BC"/>
            <w:tcMar>
              <w:top w:w="40" w:type="dxa"/>
              <w:left w:w="0" w:type="dxa"/>
              <w:bottom w:w="40" w:type="dxa"/>
              <w:right w:w="20" w:type="dxa"/>
            </w:tcMar>
            <w:vAlign w:val="bottom"/>
          </w:tcPr>
          <w:p w14:paraId="00BAEC2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2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2F"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3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3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32" w14:textId="77777777" w:rsidR="00871BDF" w:rsidRDefault="005C5088">
            <w:pPr>
              <w:jc w:val="right"/>
              <w:textAlignment w:val="bottom"/>
            </w:pPr>
            <w:r>
              <w:rPr>
                <w:rFonts w:ascii="Times New Roman" w:eastAsia="宋体" w:hAnsi="Times New Roman"/>
                <w:color w:val="000000"/>
                <w:sz w:val="18"/>
                <w:szCs w:val="18"/>
              </w:rPr>
              <w:t>(10,131.5)</w:t>
            </w:r>
          </w:p>
        </w:tc>
        <w:tc>
          <w:tcPr>
            <w:tcW w:w="0" w:type="auto"/>
            <w:shd w:val="clear" w:color="auto" w:fill="D7E4BC"/>
            <w:tcMar>
              <w:top w:w="40" w:type="dxa"/>
              <w:left w:w="0" w:type="dxa"/>
              <w:bottom w:w="40" w:type="dxa"/>
              <w:right w:w="20" w:type="dxa"/>
            </w:tcMar>
            <w:vAlign w:val="bottom"/>
          </w:tcPr>
          <w:p w14:paraId="00BAEC3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3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35"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3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3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38" w14:textId="77777777" w:rsidR="00871BDF" w:rsidRDefault="005C5088">
            <w:pPr>
              <w:jc w:val="right"/>
              <w:textAlignment w:val="bottom"/>
            </w:pPr>
            <w:r>
              <w:rPr>
                <w:rFonts w:ascii="Times New Roman" w:eastAsia="宋体" w:hAnsi="Times New Roman"/>
                <w:color w:val="000000"/>
                <w:sz w:val="18"/>
                <w:szCs w:val="18"/>
              </w:rPr>
              <w:t>(10,131.5)</w:t>
            </w:r>
          </w:p>
        </w:tc>
        <w:tc>
          <w:tcPr>
            <w:tcW w:w="0" w:type="auto"/>
            <w:shd w:val="clear" w:color="auto" w:fill="D7E4BC"/>
            <w:tcMar>
              <w:top w:w="40" w:type="dxa"/>
              <w:left w:w="0" w:type="dxa"/>
              <w:bottom w:w="40" w:type="dxa"/>
              <w:right w:w="20" w:type="dxa"/>
            </w:tcMar>
            <w:vAlign w:val="bottom"/>
          </w:tcPr>
          <w:p w14:paraId="00BAEC39" w14:textId="77777777" w:rsidR="00871BDF" w:rsidRDefault="00871BDF">
            <w:pPr>
              <w:jc w:val="right"/>
              <w:rPr>
                <w:rFonts w:ascii="宋体"/>
              </w:rPr>
            </w:pPr>
          </w:p>
        </w:tc>
      </w:tr>
      <w:tr w:rsidR="00871BDF" w14:paraId="00BAEC53" w14:textId="77777777">
        <w:trPr>
          <w:jc w:val="center"/>
        </w:trPr>
        <w:tc>
          <w:tcPr>
            <w:tcW w:w="0" w:type="auto"/>
            <w:gridSpan w:val="3"/>
            <w:shd w:val="clear" w:color="auto" w:fill="FFFFFF"/>
            <w:tcMar>
              <w:top w:w="40" w:type="dxa"/>
              <w:left w:w="20" w:type="dxa"/>
              <w:bottom w:w="40" w:type="dxa"/>
              <w:right w:w="20" w:type="dxa"/>
            </w:tcMar>
            <w:vAlign w:val="bottom"/>
          </w:tcPr>
          <w:p w14:paraId="00BAEC3B" w14:textId="77777777" w:rsidR="00871BDF" w:rsidRDefault="005C5088">
            <w:pPr>
              <w:textAlignment w:val="bottom"/>
            </w:pPr>
            <w:r>
              <w:rPr>
                <w:rFonts w:ascii="Times New Roman" w:eastAsia="宋体" w:hAnsi="Times New Roman"/>
                <w:color w:val="000000"/>
                <w:sz w:val="18"/>
                <w:szCs w:val="18"/>
              </w:rPr>
              <w:t>Cash dividends declared, $1.49 per share</w:t>
            </w:r>
          </w:p>
        </w:tc>
        <w:tc>
          <w:tcPr>
            <w:tcW w:w="0" w:type="auto"/>
            <w:gridSpan w:val="2"/>
            <w:shd w:val="clear" w:color="auto" w:fill="FFFFFF"/>
            <w:tcMar>
              <w:top w:w="40" w:type="dxa"/>
              <w:left w:w="20" w:type="dxa"/>
              <w:bottom w:w="40" w:type="dxa"/>
              <w:right w:w="0" w:type="dxa"/>
            </w:tcMar>
            <w:vAlign w:val="bottom"/>
          </w:tcPr>
          <w:p w14:paraId="00BAEC3C"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3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3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3F"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4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4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42"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4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4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45" w14:textId="77777777" w:rsidR="00871BDF" w:rsidRDefault="005C5088">
            <w:pPr>
              <w:jc w:val="right"/>
              <w:textAlignment w:val="bottom"/>
            </w:pPr>
            <w:r>
              <w:rPr>
                <w:rFonts w:ascii="Times New Roman" w:eastAsia="宋体" w:hAnsi="Times New Roman"/>
                <w:color w:val="000000"/>
                <w:sz w:val="18"/>
                <w:szCs w:val="18"/>
              </w:rPr>
              <w:t>(1,801.6)</w:t>
            </w:r>
          </w:p>
        </w:tc>
        <w:tc>
          <w:tcPr>
            <w:tcW w:w="0" w:type="auto"/>
            <w:shd w:val="clear" w:color="auto" w:fill="FFFFFF"/>
            <w:tcMar>
              <w:top w:w="40" w:type="dxa"/>
              <w:left w:w="0" w:type="dxa"/>
              <w:bottom w:w="40" w:type="dxa"/>
              <w:right w:w="20" w:type="dxa"/>
            </w:tcMar>
            <w:vAlign w:val="bottom"/>
          </w:tcPr>
          <w:p w14:paraId="00BAEC4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4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48"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4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4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4B" w14:textId="77777777" w:rsidR="00871BDF" w:rsidRDefault="005C5088">
            <w:pPr>
              <w:jc w:val="right"/>
              <w:textAlignment w:val="bottom"/>
            </w:pPr>
            <w:r>
              <w:rPr>
                <w:rFonts w:ascii="Times New Roman" w:eastAsia="宋体" w:hAnsi="Times New Roman"/>
                <w:color w:val="000000"/>
                <w:sz w:val="18"/>
                <w:szCs w:val="18"/>
              </w:rPr>
              <w:t>(1,801.6)</w:t>
            </w:r>
          </w:p>
        </w:tc>
        <w:tc>
          <w:tcPr>
            <w:tcW w:w="0" w:type="auto"/>
            <w:shd w:val="clear" w:color="auto" w:fill="FFFFFF"/>
            <w:tcMar>
              <w:top w:w="40" w:type="dxa"/>
              <w:left w:w="0" w:type="dxa"/>
              <w:bottom w:w="40" w:type="dxa"/>
              <w:right w:w="20" w:type="dxa"/>
            </w:tcMar>
            <w:vAlign w:val="bottom"/>
          </w:tcPr>
          <w:p w14:paraId="00BAEC4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4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4E"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4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5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51" w14:textId="77777777" w:rsidR="00871BDF" w:rsidRDefault="005C5088">
            <w:pPr>
              <w:jc w:val="right"/>
              <w:textAlignment w:val="bottom"/>
            </w:pPr>
            <w:r>
              <w:rPr>
                <w:rFonts w:ascii="Times New Roman" w:eastAsia="宋体" w:hAnsi="Times New Roman"/>
                <w:color w:val="000000"/>
                <w:sz w:val="18"/>
                <w:szCs w:val="18"/>
              </w:rPr>
              <w:t>(1,801.6)</w:t>
            </w:r>
          </w:p>
        </w:tc>
        <w:tc>
          <w:tcPr>
            <w:tcW w:w="0" w:type="auto"/>
            <w:shd w:val="clear" w:color="auto" w:fill="FFFFFF"/>
            <w:tcMar>
              <w:top w:w="40" w:type="dxa"/>
              <w:left w:w="0" w:type="dxa"/>
              <w:bottom w:w="40" w:type="dxa"/>
              <w:right w:w="20" w:type="dxa"/>
            </w:tcMar>
            <w:vAlign w:val="bottom"/>
          </w:tcPr>
          <w:p w14:paraId="00BAEC52" w14:textId="77777777" w:rsidR="00871BDF" w:rsidRDefault="00871BDF">
            <w:pPr>
              <w:jc w:val="right"/>
              <w:rPr>
                <w:rFonts w:ascii="宋体"/>
              </w:rPr>
            </w:pPr>
          </w:p>
        </w:tc>
      </w:tr>
      <w:tr w:rsidR="00871BDF" w14:paraId="00BAEC6C" w14:textId="77777777">
        <w:trPr>
          <w:jc w:val="center"/>
        </w:trPr>
        <w:tc>
          <w:tcPr>
            <w:tcW w:w="0" w:type="auto"/>
            <w:gridSpan w:val="3"/>
            <w:shd w:val="clear" w:color="auto" w:fill="D7E4BC"/>
            <w:tcMar>
              <w:top w:w="40" w:type="dxa"/>
              <w:left w:w="20" w:type="dxa"/>
              <w:bottom w:w="40" w:type="dxa"/>
              <w:right w:w="20" w:type="dxa"/>
            </w:tcMar>
            <w:vAlign w:val="bottom"/>
          </w:tcPr>
          <w:p w14:paraId="00BAEC54" w14:textId="77777777" w:rsidR="00871BDF" w:rsidRDefault="005C5088">
            <w:pPr>
              <w:textAlignment w:val="bottom"/>
            </w:pPr>
            <w:r>
              <w:rPr>
                <w:rFonts w:ascii="Times New Roman" w:eastAsia="宋体" w:hAnsi="Times New Roman"/>
                <w:color w:val="000000"/>
                <w:sz w:val="18"/>
                <w:szCs w:val="18"/>
              </w:rPr>
              <w:t>Net distributions to noncontrolling interests</w:t>
            </w:r>
          </w:p>
        </w:tc>
        <w:tc>
          <w:tcPr>
            <w:tcW w:w="0" w:type="auto"/>
            <w:gridSpan w:val="2"/>
            <w:shd w:val="clear" w:color="auto" w:fill="D7E4BC"/>
            <w:tcMar>
              <w:top w:w="40" w:type="dxa"/>
              <w:left w:w="20" w:type="dxa"/>
              <w:bottom w:w="40" w:type="dxa"/>
              <w:right w:w="0" w:type="dxa"/>
            </w:tcMar>
            <w:vAlign w:val="bottom"/>
          </w:tcPr>
          <w:p w14:paraId="00BAEC55"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5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5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58"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5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5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5B"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5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5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5E"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5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6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61"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6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6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64"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6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6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67" w14:textId="77777777" w:rsidR="00871BDF" w:rsidRDefault="005C5088">
            <w:pPr>
              <w:jc w:val="right"/>
              <w:textAlignment w:val="bottom"/>
            </w:pPr>
            <w:r>
              <w:rPr>
                <w:rFonts w:ascii="Times New Roman" w:eastAsia="宋体" w:hAnsi="Times New Roman"/>
                <w:color w:val="000000"/>
                <w:sz w:val="18"/>
                <w:szCs w:val="18"/>
              </w:rPr>
              <w:t>(0.5)</w:t>
            </w:r>
          </w:p>
        </w:tc>
        <w:tc>
          <w:tcPr>
            <w:tcW w:w="0" w:type="auto"/>
            <w:shd w:val="clear" w:color="auto" w:fill="D7E4BC"/>
            <w:tcMar>
              <w:top w:w="40" w:type="dxa"/>
              <w:left w:w="0" w:type="dxa"/>
              <w:bottom w:w="40" w:type="dxa"/>
              <w:right w:w="20" w:type="dxa"/>
            </w:tcMar>
            <w:vAlign w:val="bottom"/>
          </w:tcPr>
          <w:p w14:paraId="00BAEC6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6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6A" w14:textId="77777777" w:rsidR="00871BDF" w:rsidRDefault="005C5088">
            <w:pPr>
              <w:jc w:val="right"/>
              <w:textAlignment w:val="bottom"/>
            </w:pPr>
            <w:r>
              <w:rPr>
                <w:rFonts w:ascii="Times New Roman" w:eastAsia="宋体" w:hAnsi="Times New Roman"/>
                <w:color w:val="000000"/>
                <w:sz w:val="18"/>
                <w:szCs w:val="18"/>
              </w:rPr>
              <w:t>(0.5)</w:t>
            </w:r>
          </w:p>
        </w:tc>
        <w:tc>
          <w:tcPr>
            <w:tcW w:w="0" w:type="auto"/>
            <w:shd w:val="clear" w:color="auto" w:fill="D7E4BC"/>
            <w:tcMar>
              <w:top w:w="40" w:type="dxa"/>
              <w:left w:w="0" w:type="dxa"/>
              <w:bottom w:w="40" w:type="dxa"/>
              <w:right w:w="20" w:type="dxa"/>
            </w:tcMar>
            <w:vAlign w:val="bottom"/>
          </w:tcPr>
          <w:p w14:paraId="00BAEC6B" w14:textId="77777777" w:rsidR="00871BDF" w:rsidRDefault="00871BDF">
            <w:pPr>
              <w:jc w:val="right"/>
              <w:rPr>
                <w:rFonts w:ascii="宋体"/>
              </w:rPr>
            </w:pPr>
          </w:p>
        </w:tc>
      </w:tr>
      <w:tr w:rsidR="005C5088" w14:paraId="00BAEC8C" w14:textId="77777777">
        <w:trPr>
          <w:jc w:val="center"/>
        </w:trPr>
        <w:tc>
          <w:tcPr>
            <w:tcW w:w="0" w:type="auto"/>
            <w:gridSpan w:val="3"/>
            <w:shd w:val="clear" w:color="auto" w:fill="FFFFFF"/>
            <w:tcMar>
              <w:top w:w="40" w:type="dxa"/>
              <w:left w:w="20" w:type="dxa"/>
              <w:bottom w:w="40" w:type="dxa"/>
              <w:right w:w="20" w:type="dxa"/>
            </w:tcMar>
            <w:vAlign w:val="bottom"/>
          </w:tcPr>
          <w:p w14:paraId="00BAEC6D" w14:textId="77777777" w:rsidR="00871BDF" w:rsidRDefault="005C5088">
            <w:pPr>
              <w:textAlignment w:val="bottom"/>
            </w:pPr>
            <w:r>
              <w:rPr>
                <w:rFonts w:ascii="Times New Roman" w:eastAsia="宋体" w:hAnsi="Times New Roman"/>
                <w:b/>
                <w:bCs/>
                <w:color w:val="000000"/>
                <w:sz w:val="18"/>
                <w:szCs w:val="18"/>
              </w:rPr>
              <w:t>Balance, September 29, 2019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C6E" w14:textId="77777777" w:rsidR="00871BDF" w:rsidRDefault="005C5088">
            <w:pPr>
              <w:jc w:val="right"/>
              <w:textAlignment w:val="bottom"/>
            </w:pPr>
            <w:r>
              <w:rPr>
                <w:rFonts w:ascii="Times New Roman" w:eastAsia="宋体" w:hAnsi="Times New Roman"/>
                <w:color w:val="000000"/>
                <w:sz w:val="18"/>
                <w:szCs w:val="18"/>
              </w:rPr>
              <w:t>1,184.6 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C6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70"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C71"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C72" w14:textId="77777777" w:rsidR="00871BDF" w:rsidRDefault="005C5088">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C7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74"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C75"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C76" w14:textId="77777777" w:rsidR="00871BDF" w:rsidRDefault="005C5088">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C7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78"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C79"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C7A" w14:textId="77777777" w:rsidR="00871BDF" w:rsidRDefault="005C5088">
            <w:pPr>
              <w:jc w:val="right"/>
              <w:textAlignment w:val="bottom"/>
            </w:pPr>
            <w:r>
              <w:rPr>
                <w:rFonts w:ascii="Times New Roman" w:eastAsia="宋体" w:hAnsi="Times New Roman"/>
                <w:color w:val="000000"/>
                <w:sz w:val="18"/>
                <w:szCs w:val="18"/>
              </w:rPr>
              <w:t>(5,771.2)</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C7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7C"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C7D"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C7E" w14:textId="77777777" w:rsidR="00871BDF" w:rsidRDefault="005C5088">
            <w:pPr>
              <w:jc w:val="right"/>
              <w:textAlignment w:val="bottom"/>
            </w:pPr>
            <w:r>
              <w:rPr>
                <w:rFonts w:ascii="Times New Roman" w:eastAsia="宋体" w:hAnsi="Times New Roman"/>
                <w:color w:val="000000"/>
                <w:sz w:val="18"/>
                <w:szCs w:val="18"/>
              </w:rPr>
              <w:t>(503.3)</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C7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80"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C81"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C82" w14:textId="77777777" w:rsidR="00871BDF" w:rsidRDefault="005C5088">
            <w:pPr>
              <w:jc w:val="right"/>
              <w:textAlignment w:val="bottom"/>
            </w:pPr>
            <w:r>
              <w:rPr>
                <w:rFonts w:ascii="Times New Roman" w:eastAsia="宋体" w:hAnsi="Times New Roman"/>
                <w:color w:val="000000"/>
                <w:sz w:val="18"/>
                <w:szCs w:val="18"/>
              </w:rPr>
              <w:t>(6,232.2)</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C8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84"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C85"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C86" w14:textId="77777777" w:rsidR="00871BDF" w:rsidRDefault="005C5088">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C8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88"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C89"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C8A" w14:textId="77777777" w:rsidR="00871BDF" w:rsidRDefault="005C5088">
            <w:pPr>
              <w:jc w:val="right"/>
              <w:textAlignment w:val="bottom"/>
            </w:pPr>
            <w:r>
              <w:rPr>
                <w:rFonts w:ascii="Times New Roman" w:eastAsia="宋体" w:hAnsi="Times New Roman"/>
                <w:color w:val="000000"/>
                <w:sz w:val="18"/>
                <w:szCs w:val="18"/>
              </w:rPr>
              <w:t>(6,231.0)</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C8B" w14:textId="77777777" w:rsidR="00871BDF" w:rsidRDefault="00871BDF">
            <w:pPr>
              <w:jc w:val="right"/>
              <w:rPr>
                <w:rFonts w:ascii="宋体"/>
              </w:rPr>
            </w:pPr>
          </w:p>
        </w:tc>
      </w:tr>
      <w:tr w:rsidR="00871BDF" w14:paraId="00BAECA5" w14:textId="77777777">
        <w:trPr>
          <w:jc w:val="center"/>
        </w:trPr>
        <w:tc>
          <w:tcPr>
            <w:tcW w:w="0" w:type="auto"/>
            <w:gridSpan w:val="3"/>
            <w:shd w:val="clear" w:color="auto" w:fill="D7E4BC"/>
            <w:tcMar>
              <w:top w:w="40" w:type="dxa"/>
              <w:left w:w="20" w:type="dxa"/>
              <w:bottom w:w="40" w:type="dxa"/>
              <w:right w:w="20" w:type="dxa"/>
            </w:tcMar>
            <w:vAlign w:val="bottom"/>
          </w:tcPr>
          <w:p w14:paraId="00BAEC8D" w14:textId="77777777" w:rsidR="00871BDF" w:rsidRDefault="005C5088">
            <w:pPr>
              <w:textAlignment w:val="bottom"/>
            </w:pPr>
            <w:r>
              <w:rPr>
                <w:rFonts w:ascii="Times New Roman" w:eastAsia="宋体" w:hAnsi="Times New Roman"/>
                <w:color w:val="000000"/>
                <w:sz w:val="18"/>
                <w:szCs w:val="18"/>
              </w:rPr>
              <w:t>Cumulative effect of adoption of new accounting gui</w:t>
            </w:r>
            <w:r>
              <w:rPr>
                <w:rFonts w:ascii="Times New Roman" w:eastAsia="宋体" w:hAnsi="Times New Roman"/>
                <w:color w:val="000000"/>
                <w:sz w:val="18"/>
                <w:szCs w:val="18"/>
              </w:rPr>
              <w:t>dance</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C8E" w14:textId="77777777" w:rsidR="00871BDF" w:rsidRDefault="005C5088">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C8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90"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C91" w14:textId="77777777" w:rsidR="00871BDF" w:rsidRDefault="005C5088">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C9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93"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C94" w14:textId="77777777" w:rsidR="00871BDF" w:rsidRDefault="005C5088">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C9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96"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C97" w14:textId="77777777" w:rsidR="00871BDF" w:rsidRDefault="005C5088">
            <w:pPr>
              <w:jc w:val="right"/>
              <w:textAlignment w:val="bottom"/>
            </w:pPr>
            <w:r>
              <w:rPr>
                <w:rFonts w:ascii="Times New Roman" w:eastAsia="宋体" w:hAnsi="Times New Roman"/>
                <w:color w:val="000000"/>
                <w:sz w:val="18"/>
                <w:szCs w:val="18"/>
              </w:rPr>
              <w:t>12.5 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C9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99"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C9A" w14:textId="77777777" w:rsidR="00871BDF" w:rsidRDefault="005C5088">
            <w:pPr>
              <w:jc w:val="right"/>
              <w:textAlignment w:val="bottom"/>
            </w:pPr>
            <w:r>
              <w:rPr>
                <w:rFonts w:ascii="Times New Roman" w:eastAsia="宋体" w:hAnsi="Times New Roman"/>
                <w:color w:val="000000"/>
                <w:sz w:val="18"/>
                <w:szCs w:val="18"/>
              </w:rPr>
              <w:t>4.8 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C9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9C"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C9D" w14:textId="77777777" w:rsidR="00871BDF" w:rsidRDefault="005C5088">
            <w:pPr>
              <w:jc w:val="right"/>
              <w:textAlignment w:val="bottom"/>
            </w:pPr>
            <w:r>
              <w:rPr>
                <w:rFonts w:ascii="Times New Roman" w:eastAsia="宋体" w:hAnsi="Times New Roman"/>
                <w:color w:val="000000"/>
                <w:sz w:val="18"/>
                <w:szCs w:val="18"/>
              </w:rPr>
              <w:t>17.3 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C9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9F"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CA0" w14:textId="77777777" w:rsidR="00871BDF" w:rsidRDefault="005C5088">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CA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A2"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ECA3" w14:textId="77777777" w:rsidR="00871BDF" w:rsidRDefault="005C5088">
            <w:pPr>
              <w:jc w:val="right"/>
              <w:textAlignment w:val="bottom"/>
            </w:pPr>
            <w:r>
              <w:rPr>
                <w:rFonts w:ascii="Times New Roman" w:eastAsia="宋体" w:hAnsi="Times New Roman"/>
                <w:color w:val="000000"/>
                <w:sz w:val="18"/>
                <w:szCs w:val="18"/>
              </w:rPr>
              <w:t>17.3 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CA4" w14:textId="77777777" w:rsidR="00871BDF" w:rsidRDefault="00871BDF">
            <w:pPr>
              <w:jc w:val="right"/>
              <w:rPr>
                <w:rFonts w:ascii="宋体"/>
              </w:rPr>
            </w:pPr>
          </w:p>
        </w:tc>
      </w:tr>
      <w:tr w:rsidR="00871BDF" w14:paraId="00BAECBE" w14:textId="77777777">
        <w:trPr>
          <w:jc w:val="center"/>
        </w:trPr>
        <w:tc>
          <w:tcPr>
            <w:tcW w:w="0" w:type="auto"/>
            <w:gridSpan w:val="3"/>
            <w:shd w:val="clear" w:color="auto" w:fill="FFFFFF"/>
            <w:tcMar>
              <w:top w:w="40" w:type="dxa"/>
              <w:left w:w="20" w:type="dxa"/>
              <w:bottom w:w="40" w:type="dxa"/>
              <w:right w:w="20" w:type="dxa"/>
            </w:tcMar>
            <w:vAlign w:val="bottom"/>
          </w:tcPr>
          <w:p w14:paraId="00BAECA6" w14:textId="77777777" w:rsidR="00871BDF" w:rsidRDefault="005C5088">
            <w:pPr>
              <w:textAlignment w:val="bottom"/>
            </w:pPr>
            <w:r>
              <w:rPr>
                <w:rFonts w:ascii="Times New Roman" w:eastAsia="宋体" w:hAnsi="Times New Roman"/>
                <w:color w:val="000000"/>
                <w:sz w:val="18"/>
                <w:szCs w:val="18"/>
              </w:rPr>
              <w:t>Net earnings/(loss)</w:t>
            </w:r>
          </w:p>
        </w:tc>
        <w:tc>
          <w:tcPr>
            <w:tcW w:w="0" w:type="auto"/>
            <w:gridSpan w:val="2"/>
            <w:shd w:val="clear" w:color="auto" w:fill="FFFFFF"/>
            <w:tcMar>
              <w:top w:w="40" w:type="dxa"/>
              <w:left w:w="20" w:type="dxa"/>
              <w:bottom w:w="40" w:type="dxa"/>
              <w:right w:w="0" w:type="dxa"/>
            </w:tcMar>
            <w:vAlign w:val="bottom"/>
          </w:tcPr>
          <w:p w14:paraId="00BAECA7"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A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A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AA"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A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A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AD"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A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A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B0" w14:textId="77777777" w:rsidR="00871BDF" w:rsidRDefault="005C5088">
            <w:pPr>
              <w:jc w:val="right"/>
              <w:textAlignment w:val="bottom"/>
            </w:pPr>
            <w:r>
              <w:rPr>
                <w:rFonts w:ascii="Times New Roman" w:eastAsia="宋体" w:hAnsi="Times New Roman"/>
                <w:color w:val="000000"/>
                <w:sz w:val="18"/>
                <w:szCs w:val="18"/>
              </w:rPr>
              <w:t>928.3 </w:t>
            </w:r>
          </w:p>
        </w:tc>
        <w:tc>
          <w:tcPr>
            <w:tcW w:w="0" w:type="auto"/>
            <w:shd w:val="clear" w:color="auto" w:fill="FFFFFF"/>
            <w:tcMar>
              <w:top w:w="40" w:type="dxa"/>
              <w:left w:w="0" w:type="dxa"/>
              <w:bottom w:w="40" w:type="dxa"/>
              <w:right w:w="20" w:type="dxa"/>
            </w:tcMar>
            <w:vAlign w:val="bottom"/>
          </w:tcPr>
          <w:p w14:paraId="00BAECB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B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B3"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B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B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B6" w14:textId="77777777" w:rsidR="00871BDF" w:rsidRDefault="005C5088">
            <w:pPr>
              <w:jc w:val="right"/>
              <w:textAlignment w:val="bottom"/>
            </w:pPr>
            <w:r>
              <w:rPr>
                <w:rFonts w:ascii="Times New Roman" w:eastAsia="宋体" w:hAnsi="Times New Roman"/>
                <w:color w:val="000000"/>
                <w:sz w:val="18"/>
                <w:szCs w:val="18"/>
              </w:rPr>
              <w:t>928.3 </w:t>
            </w:r>
          </w:p>
        </w:tc>
        <w:tc>
          <w:tcPr>
            <w:tcW w:w="0" w:type="auto"/>
            <w:shd w:val="clear" w:color="auto" w:fill="FFFFFF"/>
            <w:tcMar>
              <w:top w:w="40" w:type="dxa"/>
              <w:left w:w="0" w:type="dxa"/>
              <w:bottom w:w="40" w:type="dxa"/>
              <w:right w:w="20" w:type="dxa"/>
            </w:tcMar>
            <w:vAlign w:val="bottom"/>
          </w:tcPr>
          <w:p w14:paraId="00BAECB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B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B9" w14:textId="77777777" w:rsidR="00871BDF" w:rsidRDefault="005C5088">
            <w:pPr>
              <w:jc w:val="right"/>
              <w:textAlignment w:val="bottom"/>
            </w:pPr>
            <w:r>
              <w:rPr>
                <w:rFonts w:ascii="Times New Roman" w:eastAsia="宋体" w:hAnsi="Times New Roman"/>
                <w:color w:val="000000"/>
                <w:sz w:val="18"/>
                <w:szCs w:val="18"/>
              </w:rPr>
              <w:t>(3.6)</w:t>
            </w:r>
          </w:p>
        </w:tc>
        <w:tc>
          <w:tcPr>
            <w:tcW w:w="0" w:type="auto"/>
            <w:shd w:val="clear" w:color="auto" w:fill="FFFFFF"/>
            <w:tcMar>
              <w:top w:w="40" w:type="dxa"/>
              <w:left w:w="0" w:type="dxa"/>
              <w:bottom w:w="40" w:type="dxa"/>
              <w:right w:w="20" w:type="dxa"/>
            </w:tcMar>
            <w:vAlign w:val="bottom"/>
          </w:tcPr>
          <w:p w14:paraId="00BAECB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B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BC" w14:textId="77777777" w:rsidR="00871BDF" w:rsidRDefault="005C5088">
            <w:pPr>
              <w:jc w:val="right"/>
              <w:textAlignment w:val="bottom"/>
            </w:pPr>
            <w:r>
              <w:rPr>
                <w:rFonts w:ascii="Times New Roman" w:eastAsia="宋体" w:hAnsi="Times New Roman"/>
                <w:color w:val="000000"/>
                <w:sz w:val="18"/>
                <w:szCs w:val="18"/>
              </w:rPr>
              <w:t>924.7 </w:t>
            </w:r>
          </w:p>
        </w:tc>
        <w:tc>
          <w:tcPr>
            <w:tcW w:w="0" w:type="auto"/>
            <w:shd w:val="clear" w:color="auto" w:fill="FFFFFF"/>
            <w:tcMar>
              <w:top w:w="40" w:type="dxa"/>
              <w:left w:w="0" w:type="dxa"/>
              <w:bottom w:w="40" w:type="dxa"/>
              <w:right w:w="20" w:type="dxa"/>
            </w:tcMar>
            <w:vAlign w:val="bottom"/>
          </w:tcPr>
          <w:p w14:paraId="00BAECBD" w14:textId="77777777" w:rsidR="00871BDF" w:rsidRDefault="00871BDF">
            <w:pPr>
              <w:jc w:val="right"/>
              <w:rPr>
                <w:rFonts w:ascii="宋体"/>
              </w:rPr>
            </w:pPr>
          </w:p>
        </w:tc>
      </w:tr>
      <w:tr w:rsidR="00871BDF" w14:paraId="00BAECD7" w14:textId="77777777">
        <w:trPr>
          <w:jc w:val="center"/>
        </w:trPr>
        <w:tc>
          <w:tcPr>
            <w:tcW w:w="0" w:type="auto"/>
            <w:gridSpan w:val="3"/>
            <w:shd w:val="clear" w:color="auto" w:fill="D7E4BC"/>
            <w:tcMar>
              <w:top w:w="40" w:type="dxa"/>
              <w:left w:w="20" w:type="dxa"/>
              <w:bottom w:w="40" w:type="dxa"/>
              <w:right w:w="20" w:type="dxa"/>
            </w:tcMar>
            <w:vAlign w:val="bottom"/>
          </w:tcPr>
          <w:p w14:paraId="00BAECBF" w14:textId="77777777" w:rsidR="00871BDF" w:rsidRDefault="005C5088">
            <w:pPr>
              <w:textAlignment w:val="bottom"/>
            </w:pPr>
            <w:r>
              <w:rPr>
                <w:rFonts w:ascii="Times New Roman" w:eastAsia="宋体" w:hAnsi="Times New Roman"/>
                <w:color w:val="000000"/>
                <w:sz w:val="18"/>
                <w:szCs w:val="18"/>
              </w:rPr>
              <w:t>Other comprehensive income/(loss)</w:t>
            </w:r>
          </w:p>
        </w:tc>
        <w:tc>
          <w:tcPr>
            <w:tcW w:w="0" w:type="auto"/>
            <w:gridSpan w:val="2"/>
            <w:shd w:val="clear" w:color="auto" w:fill="D7E4BC"/>
            <w:tcMar>
              <w:top w:w="40" w:type="dxa"/>
              <w:left w:w="20" w:type="dxa"/>
              <w:bottom w:w="40" w:type="dxa"/>
              <w:right w:w="0" w:type="dxa"/>
            </w:tcMar>
            <w:vAlign w:val="bottom"/>
          </w:tcPr>
          <w:p w14:paraId="00BAECC0"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C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C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C3"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C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C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C6"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C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C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C9"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C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C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CC" w14:textId="77777777" w:rsidR="00871BDF" w:rsidRDefault="005C5088">
            <w:pPr>
              <w:jc w:val="right"/>
              <w:textAlignment w:val="bottom"/>
            </w:pPr>
            <w:r>
              <w:rPr>
                <w:rFonts w:ascii="Times New Roman" w:eastAsia="宋体" w:hAnsi="Times New Roman"/>
                <w:color w:val="000000"/>
                <w:sz w:val="18"/>
                <w:szCs w:val="18"/>
              </w:rPr>
              <w:t>133.9 </w:t>
            </w:r>
          </w:p>
        </w:tc>
        <w:tc>
          <w:tcPr>
            <w:tcW w:w="0" w:type="auto"/>
            <w:shd w:val="clear" w:color="auto" w:fill="D7E4BC"/>
            <w:tcMar>
              <w:top w:w="40" w:type="dxa"/>
              <w:left w:w="0" w:type="dxa"/>
              <w:bottom w:w="40" w:type="dxa"/>
              <w:right w:w="20" w:type="dxa"/>
            </w:tcMar>
            <w:vAlign w:val="bottom"/>
          </w:tcPr>
          <w:p w14:paraId="00BAECC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C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CF" w14:textId="77777777" w:rsidR="00871BDF" w:rsidRDefault="005C5088">
            <w:pPr>
              <w:jc w:val="right"/>
              <w:textAlignment w:val="bottom"/>
            </w:pPr>
            <w:r>
              <w:rPr>
                <w:rFonts w:ascii="Times New Roman" w:eastAsia="宋体" w:hAnsi="Times New Roman"/>
                <w:color w:val="000000"/>
                <w:sz w:val="18"/>
                <w:szCs w:val="18"/>
              </w:rPr>
              <w:t>133.9 </w:t>
            </w:r>
          </w:p>
        </w:tc>
        <w:tc>
          <w:tcPr>
            <w:tcW w:w="0" w:type="auto"/>
            <w:shd w:val="clear" w:color="auto" w:fill="D7E4BC"/>
            <w:tcMar>
              <w:top w:w="40" w:type="dxa"/>
              <w:left w:w="0" w:type="dxa"/>
              <w:bottom w:w="40" w:type="dxa"/>
              <w:right w:w="20" w:type="dxa"/>
            </w:tcMar>
            <w:vAlign w:val="bottom"/>
          </w:tcPr>
          <w:p w14:paraId="00BAECD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D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D2"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D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D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D5" w14:textId="77777777" w:rsidR="00871BDF" w:rsidRDefault="005C5088">
            <w:pPr>
              <w:jc w:val="right"/>
              <w:textAlignment w:val="bottom"/>
            </w:pPr>
            <w:r>
              <w:rPr>
                <w:rFonts w:ascii="Times New Roman" w:eastAsia="宋体" w:hAnsi="Times New Roman"/>
                <w:color w:val="000000"/>
                <w:sz w:val="18"/>
                <w:szCs w:val="18"/>
              </w:rPr>
              <w:t>133.9 </w:t>
            </w:r>
          </w:p>
        </w:tc>
        <w:tc>
          <w:tcPr>
            <w:tcW w:w="0" w:type="auto"/>
            <w:shd w:val="clear" w:color="auto" w:fill="D7E4BC"/>
            <w:tcMar>
              <w:top w:w="40" w:type="dxa"/>
              <w:left w:w="0" w:type="dxa"/>
              <w:bottom w:w="40" w:type="dxa"/>
              <w:right w:w="20" w:type="dxa"/>
            </w:tcMar>
            <w:vAlign w:val="bottom"/>
          </w:tcPr>
          <w:p w14:paraId="00BAECD6" w14:textId="77777777" w:rsidR="00871BDF" w:rsidRDefault="00871BDF">
            <w:pPr>
              <w:jc w:val="right"/>
              <w:rPr>
                <w:rFonts w:ascii="宋体"/>
              </w:rPr>
            </w:pPr>
          </w:p>
        </w:tc>
      </w:tr>
      <w:tr w:rsidR="00871BDF" w14:paraId="00BAECF0" w14:textId="77777777">
        <w:trPr>
          <w:jc w:val="center"/>
        </w:trPr>
        <w:tc>
          <w:tcPr>
            <w:tcW w:w="0" w:type="auto"/>
            <w:gridSpan w:val="3"/>
            <w:shd w:val="clear" w:color="auto" w:fill="FFFFFF"/>
            <w:tcMar>
              <w:top w:w="40" w:type="dxa"/>
              <w:left w:w="20" w:type="dxa"/>
              <w:bottom w:w="40" w:type="dxa"/>
              <w:right w:w="20" w:type="dxa"/>
            </w:tcMar>
            <w:vAlign w:val="bottom"/>
          </w:tcPr>
          <w:p w14:paraId="00BAECD8" w14:textId="77777777" w:rsidR="00871BDF" w:rsidRDefault="005C5088">
            <w:pPr>
              <w:textAlignment w:val="bottom"/>
            </w:pPr>
            <w:r>
              <w:rPr>
                <w:rFonts w:ascii="Times New Roman" w:eastAsia="宋体" w:hAnsi="Times New Roman"/>
                <w:color w:val="000000"/>
                <w:sz w:val="18"/>
                <w:szCs w:val="18"/>
              </w:rPr>
              <w:t>Stock-based compensation expense</w:t>
            </w:r>
          </w:p>
        </w:tc>
        <w:tc>
          <w:tcPr>
            <w:tcW w:w="0" w:type="auto"/>
            <w:gridSpan w:val="2"/>
            <w:shd w:val="clear" w:color="auto" w:fill="FFFFFF"/>
            <w:tcMar>
              <w:top w:w="40" w:type="dxa"/>
              <w:left w:w="20" w:type="dxa"/>
              <w:bottom w:w="40" w:type="dxa"/>
              <w:right w:w="0" w:type="dxa"/>
            </w:tcMar>
            <w:vAlign w:val="bottom"/>
          </w:tcPr>
          <w:p w14:paraId="00BAECD9"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D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D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DC"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D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D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DF" w14:textId="77777777" w:rsidR="00871BDF" w:rsidRDefault="005C5088">
            <w:pPr>
              <w:jc w:val="right"/>
              <w:textAlignment w:val="bottom"/>
            </w:pPr>
            <w:r>
              <w:rPr>
                <w:rFonts w:ascii="Times New Roman" w:eastAsia="宋体" w:hAnsi="Times New Roman"/>
                <w:color w:val="000000"/>
                <w:sz w:val="18"/>
                <w:szCs w:val="18"/>
              </w:rPr>
              <w:t>252.1 </w:t>
            </w:r>
          </w:p>
        </w:tc>
        <w:tc>
          <w:tcPr>
            <w:tcW w:w="0" w:type="auto"/>
            <w:shd w:val="clear" w:color="auto" w:fill="FFFFFF"/>
            <w:tcMar>
              <w:top w:w="40" w:type="dxa"/>
              <w:left w:w="0" w:type="dxa"/>
              <w:bottom w:w="40" w:type="dxa"/>
              <w:right w:w="20" w:type="dxa"/>
            </w:tcMar>
            <w:vAlign w:val="bottom"/>
          </w:tcPr>
          <w:p w14:paraId="00BAECE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E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E2"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E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E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E5"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E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E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E8" w14:textId="77777777" w:rsidR="00871BDF" w:rsidRDefault="005C5088">
            <w:pPr>
              <w:jc w:val="right"/>
              <w:textAlignment w:val="bottom"/>
            </w:pPr>
            <w:r>
              <w:rPr>
                <w:rFonts w:ascii="Times New Roman" w:eastAsia="宋体" w:hAnsi="Times New Roman"/>
                <w:color w:val="000000"/>
                <w:sz w:val="18"/>
                <w:szCs w:val="18"/>
              </w:rPr>
              <w:t>252.1 </w:t>
            </w:r>
          </w:p>
        </w:tc>
        <w:tc>
          <w:tcPr>
            <w:tcW w:w="0" w:type="auto"/>
            <w:shd w:val="clear" w:color="auto" w:fill="FFFFFF"/>
            <w:tcMar>
              <w:top w:w="40" w:type="dxa"/>
              <w:left w:w="0" w:type="dxa"/>
              <w:bottom w:w="40" w:type="dxa"/>
              <w:right w:w="20" w:type="dxa"/>
            </w:tcMar>
            <w:vAlign w:val="bottom"/>
          </w:tcPr>
          <w:p w14:paraId="00BAECE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E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EB"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CE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CE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CEE" w14:textId="77777777" w:rsidR="00871BDF" w:rsidRDefault="005C5088">
            <w:pPr>
              <w:jc w:val="right"/>
              <w:textAlignment w:val="bottom"/>
            </w:pPr>
            <w:r>
              <w:rPr>
                <w:rFonts w:ascii="Times New Roman" w:eastAsia="宋体" w:hAnsi="Times New Roman"/>
                <w:color w:val="000000"/>
                <w:sz w:val="18"/>
                <w:szCs w:val="18"/>
              </w:rPr>
              <w:t>252.1 </w:t>
            </w:r>
          </w:p>
        </w:tc>
        <w:tc>
          <w:tcPr>
            <w:tcW w:w="0" w:type="auto"/>
            <w:shd w:val="clear" w:color="auto" w:fill="FFFFFF"/>
            <w:tcMar>
              <w:top w:w="40" w:type="dxa"/>
              <w:left w:w="0" w:type="dxa"/>
              <w:bottom w:w="40" w:type="dxa"/>
              <w:right w:w="20" w:type="dxa"/>
            </w:tcMar>
            <w:vAlign w:val="bottom"/>
          </w:tcPr>
          <w:p w14:paraId="00BAECEF" w14:textId="77777777" w:rsidR="00871BDF" w:rsidRDefault="00871BDF">
            <w:pPr>
              <w:jc w:val="right"/>
              <w:rPr>
                <w:rFonts w:ascii="宋体"/>
              </w:rPr>
            </w:pPr>
          </w:p>
        </w:tc>
      </w:tr>
      <w:tr w:rsidR="00871BDF" w14:paraId="00BAED09" w14:textId="77777777">
        <w:trPr>
          <w:jc w:val="center"/>
        </w:trPr>
        <w:tc>
          <w:tcPr>
            <w:tcW w:w="0" w:type="auto"/>
            <w:gridSpan w:val="3"/>
            <w:shd w:val="clear" w:color="auto" w:fill="D7E4BC"/>
            <w:tcMar>
              <w:top w:w="40" w:type="dxa"/>
              <w:left w:w="20" w:type="dxa"/>
              <w:bottom w:w="40" w:type="dxa"/>
              <w:right w:w="20" w:type="dxa"/>
            </w:tcMar>
            <w:vAlign w:val="bottom"/>
          </w:tcPr>
          <w:p w14:paraId="00BAECF1" w14:textId="77777777" w:rsidR="00871BDF" w:rsidRDefault="005C5088">
            <w:pPr>
              <w:textAlignment w:val="bottom"/>
            </w:pPr>
            <w:r>
              <w:rPr>
                <w:rFonts w:ascii="Times New Roman" w:eastAsia="宋体" w:hAnsi="Times New Roman"/>
                <w:color w:val="000000"/>
                <w:sz w:val="18"/>
                <w:szCs w:val="18"/>
              </w:rPr>
              <w:t>Exercise of stock options/vesting of RSUs</w:t>
            </w:r>
          </w:p>
        </w:tc>
        <w:tc>
          <w:tcPr>
            <w:tcW w:w="0" w:type="auto"/>
            <w:gridSpan w:val="2"/>
            <w:shd w:val="clear" w:color="auto" w:fill="D7E4BC"/>
            <w:tcMar>
              <w:top w:w="40" w:type="dxa"/>
              <w:left w:w="20" w:type="dxa"/>
              <w:bottom w:w="40" w:type="dxa"/>
              <w:right w:w="0" w:type="dxa"/>
            </w:tcMar>
            <w:vAlign w:val="bottom"/>
          </w:tcPr>
          <w:p w14:paraId="00BAECF2" w14:textId="77777777" w:rsidR="00871BDF" w:rsidRDefault="005C5088">
            <w:pPr>
              <w:jc w:val="right"/>
              <w:textAlignment w:val="bottom"/>
            </w:pPr>
            <w:r>
              <w:rPr>
                <w:rFonts w:ascii="Times New Roman" w:eastAsia="宋体" w:hAnsi="Times New Roman"/>
                <w:color w:val="000000"/>
                <w:sz w:val="18"/>
                <w:szCs w:val="18"/>
              </w:rPr>
              <w:t>8.5 </w:t>
            </w:r>
          </w:p>
        </w:tc>
        <w:tc>
          <w:tcPr>
            <w:tcW w:w="0" w:type="auto"/>
            <w:shd w:val="clear" w:color="auto" w:fill="D7E4BC"/>
            <w:tcMar>
              <w:top w:w="40" w:type="dxa"/>
              <w:left w:w="0" w:type="dxa"/>
              <w:bottom w:w="40" w:type="dxa"/>
              <w:right w:w="20" w:type="dxa"/>
            </w:tcMar>
            <w:vAlign w:val="bottom"/>
          </w:tcPr>
          <w:p w14:paraId="00BAECF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F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F5"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F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F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F8" w14:textId="77777777" w:rsidR="00871BDF" w:rsidRDefault="005C5088">
            <w:pPr>
              <w:jc w:val="right"/>
              <w:textAlignment w:val="bottom"/>
            </w:pPr>
            <w:r>
              <w:rPr>
                <w:rFonts w:ascii="Times New Roman" w:eastAsia="宋体" w:hAnsi="Times New Roman"/>
                <w:color w:val="000000"/>
                <w:sz w:val="18"/>
                <w:szCs w:val="18"/>
              </w:rPr>
              <w:t>169.9 </w:t>
            </w:r>
          </w:p>
        </w:tc>
        <w:tc>
          <w:tcPr>
            <w:tcW w:w="0" w:type="auto"/>
            <w:shd w:val="clear" w:color="auto" w:fill="D7E4BC"/>
            <w:tcMar>
              <w:top w:w="40" w:type="dxa"/>
              <w:left w:w="0" w:type="dxa"/>
              <w:bottom w:w="40" w:type="dxa"/>
              <w:right w:w="20" w:type="dxa"/>
            </w:tcMar>
            <w:vAlign w:val="bottom"/>
          </w:tcPr>
          <w:p w14:paraId="00BAECF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F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FB"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F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CF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CFE"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CF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0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01" w14:textId="77777777" w:rsidR="00871BDF" w:rsidRDefault="005C5088">
            <w:pPr>
              <w:jc w:val="right"/>
              <w:textAlignment w:val="bottom"/>
            </w:pPr>
            <w:r>
              <w:rPr>
                <w:rFonts w:ascii="Times New Roman" w:eastAsia="宋体" w:hAnsi="Times New Roman"/>
                <w:color w:val="000000"/>
                <w:sz w:val="18"/>
                <w:szCs w:val="18"/>
              </w:rPr>
              <w:t>169.9 </w:t>
            </w:r>
          </w:p>
        </w:tc>
        <w:tc>
          <w:tcPr>
            <w:tcW w:w="0" w:type="auto"/>
            <w:shd w:val="clear" w:color="auto" w:fill="D7E4BC"/>
            <w:tcMar>
              <w:top w:w="40" w:type="dxa"/>
              <w:left w:w="0" w:type="dxa"/>
              <w:bottom w:w="40" w:type="dxa"/>
              <w:right w:w="20" w:type="dxa"/>
            </w:tcMar>
            <w:vAlign w:val="bottom"/>
          </w:tcPr>
          <w:p w14:paraId="00BAED0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0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04"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D0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0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07" w14:textId="77777777" w:rsidR="00871BDF" w:rsidRDefault="005C5088">
            <w:pPr>
              <w:jc w:val="right"/>
              <w:textAlignment w:val="bottom"/>
            </w:pPr>
            <w:r>
              <w:rPr>
                <w:rFonts w:ascii="Times New Roman" w:eastAsia="宋体" w:hAnsi="Times New Roman"/>
                <w:color w:val="000000"/>
                <w:sz w:val="18"/>
                <w:szCs w:val="18"/>
              </w:rPr>
              <w:t>169.9 </w:t>
            </w:r>
          </w:p>
        </w:tc>
        <w:tc>
          <w:tcPr>
            <w:tcW w:w="0" w:type="auto"/>
            <w:shd w:val="clear" w:color="auto" w:fill="D7E4BC"/>
            <w:tcMar>
              <w:top w:w="40" w:type="dxa"/>
              <w:left w:w="0" w:type="dxa"/>
              <w:bottom w:w="40" w:type="dxa"/>
              <w:right w:w="20" w:type="dxa"/>
            </w:tcMar>
            <w:vAlign w:val="bottom"/>
          </w:tcPr>
          <w:p w14:paraId="00BAED08" w14:textId="77777777" w:rsidR="00871BDF" w:rsidRDefault="00871BDF">
            <w:pPr>
              <w:jc w:val="right"/>
              <w:rPr>
                <w:rFonts w:ascii="宋体"/>
              </w:rPr>
            </w:pPr>
          </w:p>
        </w:tc>
      </w:tr>
      <w:tr w:rsidR="00871BDF" w14:paraId="00BAED22" w14:textId="77777777">
        <w:trPr>
          <w:jc w:val="center"/>
        </w:trPr>
        <w:tc>
          <w:tcPr>
            <w:tcW w:w="0" w:type="auto"/>
            <w:gridSpan w:val="3"/>
            <w:shd w:val="clear" w:color="auto" w:fill="FFFFFF"/>
            <w:tcMar>
              <w:top w:w="40" w:type="dxa"/>
              <w:left w:w="20" w:type="dxa"/>
              <w:bottom w:w="40" w:type="dxa"/>
              <w:right w:w="20" w:type="dxa"/>
            </w:tcMar>
            <w:vAlign w:val="bottom"/>
          </w:tcPr>
          <w:p w14:paraId="00BAED0A" w14:textId="77777777" w:rsidR="00871BDF" w:rsidRDefault="005C5088">
            <w:pPr>
              <w:textAlignment w:val="bottom"/>
            </w:pPr>
            <w:r>
              <w:rPr>
                <w:rFonts w:ascii="Times New Roman" w:eastAsia="宋体" w:hAnsi="Times New Roman"/>
                <w:color w:val="000000"/>
                <w:sz w:val="18"/>
                <w:szCs w:val="18"/>
              </w:rPr>
              <w:t>Sale of common stock</w:t>
            </w:r>
          </w:p>
        </w:tc>
        <w:tc>
          <w:tcPr>
            <w:tcW w:w="0" w:type="auto"/>
            <w:gridSpan w:val="2"/>
            <w:shd w:val="clear" w:color="auto" w:fill="FFFFFF"/>
            <w:tcMar>
              <w:top w:w="40" w:type="dxa"/>
              <w:left w:w="20" w:type="dxa"/>
              <w:bottom w:w="40" w:type="dxa"/>
              <w:right w:w="0" w:type="dxa"/>
            </w:tcMar>
            <w:vAlign w:val="bottom"/>
          </w:tcPr>
          <w:p w14:paraId="00BAED0B" w14:textId="77777777" w:rsidR="00871BDF" w:rsidRDefault="005C5088">
            <w:pPr>
              <w:jc w:val="right"/>
              <w:textAlignment w:val="bottom"/>
            </w:pPr>
            <w:r>
              <w:rPr>
                <w:rFonts w:ascii="Times New Roman" w:eastAsia="宋体" w:hAnsi="Times New Roman"/>
                <w:color w:val="000000"/>
                <w:sz w:val="18"/>
                <w:szCs w:val="18"/>
              </w:rPr>
              <w:t>0.5 </w:t>
            </w:r>
          </w:p>
        </w:tc>
        <w:tc>
          <w:tcPr>
            <w:tcW w:w="0" w:type="auto"/>
            <w:shd w:val="clear" w:color="auto" w:fill="FFFFFF"/>
            <w:tcMar>
              <w:top w:w="40" w:type="dxa"/>
              <w:left w:w="0" w:type="dxa"/>
              <w:bottom w:w="40" w:type="dxa"/>
              <w:right w:w="20" w:type="dxa"/>
            </w:tcMar>
            <w:vAlign w:val="bottom"/>
          </w:tcPr>
          <w:p w14:paraId="00BAED0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0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0E"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D0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1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11" w14:textId="77777777" w:rsidR="00871BDF" w:rsidRDefault="005C5088">
            <w:pPr>
              <w:jc w:val="right"/>
              <w:textAlignment w:val="bottom"/>
            </w:pPr>
            <w:r>
              <w:rPr>
                <w:rFonts w:ascii="Times New Roman" w:eastAsia="宋体" w:hAnsi="Times New Roman"/>
                <w:color w:val="000000"/>
                <w:sz w:val="18"/>
                <w:szCs w:val="18"/>
              </w:rPr>
              <w:t>37.2 </w:t>
            </w:r>
          </w:p>
        </w:tc>
        <w:tc>
          <w:tcPr>
            <w:tcW w:w="0" w:type="auto"/>
            <w:shd w:val="clear" w:color="auto" w:fill="FFFFFF"/>
            <w:tcMar>
              <w:top w:w="40" w:type="dxa"/>
              <w:left w:w="0" w:type="dxa"/>
              <w:bottom w:w="40" w:type="dxa"/>
              <w:right w:w="20" w:type="dxa"/>
            </w:tcMar>
            <w:vAlign w:val="bottom"/>
          </w:tcPr>
          <w:p w14:paraId="00BAED1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1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14"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D1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1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17"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D1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1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1A" w14:textId="77777777" w:rsidR="00871BDF" w:rsidRDefault="005C5088">
            <w:pPr>
              <w:jc w:val="right"/>
              <w:textAlignment w:val="bottom"/>
            </w:pPr>
            <w:r>
              <w:rPr>
                <w:rFonts w:ascii="Times New Roman" w:eastAsia="宋体" w:hAnsi="Times New Roman"/>
                <w:color w:val="000000"/>
                <w:sz w:val="18"/>
                <w:szCs w:val="18"/>
              </w:rPr>
              <w:t>37.2 </w:t>
            </w:r>
          </w:p>
        </w:tc>
        <w:tc>
          <w:tcPr>
            <w:tcW w:w="0" w:type="auto"/>
            <w:shd w:val="clear" w:color="auto" w:fill="FFFFFF"/>
            <w:tcMar>
              <w:top w:w="40" w:type="dxa"/>
              <w:left w:w="0" w:type="dxa"/>
              <w:bottom w:w="40" w:type="dxa"/>
              <w:right w:w="20" w:type="dxa"/>
            </w:tcMar>
            <w:vAlign w:val="bottom"/>
          </w:tcPr>
          <w:p w14:paraId="00BAED1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1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1D"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D1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1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20" w14:textId="77777777" w:rsidR="00871BDF" w:rsidRDefault="005C5088">
            <w:pPr>
              <w:jc w:val="right"/>
              <w:textAlignment w:val="bottom"/>
            </w:pPr>
            <w:r>
              <w:rPr>
                <w:rFonts w:ascii="Times New Roman" w:eastAsia="宋体" w:hAnsi="Times New Roman"/>
                <w:color w:val="000000"/>
                <w:sz w:val="18"/>
                <w:szCs w:val="18"/>
              </w:rPr>
              <w:t>37.2 </w:t>
            </w:r>
          </w:p>
        </w:tc>
        <w:tc>
          <w:tcPr>
            <w:tcW w:w="0" w:type="auto"/>
            <w:shd w:val="clear" w:color="auto" w:fill="FFFFFF"/>
            <w:tcMar>
              <w:top w:w="40" w:type="dxa"/>
              <w:left w:w="0" w:type="dxa"/>
              <w:bottom w:w="40" w:type="dxa"/>
              <w:right w:w="20" w:type="dxa"/>
            </w:tcMar>
            <w:vAlign w:val="bottom"/>
          </w:tcPr>
          <w:p w14:paraId="00BAED21" w14:textId="77777777" w:rsidR="00871BDF" w:rsidRDefault="00871BDF">
            <w:pPr>
              <w:jc w:val="right"/>
              <w:rPr>
                <w:rFonts w:ascii="宋体"/>
              </w:rPr>
            </w:pPr>
          </w:p>
        </w:tc>
      </w:tr>
      <w:tr w:rsidR="00871BDF" w14:paraId="00BAED3B" w14:textId="77777777">
        <w:trPr>
          <w:jc w:val="center"/>
        </w:trPr>
        <w:tc>
          <w:tcPr>
            <w:tcW w:w="0" w:type="auto"/>
            <w:gridSpan w:val="3"/>
            <w:shd w:val="clear" w:color="auto" w:fill="D7E4BC"/>
            <w:tcMar>
              <w:top w:w="40" w:type="dxa"/>
              <w:left w:w="20" w:type="dxa"/>
              <w:bottom w:w="40" w:type="dxa"/>
              <w:right w:w="20" w:type="dxa"/>
            </w:tcMar>
            <w:vAlign w:val="bottom"/>
          </w:tcPr>
          <w:p w14:paraId="00BAED23" w14:textId="77777777" w:rsidR="00871BDF" w:rsidRDefault="005C5088">
            <w:pPr>
              <w:textAlignment w:val="bottom"/>
            </w:pPr>
            <w:r>
              <w:rPr>
                <w:rFonts w:ascii="Times New Roman" w:eastAsia="宋体" w:hAnsi="Times New Roman"/>
                <w:color w:val="000000"/>
                <w:sz w:val="18"/>
                <w:szCs w:val="18"/>
              </w:rPr>
              <w:t>Repurchase of common stock</w:t>
            </w:r>
          </w:p>
        </w:tc>
        <w:tc>
          <w:tcPr>
            <w:tcW w:w="0" w:type="auto"/>
            <w:gridSpan w:val="2"/>
            <w:shd w:val="clear" w:color="auto" w:fill="D7E4BC"/>
            <w:tcMar>
              <w:top w:w="40" w:type="dxa"/>
              <w:left w:w="20" w:type="dxa"/>
              <w:bottom w:w="40" w:type="dxa"/>
              <w:right w:w="0" w:type="dxa"/>
            </w:tcMar>
            <w:vAlign w:val="bottom"/>
          </w:tcPr>
          <w:p w14:paraId="00BAED24" w14:textId="77777777" w:rsidR="00871BDF" w:rsidRDefault="005C5088">
            <w:pPr>
              <w:jc w:val="right"/>
              <w:textAlignment w:val="bottom"/>
            </w:pPr>
            <w:r>
              <w:rPr>
                <w:rFonts w:ascii="Times New Roman" w:eastAsia="宋体" w:hAnsi="Times New Roman"/>
                <w:color w:val="000000"/>
                <w:sz w:val="18"/>
                <w:szCs w:val="18"/>
              </w:rPr>
              <w:t>(20.3)</w:t>
            </w:r>
          </w:p>
        </w:tc>
        <w:tc>
          <w:tcPr>
            <w:tcW w:w="0" w:type="auto"/>
            <w:shd w:val="clear" w:color="auto" w:fill="D7E4BC"/>
            <w:tcMar>
              <w:top w:w="40" w:type="dxa"/>
              <w:left w:w="0" w:type="dxa"/>
              <w:bottom w:w="40" w:type="dxa"/>
              <w:right w:w="20" w:type="dxa"/>
            </w:tcMar>
            <w:vAlign w:val="bottom"/>
          </w:tcPr>
          <w:p w14:paraId="00BAED2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2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27"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D2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2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2A" w14:textId="77777777" w:rsidR="00871BDF" w:rsidRDefault="005C5088">
            <w:pPr>
              <w:jc w:val="right"/>
              <w:textAlignment w:val="bottom"/>
            </w:pPr>
            <w:r>
              <w:rPr>
                <w:rFonts w:ascii="Times New Roman" w:eastAsia="宋体" w:hAnsi="Times New Roman"/>
                <w:color w:val="000000"/>
                <w:sz w:val="18"/>
                <w:szCs w:val="18"/>
              </w:rPr>
              <w:t>(126.4)</w:t>
            </w:r>
          </w:p>
        </w:tc>
        <w:tc>
          <w:tcPr>
            <w:tcW w:w="0" w:type="auto"/>
            <w:shd w:val="clear" w:color="auto" w:fill="D7E4BC"/>
            <w:tcMar>
              <w:top w:w="40" w:type="dxa"/>
              <w:left w:w="0" w:type="dxa"/>
              <w:bottom w:w="40" w:type="dxa"/>
              <w:right w:w="20" w:type="dxa"/>
            </w:tcMar>
            <w:vAlign w:val="bottom"/>
          </w:tcPr>
          <w:p w14:paraId="00BAED2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2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2D" w14:textId="77777777" w:rsidR="00871BDF" w:rsidRDefault="005C5088">
            <w:pPr>
              <w:jc w:val="right"/>
              <w:textAlignment w:val="bottom"/>
            </w:pPr>
            <w:r>
              <w:rPr>
                <w:rFonts w:ascii="Times New Roman" w:eastAsia="宋体" w:hAnsi="Times New Roman"/>
                <w:color w:val="000000"/>
                <w:sz w:val="18"/>
                <w:szCs w:val="18"/>
              </w:rPr>
              <w:t>(1,548.6)</w:t>
            </w:r>
          </w:p>
        </w:tc>
        <w:tc>
          <w:tcPr>
            <w:tcW w:w="0" w:type="auto"/>
            <w:shd w:val="clear" w:color="auto" w:fill="D7E4BC"/>
            <w:tcMar>
              <w:top w:w="40" w:type="dxa"/>
              <w:left w:w="0" w:type="dxa"/>
              <w:bottom w:w="40" w:type="dxa"/>
              <w:right w:w="20" w:type="dxa"/>
            </w:tcMar>
            <w:vAlign w:val="bottom"/>
          </w:tcPr>
          <w:p w14:paraId="00BAED2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2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30"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D3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3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33" w14:textId="77777777" w:rsidR="00871BDF" w:rsidRDefault="005C5088">
            <w:pPr>
              <w:jc w:val="right"/>
              <w:textAlignment w:val="bottom"/>
            </w:pPr>
            <w:r>
              <w:rPr>
                <w:rFonts w:ascii="Times New Roman" w:eastAsia="宋体" w:hAnsi="Times New Roman"/>
                <w:color w:val="000000"/>
                <w:sz w:val="18"/>
                <w:szCs w:val="18"/>
              </w:rPr>
              <w:t>(1,675.0)</w:t>
            </w:r>
          </w:p>
        </w:tc>
        <w:tc>
          <w:tcPr>
            <w:tcW w:w="0" w:type="auto"/>
            <w:shd w:val="clear" w:color="auto" w:fill="D7E4BC"/>
            <w:tcMar>
              <w:top w:w="40" w:type="dxa"/>
              <w:left w:w="0" w:type="dxa"/>
              <w:bottom w:w="40" w:type="dxa"/>
              <w:right w:w="20" w:type="dxa"/>
            </w:tcMar>
            <w:vAlign w:val="bottom"/>
          </w:tcPr>
          <w:p w14:paraId="00BAED3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3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36"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D3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3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39" w14:textId="77777777" w:rsidR="00871BDF" w:rsidRDefault="005C5088">
            <w:pPr>
              <w:jc w:val="right"/>
              <w:textAlignment w:val="bottom"/>
            </w:pPr>
            <w:r>
              <w:rPr>
                <w:rFonts w:ascii="Times New Roman" w:eastAsia="宋体" w:hAnsi="Times New Roman"/>
                <w:color w:val="000000"/>
                <w:sz w:val="18"/>
                <w:szCs w:val="18"/>
              </w:rPr>
              <w:t>(1,675.0)</w:t>
            </w:r>
          </w:p>
        </w:tc>
        <w:tc>
          <w:tcPr>
            <w:tcW w:w="0" w:type="auto"/>
            <w:shd w:val="clear" w:color="auto" w:fill="D7E4BC"/>
            <w:tcMar>
              <w:top w:w="40" w:type="dxa"/>
              <w:left w:w="0" w:type="dxa"/>
              <w:bottom w:w="40" w:type="dxa"/>
              <w:right w:w="20" w:type="dxa"/>
            </w:tcMar>
            <w:vAlign w:val="bottom"/>
          </w:tcPr>
          <w:p w14:paraId="00BAED3A" w14:textId="77777777" w:rsidR="00871BDF" w:rsidRDefault="00871BDF">
            <w:pPr>
              <w:jc w:val="right"/>
              <w:rPr>
                <w:rFonts w:ascii="宋体"/>
              </w:rPr>
            </w:pPr>
          </w:p>
        </w:tc>
      </w:tr>
      <w:tr w:rsidR="00871BDF" w14:paraId="00BAED54" w14:textId="77777777">
        <w:trPr>
          <w:jc w:val="center"/>
        </w:trPr>
        <w:tc>
          <w:tcPr>
            <w:tcW w:w="0" w:type="auto"/>
            <w:gridSpan w:val="3"/>
            <w:shd w:val="clear" w:color="auto" w:fill="FFFFFF"/>
            <w:tcMar>
              <w:top w:w="40" w:type="dxa"/>
              <w:left w:w="20" w:type="dxa"/>
              <w:bottom w:w="40" w:type="dxa"/>
              <w:right w:w="20" w:type="dxa"/>
            </w:tcMar>
            <w:vAlign w:val="bottom"/>
          </w:tcPr>
          <w:p w14:paraId="00BAED3C" w14:textId="77777777" w:rsidR="00871BDF" w:rsidRDefault="005C5088">
            <w:pPr>
              <w:textAlignment w:val="bottom"/>
            </w:pPr>
            <w:r>
              <w:rPr>
                <w:rFonts w:ascii="Times New Roman" w:eastAsia="宋体" w:hAnsi="Times New Roman"/>
                <w:color w:val="000000"/>
                <w:sz w:val="18"/>
                <w:szCs w:val="18"/>
              </w:rPr>
              <w:t>Cash dividends declared, $1.23 per share</w:t>
            </w:r>
          </w:p>
        </w:tc>
        <w:tc>
          <w:tcPr>
            <w:tcW w:w="0" w:type="auto"/>
            <w:gridSpan w:val="2"/>
            <w:shd w:val="clear" w:color="auto" w:fill="FFFFFF"/>
            <w:tcMar>
              <w:top w:w="40" w:type="dxa"/>
              <w:left w:w="20" w:type="dxa"/>
              <w:bottom w:w="40" w:type="dxa"/>
              <w:right w:w="0" w:type="dxa"/>
            </w:tcMar>
            <w:vAlign w:val="bottom"/>
          </w:tcPr>
          <w:p w14:paraId="00BAED3D"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D3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3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40"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D4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4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43"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D4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4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46" w14:textId="77777777" w:rsidR="00871BDF" w:rsidRDefault="005C5088">
            <w:pPr>
              <w:jc w:val="right"/>
              <w:textAlignment w:val="bottom"/>
            </w:pPr>
            <w:r>
              <w:rPr>
                <w:rFonts w:ascii="Times New Roman" w:eastAsia="宋体" w:hAnsi="Times New Roman"/>
                <w:color w:val="000000"/>
                <w:sz w:val="18"/>
                <w:szCs w:val="18"/>
              </w:rPr>
              <w:t>(1,436.6)</w:t>
            </w:r>
          </w:p>
        </w:tc>
        <w:tc>
          <w:tcPr>
            <w:tcW w:w="0" w:type="auto"/>
            <w:shd w:val="clear" w:color="auto" w:fill="FFFFFF"/>
            <w:tcMar>
              <w:top w:w="40" w:type="dxa"/>
              <w:left w:w="0" w:type="dxa"/>
              <w:bottom w:w="40" w:type="dxa"/>
              <w:right w:w="20" w:type="dxa"/>
            </w:tcMar>
            <w:vAlign w:val="bottom"/>
          </w:tcPr>
          <w:p w14:paraId="00BAED4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4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49"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0BAED4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4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4C" w14:textId="77777777" w:rsidR="00871BDF" w:rsidRDefault="005C5088">
            <w:pPr>
              <w:jc w:val="right"/>
              <w:textAlignment w:val="bottom"/>
            </w:pPr>
            <w:r>
              <w:rPr>
                <w:rFonts w:ascii="Times New Roman" w:eastAsia="宋体" w:hAnsi="Times New Roman"/>
                <w:color w:val="000000"/>
                <w:sz w:val="18"/>
                <w:szCs w:val="18"/>
              </w:rPr>
              <w:t>(1,436.6)</w:t>
            </w:r>
          </w:p>
        </w:tc>
        <w:tc>
          <w:tcPr>
            <w:tcW w:w="0" w:type="auto"/>
            <w:shd w:val="clear" w:color="auto" w:fill="FFFFFF"/>
            <w:tcMar>
              <w:top w:w="40" w:type="dxa"/>
              <w:left w:w="0" w:type="dxa"/>
              <w:bottom w:w="40" w:type="dxa"/>
              <w:right w:w="20" w:type="dxa"/>
            </w:tcMar>
            <w:vAlign w:val="bottom"/>
          </w:tcPr>
          <w:p w14:paraId="00BAED4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4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4F" w14:textId="77777777" w:rsidR="00871BDF" w:rsidRDefault="005C5088">
            <w:pPr>
              <w:jc w:val="right"/>
              <w:textAlignment w:val="bottom"/>
            </w:pPr>
            <w:r>
              <w:rPr>
                <w:rFonts w:ascii="Times New Roman" w:eastAsia="宋体" w:hAnsi="Times New Roman"/>
                <w:color w:val="000000"/>
                <w:sz w:val="18"/>
                <w:szCs w:val="18"/>
              </w:rPr>
              <w:t>(0.2)</w:t>
            </w:r>
          </w:p>
        </w:tc>
        <w:tc>
          <w:tcPr>
            <w:tcW w:w="0" w:type="auto"/>
            <w:shd w:val="clear" w:color="auto" w:fill="FFFFFF"/>
            <w:tcMar>
              <w:top w:w="40" w:type="dxa"/>
              <w:left w:w="0" w:type="dxa"/>
              <w:bottom w:w="40" w:type="dxa"/>
              <w:right w:w="20" w:type="dxa"/>
            </w:tcMar>
            <w:vAlign w:val="bottom"/>
          </w:tcPr>
          <w:p w14:paraId="00BAED5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5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D52" w14:textId="77777777" w:rsidR="00871BDF" w:rsidRDefault="005C5088">
            <w:pPr>
              <w:jc w:val="right"/>
              <w:textAlignment w:val="bottom"/>
            </w:pPr>
            <w:r>
              <w:rPr>
                <w:rFonts w:ascii="Times New Roman" w:eastAsia="宋体" w:hAnsi="Times New Roman"/>
                <w:color w:val="000000"/>
                <w:sz w:val="18"/>
                <w:szCs w:val="18"/>
              </w:rPr>
              <w:t>(1,436.8)</w:t>
            </w:r>
          </w:p>
        </w:tc>
        <w:tc>
          <w:tcPr>
            <w:tcW w:w="0" w:type="auto"/>
            <w:shd w:val="clear" w:color="auto" w:fill="FFFFFF"/>
            <w:tcMar>
              <w:top w:w="40" w:type="dxa"/>
              <w:left w:w="0" w:type="dxa"/>
              <w:bottom w:w="40" w:type="dxa"/>
              <w:right w:w="20" w:type="dxa"/>
            </w:tcMar>
            <w:vAlign w:val="bottom"/>
          </w:tcPr>
          <w:p w14:paraId="00BAED53" w14:textId="77777777" w:rsidR="00871BDF" w:rsidRDefault="00871BDF">
            <w:pPr>
              <w:jc w:val="right"/>
              <w:rPr>
                <w:rFonts w:ascii="宋体"/>
              </w:rPr>
            </w:pPr>
          </w:p>
        </w:tc>
      </w:tr>
      <w:tr w:rsidR="00871BDF" w14:paraId="00BAED6D" w14:textId="77777777">
        <w:trPr>
          <w:jc w:val="center"/>
        </w:trPr>
        <w:tc>
          <w:tcPr>
            <w:tcW w:w="0" w:type="auto"/>
            <w:gridSpan w:val="3"/>
            <w:shd w:val="clear" w:color="auto" w:fill="D7E4BC"/>
            <w:tcMar>
              <w:top w:w="40" w:type="dxa"/>
              <w:left w:w="20" w:type="dxa"/>
              <w:bottom w:w="40" w:type="dxa"/>
              <w:right w:w="20" w:type="dxa"/>
            </w:tcMar>
            <w:vAlign w:val="bottom"/>
          </w:tcPr>
          <w:p w14:paraId="00BAED55" w14:textId="77777777" w:rsidR="00871BDF" w:rsidRDefault="005C5088">
            <w:pPr>
              <w:textAlignment w:val="bottom"/>
            </w:pPr>
            <w:r>
              <w:rPr>
                <w:rFonts w:ascii="Times New Roman" w:eastAsia="宋体" w:hAnsi="Times New Roman"/>
                <w:color w:val="000000"/>
                <w:sz w:val="18"/>
                <w:szCs w:val="18"/>
              </w:rPr>
              <w:t>Noncontrolling interest resulting from divestiture</w:t>
            </w:r>
          </w:p>
        </w:tc>
        <w:tc>
          <w:tcPr>
            <w:tcW w:w="0" w:type="auto"/>
            <w:gridSpan w:val="2"/>
            <w:shd w:val="clear" w:color="auto" w:fill="D7E4BC"/>
            <w:tcMar>
              <w:top w:w="40" w:type="dxa"/>
              <w:left w:w="20" w:type="dxa"/>
              <w:bottom w:w="40" w:type="dxa"/>
              <w:right w:w="0" w:type="dxa"/>
            </w:tcMar>
            <w:vAlign w:val="bottom"/>
          </w:tcPr>
          <w:p w14:paraId="00BAED56"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D5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5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59"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D5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5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5C"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D5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5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5F"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D6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6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62"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D6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6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65" w14:textId="77777777" w:rsidR="00871BDF" w:rsidRDefault="005C5088">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left w:w="0" w:type="dxa"/>
              <w:bottom w:w="40" w:type="dxa"/>
              <w:right w:w="20" w:type="dxa"/>
            </w:tcMar>
            <w:vAlign w:val="bottom"/>
          </w:tcPr>
          <w:p w14:paraId="00BAED6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6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68" w14:textId="77777777" w:rsidR="00871BDF" w:rsidRDefault="005C5088">
            <w:pPr>
              <w:jc w:val="right"/>
              <w:textAlignment w:val="bottom"/>
            </w:pPr>
            <w:r>
              <w:rPr>
                <w:rFonts w:ascii="Times New Roman" w:eastAsia="宋体" w:hAnsi="Times New Roman"/>
                <w:color w:val="000000"/>
                <w:sz w:val="18"/>
                <w:szCs w:val="18"/>
              </w:rPr>
              <w:t>8.3 </w:t>
            </w:r>
          </w:p>
        </w:tc>
        <w:tc>
          <w:tcPr>
            <w:tcW w:w="0" w:type="auto"/>
            <w:shd w:val="clear" w:color="auto" w:fill="D7E4BC"/>
            <w:tcMar>
              <w:top w:w="40" w:type="dxa"/>
              <w:left w:w="0" w:type="dxa"/>
              <w:bottom w:w="40" w:type="dxa"/>
              <w:right w:w="20" w:type="dxa"/>
            </w:tcMar>
            <w:vAlign w:val="bottom"/>
          </w:tcPr>
          <w:p w14:paraId="00BAED6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D6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D6B" w14:textId="77777777" w:rsidR="00871BDF" w:rsidRDefault="005C5088">
            <w:pPr>
              <w:jc w:val="right"/>
              <w:textAlignment w:val="bottom"/>
            </w:pPr>
            <w:r>
              <w:rPr>
                <w:rFonts w:ascii="Times New Roman" w:eastAsia="宋体" w:hAnsi="Times New Roman"/>
                <w:color w:val="000000"/>
                <w:sz w:val="18"/>
                <w:szCs w:val="18"/>
              </w:rPr>
              <w:t>8.3 </w:t>
            </w:r>
          </w:p>
        </w:tc>
        <w:tc>
          <w:tcPr>
            <w:tcW w:w="0" w:type="auto"/>
            <w:shd w:val="clear" w:color="auto" w:fill="D7E4BC"/>
            <w:tcMar>
              <w:top w:w="40" w:type="dxa"/>
              <w:left w:w="0" w:type="dxa"/>
              <w:bottom w:w="40" w:type="dxa"/>
              <w:right w:w="20" w:type="dxa"/>
            </w:tcMar>
            <w:vAlign w:val="bottom"/>
          </w:tcPr>
          <w:p w14:paraId="00BAED6C" w14:textId="77777777" w:rsidR="00871BDF" w:rsidRDefault="00871BDF">
            <w:pPr>
              <w:jc w:val="right"/>
              <w:rPr>
                <w:rFonts w:ascii="宋体"/>
              </w:rPr>
            </w:pPr>
          </w:p>
        </w:tc>
      </w:tr>
      <w:tr w:rsidR="005C5088" w14:paraId="00BAED8D" w14:textId="77777777">
        <w:trPr>
          <w:jc w:val="center"/>
        </w:trPr>
        <w:tc>
          <w:tcPr>
            <w:tcW w:w="0" w:type="auto"/>
            <w:gridSpan w:val="3"/>
            <w:shd w:val="clear" w:color="auto" w:fill="FFFFFF"/>
            <w:tcMar>
              <w:top w:w="40" w:type="dxa"/>
              <w:left w:w="20" w:type="dxa"/>
              <w:bottom w:w="40" w:type="dxa"/>
              <w:right w:w="20" w:type="dxa"/>
            </w:tcMar>
            <w:vAlign w:val="bottom"/>
          </w:tcPr>
          <w:p w14:paraId="00BAED6E" w14:textId="77777777" w:rsidR="00871BDF" w:rsidRDefault="005C5088">
            <w:pPr>
              <w:textAlignment w:val="bottom"/>
            </w:pPr>
            <w:r>
              <w:rPr>
                <w:rFonts w:ascii="Times New Roman" w:eastAsia="宋体" w:hAnsi="Times New Roman"/>
                <w:b/>
                <w:bCs/>
                <w:color w:val="000000"/>
                <w:sz w:val="18"/>
                <w:szCs w:val="18"/>
              </w:rPr>
              <w:t>Balance, September 27, 2020</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0BAED6F" w14:textId="77777777" w:rsidR="00871BDF" w:rsidRDefault="005C5088">
            <w:pPr>
              <w:jc w:val="right"/>
              <w:textAlignment w:val="bottom"/>
            </w:pPr>
            <w:r>
              <w:rPr>
                <w:rFonts w:ascii="Times New Roman" w:eastAsia="宋体" w:hAnsi="Times New Roman"/>
                <w:color w:val="000000"/>
                <w:sz w:val="18"/>
                <w:szCs w:val="18"/>
              </w:rPr>
              <w:t>1,173.3 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0BAED7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71" w14:textId="77777777" w:rsidR="00871BDF" w:rsidRDefault="00871B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0BAED72"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0BAED73" w14:textId="77777777" w:rsidR="00871BDF" w:rsidRDefault="005C5088">
            <w:pPr>
              <w:jc w:val="right"/>
              <w:textAlignment w:val="bottom"/>
            </w:pPr>
            <w:r>
              <w:rPr>
                <w:rFonts w:ascii="Times New Roman" w:eastAsia="宋体" w:hAnsi="Times New Roman"/>
                <w:color w:val="000000"/>
                <w:sz w:val="18"/>
                <w:szCs w:val="18"/>
              </w:rPr>
              <w:t>1.2 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0BAED7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75" w14:textId="77777777" w:rsidR="00871BDF" w:rsidRDefault="00871B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0BAED76"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0BAED77" w14:textId="77777777" w:rsidR="00871BDF" w:rsidRDefault="005C5088">
            <w:pPr>
              <w:jc w:val="right"/>
              <w:textAlignment w:val="bottom"/>
            </w:pPr>
            <w:r>
              <w:rPr>
                <w:rFonts w:ascii="Times New Roman" w:eastAsia="宋体" w:hAnsi="Times New Roman"/>
                <w:color w:val="000000"/>
                <w:sz w:val="18"/>
                <w:szCs w:val="18"/>
              </w:rPr>
              <w:t>373.9 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0BAED7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79" w14:textId="77777777" w:rsidR="00871BDF" w:rsidRDefault="00871B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0BAED7A"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0BAED7B" w14:textId="77777777" w:rsidR="00871BDF" w:rsidRDefault="005C5088">
            <w:pPr>
              <w:jc w:val="right"/>
              <w:textAlignment w:val="bottom"/>
            </w:pPr>
            <w:r>
              <w:rPr>
                <w:rFonts w:ascii="Times New Roman" w:eastAsia="宋体" w:hAnsi="Times New Roman"/>
                <w:color w:val="000000"/>
                <w:sz w:val="18"/>
                <w:szCs w:val="18"/>
              </w:rPr>
              <w:t>(7,815.6)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0BAED7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7D" w14:textId="77777777" w:rsidR="00871BDF" w:rsidRDefault="00871B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0BAED7E"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0BAED7F" w14:textId="77777777" w:rsidR="00871BDF" w:rsidRDefault="005C5088">
            <w:pPr>
              <w:jc w:val="right"/>
              <w:textAlignment w:val="bottom"/>
            </w:pPr>
            <w:r>
              <w:rPr>
                <w:rFonts w:ascii="Times New Roman" w:eastAsia="宋体" w:hAnsi="Times New Roman"/>
                <w:color w:val="000000"/>
                <w:sz w:val="18"/>
                <w:szCs w:val="18"/>
              </w:rPr>
              <w:t>(364.6)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0BAED8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81" w14:textId="77777777" w:rsidR="00871BDF" w:rsidRDefault="00871B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0BAED82"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0BAED83" w14:textId="77777777" w:rsidR="00871BDF" w:rsidRDefault="005C5088">
            <w:pPr>
              <w:jc w:val="right"/>
              <w:textAlignment w:val="bottom"/>
            </w:pPr>
            <w:r>
              <w:rPr>
                <w:rFonts w:ascii="Times New Roman" w:eastAsia="宋体" w:hAnsi="Times New Roman"/>
                <w:color w:val="000000"/>
                <w:sz w:val="18"/>
                <w:szCs w:val="18"/>
              </w:rPr>
              <w:t>(7,805.1)</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0BAED8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85" w14:textId="77777777" w:rsidR="00871BDF" w:rsidRDefault="00871B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0BAED86"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0BAED87" w14:textId="77777777" w:rsidR="00871BDF" w:rsidRDefault="005C5088">
            <w:pPr>
              <w:jc w:val="right"/>
              <w:textAlignment w:val="bottom"/>
            </w:pPr>
            <w:r>
              <w:rPr>
                <w:rFonts w:ascii="Times New Roman" w:eastAsia="宋体" w:hAnsi="Times New Roman"/>
                <w:color w:val="000000"/>
                <w:sz w:val="18"/>
                <w:szCs w:val="18"/>
              </w:rPr>
              <w:t>5.7 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0BAED8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D89" w14:textId="77777777" w:rsidR="00871BDF" w:rsidRDefault="00871BD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0BAED8A" w14:textId="77777777" w:rsidR="00871BDF" w:rsidRDefault="005C5088">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0BAED8B" w14:textId="77777777" w:rsidR="00871BDF" w:rsidRDefault="005C5088">
            <w:pPr>
              <w:jc w:val="right"/>
              <w:textAlignment w:val="bottom"/>
            </w:pPr>
            <w:r>
              <w:rPr>
                <w:rFonts w:ascii="Times New Roman" w:eastAsia="宋体" w:hAnsi="Times New Roman"/>
                <w:color w:val="000000"/>
                <w:sz w:val="18"/>
                <w:szCs w:val="18"/>
              </w:rPr>
              <w:t>(7,799.4)</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0BAED8C" w14:textId="77777777" w:rsidR="00871BDF" w:rsidRDefault="00871BDF">
            <w:pPr>
              <w:jc w:val="right"/>
              <w:rPr>
                <w:rFonts w:ascii="宋体"/>
              </w:rPr>
            </w:pPr>
          </w:p>
        </w:tc>
      </w:tr>
    </w:tbl>
    <w:p w14:paraId="00BAED8E" w14:textId="77777777" w:rsidR="00871BDF" w:rsidRDefault="005C5088">
      <w:pPr>
        <w:spacing w:before="100"/>
        <w:jc w:val="center"/>
      </w:pPr>
      <w:r>
        <w:rPr>
          <w:rFonts w:ascii="Times New Roman" w:eastAsia="宋体" w:hAnsi="Times New Roman"/>
          <w:color w:val="000000"/>
          <w:sz w:val="20"/>
          <w:szCs w:val="20"/>
        </w:rPr>
        <w:t>See Notes to Consolidated Financial Statements.</w:t>
      </w:r>
    </w:p>
    <w:p w14:paraId="00BAED8F" w14:textId="77777777" w:rsidR="00871BDF" w:rsidRDefault="005C5088">
      <w:pPr>
        <w:jc w:val="center"/>
      </w:pPr>
      <w:r>
        <w:rPr>
          <w:rFonts w:ascii="Times New Roman" w:eastAsia="宋体" w:hAnsi="Times New Roman"/>
          <w:color w:val="000000"/>
          <w:sz w:val="20"/>
          <w:szCs w:val="20"/>
        </w:rPr>
        <w:t>51</w:t>
      </w:r>
    </w:p>
    <w:p w14:paraId="00BAED90" w14:textId="77777777" w:rsidR="00871BDF" w:rsidRDefault="005C5088">
      <w:r>
        <w:pict w14:anchorId="00BB1498">
          <v:rect id="_x0000_i1078" style="width:415.3pt;height:1.5pt" o:hralign="center" o:hrstd="t" o:hr="t" fillcolor="#a0a0a0" stroked="f"/>
        </w:pict>
      </w:r>
    </w:p>
    <w:p w14:paraId="00BAED91" w14:textId="77777777" w:rsidR="00871BDF" w:rsidRDefault="005C5088">
      <w:hyperlink r:id="rId134" w:anchor="i54ccc64cb5384be5a4849ef1cdef4dde_7" w:history="1">
        <w:r>
          <w:rPr>
            <w:rStyle w:val="a5"/>
            <w:rFonts w:ascii="Times New Roman" w:eastAsia="宋体" w:hAnsi="Times New Roman"/>
            <w:sz w:val="20"/>
            <w:szCs w:val="20"/>
          </w:rPr>
          <w:t>Table of Contents</w:t>
        </w:r>
      </w:hyperlink>
    </w:p>
    <w:p w14:paraId="00BAED92" w14:textId="77777777" w:rsidR="00871BDF" w:rsidRDefault="005C5088">
      <w:pPr>
        <w:jc w:val="center"/>
      </w:pPr>
      <w:r>
        <w:rPr>
          <w:rFonts w:ascii="Times New Roman" w:eastAsia="宋体" w:hAnsi="Times New Roman"/>
          <w:b/>
          <w:bCs/>
          <w:color w:val="000000"/>
          <w:sz w:val="20"/>
          <w:szCs w:val="20"/>
        </w:rPr>
        <w:t>STARBUCKS CORPORATION</w:t>
      </w:r>
    </w:p>
    <w:p w14:paraId="00BAED93" w14:textId="77777777" w:rsidR="00871BDF" w:rsidRDefault="005C5088">
      <w:pPr>
        <w:jc w:val="center"/>
      </w:pPr>
      <w:r>
        <w:rPr>
          <w:rFonts w:ascii="Times New Roman" w:eastAsia="宋体" w:hAnsi="Times New Roman"/>
          <w:b/>
          <w:bCs/>
          <w:color w:val="000000"/>
          <w:sz w:val="20"/>
          <w:szCs w:val="20"/>
        </w:rPr>
        <w:t>INDEX FOR NOTES TO CONSOLIDATED FINANCIAL STATEMENTS</w:t>
      </w:r>
    </w:p>
    <w:p w14:paraId="00BAED94" w14:textId="77777777" w:rsidR="00871BDF" w:rsidRDefault="00871BDF">
      <w:pPr>
        <w:jc w:val="center"/>
      </w:pP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686"/>
        <w:gridCol w:w="36"/>
        <w:gridCol w:w="69"/>
        <w:gridCol w:w="6879"/>
        <w:gridCol w:w="38"/>
        <w:gridCol w:w="69"/>
        <w:gridCol w:w="430"/>
        <w:gridCol w:w="36"/>
      </w:tblGrid>
      <w:tr w:rsidR="00871BDF" w14:paraId="00BAED9E" w14:textId="77777777">
        <w:trPr>
          <w:jc w:val="center"/>
        </w:trPr>
        <w:tc>
          <w:tcPr>
            <w:tcW w:w="50" w:type="pct"/>
            <w:shd w:val="clear" w:color="auto" w:fill="auto"/>
          </w:tcPr>
          <w:p w14:paraId="00BAED95" w14:textId="77777777" w:rsidR="00871BDF" w:rsidRDefault="00871BDF">
            <w:pPr>
              <w:rPr>
                <w:rFonts w:ascii="宋体"/>
              </w:rPr>
            </w:pPr>
          </w:p>
        </w:tc>
        <w:tc>
          <w:tcPr>
            <w:tcW w:w="421" w:type="pct"/>
            <w:shd w:val="clear" w:color="auto" w:fill="auto"/>
          </w:tcPr>
          <w:p w14:paraId="00BAED96" w14:textId="77777777" w:rsidR="00871BDF" w:rsidRDefault="00871BDF">
            <w:pPr>
              <w:rPr>
                <w:rFonts w:ascii="宋体"/>
              </w:rPr>
            </w:pPr>
          </w:p>
        </w:tc>
        <w:tc>
          <w:tcPr>
            <w:tcW w:w="5" w:type="pct"/>
            <w:shd w:val="clear" w:color="auto" w:fill="auto"/>
          </w:tcPr>
          <w:p w14:paraId="00BAED97" w14:textId="77777777" w:rsidR="00871BDF" w:rsidRDefault="00871BDF">
            <w:pPr>
              <w:rPr>
                <w:rFonts w:ascii="宋体"/>
              </w:rPr>
            </w:pPr>
          </w:p>
        </w:tc>
        <w:tc>
          <w:tcPr>
            <w:tcW w:w="50" w:type="pct"/>
            <w:shd w:val="clear" w:color="auto" w:fill="auto"/>
          </w:tcPr>
          <w:p w14:paraId="00BAED98" w14:textId="77777777" w:rsidR="00871BDF" w:rsidRDefault="00871BDF">
            <w:pPr>
              <w:rPr>
                <w:rFonts w:ascii="宋体"/>
              </w:rPr>
            </w:pPr>
          </w:p>
        </w:tc>
        <w:tc>
          <w:tcPr>
            <w:tcW w:w="4145" w:type="pct"/>
            <w:shd w:val="clear" w:color="auto" w:fill="auto"/>
          </w:tcPr>
          <w:p w14:paraId="00BAED99" w14:textId="77777777" w:rsidR="00871BDF" w:rsidRDefault="00871BDF">
            <w:pPr>
              <w:rPr>
                <w:rFonts w:ascii="宋体"/>
              </w:rPr>
            </w:pPr>
          </w:p>
        </w:tc>
        <w:tc>
          <w:tcPr>
            <w:tcW w:w="5" w:type="pct"/>
            <w:shd w:val="clear" w:color="auto" w:fill="auto"/>
          </w:tcPr>
          <w:p w14:paraId="00BAED9A" w14:textId="77777777" w:rsidR="00871BDF" w:rsidRDefault="00871BDF">
            <w:pPr>
              <w:rPr>
                <w:rFonts w:ascii="宋体"/>
              </w:rPr>
            </w:pPr>
          </w:p>
        </w:tc>
        <w:tc>
          <w:tcPr>
            <w:tcW w:w="50" w:type="pct"/>
            <w:shd w:val="clear" w:color="auto" w:fill="auto"/>
          </w:tcPr>
          <w:p w14:paraId="00BAED9B" w14:textId="77777777" w:rsidR="00871BDF" w:rsidRDefault="00871BDF">
            <w:pPr>
              <w:rPr>
                <w:rFonts w:ascii="宋体"/>
              </w:rPr>
            </w:pPr>
          </w:p>
        </w:tc>
        <w:tc>
          <w:tcPr>
            <w:tcW w:w="267" w:type="pct"/>
            <w:shd w:val="clear" w:color="auto" w:fill="auto"/>
          </w:tcPr>
          <w:p w14:paraId="00BAED9C" w14:textId="77777777" w:rsidR="00871BDF" w:rsidRDefault="00871BDF">
            <w:pPr>
              <w:rPr>
                <w:rFonts w:ascii="宋体"/>
              </w:rPr>
            </w:pPr>
          </w:p>
        </w:tc>
        <w:tc>
          <w:tcPr>
            <w:tcW w:w="5" w:type="pct"/>
            <w:shd w:val="clear" w:color="auto" w:fill="auto"/>
          </w:tcPr>
          <w:p w14:paraId="00BAED9D" w14:textId="77777777" w:rsidR="00871BDF" w:rsidRDefault="00871BDF">
            <w:pPr>
              <w:rPr>
                <w:rFonts w:ascii="宋体"/>
              </w:rPr>
            </w:pPr>
          </w:p>
        </w:tc>
      </w:tr>
      <w:tr w:rsidR="00871BDF" w14:paraId="00BAEDA2" w14:textId="77777777">
        <w:trPr>
          <w:jc w:val="center"/>
        </w:trPr>
        <w:tc>
          <w:tcPr>
            <w:tcW w:w="0" w:type="auto"/>
            <w:gridSpan w:val="3"/>
            <w:shd w:val="clear" w:color="auto" w:fill="auto"/>
            <w:tcMar>
              <w:top w:w="40" w:type="dxa"/>
              <w:left w:w="20" w:type="dxa"/>
              <w:bottom w:w="40" w:type="dxa"/>
              <w:right w:w="20" w:type="dxa"/>
            </w:tcMar>
            <w:vAlign w:val="bottom"/>
          </w:tcPr>
          <w:p w14:paraId="00BAED9F" w14:textId="77777777" w:rsidR="00871BDF" w:rsidRDefault="005C5088">
            <w:pPr>
              <w:textAlignment w:val="bottom"/>
            </w:pPr>
            <w:r>
              <w:rPr>
                <w:rFonts w:ascii="Times New Roman" w:eastAsia="宋体" w:hAnsi="Times New Roman"/>
                <w:b/>
                <w:bCs/>
                <w:color w:val="00704A"/>
                <w:sz w:val="20"/>
                <w:szCs w:val="20"/>
              </w:rPr>
              <w:t>Note 1</w:t>
            </w:r>
          </w:p>
        </w:tc>
        <w:tc>
          <w:tcPr>
            <w:tcW w:w="0" w:type="auto"/>
            <w:gridSpan w:val="3"/>
            <w:shd w:val="clear" w:color="auto" w:fill="auto"/>
            <w:tcMar>
              <w:top w:w="40" w:type="dxa"/>
              <w:left w:w="20" w:type="dxa"/>
              <w:bottom w:w="40" w:type="dxa"/>
              <w:right w:w="20" w:type="dxa"/>
            </w:tcMar>
            <w:vAlign w:val="bottom"/>
          </w:tcPr>
          <w:p w14:paraId="00BAEDA0" w14:textId="77777777" w:rsidR="00871BDF" w:rsidRDefault="005C5088">
            <w:pPr>
              <w:textAlignment w:val="bottom"/>
            </w:pPr>
            <w:hyperlink r:id="rId135" w:anchor="i54ccc64cb5384be5a4849ef1cdef4dde_130" w:history="1">
              <w:r>
                <w:rPr>
                  <w:rStyle w:val="a5"/>
                  <w:rFonts w:ascii="Times New Roman" w:eastAsia="宋体" w:hAnsi="Times New Roman"/>
                  <w:sz w:val="20"/>
                  <w:szCs w:val="20"/>
                </w:rPr>
                <w:t>Summary of Significant Accounting Policies</w:t>
              </w:r>
            </w:hyperlink>
          </w:p>
        </w:tc>
        <w:tc>
          <w:tcPr>
            <w:tcW w:w="0" w:type="auto"/>
            <w:gridSpan w:val="3"/>
            <w:shd w:val="clear" w:color="auto" w:fill="auto"/>
            <w:tcMar>
              <w:top w:w="40" w:type="dxa"/>
              <w:left w:w="20" w:type="dxa"/>
              <w:bottom w:w="40" w:type="dxa"/>
              <w:right w:w="20" w:type="dxa"/>
            </w:tcMar>
            <w:vAlign w:val="bottom"/>
          </w:tcPr>
          <w:p w14:paraId="00BAEDA1" w14:textId="77777777" w:rsidR="00871BDF" w:rsidRDefault="005C5088">
            <w:pPr>
              <w:jc w:val="right"/>
              <w:textAlignment w:val="bottom"/>
            </w:pPr>
            <w:hyperlink r:id="rId136" w:anchor="i54ccc64cb5384be5a4849ef1cdef4dde_130" w:history="1">
              <w:r>
                <w:rPr>
                  <w:rStyle w:val="a5"/>
                  <w:rFonts w:ascii="Times New Roman" w:eastAsia="宋体" w:hAnsi="Times New Roman"/>
                  <w:sz w:val="20"/>
                  <w:szCs w:val="20"/>
                </w:rPr>
                <w:t>53</w:t>
              </w:r>
            </w:hyperlink>
          </w:p>
        </w:tc>
      </w:tr>
      <w:tr w:rsidR="00871BDF" w14:paraId="00BAEDA6" w14:textId="77777777">
        <w:trPr>
          <w:jc w:val="center"/>
        </w:trPr>
        <w:tc>
          <w:tcPr>
            <w:tcW w:w="0" w:type="auto"/>
            <w:gridSpan w:val="3"/>
            <w:shd w:val="clear" w:color="auto" w:fill="auto"/>
            <w:tcMar>
              <w:top w:w="40" w:type="dxa"/>
              <w:left w:w="20" w:type="dxa"/>
              <w:bottom w:w="40" w:type="dxa"/>
              <w:right w:w="20" w:type="dxa"/>
            </w:tcMar>
            <w:vAlign w:val="bottom"/>
          </w:tcPr>
          <w:p w14:paraId="00BAEDA3" w14:textId="77777777" w:rsidR="00871BDF" w:rsidRDefault="005C5088">
            <w:pPr>
              <w:textAlignment w:val="bottom"/>
            </w:pPr>
            <w:r>
              <w:rPr>
                <w:rFonts w:ascii="Times New Roman" w:eastAsia="宋体" w:hAnsi="Times New Roman"/>
                <w:b/>
                <w:bCs/>
                <w:color w:val="00704A"/>
                <w:sz w:val="20"/>
                <w:szCs w:val="20"/>
              </w:rPr>
              <w:t>Note 2</w:t>
            </w:r>
          </w:p>
        </w:tc>
        <w:tc>
          <w:tcPr>
            <w:tcW w:w="0" w:type="auto"/>
            <w:gridSpan w:val="3"/>
            <w:shd w:val="clear" w:color="auto" w:fill="auto"/>
            <w:tcMar>
              <w:top w:w="40" w:type="dxa"/>
              <w:left w:w="20" w:type="dxa"/>
              <w:bottom w:w="40" w:type="dxa"/>
              <w:right w:w="20" w:type="dxa"/>
            </w:tcMar>
            <w:vAlign w:val="bottom"/>
          </w:tcPr>
          <w:p w14:paraId="00BAEDA4" w14:textId="77777777" w:rsidR="00871BDF" w:rsidRDefault="005C5088">
            <w:pPr>
              <w:textAlignment w:val="bottom"/>
            </w:pPr>
            <w:hyperlink r:id="rId137" w:anchor="i54ccc64cb5384be5a4849ef1cdef4dde_136" w:history="1">
              <w:r>
                <w:rPr>
                  <w:rStyle w:val="a5"/>
                  <w:rFonts w:ascii="Times New Roman" w:eastAsia="宋体" w:hAnsi="Times New Roman"/>
                  <w:sz w:val="20"/>
                  <w:szCs w:val="20"/>
                </w:rPr>
                <w:t>Acquisitions, Divestitures and Strategic Alliance</w:t>
              </w:r>
            </w:hyperlink>
          </w:p>
        </w:tc>
        <w:tc>
          <w:tcPr>
            <w:tcW w:w="0" w:type="auto"/>
            <w:gridSpan w:val="3"/>
            <w:shd w:val="clear" w:color="auto" w:fill="auto"/>
            <w:tcMar>
              <w:top w:w="40" w:type="dxa"/>
              <w:left w:w="20" w:type="dxa"/>
              <w:bottom w:w="40" w:type="dxa"/>
              <w:right w:w="20" w:type="dxa"/>
            </w:tcMar>
            <w:vAlign w:val="bottom"/>
          </w:tcPr>
          <w:p w14:paraId="00BAEDA5" w14:textId="77777777" w:rsidR="00871BDF" w:rsidRDefault="005C5088">
            <w:pPr>
              <w:jc w:val="right"/>
              <w:textAlignment w:val="bottom"/>
            </w:pPr>
            <w:hyperlink r:id="rId138" w:anchor="i54ccc64cb5384be5a4849ef1cdef4dde_136" w:history="1">
              <w:r>
                <w:rPr>
                  <w:rStyle w:val="a5"/>
                  <w:rFonts w:ascii="Times New Roman" w:eastAsia="宋体" w:hAnsi="Times New Roman"/>
                  <w:sz w:val="20"/>
                  <w:szCs w:val="20"/>
                </w:rPr>
                <w:t>63</w:t>
              </w:r>
            </w:hyperlink>
          </w:p>
        </w:tc>
      </w:tr>
      <w:tr w:rsidR="00871BDF" w14:paraId="00BAEDAA" w14:textId="77777777">
        <w:trPr>
          <w:jc w:val="center"/>
        </w:trPr>
        <w:tc>
          <w:tcPr>
            <w:tcW w:w="0" w:type="auto"/>
            <w:gridSpan w:val="3"/>
            <w:shd w:val="clear" w:color="auto" w:fill="auto"/>
            <w:tcMar>
              <w:top w:w="40" w:type="dxa"/>
              <w:left w:w="20" w:type="dxa"/>
              <w:bottom w:w="40" w:type="dxa"/>
              <w:right w:w="20" w:type="dxa"/>
            </w:tcMar>
            <w:vAlign w:val="bottom"/>
          </w:tcPr>
          <w:p w14:paraId="00BAEDA7" w14:textId="77777777" w:rsidR="00871BDF" w:rsidRDefault="005C5088">
            <w:pPr>
              <w:textAlignment w:val="bottom"/>
            </w:pPr>
            <w:r>
              <w:rPr>
                <w:rFonts w:ascii="Times New Roman" w:eastAsia="宋体" w:hAnsi="Times New Roman"/>
                <w:b/>
                <w:bCs/>
                <w:color w:val="00704A"/>
                <w:sz w:val="20"/>
                <w:szCs w:val="20"/>
              </w:rPr>
              <w:t>Note 3</w:t>
            </w:r>
          </w:p>
        </w:tc>
        <w:tc>
          <w:tcPr>
            <w:tcW w:w="0" w:type="auto"/>
            <w:gridSpan w:val="3"/>
            <w:shd w:val="clear" w:color="auto" w:fill="auto"/>
            <w:tcMar>
              <w:top w:w="40" w:type="dxa"/>
              <w:left w:w="20" w:type="dxa"/>
              <w:bottom w:w="40" w:type="dxa"/>
              <w:right w:w="20" w:type="dxa"/>
            </w:tcMar>
            <w:vAlign w:val="bottom"/>
          </w:tcPr>
          <w:p w14:paraId="00BAEDA8" w14:textId="77777777" w:rsidR="00871BDF" w:rsidRDefault="005C5088">
            <w:pPr>
              <w:textAlignment w:val="bottom"/>
            </w:pPr>
            <w:hyperlink r:id="rId139" w:anchor="i54ccc64cb5384be5a4849ef1cdef4dde_142" w:history="1">
              <w:r>
                <w:rPr>
                  <w:rStyle w:val="a5"/>
                  <w:rFonts w:ascii="Times New Roman" w:eastAsia="宋体" w:hAnsi="Times New Roman"/>
                  <w:sz w:val="20"/>
                  <w:szCs w:val="20"/>
                </w:rPr>
                <w:t>Derivative Financial Instruments</w:t>
              </w:r>
            </w:hyperlink>
          </w:p>
        </w:tc>
        <w:tc>
          <w:tcPr>
            <w:tcW w:w="0" w:type="auto"/>
            <w:gridSpan w:val="3"/>
            <w:shd w:val="clear" w:color="auto" w:fill="auto"/>
            <w:tcMar>
              <w:top w:w="40" w:type="dxa"/>
              <w:left w:w="20" w:type="dxa"/>
              <w:bottom w:w="40" w:type="dxa"/>
              <w:right w:w="20" w:type="dxa"/>
            </w:tcMar>
            <w:vAlign w:val="bottom"/>
          </w:tcPr>
          <w:p w14:paraId="00BAEDA9" w14:textId="77777777" w:rsidR="00871BDF" w:rsidRDefault="005C5088">
            <w:pPr>
              <w:jc w:val="right"/>
              <w:textAlignment w:val="bottom"/>
            </w:pPr>
            <w:hyperlink r:id="rId140" w:anchor="i54ccc64cb5384be5a4849ef1cdef4dde_142" w:history="1">
              <w:r>
                <w:rPr>
                  <w:rStyle w:val="a5"/>
                  <w:rFonts w:ascii="Times New Roman" w:eastAsia="宋体" w:hAnsi="Times New Roman"/>
                  <w:sz w:val="20"/>
                  <w:szCs w:val="20"/>
                </w:rPr>
                <w:t>65</w:t>
              </w:r>
            </w:hyperlink>
          </w:p>
        </w:tc>
      </w:tr>
      <w:tr w:rsidR="00871BDF" w14:paraId="00BAEDAE" w14:textId="77777777">
        <w:trPr>
          <w:jc w:val="center"/>
        </w:trPr>
        <w:tc>
          <w:tcPr>
            <w:tcW w:w="0" w:type="auto"/>
            <w:gridSpan w:val="3"/>
            <w:shd w:val="clear" w:color="auto" w:fill="auto"/>
            <w:tcMar>
              <w:top w:w="40" w:type="dxa"/>
              <w:left w:w="20" w:type="dxa"/>
              <w:bottom w:w="40" w:type="dxa"/>
              <w:right w:w="20" w:type="dxa"/>
            </w:tcMar>
            <w:vAlign w:val="bottom"/>
          </w:tcPr>
          <w:p w14:paraId="00BAEDAB" w14:textId="77777777" w:rsidR="00871BDF" w:rsidRDefault="005C5088">
            <w:pPr>
              <w:textAlignment w:val="bottom"/>
            </w:pPr>
            <w:r>
              <w:rPr>
                <w:rFonts w:ascii="Times New Roman" w:eastAsia="宋体" w:hAnsi="Times New Roman"/>
                <w:b/>
                <w:bCs/>
                <w:color w:val="00704A"/>
                <w:sz w:val="20"/>
                <w:szCs w:val="20"/>
              </w:rPr>
              <w:t>Note 4</w:t>
            </w:r>
          </w:p>
        </w:tc>
        <w:tc>
          <w:tcPr>
            <w:tcW w:w="0" w:type="auto"/>
            <w:gridSpan w:val="3"/>
            <w:shd w:val="clear" w:color="auto" w:fill="auto"/>
            <w:tcMar>
              <w:top w:w="40" w:type="dxa"/>
              <w:left w:w="20" w:type="dxa"/>
              <w:bottom w:w="40" w:type="dxa"/>
              <w:right w:w="20" w:type="dxa"/>
            </w:tcMar>
            <w:vAlign w:val="bottom"/>
          </w:tcPr>
          <w:p w14:paraId="00BAEDAC" w14:textId="77777777" w:rsidR="00871BDF" w:rsidRDefault="005C5088">
            <w:pPr>
              <w:textAlignment w:val="bottom"/>
            </w:pPr>
            <w:hyperlink r:id="rId141" w:anchor="i54ccc64cb5384be5a4849ef1cdef4dde_145" w:history="1">
              <w:r>
                <w:rPr>
                  <w:rStyle w:val="a5"/>
                  <w:rFonts w:ascii="Times New Roman" w:eastAsia="宋体" w:hAnsi="Times New Roman"/>
                  <w:sz w:val="20"/>
                  <w:szCs w:val="20"/>
                </w:rPr>
                <w:t>Fair Value Measurements</w:t>
              </w:r>
            </w:hyperlink>
          </w:p>
        </w:tc>
        <w:tc>
          <w:tcPr>
            <w:tcW w:w="0" w:type="auto"/>
            <w:gridSpan w:val="3"/>
            <w:shd w:val="clear" w:color="auto" w:fill="auto"/>
            <w:tcMar>
              <w:top w:w="40" w:type="dxa"/>
              <w:left w:w="20" w:type="dxa"/>
              <w:bottom w:w="40" w:type="dxa"/>
              <w:right w:w="20" w:type="dxa"/>
            </w:tcMar>
            <w:vAlign w:val="bottom"/>
          </w:tcPr>
          <w:p w14:paraId="00BAEDAD" w14:textId="77777777" w:rsidR="00871BDF" w:rsidRDefault="005C5088">
            <w:pPr>
              <w:jc w:val="right"/>
              <w:textAlignment w:val="bottom"/>
            </w:pPr>
            <w:hyperlink r:id="rId142" w:anchor="i54ccc64cb5384be5a4849ef1cdef4dde_145" w:history="1">
              <w:r>
                <w:rPr>
                  <w:rStyle w:val="a5"/>
                  <w:rFonts w:ascii="Times New Roman" w:eastAsia="宋体" w:hAnsi="Times New Roman"/>
                  <w:sz w:val="20"/>
                  <w:szCs w:val="20"/>
                </w:rPr>
                <w:t>69</w:t>
              </w:r>
            </w:hyperlink>
          </w:p>
        </w:tc>
      </w:tr>
      <w:tr w:rsidR="00871BDF" w14:paraId="00BAEDB2" w14:textId="77777777">
        <w:trPr>
          <w:jc w:val="center"/>
        </w:trPr>
        <w:tc>
          <w:tcPr>
            <w:tcW w:w="0" w:type="auto"/>
            <w:gridSpan w:val="3"/>
            <w:shd w:val="clear" w:color="auto" w:fill="auto"/>
            <w:tcMar>
              <w:top w:w="40" w:type="dxa"/>
              <w:left w:w="20" w:type="dxa"/>
              <w:bottom w:w="40" w:type="dxa"/>
              <w:right w:w="20" w:type="dxa"/>
            </w:tcMar>
            <w:vAlign w:val="bottom"/>
          </w:tcPr>
          <w:p w14:paraId="00BAEDAF" w14:textId="77777777" w:rsidR="00871BDF" w:rsidRDefault="005C5088">
            <w:pPr>
              <w:textAlignment w:val="bottom"/>
            </w:pPr>
            <w:r>
              <w:rPr>
                <w:rFonts w:ascii="Times New Roman" w:eastAsia="宋体" w:hAnsi="Times New Roman"/>
                <w:b/>
                <w:bCs/>
                <w:color w:val="00704A"/>
                <w:sz w:val="20"/>
                <w:szCs w:val="20"/>
              </w:rPr>
              <w:t>Note 5</w:t>
            </w:r>
          </w:p>
        </w:tc>
        <w:tc>
          <w:tcPr>
            <w:tcW w:w="0" w:type="auto"/>
            <w:gridSpan w:val="3"/>
            <w:shd w:val="clear" w:color="auto" w:fill="auto"/>
            <w:tcMar>
              <w:top w:w="40" w:type="dxa"/>
              <w:left w:w="20" w:type="dxa"/>
              <w:bottom w:w="40" w:type="dxa"/>
              <w:right w:w="20" w:type="dxa"/>
            </w:tcMar>
            <w:vAlign w:val="bottom"/>
          </w:tcPr>
          <w:p w14:paraId="00BAEDB0" w14:textId="77777777" w:rsidR="00871BDF" w:rsidRDefault="005C5088">
            <w:pPr>
              <w:textAlignment w:val="bottom"/>
            </w:pPr>
            <w:hyperlink r:id="rId143" w:anchor="i54ccc64cb5384be5a4849ef1cdef4dde_148" w:history="1">
              <w:r>
                <w:rPr>
                  <w:rStyle w:val="a5"/>
                  <w:rFonts w:ascii="Times New Roman" w:eastAsia="宋体" w:hAnsi="Times New Roman"/>
                  <w:sz w:val="20"/>
                  <w:szCs w:val="20"/>
                </w:rPr>
                <w:t>Inventories</w:t>
              </w:r>
            </w:hyperlink>
          </w:p>
        </w:tc>
        <w:tc>
          <w:tcPr>
            <w:tcW w:w="0" w:type="auto"/>
            <w:gridSpan w:val="3"/>
            <w:shd w:val="clear" w:color="auto" w:fill="auto"/>
            <w:tcMar>
              <w:top w:w="40" w:type="dxa"/>
              <w:left w:w="20" w:type="dxa"/>
              <w:bottom w:w="40" w:type="dxa"/>
              <w:right w:w="20" w:type="dxa"/>
            </w:tcMar>
            <w:vAlign w:val="bottom"/>
          </w:tcPr>
          <w:p w14:paraId="00BAEDB1" w14:textId="77777777" w:rsidR="00871BDF" w:rsidRDefault="005C5088">
            <w:pPr>
              <w:jc w:val="right"/>
              <w:textAlignment w:val="bottom"/>
            </w:pPr>
            <w:hyperlink r:id="rId144" w:anchor="i54ccc64cb5384be5a4849ef1cdef4dde_148" w:history="1">
              <w:r>
                <w:rPr>
                  <w:rStyle w:val="a5"/>
                  <w:rFonts w:ascii="Times New Roman" w:eastAsia="宋体" w:hAnsi="Times New Roman"/>
                  <w:sz w:val="20"/>
                  <w:szCs w:val="20"/>
                </w:rPr>
                <w:t>71</w:t>
              </w:r>
            </w:hyperlink>
          </w:p>
        </w:tc>
      </w:tr>
      <w:tr w:rsidR="00871BDF" w14:paraId="00BAEDB6" w14:textId="77777777">
        <w:trPr>
          <w:jc w:val="center"/>
        </w:trPr>
        <w:tc>
          <w:tcPr>
            <w:tcW w:w="0" w:type="auto"/>
            <w:gridSpan w:val="3"/>
            <w:shd w:val="clear" w:color="auto" w:fill="auto"/>
            <w:tcMar>
              <w:top w:w="40" w:type="dxa"/>
              <w:left w:w="20" w:type="dxa"/>
              <w:bottom w:w="40" w:type="dxa"/>
              <w:right w:w="20" w:type="dxa"/>
            </w:tcMar>
            <w:vAlign w:val="bottom"/>
          </w:tcPr>
          <w:p w14:paraId="00BAEDB3" w14:textId="77777777" w:rsidR="00871BDF" w:rsidRDefault="005C5088">
            <w:pPr>
              <w:textAlignment w:val="bottom"/>
            </w:pPr>
            <w:r>
              <w:rPr>
                <w:rFonts w:ascii="Times New Roman" w:eastAsia="宋体" w:hAnsi="Times New Roman"/>
                <w:b/>
                <w:bCs/>
                <w:color w:val="00704A"/>
                <w:sz w:val="20"/>
                <w:szCs w:val="20"/>
              </w:rPr>
              <w:t>Note 6</w:t>
            </w:r>
          </w:p>
        </w:tc>
        <w:tc>
          <w:tcPr>
            <w:tcW w:w="0" w:type="auto"/>
            <w:gridSpan w:val="3"/>
            <w:shd w:val="clear" w:color="auto" w:fill="auto"/>
            <w:tcMar>
              <w:top w:w="40" w:type="dxa"/>
              <w:left w:w="20" w:type="dxa"/>
              <w:bottom w:w="40" w:type="dxa"/>
              <w:right w:w="20" w:type="dxa"/>
            </w:tcMar>
            <w:vAlign w:val="bottom"/>
          </w:tcPr>
          <w:p w14:paraId="00BAEDB4" w14:textId="77777777" w:rsidR="00871BDF" w:rsidRDefault="005C5088">
            <w:pPr>
              <w:textAlignment w:val="bottom"/>
            </w:pPr>
            <w:hyperlink r:id="rId145" w:anchor="i54ccc64cb5384be5a4849ef1cdef4dde_151" w:history="1">
              <w:r>
                <w:rPr>
                  <w:rStyle w:val="a5"/>
                  <w:rFonts w:ascii="Times New Roman" w:eastAsia="宋体" w:hAnsi="Times New Roman"/>
                  <w:sz w:val="20"/>
                  <w:szCs w:val="20"/>
                </w:rPr>
                <w:t>Equity</w:t>
              </w:r>
            </w:hyperlink>
            <w:hyperlink r:id="rId146" w:anchor="i54ccc64cb5384be5a4849ef1cdef4dde_151" w:history="1">
              <w:r>
                <w:rPr>
                  <w:rStyle w:val="a5"/>
                  <w:rFonts w:ascii="Times New Roman" w:eastAsia="宋体" w:hAnsi="Times New Roman"/>
                  <w:sz w:val="20"/>
                  <w:szCs w:val="20"/>
                </w:rPr>
                <w:t xml:space="preserve"> Investments</w:t>
              </w:r>
            </w:hyperlink>
          </w:p>
        </w:tc>
        <w:tc>
          <w:tcPr>
            <w:tcW w:w="0" w:type="auto"/>
            <w:gridSpan w:val="3"/>
            <w:shd w:val="clear" w:color="auto" w:fill="auto"/>
            <w:tcMar>
              <w:top w:w="40" w:type="dxa"/>
              <w:left w:w="20" w:type="dxa"/>
              <w:bottom w:w="40" w:type="dxa"/>
              <w:right w:w="20" w:type="dxa"/>
            </w:tcMar>
            <w:vAlign w:val="bottom"/>
          </w:tcPr>
          <w:p w14:paraId="00BAEDB5" w14:textId="77777777" w:rsidR="00871BDF" w:rsidRDefault="005C5088">
            <w:pPr>
              <w:jc w:val="right"/>
              <w:textAlignment w:val="bottom"/>
            </w:pPr>
            <w:hyperlink r:id="rId147" w:anchor="i54ccc64cb5384be5a4849ef1cdef4dde_151" w:history="1">
              <w:r>
                <w:rPr>
                  <w:rStyle w:val="a5"/>
                  <w:rFonts w:ascii="Times New Roman" w:eastAsia="宋体" w:hAnsi="Times New Roman"/>
                  <w:sz w:val="20"/>
                  <w:szCs w:val="20"/>
                </w:rPr>
                <w:t>71</w:t>
              </w:r>
            </w:hyperlink>
          </w:p>
        </w:tc>
      </w:tr>
      <w:tr w:rsidR="00871BDF" w14:paraId="00BAEDBA" w14:textId="77777777">
        <w:trPr>
          <w:jc w:val="center"/>
        </w:trPr>
        <w:tc>
          <w:tcPr>
            <w:tcW w:w="0" w:type="auto"/>
            <w:gridSpan w:val="3"/>
            <w:shd w:val="clear" w:color="auto" w:fill="auto"/>
            <w:tcMar>
              <w:top w:w="40" w:type="dxa"/>
              <w:left w:w="20" w:type="dxa"/>
              <w:bottom w:w="40" w:type="dxa"/>
              <w:right w:w="20" w:type="dxa"/>
            </w:tcMar>
            <w:vAlign w:val="bottom"/>
          </w:tcPr>
          <w:p w14:paraId="00BAEDB7" w14:textId="77777777" w:rsidR="00871BDF" w:rsidRDefault="005C5088">
            <w:pPr>
              <w:textAlignment w:val="bottom"/>
            </w:pPr>
            <w:r>
              <w:rPr>
                <w:rFonts w:ascii="Times New Roman" w:eastAsia="宋体" w:hAnsi="Times New Roman"/>
                <w:b/>
                <w:bCs/>
                <w:color w:val="00704A"/>
                <w:sz w:val="20"/>
                <w:szCs w:val="20"/>
              </w:rPr>
              <w:t>Note 7</w:t>
            </w:r>
          </w:p>
        </w:tc>
        <w:tc>
          <w:tcPr>
            <w:tcW w:w="0" w:type="auto"/>
            <w:gridSpan w:val="3"/>
            <w:shd w:val="clear" w:color="auto" w:fill="auto"/>
            <w:tcMar>
              <w:top w:w="40" w:type="dxa"/>
              <w:left w:w="20" w:type="dxa"/>
              <w:bottom w:w="40" w:type="dxa"/>
              <w:right w:w="20" w:type="dxa"/>
            </w:tcMar>
            <w:vAlign w:val="bottom"/>
          </w:tcPr>
          <w:p w14:paraId="00BAEDB8" w14:textId="77777777" w:rsidR="00871BDF" w:rsidRDefault="005C5088">
            <w:pPr>
              <w:textAlignment w:val="bottom"/>
            </w:pPr>
            <w:hyperlink r:id="rId148" w:anchor="i54ccc64cb5384be5a4849ef1cdef4dde_157" w:history="1">
              <w:r>
                <w:rPr>
                  <w:rStyle w:val="a5"/>
                  <w:rFonts w:ascii="Times New Roman" w:eastAsia="宋体" w:hAnsi="Times New Roman"/>
                  <w:sz w:val="20"/>
                  <w:szCs w:val="20"/>
                </w:rPr>
                <w:t>Supplemental Balance Sheet and Statement of Earnings Information</w:t>
              </w:r>
            </w:hyperlink>
          </w:p>
        </w:tc>
        <w:tc>
          <w:tcPr>
            <w:tcW w:w="0" w:type="auto"/>
            <w:gridSpan w:val="3"/>
            <w:shd w:val="clear" w:color="auto" w:fill="auto"/>
            <w:tcMar>
              <w:top w:w="40" w:type="dxa"/>
              <w:left w:w="20" w:type="dxa"/>
              <w:bottom w:w="40" w:type="dxa"/>
              <w:right w:w="20" w:type="dxa"/>
            </w:tcMar>
            <w:vAlign w:val="bottom"/>
          </w:tcPr>
          <w:p w14:paraId="00BAEDB9" w14:textId="77777777" w:rsidR="00871BDF" w:rsidRDefault="005C5088">
            <w:pPr>
              <w:jc w:val="right"/>
              <w:textAlignment w:val="bottom"/>
            </w:pPr>
            <w:hyperlink r:id="rId149" w:anchor="i54ccc64cb5384be5a4849ef1cdef4dde_157" w:history="1">
              <w:r>
                <w:rPr>
                  <w:rStyle w:val="a5"/>
                  <w:rFonts w:ascii="Times New Roman" w:eastAsia="宋体" w:hAnsi="Times New Roman"/>
                  <w:sz w:val="20"/>
                  <w:szCs w:val="20"/>
                </w:rPr>
                <w:t>72</w:t>
              </w:r>
            </w:hyperlink>
          </w:p>
        </w:tc>
      </w:tr>
      <w:tr w:rsidR="00871BDF" w14:paraId="00BAEDBE" w14:textId="77777777">
        <w:trPr>
          <w:jc w:val="center"/>
        </w:trPr>
        <w:tc>
          <w:tcPr>
            <w:tcW w:w="0" w:type="auto"/>
            <w:gridSpan w:val="3"/>
            <w:shd w:val="clear" w:color="auto" w:fill="auto"/>
            <w:tcMar>
              <w:top w:w="40" w:type="dxa"/>
              <w:left w:w="20" w:type="dxa"/>
              <w:bottom w:w="40" w:type="dxa"/>
              <w:right w:w="20" w:type="dxa"/>
            </w:tcMar>
            <w:vAlign w:val="bottom"/>
          </w:tcPr>
          <w:p w14:paraId="00BAEDBB" w14:textId="77777777" w:rsidR="00871BDF" w:rsidRDefault="005C5088">
            <w:pPr>
              <w:textAlignment w:val="bottom"/>
            </w:pPr>
            <w:r>
              <w:rPr>
                <w:rFonts w:ascii="Times New Roman" w:eastAsia="宋体" w:hAnsi="Times New Roman"/>
                <w:b/>
                <w:bCs/>
                <w:color w:val="00704A"/>
                <w:sz w:val="20"/>
                <w:szCs w:val="20"/>
              </w:rPr>
              <w:t>Note 8</w:t>
            </w:r>
          </w:p>
        </w:tc>
        <w:tc>
          <w:tcPr>
            <w:tcW w:w="0" w:type="auto"/>
            <w:gridSpan w:val="3"/>
            <w:shd w:val="clear" w:color="auto" w:fill="auto"/>
            <w:tcMar>
              <w:top w:w="40" w:type="dxa"/>
              <w:left w:w="20" w:type="dxa"/>
              <w:bottom w:w="40" w:type="dxa"/>
              <w:right w:w="20" w:type="dxa"/>
            </w:tcMar>
            <w:vAlign w:val="bottom"/>
          </w:tcPr>
          <w:p w14:paraId="00BAEDBC" w14:textId="77777777" w:rsidR="00871BDF" w:rsidRDefault="005C5088">
            <w:pPr>
              <w:textAlignment w:val="bottom"/>
            </w:pPr>
            <w:hyperlink r:id="rId150" w:anchor="i54ccc64cb5384be5a4849ef1cdef4dde_160" w:history="1">
              <w:r>
                <w:rPr>
                  <w:rStyle w:val="a5"/>
                  <w:rFonts w:ascii="Times New Roman" w:eastAsia="宋体" w:hAnsi="Times New Roman"/>
                  <w:sz w:val="20"/>
                  <w:szCs w:val="20"/>
                </w:rPr>
                <w:t>Other Intangible Assets and Goodwill</w:t>
              </w:r>
            </w:hyperlink>
          </w:p>
        </w:tc>
        <w:tc>
          <w:tcPr>
            <w:tcW w:w="0" w:type="auto"/>
            <w:gridSpan w:val="3"/>
            <w:shd w:val="clear" w:color="auto" w:fill="auto"/>
            <w:tcMar>
              <w:top w:w="40" w:type="dxa"/>
              <w:left w:w="20" w:type="dxa"/>
              <w:bottom w:w="40" w:type="dxa"/>
              <w:right w:w="20" w:type="dxa"/>
            </w:tcMar>
            <w:vAlign w:val="bottom"/>
          </w:tcPr>
          <w:p w14:paraId="00BAEDBD" w14:textId="77777777" w:rsidR="00871BDF" w:rsidRDefault="005C5088">
            <w:pPr>
              <w:jc w:val="right"/>
              <w:textAlignment w:val="bottom"/>
            </w:pPr>
            <w:hyperlink r:id="rId151" w:anchor="i54ccc64cb5384be5a4849ef1cdef4dde_160" w:history="1">
              <w:r>
                <w:rPr>
                  <w:rStyle w:val="a5"/>
                  <w:rFonts w:ascii="Times New Roman" w:eastAsia="宋体" w:hAnsi="Times New Roman"/>
                  <w:sz w:val="20"/>
                  <w:szCs w:val="20"/>
                </w:rPr>
                <w:t>73</w:t>
              </w:r>
            </w:hyperlink>
          </w:p>
        </w:tc>
      </w:tr>
      <w:tr w:rsidR="00871BDF" w14:paraId="00BAEDC2" w14:textId="77777777">
        <w:trPr>
          <w:jc w:val="center"/>
        </w:trPr>
        <w:tc>
          <w:tcPr>
            <w:tcW w:w="0" w:type="auto"/>
            <w:gridSpan w:val="3"/>
            <w:shd w:val="clear" w:color="auto" w:fill="auto"/>
            <w:tcMar>
              <w:top w:w="40" w:type="dxa"/>
              <w:left w:w="20" w:type="dxa"/>
              <w:bottom w:w="40" w:type="dxa"/>
              <w:right w:w="20" w:type="dxa"/>
            </w:tcMar>
            <w:vAlign w:val="bottom"/>
          </w:tcPr>
          <w:p w14:paraId="00BAEDBF" w14:textId="77777777" w:rsidR="00871BDF" w:rsidRDefault="005C5088">
            <w:pPr>
              <w:textAlignment w:val="bottom"/>
            </w:pPr>
            <w:r>
              <w:rPr>
                <w:rFonts w:ascii="Times New Roman" w:eastAsia="宋体" w:hAnsi="Times New Roman"/>
                <w:b/>
                <w:bCs/>
                <w:color w:val="00704A"/>
                <w:sz w:val="20"/>
                <w:szCs w:val="20"/>
              </w:rPr>
              <w:t>Note 9</w:t>
            </w:r>
          </w:p>
        </w:tc>
        <w:tc>
          <w:tcPr>
            <w:tcW w:w="0" w:type="auto"/>
            <w:gridSpan w:val="3"/>
            <w:shd w:val="clear" w:color="auto" w:fill="auto"/>
            <w:tcMar>
              <w:top w:w="40" w:type="dxa"/>
              <w:left w:w="20" w:type="dxa"/>
              <w:bottom w:w="40" w:type="dxa"/>
              <w:right w:w="20" w:type="dxa"/>
            </w:tcMar>
            <w:vAlign w:val="bottom"/>
          </w:tcPr>
          <w:p w14:paraId="00BAEDC0" w14:textId="77777777" w:rsidR="00871BDF" w:rsidRDefault="005C5088">
            <w:pPr>
              <w:textAlignment w:val="bottom"/>
            </w:pPr>
            <w:hyperlink r:id="rId152" w:anchor="i54ccc64cb5384be5a4849ef1cdef4dde_163" w:history="1">
              <w:r>
                <w:rPr>
                  <w:rStyle w:val="a5"/>
                  <w:rFonts w:ascii="Times New Roman" w:eastAsia="宋体" w:hAnsi="Times New Roman"/>
                  <w:sz w:val="20"/>
                  <w:szCs w:val="20"/>
                </w:rPr>
                <w:t>Debt</w:t>
              </w:r>
            </w:hyperlink>
          </w:p>
        </w:tc>
        <w:tc>
          <w:tcPr>
            <w:tcW w:w="0" w:type="auto"/>
            <w:gridSpan w:val="3"/>
            <w:shd w:val="clear" w:color="auto" w:fill="auto"/>
            <w:tcMar>
              <w:top w:w="40" w:type="dxa"/>
              <w:left w:w="20" w:type="dxa"/>
              <w:bottom w:w="40" w:type="dxa"/>
              <w:right w:w="20" w:type="dxa"/>
            </w:tcMar>
            <w:vAlign w:val="bottom"/>
          </w:tcPr>
          <w:p w14:paraId="00BAEDC1" w14:textId="77777777" w:rsidR="00871BDF" w:rsidRDefault="005C5088">
            <w:pPr>
              <w:jc w:val="right"/>
              <w:textAlignment w:val="bottom"/>
            </w:pPr>
            <w:hyperlink r:id="rId153" w:anchor="i54ccc64cb5384be5a4849ef1cdef4dde_163" w:history="1">
              <w:r>
                <w:rPr>
                  <w:rStyle w:val="a5"/>
                  <w:rFonts w:ascii="Times New Roman" w:eastAsia="宋体" w:hAnsi="Times New Roman"/>
                  <w:sz w:val="20"/>
                  <w:szCs w:val="20"/>
                </w:rPr>
                <w:t>74</w:t>
              </w:r>
            </w:hyperlink>
          </w:p>
        </w:tc>
      </w:tr>
      <w:tr w:rsidR="00871BDF" w14:paraId="00BAEDC6" w14:textId="77777777">
        <w:trPr>
          <w:jc w:val="center"/>
        </w:trPr>
        <w:tc>
          <w:tcPr>
            <w:tcW w:w="0" w:type="auto"/>
            <w:gridSpan w:val="3"/>
            <w:shd w:val="clear" w:color="auto" w:fill="auto"/>
            <w:tcMar>
              <w:top w:w="40" w:type="dxa"/>
              <w:left w:w="20" w:type="dxa"/>
              <w:bottom w:w="40" w:type="dxa"/>
              <w:right w:w="20" w:type="dxa"/>
            </w:tcMar>
            <w:vAlign w:val="bottom"/>
          </w:tcPr>
          <w:p w14:paraId="00BAEDC3" w14:textId="77777777" w:rsidR="00871BDF" w:rsidRDefault="005C5088">
            <w:pPr>
              <w:textAlignment w:val="bottom"/>
            </w:pPr>
            <w:r>
              <w:rPr>
                <w:rFonts w:ascii="Times New Roman" w:eastAsia="宋体" w:hAnsi="Times New Roman"/>
                <w:b/>
                <w:bCs/>
                <w:color w:val="00704A"/>
                <w:sz w:val="20"/>
                <w:szCs w:val="20"/>
              </w:rPr>
              <w:t>Note 10</w:t>
            </w:r>
          </w:p>
        </w:tc>
        <w:tc>
          <w:tcPr>
            <w:tcW w:w="0" w:type="auto"/>
            <w:gridSpan w:val="3"/>
            <w:shd w:val="clear" w:color="auto" w:fill="auto"/>
            <w:tcMar>
              <w:top w:w="40" w:type="dxa"/>
              <w:left w:w="20" w:type="dxa"/>
              <w:bottom w:w="40" w:type="dxa"/>
              <w:right w:w="20" w:type="dxa"/>
            </w:tcMar>
            <w:vAlign w:val="bottom"/>
          </w:tcPr>
          <w:p w14:paraId="00BAEDC4" w14:textId="77777777" w:rsidR="00871BDF" w:rsidRDefault="005C5088">
            <w:pPr>
              <w:textAlignment w:val="bottom"/>
            </w:pPr>
            <w:hyperlink r:id="rId154" w:anchor="i54ccc64cb5384be5a4849ef1cdef4dde_169" w:history="1">
              <w:r>
                <w:rPr>
                  <w:rStyle w:val="a5"/>
                  <w:rFonts w:ascii="Times New Roman" w:eastAsia="宋体" w:hAnsi="Times New Roman"/>
                  <w:sz w:val="20"/>
                  <w:szCs w:val="20"/>
                </w:rPr>
                <w:t>Leases</w:t>
              </w:r>
            </w:hyperlink>
          </w:p>
        </w:tc>
        <w:tc>
          <w:tcPr>
            <w:tcW w:w="0" w:type="auto"/>
            <w:gridSpan w:val="3"/>
            <w:shd w:val="clear" w:color="auto" w:fill="auto"/>
            <w:tcMar>
              <w:top w:w="40" w:type="dxa"/>
              <w:left w:w="20" w:type="dxa"/>
              <w:bottom w:w="40" w:type="dxa"/>
              <w:right w:w="20" w:type="dxa"/>
            </w:tcMar>
            <w:vAlign w:val="bottom"/>
          </w:tcPr>
          <w:p w14:paraId="00BAEDC5" w14:textId="77777777" w:rsidR="00871BDF" w:rsidRDefault="005C5088">
            <w:pPr>
              <w:jc w:val="right"/>
              <w:textAlignment w:val="bottom"/>
            </w:pPr>
            <w:hyperlink r:id="rId155" w:anchor="i54ccc64cb5384be5a4849ef1cdef4dde_169" w:history="1">
              <w:r>
                <w:rPr>
                  <w:rStyle w:val="a5"/>
                  <w:rFonts w:ascii="Times New Roman" w:eastAsia="宋体" w:hAnsi="Times New Roman"/>
                  <w:sz w:val="20"/>
                  <w:szCs w:val="20"/>
                </w:rPr>
                <w:t>77</w:t>
              </w:r>
            </w:hyperlink>
          </w:p>
        </w:tc>
      </w:tr>
      <w:tr w:rsidR="00871BDF" w14:paraId="00BAEDCA" w14:textId="77777777">
        <w:trPr>
          <w:jc w:val="center"/>
        </w:trPr>
        <w:tc>
          <w:tcPr>
            <w:tcW w:w="0" w:type="auto"/>
            <w:gridSpan w:val="3"/>
            <w:shd w:val="clear" w:color="auto" w:fill="auto"/>
            <w:tcMar>
              <w:top w:w="40" w:type="dxa"/>
              <w:left w:w="20" w:type="dxa"/>
              <w:bottom w:w="40" w:type="dxa"/>
              <w:right w:w="20" w:type="dxa"/>
            </w:tcMar>
            <w:vAlign w:val="bottom"/>
          </w:tcPr>
          <w:p w14:paraId="00BAEDC7" w14:textId="77777777" w:rsidR="00871BDF" w:rsidRDefault="005C5088">
            <w:pPr>
              <w:textAlignment w:val="bottom"/>
            </w:pPr>
            <w:r>
              <w:rPr>
                <w:rFonts w:ascii="Times New Roman" w:eastAsia="宋体" w:hAnsi="Times New Roman"/>
                <w:b/>
                <w:bCs/>
                <w:color w:val="00704A"/>
                <w:sz w:val="20"/>
                <w:szCs w:val="20"/>
              </w:rPr>
              <w:t>Note 11</w:t>
            </w:r>
          </w:p>
        </w:tc>
        <w:tc>
          <w:tcPr>
            <w:tcW w:w="0" w:type="auto"/>
            <w:gridSpan w:val="3"/>
            <w:shd w:val="clear" w:color="auto" w:fill="auto"/>
            <w:tcMar>
              <w:top w:w="40" w:type="dxa"/>
              <w:left w:w="20" w:type="dxa"/>
              <w:bottom w:w="40" w:type="dxa"/>
              <w:right w:w="20" w:type="dxa"/>
            </w:tcMar>
            <w:vAlign w:val="bottom"/>
          </w:tcPr>
          <w:p w14:paraId="00BAEDC8" w14:textId="77777777" w:rsidR="00871BDF" w:rsidRDefault="005C5088">
            <w:pPr>
              <w:textAlignment w:val="bottom"/>
            </w:pPr>
            <w:hyperlink r:id="rId156" w:anchor="i54ccc64cb5384be5a4849ef1cdef4dde_2423" w:history="1">
              <w:r>
                <w:rPr>
                  <w:rStyle w:val="a5"/>
                  <w:rFonts w:ascii="Times New Roman" w:eastAsia="宋体" w:hAnsi="Times New Roman"/>
                  <w:sz w:val="20"/>
                  <w:szCs w:val="20"/>
                </w:rPr>
                <w:t>Deferred Revenue</w:t>
              </w:r>
            </w:hyperlink>
          </w:p>
        </w:tc>
        <w:tc>
          <w:tcPr>
            <w:tcW w:w="0" w:type="auto"/>
            <w:gridSpan w:val="3"/>
            <w:shd w:val="clear" w:color="auto" w:fill="auto"/>
            <w:tcMar>
              <w:top w:w="40" w:type="dxa"/>
              <w:left w:w="20" w:type="dxa"/>
              <w:bottom w:w="40" w:type="dxa"/>
              <w:right w:w="20" w:type="dxa"/>
            </w:tcMar>
            <w:vAlign w:val="bottom"/>
          </w:tcPr>
          <w:p w14:paraId="00BAEDC9" w14:textId="77777777" w:rsidR="00871BDF" w:rsidRDefault="005C5088">
            <w:pPr>
              <w:jc w:val="right"/>
              <w:textAlignment w:val="bottom"/>
            </w:pPr>
            <w:hyperlink r:id="rId157" w:anchor="i54ccc64cb5384be5a4849ef1cdef4dde_2423" w:history="1">
              <w:r>
                <w:rPr>
                  <w:rStyle w:val="a5"/>
                  <w:rFonts w:ascii="Times New Roman" w:eastAsia="宋体" w:hAnsi="Times New Roman"/>
                  <w:sz w:val="20"/>
                  <w:szCs w:val="20"/>
                </w:rPr>
                <w:t>79</w:t>
              </w:r>
            </w:hyperlink>
          </w:p>
        </w:tc>
      </w:tr>
      <w:tr w:rsidR="00871BDF" w14:paraId="00BAEDCE" w14:textId="77777777">
        <w:trPr>
          <w:jc w:val="center"/>
        </w:trPr>
        <w:tc>
          <w:tcPr>
            <w:tcW w:w="0" w:type="auto"/>
            <w:gridSpan w:val="3"/>
            <w:shd w:val="clear" w:color="auto" w:fill="auto"/>
            <w:tcMar>
              <w:top w:w="40" w:type="dxa"/>
              <w:left w:w="20" w:type="dxa"/>
              <w:bottom w:w="40" w:type="dxa"/>
              <w:right w:w="20" w:type="dxa"/>
            </w:tcMar>
            <w:vAlign w:val="bottom"/>
          </w:tcPr>
          <w:p w14:paraId="00BAEDCB" w14:textId="77777777" w:rsidR="00871BDF" w:rsidRDefault="005C5088">
            <w:pPr>
              <w:textAlignment w:val="bottom"/>
            </w:pPr>
            <w:r>
              <w:rPr>
                <w:rFonts w:ascii="Times New Roman" w:eastAsia="宋体" w:hAnsi="Times New Roman"/>
                <w:b/>
                <w:bCs/>
                <w:color w:val="00704A"/>
                <w:sz w:val="20"/>
                <w:szCs w:val="20"/>
              </w:rPr>
              <w:t>Note 12</w:t>
            </w:r>
          </w:p>
        </w:tc>
        <w:tc>
          <w:tcPr>
            <w:tcW w:w="0" w:type="auto"/>
            <w:gridSpan w:val="3"/>
            <w:shd w:val="clear" w:color="auto" w:fill="auto"/>
            <w:tcMar>
              <w:top w:w="40" w:type="dxa"/>
              <w:left w:w="20" w:type="dxa"/>
              <w:bottom w:w="40" w:type="dxa"/>
              <w:right w:w="20" w:type="dxa"/>
            </w:tcMar>
            <w:vAlign w:val="bottom"/>
          </w:tcPr>
          <w:p w14:paraId="00BAEDCC" w14:textId="77777777" w:rsidR="00871BDF" w:rsidRDefault="005C5088">
            <w:pPr>
              <w:textAlignment w:val="bottom"/>
            </w:pPr>
            <w:hyperlink r:id="rId158" w:anchor="i54ccc64cb5384be5a4849ef1cdef4dde_172" w:history="1">
              <w:r>
                <w:rPr>
                  <w:rStyle w:val="a5"/>
                  <w:rFonts w:ascii="Times New Roman" w:eastAsia="宋体" w:hAnsi="Times New Roman"/>
                  <w:sz w:val="20"/>
                  <w:szCs w:val="20"/>
                </w:rPr>
                <w:t>Equity</w:t>
              </w:r>
            </w:hyperlink>
          </w:p>
        </w:tc>
        <w:tc>
          <w:tcPr>
            <w:tcW w:w="0" w:type="auto"/>
            <w:gridSpan w:val="3"/>
            <w:shd w:val="clear" w:color="auto" w:fill="auto"/>
            <w:tcMar>
              <w:top w:w="40" w:type="dxa"/>
              <w:left w:w="20" w:type="dxa"/>
              <w:bottom w:w="40" w:type="dxa"/>
              <w:right w:w="20" w:type="dxa"/>
            </w:tcMar>
            <w:vAlign w:val="bottom"/>
          </w:tcPr>
          <w:p w14:paraId="00BAEDCD" w14:textId="77777777" w:rsidR="00871BDF" w:rsidRDefault="005C5088">
            <w:pPr>
              <w:jc w:val="right"/>
              <w:textAlignment w:val="bottom"/>
            </w:pPr>
            <w:hyperlink r:id="rId159" w:anchor="i54ccc64cb5384be5a4849ef1cdef4dde_172" w:history="1">
              <w:r>
                <w:rPr>
                  <w:rStyle w:val="a5"/>
                  <w:rFonts w:ascii="Times New Roman" w:eastAsia="宋体" w:hAnsi="Times New Roman"/>
                  <w:sz w:val="20"/>
                  <w:szCs w:val="20"/>
                </w:rPr>
                <w:t>79</w:t>
              </w:r>
            </w:hyperlink>
          </w:p>
        </w:tc>
      </w:tr>
      <w:tr w:rsidR="00871BDF" w14:paraId="00BAEDD2" w14:textId="77777777">
        <w:trPr>
          <w:jc w:val="center"/>
        </w:trPr>
        <w:tc>
          <w:tcPr>
            <w:tcW w:w="0" w:type="auto"/>
            <w:gridSpan w:val="3"/>
            <w:shd w:val="clear" w:color="auto" w:fill="auto"/>
            <w:tcMar>
              <w:top w:w="40" w:type="dxa"/>
              <w:left w:w="20" w:type="dxa"/>
              <w:bottom w:w="40" w:type="dxa"/>
              <w:right w:w="20" w:type="dxa"/>
            </w:tcMar>
            <w:vAlign w:val="bottom"/>
          </w:tcPr>
          <w:p w14:paraId="00BAEDCF" w14:textId="77777777" w:rsidR="00871BDF" w:rsidRDefault="005C5088">
            <w:pPr>
              <w:textAlignment w:val="bottom"/>
            </w:pPr>
            <w:r>
              <w:rPr>
                <w:rFonts w:ascii="Times New Roman" w:eastAsia="宋体" w:hAnsi="Times New Roman"/>
                <w:b/>
                <w:bCs/>
                <w:color w:val="00704A"/>
                <w:sz w:val="20"/>
                <w:szCs w:val="20"/>
              </w:rPr>
              <w:t>Note 13</w:t>
            </w:r>
          </w:p>
        </w:tc>
        <w:tc>
          <w:tcPr>
            <w:tcW w:w="0" w:type="auto"/>
            <w:gridSpan w:val="3"/>
            <w:shd w:val="clear" w:color="auto" w:fill="auto"/>
            <w:tcMar>
              <w:top w:w="40" w:type="dxa"/>
              <w:left w:w="20" w:type="dxa"/>
              <w:bottom w:w="40" w:type="dxa"/>
              <w:right w:w="20" w:type="dxa"/>
            </w:tcMar>
            <w:vAlign w:val="bottom"/>
          </w:tcPr>
          <w:p w14:paraId="00BAEDD0" w14:textId="77777777" w:rsidR="00871BDF" w:rsidRDefault="005C5088">
            <w:pPr>
              <w:textAlignment w:val="bottom"/>
            </w:pPr>
            <w:hyperlink r:id="rId160" w:anchor="i54ccc64cb5384be5a4849ef1cdef4dde_175" w:history="1">
              <w:r>
                <w:rPr>
                  <w:rStyle w:val="a5"/>
                  <w:rFonts w:ascii="Times New Roman" w:eastAsia="宋体" w:hAnsi="Times New Roman"/>
                  <w:sz w:val="20"/>
                  <w:szCs w:val="20"/>
                </w:rPr>
                <w:t>Employee Stock and Benefit Plans</w:t>
              </w:r>
            </w:hyperlink>
          </w:p>
        </w:tc>
        <w:tc>
          <w:tcPr>
            <w:tcW w:w="0" w:type="auto"/>
            <w:gridSpan w:val="3"/>
            <w:shd w:val="clear" w:color="auto" w:fill="auto"/>
            <w:tcMar>
              <w:top w:w="40" w:type="dxa"/>
              <w:left w:w="20" w:type="dxa"/>
              <w:bottom w:w="40" w:type="dxa"/>
              <w:right w:w="20" w:type="dxa"/>
            </w:tcMar>
            <w:vAlign w:val="bottom"/>
          </w:tcPr>
          <w:p w14:paraId="00BAEDD1" w14:textId="77777777" w:rsidR="00871BDF" w:rsidRDefault="005C5088">
            <w:pPr>
              <w:jc w:val="right"/>
              <w:textAlignment w:val="bottom"/>
            </w:pPr>
            <w:hyperlink r:id="rId161" w:anchor="i54ccc64cb5384be5a4849ef1cdef4dde_175" w:history="1">
              <w:r>
                <w:rPr>
                  <w:rStyle w:val="a5"/>
                  <w:rFonts w:ascii="Times New Roman" w:eastAsia="宋体" w:hAnsi="Times New Roman"/>
                  <w:sz w:val="20"/>
                  <w:szCs w:val="20"/>
                </w:rPr>
                <w:t>81</w:t>
              </w:r>
            </w:hyperlink>
          </w:p>
        </w:tc>
      </w:tr>
      <w:tr w:rsidR="00871BDF" w14:paraId="00BAEDD6" w14:textId="77777777">
        <w:trPr>
          <w:jc w:val="center"/>
        </w:trPr>
        <w:tc>
          <w:tcPr>
            <w:tcW w:w="0" w:type="auto"/>
            <w:gridSpan w:val="3"/>
            <w:shd w:val="clear" w:color="auto" w:fill="auto"/>
            <w:tcMar>
              <w:top w:w="40" w:type="dxa"/>
              <w:left w:w="20" w:type="dxa"/>
              <w:bottom w:w="40" w:type="dxa"/>
              <w:right w:w="20" w:type="dxa"/>
            </w:tcMar>
            <w:vAlign w:val="bottom"/>
          </w:tcPr>
          <w:p w14:paraId="00BAEDD3" w14:textId="77777777" w:rsidR="00871BDF" w:rsidRDefault="005C5088">
            <w:pPr>
              <w:textAlignment w:val="bottom"/>
            </w:pPr>
            <w:r>
              <w:rPr>
                <w:rFonts w:ascii="Times New Roman" w:eastAsia="宋体" w:hAnsi="Times New Roman"/>
                <w:b/>
                <w:bCs/>
                <w:color w:val="00704A"/>
                <w:sz w:val="20"/>
                <w:szCs w:val="20"/>
              </w:rPr>
              <w:t>Note 14</w:t>
            </w:r>
          </w:p>
        </w:tc>
        <w:tc>
          <w:tcPr>
            <w:tcW w:w="0" w:type="auto"/>
            <w:gridSpan w:val="3"/>
            <w:shd w:val="clear" w:color="auto" w:fill="auto"/>
            <w:tcMar>
              <w:top w:w="40" w:type="dxa"/>
              <w:left w:w="20" w:type="dxa"/>
              <w:bottom w:w="40" w:type="dxa"/>
              <w:right w:w="20" w:type="dxa"/>
            </w:tcMar>
            <w:vAlign w:val="bottom"/>
          </w:tcPr>
          <w:p w14:paraId="00BAEDD4" w14:textId="77777777" w:rsidR="00871BDF" w:rsidRDefault="005C5088">
            <w:pPr>
              <w:textAlignment w:val="bottom"/>
            </w:pPr>
            <w:hyperlink r:id="rId162" w:anchor="i54ccc64cb5384be5a4849ef1cdef4dde_181" w:history="1">
              <w:r>
                <w:rPr>
                  <w:rStyle w:val="a5"/>
                  <w:rFonts w:ascii="Times New Roman" w:eastAsia="宋体" w:hAnsi="Times New Roman"/>
                  <w:sz w:val="20"/>
                  <w:szCs w:val="20"/>
                </w:rPr>
                <w:t>Income Taxes</w:t>
              </w:r>
            </w:hyperlink>
          </w:p>
        </w:tc>
        <w:tc>
          <w:tcPr>
            <w:tcW w:w="0" w:type="auto"/>
            <w:gridSpan w:val="3"/>
            <w:shd w:val="clear" w:color="auto" w:fill="auto"/>
            <w:tcMar>
              <w:top w:w="40" w:type="dxa"/>
              <w:left w:w="20" w:type="dxa"/>
              <w:bottom w:w="40" w:type="dxa"/>
              <w:right w:w="20" w:type="dxa"/>
            </w:tcMar>
            <w:vAlign w:val="bottom"/>
          </w:tcPr>
          <w:p w14:paraId="00BAEDD5" w14:textId="77777777" w:rsidR="00871BDF" w:rsidRDefault="005C5088">
            <w:pPr>
              <w:jc w:val="right"/>
              <w:textAlignment w:val="bottom"/>
            </w:pPr>
            <w:hyperlink r:id="rId163" w:anchor="i54ccc64cb5384be5a4849ef1cdef4dde_181" w:history="1">
              <w:r>
                <w:rPr>
                  <w:rStyle w:val="a5"/>
                  <w:rFonts w:ascii="Times New Roman" w:eastAsia="宋体" w:hAnsi="Times New Roman"/>
                  <w:sz w:val="20"/>
                  <w:szCs w:val="20"/>
                </w:rPr>
                <w:t>83</w:t>
              </w:r>
            </w:hyperlink>
          </w:p>
        </w:tc>
      </w:tr>
      <w:tr w:rsidR="00871BDF" w14:paraId="00BAEDDA" w14:textId="77777777">
        <w:trPr>
          <w:jc w:val="center"/>
        </w:trPr>
        <w:tc>
          <w:tcPr>
            <w:tcW w:w="0" w:type="auto"/>
            <w:gridSpan w:val="3"/>
            <w:shd w:val="clear" w:color="auto" w:fill="auto"/>
            <w:tcMar>
              <w:top w:w="40" w:type="dxa"/>
              <w:left w:w="20" w:type="dxa"/>
              <w:bottom w:w="40" w:type="dxa"/>
              <w:right w:w="20" w:type="dxa"/>
            </w:tcMar>
            <w:vAlign w:val="bottom"/>
          </w:tcPr>
          <w:p w14:paraId="00BAEDD7" w14:textId="77777777" w:rsidR="00871BDF" w:rsidRDefault="005C5088">
            <w:pPr>
              <w:textAlignment w:val="bottom"/>
            </w:pPr>
            <w:r>
              <w:rPr>
                <w:rFonts w:ascii="Times New Roman" w:eastAsia="宋体" w:hAnsi="Times New Roman"/>
                <w:b/>
                <w:bCs/>
                <w:color w:val="00704A"/>
                <w:sz w:val="20"/>
                <w:szCs w:val="20"/>
              </w:rPr>
              <w:t>Note 15</w:t>
            </w:r>
          </w:p>
        </w:tc>
        <w:tc>
          <w:tcPr>
            <w:tcW w:w="0" w:type="auto"/>
            <w:gridSpan w:val="3"/>
            <w:shd w:val="clear" w:color="auto" w:fill="auto"/>
            <w:tcMar>
              <w:top w:w="40" w:type="dxa"/>
              <w:left w:w="20" w:type="dxa"/>
              <w:bottom w:w="40" w:type="dxa"/>
              <w:right w:w="20" w:type="dxa"/>
            </w:tcMar>
            <w:vAlign w:val="bottom"/>
          </w:tcPr>
          <w:p w14:paraId="00BAEDD8" w14:textId="77777777" w:rsidR="00871BDF" w:rsidRDefault="005C5088">
            <w:pPr>
              <w:textAlignment w:val="bottom"/>
            </w:pPr>
            <w:hyperlink r:id="rId164" w:anchor="i54ccc64cb5384be5a4849ef1cdef4dde_184" w:history="1">
              <w:r>
                <w:rPr>
                  <w:rStyle w:val="a5"/>
                  <w:rFonts w:ascii="Times New Roman" w:eastAsia="宋体" w:hAnsi="Times New Roman"/>
                  <w:sz w:val="20"/>
                  <w:szCs w:val="20"/>
                </w:rPr>
                <w:t>Earnings per Share</w:t>
              </w:r>
            </w:hyperlink>
          </w:p>
        </w:tc>
        <w:tc>
          <w:tcPr>
            <w:tcW w:w="0" w:type="auto"/>
            <w:gridSpan w:val="3"/>
            <w:shd w:val="clear" w:color="auto" w:fill="auto"/>
            <w:tcMar>
              <w:top w:w="40" w:type="dxa"/>
              <w:left w:w="20" w:type="dxa"/>
              <w:bottom w:w="40" w:type="dxa"/>
              <w:right w:w="20" w:type="dxa"/>
            </w:tcMar>
            <w:vAlign w:val="bottom"/>
          </w:tcPr>
          <w:p w14:paraId="00BAEDD9" w14:textId="77777777" w:rsidR="00871BDF" w:rsidRDefault="005C5088">
            <w:pPr>
              <w:jc w:val="right"/>
              <w:textAlignment w:val="bottom"/>
            </w:pPr>
            <w:hyperlink r:id="rId165" w:anchor="i54ccc64cb5384be5a4849ef1cdef4dde_184" w:history="1">
              <w:r>
                <w:rPr>
                  <w:rStyle w:val="a5"/>
                  <w:rFonts w:ascii="Times New Roman" w:eastAsia="宋体" w:hAnsi="Times New Roman"/>
                  <w:sz w:val="20"/>
                  <w:szCs w:val="20"/>
                </w:rPr>
                <w:t>86</w:t>
              </w:r>
            </w:hyperlink>
          </w:p>
        </w:tc>
      </w:tr>
      <w:tr w:rsidR="00871BDF" w14:paraId="00BAEDDE" w14:textId="77777777">
        <w:trPr>
          <w:jc w:val="center"/>
        </w:trPr>
        <w:tc>
          <w:tcPr>
            <w:tcW w:w="0" w:type="auto"/>
            <w:gridSpan w:val="3"/>
            <w:shd w:val="clear" w:color="auto" w:fill="auto"/>
            <w:tcMar>
              <w:top w:w="40" w:type="dxa"/>
              <w:left w:w="20" w:type="dxa"/>
              <w:bottom w:w="40" w:type="dxa"/>
              <w:right w:w="20" w:type="dxa"/>
            </w:tcMar>
            <w:vAlign w:val="bottom"/>
          </w:tcPr>
          <w:p w14:paraId="00BAEDDB" w14:textId="77777777" w:rsidR="00871BDF" w:rsidRDefault="005C5088">
            <w:pPr>
              <w:textAlignment w:val="bottom"/>
            </w:pPr>
            <w:r>
              <w:rPr>
                <w:rFonts w:ascii="Times New Roman" w:eastAsia="宋体" w:hAnsi="Times New Roman"/>
                <w:b/>
                <w:bCs/>
                <w:color w:val="00704A"/>
                <w:sz w:val="20"/>
                <w:szCs w:val="20"/>
              </w:rPr>
              <w:t>Note 16</w:t>
            </w:r>
          </w:p>
        </w:tc>
        <w:tc>
          <w:tcPr>
            <w:tcW w:w="0" w:type="auto"/>
            <w:gridSpan w:val="3"/>
            <w:shd w:val="clear" w:color="auto" w:fill="auto"/>
            <w:tcMar>
              <w:top w:w="40" w:type="dxa"/>
              <w:left w:w="20" w:type="dxa"/>
              <w:bottom w:w="40" w:type="dxa"/>
              <w:right w:w="20" w:type="dxa"/>
            </w:tcMar>
            <w:vAlign w:val="bottom"/>
          </w:tcPr>
          <w:p w14:paraId="00BAEDDC" w14:textId="77777777" w:rsidR="00871BDF" w:rsidRDefault="005C5088">
            <w:pPr>
              <w:textAlignment w:val="bottom"/>
            </w:pPr>
            <w:hyperlink r:id="rId166" w:anchor="i54ccc64cb5384be5a4849ef1cdef4dde_187" w:history="1">
              <w:r>
                <w:rPr>
                  <w:rStyle w:val="a5"/>
                  <w:rFonts w:ascii="Times New Roman" w:eastAsia="宋体" w:hAnsi="Times New Roman"/>
                  <w:sz w:val="20"/>
                  <w:szCs w:val="20"/>
                </w:rPr>
                <w:t>Commitments and Contingencies</w:t>
              </w:r>
            </w:hyperlink>
          </w:p>
        </w:tc>
        <w:tc>
          <w:tcPr>
            <w:tcW w:w="0" w:type="auto"/>
            <w:gridSpan w:val="3"/>
            <w:shd w:val="clear" w:color="auto" w:fill="auto"/>
            <w:tcMar>
              <w:top w:w="40" w:type="dxa"/>
              <w:left w:w="20" w:type="dxa"/>
              <w:bottom w:w="40" w:type="dxa"/>
              <w:right w:w="20" w:type="dxa"/>
            </w:tcMar>
            <w:vAlign w:val="bottom"/>
          </w:tcPr>
          <w:p w14:paraId="00BAEDDD" w14:textId="77777777" w:rsidR="00871BDF" w:rsidRDefault="005C5088">
            <w:pPr>
              <w:jc w:val="right"/>
              <w:textAlignment w:val="bottom"/>
            </w:pPr>
            <w:hyperlink r:id="rId167" w:anchor="i54ccc64cb5384be5a4849ef1cdef4dde_187" w:history="1">
              <w:r>
                <w:rPr>
                  <w:rStyle w:val="a5"/>
                  <w:rFonts w:ascii="Times New Roman" w:eastAsia="宋体" w:hAnsi="Times New Roman"/>
                  <w:sz w:val="20"/>
                  <w:szCs w:val="20"/>
                </w:rPr>
                <w:t>86</w:t>
              </w:r>
            </w:hyperlink>
          </w:p>
        </w:tc>
      </w:tr>
      <w:tr w:rsidR="00871BDF" w14:paraId="00BAEDE2" w14:textId="77777777">
        <w:trPr>
          <w:jc w:val="center"/>
        </w:trPr>
        <w:tc>
          <w:tcPr>
            <w:tcW w:w="0" w:type="auto"/>
            <w:gridSpan w:val="3"/>
            <w:shd w:val="clear" w:color="auto" w:fill="auto"/>
            <w:tcMar>
              <w:top w:w="40" w:type="dxa"/>
              <w:left w:w="20" w:type="dxa"/>
              <w:bottom w:w="40" w:type="dxa"/>
              <w:right w:w="20" w:type="dxa"/>
            </w:tcMar>
            <w:vAlign w:val="bottom"/>
          </w:tcPr>
          <w:p w14:paraId="00BAEDDF" w14:textId="77777777" w:rsidR="00871BDF" w:rsidRDefault="005C5088">
            <w:pPr>
              <w:textAlignment w:val="bottom"/>
            </w:pPr>
            <w:r>
              <w:rPr>
                <w:rFonts w:ascii="Times New Roman" w:eastAsia="宋体" w:hAnsi="Times New Roman"/>
                <w:b/>
                <w:bCs/>
                <w:color w:val="00704A"/>
                <w:sz w:val="20"/>
                <w:szCs w:val="20"/>
              </w:rPr>
              <w:t>Note 17</w:t>
            </w:r>
          </w:p>
        </w:tc>
        <w:tc>
          <w:tcPr>
            <w:tcW w:w="0" w:type="auto"/>
            <w:gridSpan w:val="3"/>
            <w:shd w:val="clear" w:color="auto" w:fill="auto"/>
            <w:tcMar>
              <w:top w:w="40" w:type="dxa"/>
              <w:left w:w="20" w:type="dxa"/>
              <w:bottom w:w="40" w:type="dxa"/>
              <w:right w:w="20" w:type="dxa"/>
            </w:tcMar>
            <w:vAlign w:val="bottom"/>
          </w:tcPr>
          <w:p w14:paraId="00BAEDE0" w14:textId="77777777" w:rsidR="00871BDF" w:rsidRDefault="005C5088">
            <w:pPr>
              <w:textAlignment w:val="bottom"/>
            </w:pPr>
            <w:hyperlink r:id="rId168" w:anchor="i54ccc64cb5384be5a4849ef1cdef4dde_190" w:history="1">
              <w:r>
                <w:rPr>
                  <w:rStyle w:val="a5"/>
                  <w:rFonts w:ascii="Times New Roman" w:eastAsia="宋体" w:hAnsi="Times New Roman"/>
                  <w:sz w:val="20"/>
                  <w:szCs w:val="20"/>
                </w:rPr>
                <w:t>Segment Repo</w:t>
              </w:r>
              <w:r>
                <w:rPr>
                  <w:rStyle w:val="a5"/>
                  <w:rFonts w:ascii="Times New Roman" w:eastAsia="宋体" w:hAnsi="Times New Roman"/>
                  <w:sz w:val="20"/>
                  <w:szCs w:val="20"/>
                </w:rPr>
                <w:t>rting</w:t>
              </w:r>
            </w:hyperlink>
          </w:p>
        </w:tc>
        <w:tc>
          <w:tcPr>
            <w:tcW w:w="0" w:type="auto"/>
            <w:gridSpan w:val="3"/>
            <w:shd w:val="clear" w:color="auto" w:fill="auto"/>
            <w:tcMar>
              <w:top w:w="40" w:type="dxa"/>
              <w:left w:w="20" w:type="dxa"/>
              <w:bottom w:w="40" w:type="dxa"/>
              <w:right w:w="20" w:type="dxa"/>
            </w:tcMar>
            <w:vAlign w:val="bottom"/>
          </w:tcPr>
          <w:p w14:paraId="00BAEDE1" w14:textId="77777777" w:rsidR="00871BDF" w:rsidRDefault="005C5088">
            <w:pPr>
              <w:jc w:val="right"/>
              <w:textAlignment w:val="bottom"/>
            </w:pPr>
            <w:hyperlink r:id="rId169" w:anchor="i54ccc64cb5384be5a4849ef1cdef4dde_190" w:history="1">
              <w:r>
                <w:rPr>
                  <w:rStyle w:val="a5"/>
                  <w:rFonts w:ascii="Times New Roman" w:eastAsia="宋体" w:hAnsi="Times New Roman"/>
                  <w:sz w:val="20"/>
                  <w:szCs w:val="20"/>
                </w:rPr>
                <w:t>87</w:t>
              </w:r>
            </w:hyperlink>
          </w:p>
        </w:tc>
      </w:tr>
      <w:tr w:rsidR="00871BDF" w14:paraId="00BAEDE6" w14:textId="77777777">
        <w:trPr>
          <w:jc w:val="center"/>
        </w:trPr>
        <w:tc>
          <w:tcPr>
            <w:tcW w:w="0" w:type="auto"/>
            <w:gridSpan w:val="3"/>
            <w:shd w:val="clear" w:color="auto" w:fill="auto"/>
            <w:tcMar>
              <w:top w:w="40" w:type="dxa"/>
              <w:left w:w="20" w:type="dxa"/>
              <w:bottom w:w="40" w:type="dxa"/>
              <w:right w:w="20" w:type="dxa"/>
            </w:tcMar>
            <w:vAlign w:val="bottom"/>
          </w:tcPr>
          <w:p w14:paraId="00BAEDE3" w14:textId="77777777" w:rsidR="00871BDF" w:rsidRDefault="005C5088">
            <w:pPr>
              <w:textAlignment w:val="bottom"/>
            </w:pPr>
            <w:r>
              <w:rPr>
                <w:rFonts w:ascii="Times New Roman" w:eastAsia="宋体" w:hAnsi="Times New Roman"/>
                <w:b/>
                <w:bCs/>
                <w:color w:val="00704A"/>
                <w:sz w:val="20"/>
                <w:szCs w:val="20"/>
              </w:rPr>
              <w:t>Note 18</w:t>
            </w:r>
          </w:p>
        </w:tc>
        <w:tc>
          <w:tcPr>
            <w:tcW w:w="0" w:type="auto"/>
            <w:gridSpan w:val="3"/>
            <w:shd w:val="clear" w:color="auto" w:fill="auto"/>
            <w:tcMar>
              <w:top w:w="40" w:type="dxa"/>
              <w:left w:w="20" w:type="dxa"/>
              <w:bottom w:w="40" w:type="dxa"/>
              <w:right w:w="20" w:type="dxa"/>
            </w:tcMar>
            <w:vAlign w:val="bottom"/>
          </w:tcPr>
          <w:p w14:paraId="00BAEDE4" w14:textId="77777777" w:rsidR="00871BDF" w:rsidRDefault="005C5088">
            <w:pPr>
              <w:textAlignment w:val="bottom"/>
            </w:pPr>
            <w:hyperlink r:id="rId170" w:anchor="i54ccc64cb5384be5a4849ef1cdef4dde_196" w:history="1">
              <w:r>
                <w:rPr>
                  <w:rStyle w:val="a5"/>
                  <w:rFonts w:ascii="Times New Roman" w:eastAsia="宋体" w:hAnsi="Times New Roman"/>
                  <w:sz w:val="20"/>
                  <w:szCs w:val="20"/>
                </w:rPr>
                <w:t>Selected Quarterly Financial Information (unaudited)</w:t>
              </w:r>
            </w:hyperlink>
          </w:p>
        </w:tc>
        <w:tc>
          <w:tcPr>
            <w:tcW w:w="0" w:type="auto"/>
            <w:gridSpan w:val="3"/>
            <w:shd w:val="clear" w:color="auto" w:fill="auto"/>
            <w:tcMar>
              <w:top w:w="40" w:type="dxa"/>
              <w:left w:w="20" w:type="dxa"/>
              <w:bottom w:w="40" w:type="dxa"/>
              <w:right w:w="20" w:type="dxa"/>
            </w:tcMar>
            <w:vAlign w:val="bottom"/>
          </w:tcPr>
          <w:p w14:paraId="00BAEDE5" w14:textId="77777777" w:rsidR="00871BDF" w:rsidRDefault="005C5088">
            <w:pPr>
              <w:jc w:val="right"/>
              <w:textAlignment w:val="bottom"/>
            </w:pPr>
            <w:hyperlink r:id="rId171" w:anchor="i54ccc64cb5384be5a4849ef1cdef4dde_196" w:history="1">
              <w:r>
                <w:rPr>
                  <w:rStyle w:val="a5"/>
                  <w:rFonts w:ascii="Times New Roman" w:eastAsia="宋体" w:hAnsi="Times New Roman"/>
                  <w:sz w:val="20"/>
                  <w:szCs w:val="20"/>
                </w:rPr>
                <w:t>88</w:t>
              </w:r>
            </w:hyperlink>
          </w:p>
        </w:tc>
      </w:tr>
      <w:tr w:rsidR="00871BDF" w14:paraId="00BAEDEA" w14:textId="77777777">
        <w:trPr>
          <w:jc w:val="center"/>
          <w:hidden/>
        </w:trPr>
        <w:tc>
          <w:tcPr>
            <w:tcW w:w="0" w:type="auto"/>
            <w:gridSpan w:val="3"/>
            <w:shd w:val="clear" w:color="auto" w:fill="auto"/>
          </w:tcPr>
          <w:p w14:paraId="00BAEDE7" w14:textId="77777777" w:rsidR="00871BDF" w:rsidRDefault="00871BDF">
            <w:pPr>
              <w:rPr>
                <w:rFonts w:ascii="宋体"/>
                <w:vanish/>
              </w:rPr>
            </w:pPr>
          </w:p>
        </w:tc>
        <w:tc>
          <w:tcPr>
            <w:tcW w:w="0" w:type="auto"/>
            <w:gridSpan w:val="3"/>
            <w:shd w:val="clear" w:color="auto" w:fill="auto"/>
          </w:tcPr>
          <w:p w14:paraId="00BAEDE8" w14:textId="77777777" w:rsidR="00871BDF" w:rsidRDefault="00871BDF">
            <w:pPr>
              <w:rPr>
                <w:rFonts w:ascii="宋体"/>
                <w:vanish/>
              </w:rPr>
            </w:pPr>
          </w:p>
        </w:tc>
        <w:tc>
          <w:tcPr>
            <w:tcW w:w="0" w:type="auto"/>
            <w:gridSpan w:val="3"/>
            <w:shd w:val="clear" w:color="auto" w:fill="auto"/>
          </w:tcPr>
          <w:p w14:paraId="00BAEDE9" w14:textId="77777777" w:rsidR="00871BDF" w:rsidRDefault="00871BDF">
            <w:pPr>
              <w:rPr>
                <w:rFonts w:ascii="宋体"/>
                <w:vanish/>
              </w:rPr>
            </w:pPr>
          </w:p>
        </w:tc>
      </w:tr>
    </w:tbl>
    <w:p w14:paraId="00BAEDEB" w14:textId="77777777" w:rsidR="00871BDF" w:rsidRDefault="00871BDF"/>
    <w:p w14:paraId="00BAEDEC" w14:textId="77777777" w:rsidR="00871BDF" w:rsidRDefault="005C5088">
      <w:pPr>
        <w:jc w:val="center"/>
      </w:pPr>
      <w:r>
        <w:rPr>
          <w:rFonts w:ascii="Times New Roman" w:eastAsia="宋体" w:hAnsi="Times New Roman"/>
          <w:color w:val="000000"/>
          <w:sz w:val="20"/>
          <w:szCs w:val="20"/>
        </w:rPr>
        <w:t>52</w:t>
      </w:r>
    </w:p>
    <w:p w14:paraId="00BAEDED" w14:textId="77777777" w:rsidR="00871BDF" w:rsidRDefault="005C5088">
      <w:r>
        <w:pict w14:anchorId="00BB1499">
          <v:rect id="_x0000_i1079" style="width:415.3pt;height:1.5pt" o:hralign="center" o:hrstd="t" o:hr="t" fillcolor="#a0a0a0" stroked="f"/>
        </w:pict>
      </w:r>
    </w:p>
    <w:p w14:paraId="00BAEDEE" w14:textId="77777777" w:rsidR="00871BDF" w:rsidRDefault="005C5088">
      <w:hyperlink r:id="rId172" w:anchor="i54ccc64cb5384be5a4849ef1cdef4dde_7" w:history="1">
        <w:r>
          <w:rPr>
            <w:rStyle w:val="a5"/>
            <w:rFonts w:ascii="Times New Roman" w:eastAsia="宋体" w:hAnsi="Times New Roman"/>
            <w:sz w:val="20"/>
            <w:szCs w:val="20"/>
          </w:rPr>
          <w:t>Table of Contents</w:t>
        </w:r>
      </w:hyperlink>
    </w:p>
    <w:p w14:paraId="00BAEDEF" w14:textId="77777777" w:rsidR="00871BDF" w:rsidRDefault="005C5088">
      <w:pPr>
        <w:jc w:val="center"/>
      </w:pPr>
      <w:r>
        <w:rPr>
          <w:rFonts w:ascii="Times New Roman" w:eastAsia="宋体" w:hAnsi="Times New Roman"/>
          <w:b/>
          <w:bCs/>
          <w:color w:val="000000"/>
          <w:sz w:val="20"/>
          <w:szCs w:val="20"/>
        </w:rPr>
        <w:t>STARBUCKS CORPORATION</w:t>
      </w:r>
    </w:p>
    <w:p w14:paraId="00BAEDF0" w14:textId="77777777" w:rsidR="00871BDF" w:rsidRDefault="005C5088">
      <w:pPr>
        <w:jc w:val="center"/>
      </w:pPr>
      <w:r>
        <w:rPr>
          <w:rFonts w:ascii="Times New Roman" w:eastAsia="宋体" w:hAnsi="Times New Roman"/>
          <w:b/>
          <w:bCs/>
          <w:color w:val="000000"/>
          <w:sz w:val="20"/>
          <w:szCs w:val="20"/>
        </w:rPr>
        <w:t>NOTES TO CONSOLIDATED FINANCIAL STATEMENTS</w:t>
      </w:r>
    </w:p>
    <w:p w14:paraId="00BAEDF1" w14:textId="77777777" w:rsidR="00871BDF" w:rsidRDefault="005C5088">
      <w:pPr>
        <w:jc w:val="center"/>
      </w:pPr>
      <w:r>
        <w:rPr>
          <w:rFonts w:ascii="Times New Roman" w:eastAsia="宋体" w:hAnsi="Times New Roman"/>
          <w:b/>
          <w:bCs/>
          <w:color w:val="000000"/>
          <w:sz w:val="20"/>
          <w:szCs w:val="20"/>
        </w:rPr>
        <w:t>Fiscal Years ended S</w:t>
      </w:r>
      <w:r>
        <w:rPr>
          <w:rFonts w:ascii="Times New Roman" w:eastAsia="宋体" w:hAnsi="Times New Roman"/>
          <w:b/>
          <w:bCs/>
          <w:color w:val="000000"/>
          <w:sz w:val="20"/>
          <w:szCs w:val="20"/>
        </w:rPr>
        <w:t xml:space="preserve">eptember 27, 2020, September 29, 2019 and September 30, 2018 </w:t>
      </w:r>
    </w:p>
    <w:p w14:paraId="00BAEDF2" w14:textId="77777777" w:rsidR="00871BDF" w:rsidRDefault="005C5088">
      <w:pPr>
        <w:spacing w:before="120"/>
      </w:pPr>
      <w:r>
        <w:rPr>
          <w:rFonts w:ascii="Times New Roman" w:eastAsia="宋体" w:hAnsi="Times New Roman"/>
          <w:b/>
          <w:bCs/>
          <w:color w:val="000000"/>
          <w:sz w:val="20"/>
          <w:szCs w:val="20"/>
        </w:rPr>
        <w:t>Note 1: Summary of Significant Accounting Policies</w:t>
      </w:r>
    </w:p>
    <w:p w14:paraId="00BAEDF3" w14:textId="77777777" w:rsidR="00871BDF" w:rsidRDefault="005C5088">
      <w:pPr>
        <w:spacing w:before="120"/>
      </w:pPr>
      <w:r>
        <w:rPr>
          <w:rFonts w:ascii="Times New Roman" w:eastAsia="宋体" w:hAnsi="Times New Roman"/>
          <w:b/>
          <w:bCs/>
          <w:i/>
          <w:iCs/>
          <w:color w:val="000000"/>
          <w:sz w:val="20"/>
          <w:szCs w:val="20"/>
        </w:rPr>
        <w:t>Description of Business</w:t>
      </w:r>
    </w:p>
    <w:p w14:paraId="00BAEDF4" w14:textId="77777777" w:rsidR="00871BDF" w:rsidRDefault="005C5088">
      <w:pPr>
        <w:spacing w:before="120"/>
      </w:pPr>
      <w:r>
        <w:rPr>
          <w:rFonts w:ascii="Times New Roman" w:eastAsia="宋体" w:hAnsi="Times New Roman"/>
          <w:color w:val="000000"/>
          <w:sz w:val="20"/>
          <w:szCs w:val="20"/>
        </w:rPr>
        <w:t xml:space="preserve">We purchase and roast high-quality coffees that we sell, along with handcrafted coffee and tea beverages and a variety of fresh and prepared food items, through our company-operated stores. We also sell a variety of coffee and tea products and license our </w:t>
      </w:r>
      <w:r>
        <w:rPr>
          <w:rFonts w:ascii="Times New Roman" w:eastAsia="宋体" w:hAnsi="Times New Roman"/>
          <w:color w:val="000000"/>
          <w:sz w:val="20"/>
          <w:szCs w:val="20"/>
        </w:rPr>
        <w:t xml:space="preserve">trademarks through other channels such as licensed stores, grocery and foodservice. The grocery and foodservice business is primarily through our Global Coffee Alliance with Nestlé established in August 2018. </w:t>
      </w:r>
    </w:p>
    <w:p w14:paraId="00BAEDF5" w14:textId="77777777" w:rsidR="00871BDF" w:rsidRDefault="005C5088">
      <w:pPr>
        <w:spacing w:before="120"/>
      </w:pPr>
      <w:r>
        <w:rPr>
          <w:rFonts w:ascii="Times New Roman" w:eastAsia="宋体" w:hAnsi="Times New Roman"/>
          <w:color w:val="000000"/>
          <w:sz w:val="20"/>
          <w:szCs w:val="20"/>
        </w:rPr>
        <w:t xml:space="preserve">In this 10-K, Starbucks Corporation (together </w:t>
      </w:r>
      <w:r>
        <w:rPr>
          <w:rFonts w:ascii="Times New Roman" w:eastAsia="宋体" w:hAnsi="Times New Roman"/>
          <w:color w:val="000000"/>
          <w:sz w:val="20"/>
          <w:szCs w:val="20"/>
        </w:rPr>
        <w:t>with its subsidiaries) is referred to as “Starbucks,” the “Company,” “we,” “us” or “our.”</w:t>
      </w:r>
    </w:p>
    <w:p w14:paraId="00BAEDF6" w14:textId="77777777" w:rsidR="00871BDF" w:rsidRDefault="005C5088">
      <w:pPr>
        <w:spacing w:before="120"/>
      </w:pPr>
      <w:r>
        <w:rPr>
          <w:rFonts w:ascii="Times New Roman" w:eastAsia="宋体" w:hAnsi="Times New Roman"/>
          <w:color w:val="000000"/>
          <w:sz w:val="20"/>
          <w:szCs w:val="20"/>
        </w:rPr>
        <w:t>Certain prior period information on the consolidated statements of cash flows has been reclassified to conform to the current year presentation.</w:t>
      </w:r>
    </w:p>
    <w:p w14:paraId="00BAEDF7" w14:textId="77777777" w:rsidR="00871BDF" w:rsidRDefault="005C5088">
      <w:pPr>
        <w:spacing w:before="120"/>
      </w:pPr>
      <w:r>
        <w:rPr>
          <w:rFonts w:ascii="Times New Roman" w:eastAsia="宋体" w:hAnsi="Times New Roman"/>
          <w:color w:val="000000"/>
          <w:sz w:val="20"/>
          <w:szCs w:val="20"/>
        </w:rPr>
        <w:t xml:space="preserve">In the third quarter </w:t>
      </w:r>
      <w:r>
        <w:rPr>
          <w:rFonts w:ascii="Times New Roman" w:eastAsia="宋体" w:hAnsi="Times New Roman"/>
          <w:color w:val="000000"/>
          <w:sz w:val="20"/>
          <w:szCs w:val="20"/>
        </w:rPr>
        <w:t>of fiscal 2020, we renamed the “cost of sales” caption on our consolidated statement of earnings to “product and distribution costs,” which more accurately reflects the substance of costs classified within this line item. There were no classification or ot</w:t>
      </w:r>
      <w:r>
        <w:rPr>
          <w:rFonts w:ascii="Times New Roman" w:eastAsia="宋体" w:hAnsi="Times New Roman"/>
          <w:color w:val="000000"/>
          <w:sz w:val="20"/>
          <w:szCs w:val="20"/>
        </w:rPr>
        <w:t xml:space="preserve">her changes made in conjunction with the new caption. </w:t>
      </w:r>
    </w:p>
    <w:p w14:paraId="00BAEDF8" w14:textId="77777777" w:rsidR="00871BDF" w:rsidRDefault="005C5088">
      <w:pPr>
        <w:spacing w:before="120"/>
      </w:pPr>
      <w:r>
        <w:rPr>
          <w:rFonts w:ascii="Times New Roman" w:eastAsia="宋体" w:hAnsi="Times New Roman"/>
          <w:color w:val="000000"/>
          <w:sz w:val="20"/>
          <w:szCs w:val="20"/>
        </w:rPr>
        <w:t>We have three reportable operating segments: 1) Americas, which is inclusive of the U.S., Canada and Latin America; 2) International, which is inclusive of China/Asia Pacific, Europe, the Middle East a</w:t>
      </w:r>
      <w:r>
        <w:rPr>
          <w:rFonts w:ascii="Times New Roman" w:eastAsia="宋体" w:hAnsi="Times New Roman"/>
          <w:color w:val="000000"/>
          <w:sz w:val="20"/>
          <w:szCs w:val="20"/>
        </w:rPr>
        <w:t>nd Africa; and 3) Channel Development. Non-reportable operating segments such as Evolution Fresh and unallocated corporate expenses are reported within Corporate and Other.</w:t>
      </w:r>
    </w:p>
    <w:p w14:paraId="00BAEDF9" w14:textId="77777777" w:rsidR="00871BDF" w:rsidRDefault="005C5088">
      <w:pPr>
        <w:spacing w:before="120"/>
      </w:pPr>
      <w:r>
        <w:rPr>
          <w:rFonts w:ascii="Times New Roman" w:eastAsia="宋体" w:hAnsi="Times New Roman"/>
          <w:b/>
          <w:bCs/>
          <w:i/>
          <w:iCs/>
          <w:color w:val="000000"/>
          <w:sz w:val="20"/>
          <w:szCs w:val="20"/>
        </w:rPr>
        <w:t>Principles of Consolidation</w:t>
      </w:r>
    </w:p>
    <w:p w14:paraId="00BAEDFA" w14:textId="77777777" w:rsidR="00871BDF" w:rsidRDefault="005C5088">
      <w:pPr>
        <w:spacing w:before="120"/>
      </w:pPr>
      <w:r>
        <w:rPr>
          <w:rFonts w:ascii="Times New Roman" w:eastAsia="宋体" w:hAnsi="Times New Roman"/>
          <w:color w:val="000000"/>
          <w:sz w:val="20"/>
          <w:szCs w:val="20"/>
        </w:rPr>
        <w:t>Our consolidated financial statements reflect the finan</w:t>
      </w:r>
      <w:r>
        <w:rPr>
          <w:rFonts w:ascii="Times New Roman" w:eastAsia="宋体" w:hAnsi="Times New Roman"/>
          <w:color w:val="000000"/>
          <w:sz w:val="20"/>
          <w:szCs w:val="20"/>
        </w:rPr>
        <w:t>cial position and operating results of Starbucks, including wholly-owned subsidiaries and investees that we control. Intercompany transactions and balances have been eliminated.</w:t>
      </w:r>
    </w:p>
    <w:p w14:paraId="00BAEDFB" w14:textId="77777777" w:rsidR="00871BDF" w:rsidRDefault="005C5088">
      <w:pPr>
        <w:spacing w:before="120"/>
      </w:pPr>
      <w:r>
        <w:rPr>
          <w:rFonts w:ascii="Times New Roman" w:eastAsia="宋体" w:hAnsi="Times New Roman"/>
          <w:b/>
          <w:bCs/>
          <w:i/>
          <w:iCs/>
          <w:color w:val="000000"/>
          <w:sz w:val="20"/>
          <w:szCs w:val="20"/>
        </w:rPr>
        <w:t>Fiscal Year End</w:t>
      </w:r>
    </w:p>
    <w:p w14:paraId="00BAEDFC" w14:textId="77777777" w:rsidR="00871BDF" w:rsidRDefault="005C5088">
      <w:pPr>
        <w:spacing w:before="120"/>
      </w:pPr>
      <w:r>
        <w:rPr>
          <w:rFonts w:ascii="Times New Roman" w:eastAsia="宋体" w:hAnsi="Times New Roman"/>
          <w:color w:val="000000"/>
          <w:sz w:val="20"/>
          <w:szCs w:val="20"/>
        </w:rPr>
        <w:t>Our fiscal year ends on the Sunday closest to September 30. Fi</w:t>
      </w:r>
      <w:r>
        <w:rPr>
          <w:rFonts w:ascii="Times New Roman" w:eastAsia="宋体" w:hAnsi="Times New Roman"/>
          <w:color w:val="000000"/>
          <w:sz w:val="20"/>
          <w:szCs w:val="20"/>
        </w:rPr>
        <w:t>scal 2020, 2019 and 2018 included 52 weeks.</w:t>
      </w:r>
    </w:p>
    <w:p w14:paraId="00BAEDFD" w14:textId="77777777" w:rsidR="00871BDF" w:rsidRDefault="005C5088">
      <w:pPr>
        <w:spacing w:before="120"/>
      </w:pPr>
      <w:r>
        <w:rPr>
          <w:rFonts w:ascii="Times New Roman" w:eastAsia="宋体" w:hAnsi="Times New Roman"/>
          <w:b/>
          <w:bCs/>
          <w:i/>
          <w:iCs/>
          <w:color w:val="000000"/>
          <w:sz w:val="20"/>
          <w:szCs w:val="20"/>
        </w:rPr>
        <w:t>Estimates and Assumptions</w:t>
      </w:r>
    </w:p>
    <w:p w14:paraId="00BAEDFE" w14:textId="77777777" w:rsidR="00871BDF" w:rsidRDefault="005C5088">
      <w:pPr>
        <w:spacing w:before="120"/>
      </w:pPr>
      <w:r>
        <w:rPr>
          <w:rFonts w:ascii="Times New Roman" w:eastAsia="宋体" w:hAnsi="Times New Roman"/>
          <w:color w:val="000000"/>
          <w:sz w:val="20"/>
          <w:szCs w:val="20"/>
        </w:rPr>
        <w:t xml:space="preserve">Preparing financial statements in conformity with accounting principles generally accepted in the United States of America (“GAAP”) requires management to make estimates and assumptions </w:t>
      </w:r>
      <w:r>
        <w:rPr>
          <w:rFonts w:ascii="Times New Roman" w:eastAsia="宋体" w:hAnsi="Times New Roman"/>
          <w:color w:val="000000"/>
          <w:sz w:val="20"/>
          <w:szCs w:val="20"/>
        </w:rPr>
        <w:t>that affect the reported amounts of assets, liabilities, revenues and expenses. Examples include, but are not limited to, estimates for inventory reserves, asset and goodwill impairments, assumptions underlying self-insurance reserves, income from unredeem</w:t>
      </w:r>
      <w:r>
        <w:rPr>
          <w:rFonts w:ascii="Times New Roman" w:eastAsia="宋体" w:hAnsi="Times New Roman"/>
          <w:color w:val="000000"/>
          <w:sz w:val="20"/>
          <w:szCs w:val="20"/>
        </w:rPr>
        <w:t>ed stored value cards, stock-based compensation forfeiture rates, future asset retirement obligations and the potential outcome of future tax consequences of events that have been recognized in the financial statements. Actual results and outcomes may diff</w:t>
      </w:r>
      <w:r>
        <w:rPr>
          <w:rFonts w:ascii="Times New Roman" w:eastAsia="宋体" w:hAnsi="Times New Roman"/>
          <w:color w:val="000000"/>
          <w:sz w:val="20"/>
          <w:szCs w:val="20"/>
        </w:rPr>
        <w:t>er from these estimates and assumptions due to risks and uncertainties, including uncertainty in the current economic environment due to the outbreak of the novel coronavirus (“COVID-19”).</w:t>
      </w:r>
    </w:p>
    <w:p w14:paraId="00BAEDFF" w14:textId="77777777" w:rsidR="00871BDF" w:rsidRDefault="005C5088">
      <w:pPr>
        <w:spacing w:before="120"/>
      </w:pPr>
      <w:r>
        <w:rPr>
          <w:rFonts w:ascii="Times New Roman" w:eastAsia="宋体" w:hAnsi="Times New Roman"/>
          <w:b/>
          <w:bCs/>
          <w:i/>
          <w:iCs/>
          <w:color w:val="000000"/>
          <w:sz w:val="20"/>
          <w:szCs w:val="20"/>
        </w:rPr>
        <w:t>Restructuring</w:t>
      </w:r>
    </w:p>
    <w:p w14:paraId="00BAEE00" w14:textId="77777777" w:rsidR="00871BDF" w:rsidRDefault="005C5088">
      <w:pPr>
        <w:spacing w:before="120"/>
      </w:pPr>
      <w:r>
        <w:rPr>
          <w:rFonts w:ascii="Times New Roman" w:eastAsia="宋体" w:hAnsi="Times New Roman"/>
          <w:color w:val="000000"/>
          <w:sz w:val="20"/>
          <w:szCs w:val="20"/>
        </w:rPr>
        <w:t>In the third quarter of fiscal 2020, we announced a p</w:t>
      </w:r>
      <w:r>
        <w:rPr>
          <w:rFonts w:ascii="Times New Roman" w:eastAsia="宋体" w:hAnsi="Times New Roman"/>
          <w:color w:val="000000"/>
          <w:sz w:val="20"/>
          <w:szCs w:val="20"/>
        </w:rPr>
        <w:t>lan to optimize our North America store portfolio, primarily in dense metropolitan markets by blending store formats to better cater to changing customer tastes and preferences. As of September 27, 2020, we expect the total number of closures to be approxi</w:t>
      </w:r>
      <w:r>
        <w:rPr>
          <w:rFonts w:ascii="Times New Roman" w:eastAsia="宋体" w:hAnsi="Times New Roman"/>
          <w:color w:val="000000"/>
          <w:sz w:val="20"/>
          <w:szCs w:val="20"/>
        </w:rPr>
        <w:t>mately 800 stores in the U.S. and Canada, reflecting an additional 200 store closures than the initial estimate of 600 stores. As of September 27, 2020, we identified 405 stores for closure under our restructuring plans, and as a result we recorded approxi</w:t>
      </w:r>
      <w:r>
        <w:rPr>
          <w:rFonts w:ascii="Times New Roman" w:eastAsia="宋体" w:hAnsi="Times New Roman"/>
          <w:color w:val="000000"/>
          <w:sz w:val="20"/>
          <w:szCs w:val="20"/>
        </w:rPr>
        <w:t xml:space="preserve">mately $254.7 million to restructuring and impairments on our consolidated statement of earnings. Of this total, $151.6 million related to the impairment of store assets for which either a triggering event occurred and the assets were determined not to be </w:t>
      </w:r>
      <w:r>
        <w:rPr>
          <w:rFonts w:ascii="Times New Roman" w:eastAsia="宋体" w:hAnsi="Times New Roman"/>
          <w:color w:val="000000"/>
          <w:sz w:val="20"/>
          <w:szCs w:val="20"/>
        </w:rPr>
        <w:t>recoverable or the store was permanently closed. An additional $87.7 million was primarily associated with accelerated amortization or impairments of right-of-use (“ROU”) lease assets due to planned store closures prior to the end of contractual lease term</w:t>
      </w:r>
      <w:r>
        <w:rPr>
          <w:rFonts w:ascii="Times New Roman" w:eastAsia="宋体" w:hAnsi="Times New Roman"/>
          <w:color w:val="000000"/>
          <w:sz w:val="20"/>
          <w:szCs w:val="20"/>
        </w:rPr>
        <w:t xml:space="preserve">s. For impaired store asset groups, we estimated the fair values using an income approach incorporating internal projections of revenue growth and operating expenses that are considered Level 3 fair value measurements, as well as applicable discount rates </w:t>
      </w:r>
      <w:r>
        <w:rPr>
          <w:rFonts w:ascii="Times New Roman" w:eastAsia="宋体" w:hAnsi="Times New Roman"/>
          <w:color w:val="000000"/>
          <w:sz w:val="20"/>
          <w:szCs w:val="20"/>
        </w:rPr>
        <w:t>and market lease rates. The application of these projections and fair value measurements did not have a significant impact on our final impairment decisions given that we plan to fully exit the majority of these identified stores in the next 3 to 6 months.</w:t>
      </w:r>
      <w:r>
        <w:rPr>
          <w:rFonts w:ascii="Times New Roman" w:eastAsia="宋体" w:hAnsi="Times New Roman"/>
          <w:color w:val="000000"/>
          <w:sz w:val="20"/>
          <w:szCs w:val="20"/>
        </w:rPr>
        <w:t xml:space="preserve"> The remaining $15.4 million related to employee termination costs. </w:t>
      </w:r>
    </w:p>
    <w:p w14:paraId="00BAEE01" w14:textId="77777777" w:rsidR="00871BDF" w:rsidRDefault="005C5088">
      <w:pPr>
        <w:spacing w:before="120"/>
      </w:pPr>
      <w:r>
        <w:rPr>
          <w:rFonts w:ascii="Times New Roman" w:eastAsia="宋体" w:hAnsi="Times New Roman"/>
          <w:color w:val="000000"/>
          <w:sz w:val="20"/>
          <w:szCs w:val="20"/>
        </w:rPr>
        <w:t>We expect total future restructuring costs, which are attributable to our Americas segment, to range from approximately $260 million to $400 million. These restructuring costs include acc</w:t>
      </w:r>
      <w:r>
        <w:rPr>
          <w:rFonts w:ascii="Times New Roman" w:eastAsia="宋体" w:hAnsi="Times New Roman"/>
          <w:color w:val="000000"/>
          <w:sz w:val="20"/>
          <w:szCs w:val="20"/>
        </w:rPr>
        <w:t xml:space="preserve">elerated amortization or impairments of ROU assets due to </w:t>
      </w:r>
    </w:p>
    <w:p w14:paraId="00BAEE02" w14:textId="77777777" w:rsidR="00871BDF" w:rsidRDefault="005C5088">
      <w:pPr>
        <w:jc w:val="center"/>
      </w:pPr>
      <w:r>
        <w:rPr>
          <w:rFonts w:ascii="Times New Roman" w:eastAsia="宋体" w:hAnsi="Times New Roman"/>
          <w:color w:val="000000"/>
          <w:sz w:val="20"/>
          <w:szCs w:val="20"/>
        </w:rPr>
        <w:t>53</w:t>
      </w:r>
    </w:p>
    <w:p w14:paraId="00BAEE03" w14:textId="77777777" w:rsidR="00871BDF" w:rsidRDefault="005C5088">
      <w:r>
        <w:pict w14:anchorId="00BB149A">
          <v:rect id="_x0000_i1080" style="width:415.3pt;height:1.5pt" o:hralign="center" o:hrstd="t" o:hr="t" fillcolor="#a0a0a0" stroked="f"/>
        </w:pict>
      </w:r>
    </w:p>
    <w:p w14:paraId="00BAEE04" w14:textId="77777777" w:rsidR="00871BDF" w:rsidRDefault="005C5088">
      <w:hyperlink r:id="rId173" w:anchor="i54ccc64cb5384be5a4849ef1cdef4dde_7" w:history="1">
        <w:r>
          <w:rPr>
            <w:rStyle w:val="a5"/>
            <w:rFonts w:ascii="Times New Roman" w:eastAsia="宋体" w:hAnsi="Times New Roman"/>
            <w:sz w:val="20"/>
            <w:szCs w:val="20"/>
          </w:rPr>
          <w:t>Table of Contents</w:t>
        </w:r>
      </w:hyperlink>
    </w:p>
    <w:p w14:paraId="00BAEE05" w14:textId="77777777" w:rsidR="00871BDF" w:rsidRDefault="005C5088">
      <w:pPr>
        <w:spacing w:before="120"/>
      </w:pPr>
      <w:r>
        <w:rPr>
          <w:rFonts w:ascii="Times New Roman" w:eastAsia="宋体" w:hAnsi="Times New Roman"/>
          <w:color w:val="000000"/>
          <w:sz w:val="20"/>
          <w:szCs w:val="20"/>
        </w:rPr>
        <w:t>planned store closures prior to the end of contractual lease terms ($150 million to $</w:t>
      </w:r>
      <w:r>
        <w:rPr>
          <w:rFonts w:ascii="Times New Roman" w:eastAsia="宋体" w:hAnsi="Times New Roman"/>
          <w:color w:val="000000"/>
          <w:sz w:val="20"/>
          <w:szCs w:val="20"/>
        </w:rPr>
        <w:t>190 million), store impairment and disposal costs not previously recorded as part of our ongoing store impairment process ($100 million to $190 million) and the remaining amount relates to employee termination costs. As we have previously recorded impairme</w:t>
      </w:r>
      <w:r>
        <w:rPr>
          <w:rFonts w:ascii="Times New Roman" w:eastAsia="宋体" w:hAnsi="Times New Roman"/>
          <w:color w:val="000000"/>
          <w:sz w:val="20"/>
          <w:szCs w:val="20"/>
        </w:rPr>
        <w:t>nt charges in fiscal 2020 for stores that may be identified for closure under our plans, and because store closure decisions are still subject to change, the final costs associated with these store closures may be different from the initial estimates. Thes</w:t>
      </w:r>
      <w:r>
        <w:rPr>
          <w:rFonts w:ascii="Times New Roman" w:eastAsia="宋体" w:hAnsi="Times New Roman"/>
          <w:color w:val="000000"/>
          <w:sz w:val="20"/>
          <w:szCs w:val="20"/>
        </w:rPr>
        <w:t xml:space="preserve">e costs will depend on the asset carrying value and remaining lease term of the specific stores identified. Future restructuring costs are expected to be incurred over the next 18 months as stores are specifically identified for closure or, in the case of </w:t>
      </w:r>
      <w:r>
        <w:rPr>
          <w:rFonts w:ascii="Times New Roman" w:eastAsia="宋体" w:hAnsi="Times New Roman"/>
          <w:color w:val="000000"/>
          <w:sz w:val="20"/>
          <w:szCs w:val="20"/>
        </w:rPr>
        <w:t>lease exit costs, when the stores either cease operations or when a reduced lease term due to early termination is reasonably certain.</w:t>
      </w:r>
    </w:p>
    <w:p w14:paraId="00BAEE06" w14:textId="77777777" w:rsidR="00871BDF" w:rsidRDefault="005C5088">
      <w:pPr>
        <w:spacing w:before="120"/>
      </w:pPr>
      <w:r>
        <w:rPr>
          <w:rFonts w:ascii="Times New Roman" w:eastAsia="宋体" w:hAnsi="Times New Roman"/>
          <w:color w:val="000000"/>
          <w:sz w:val="20"/>
          <w:szCs w:val="20"/>
        </w:rPr>
        <w:t>As of September 27, 2020, restructuring liabilities totaling $80.0 million were included in current and non-current opera</w:t>
      </w:r>
      <w:r>
        <w:rPr>
          <w:rFonts w:ascii="Times New Roman" w:eastAsia="宋体" w:hAnsi="Times New Roman"/>
          <w:color w:val="000000"/>
          <w:sz w:val="20"/>
          <w:szCs w:val="20"/>
        </w:rPr>
        <w:t>ting lease liability for the remaining outstanding rent liabilities due to landlords. The associated expense was recognized in fiscal 2020 for these stores that were either closed or reasonably certain to close in fiscal 2021. Additionally, $15.2 million w</w:t>
      </w:r>
      <w:r>
        <w:rPr>
          <w:rFonts w:ascii="Times New Roman" w:eastAsia="宋体" w:hAnsi="Times New Roman"/>
          <w:color w:val="000000"/>
          <w:sz w:val="20"/>
          <w:szCs w:val="20"/>
        </w:rPr>
        <w:t xml:space="preserve">as included in accrued payroll and benefits for employee termination costs on the consolidated balance sheets. Cash payments were immaterial for fiscal 2020. </w:t>
      </w:r>
    </w:p>
    <w:p w14:paraId="00BAEE07" w14:textId="77777777" w:rsidR="00871BDF" w:rsidRDefault="005C5088">
      <w:pPr>
        <w:spacing w:before="120"/>
      </w:pPr>
      <w:r>
        <w:rPr>
          <w:rFonts w:ascii="Times New Roman" w:eastAsia="宋体" w:hAnsi="Times New Roman"/>
          <w:b/>
          <w:bCs/>
          <w:i/>
          <w:iCs/>
          <w:color w:val="000000"/>
          <w:sz w:val="20"/>
          <w:szCs w:val="20"/>
        </w:rPr>
        <w:t>Cash and Cash Equivalents</w:t>
      </w:r>
    </w:p>
    <w:p w14:paraId="00BAEE08" w14:textId="77777777" w:rsidR="00871BDF" w:rsidRDefault="005C5088">
      <w:pPr>
        <w:spacing w:before="120"/>
      </w:pPr>
      <w:r>
        <w:rPr>
          <w:rFonts w:ascii="Times New Roman" w:eastAsia="宋体" w:hAnsi="Times New Roman"/>
          <w:color w:val="000000"/>
          <w:sz w:val="20"/>
          <w:szCs w:val="20"/>
        </w:rPr>
        <w:t>We consider all highly liquid instruments with maturities of three mont</w:t>
      </w:r>
      <w:r>
        <w:rPr>
          <w:rFonts w:ascii="Times New Roman" w:eastAsia="宋体" w:hAnsi="Times New Roman"/>
          <w:color w:val="000000"/>
          <w:sz w:val="20"/>
          <w:szCs w:val="20"/>
        </w:rPr>
        <w:t xml:space="preserve">hs or less at the time of purchase, as well as credit card receivables for sales to customers in our company-operated stores that generally settle within two to five business days, to be cash equivalents. We maintain cash and cash equivalent balances with </w:t>
      </w:r>
      <w:r>
        <w:rPr>
          <w:rFonts w:ascii="Times New Roman" w:eastAsia="宋体" w:hAnsi="Times New Roman"/>
          <w:color w:val="000000"/>
          <w:sz w:val="20"/>
          <w:szCs w:val="20"/>
        </w:rPr>
        <w:t>financial institutions that exceed federally-insured limits. We have not experienced any losses related to these balances, and we believe credit risk to be minimal.</w:t>
      </w:r>
    </w:p>
    <w:p w14:paraId="00BAEE09" w14:textId="77777777" w:rsidR="00871BDF" w:rsidRDefault="005C5088">
      <w:pPr>
        <w:spacing w:before="120"/>
      </w:pPr>
      <w:r>
        <w:rPr>
          <w:rFonts w:ascii="Times New Roman" w:eastAsia="宋体" w:hAnsi="Times New Roman"/>
          <w:color w:val="000000"/>
          <w:sz w:val="20"/>
          <w:szCs w:val="20"/>
        </w:rPr>
        <w:t>Our cash management system provides for the funding of all major bank disbursement accounts</w:t>
      </w:r>
      <w:r>
        <w:rPr>
          <w:rFonts w:ascii="Times New Roman" w:eastAsia="宋体" w:hAnsi="Times New Roman"/>
          <w:color w:val="000000"/>
          <w:sz w:val="20"/>
          <w:szCs w:val="20"/>
        </w:rPr>
        <w:t xml:space="preserve"> on a daily basis as checks are presented for payment. Under this system, outstanding checks are in excess of the cash balances at certain banks, which creates book overdrafts. Book overdrafts are presented as a current liability in accrued liabilities on </w:t>
      </w:r>
      <w:r>
        <w:rPr>
          <w:rFonts w:ascii="Times New Roman" w:eastAsia="宋体" w:hAnsi="Times New Roman"/>
          <w:color w:val="000000"/>
          <w:sz w:val="20"/>
          <w:szCs w:val="20"/>
        </w:rPr>
        <w:t>our consolidated balance sheets.</w:t>
      </w:r>
    </w:p>
    <w:p w14:paraId="00BAEE0A" w14:textId="77777777" w:rsidR="00871BDF" w:rsidRDefault="005C5088">
      <w:pPr>
        <w:spacing w:before="120"/>
      </w:pPr>
      <w:r>
        <w:rPr>
          <w:rFonts w:ascii="Times New Roman" w:eastAsia="宋体" w:hAnsi="Times New Roman"/>
          <w:b/>
          <w:bCs/>
          <w:i/>
          <w:iCs/>
          <w:color w:val="000000"/>
          <w:sz w:val="20"/>
          <w:szCs w:val="20"/>
        </w:rPr>
        <w:t>Investments</w:t>
      </w:r>
    </w:p>
    <w:p w14:paraId="00BAEE0B" w14:textId="77777777" w:rsidR="00871BDF" w:rsidRDefault="005C5088">
      <w:pPr>
        <w:spacing w:before="120"/>
      </w:pPr>
      <w:r>
        <w:rPr>
          <w:rFonts w:ascii="Times New Roman" w:eastAsia="宋体" w:hAnsi="Times New Roman"/>
          <w:i/>
          <w:iCs/>
          <w:color w:val="000000"/>
          <w:sz w:val="20"/>
          <w:szCs w:val="20"/>
        </w:rPr>
        <w:t>Available-for-sale Debt Securities</w:t>
      </w:r>
    </w:p>
    <w:p w14:paraId="00BAEE0C" w14:textId="77777777" w:rsidR="00871BDF" w:rsidRDefault="005C5088">
      <w:pPr>
        <w:spacing w:before="120"/>
      </w:pPr>
      <w:r>
        <w:rPr>
          <w:rFonts w:ascii="Times New Roman" w:eastAsia="宋体" w:hAnsi="Times New Roman"/>
          <w:color w:val="000000"/>
          <w:sz w:val="20"/>
          <w:szCs w:val="20"/>
        </w:rPr>
        <w:t>Our short-term and long-term investments consist primarily of investment-grade debt securities, all of which are classified as available-for-sale. Available-for-sale debt secur</w:t>
      </w:r>
      <w:r>
        <w:rPr>
          <w:rFonts w:ascii="Times New Roman" w:eastAsia="宋体" w:hAnsi="Times New Roman"/>
          <w:color w:val="000000"/>
          <w:sz w:val="20"/>
          <w:szCs w:val="20"/>
        </w:rPr>
        <w:t>ities are recorded at fair value, and unrealized holding gains and losses are recorded, net of tax, as a component of accumulated other comprehensive income. Available-for-sale securities with remaining maturities of less than one year and those identified</w:t>
      </w:r>
      <w:r>
        <w:rPr>
          <w:rFonts w:ascii="Times New Roman" w:eastAsia="宋体" w:hAnsi="Times New Roman"/>
          <w:color w:val="000000"/>
          <w:sz w:val="20"/>
          <w:szCs w:val="20"/>
        </w:rPr>
        <w:t xml:space="preserve"> by management at the time of purchase to be used to fund operations within one year are classified as short-term. All other available-for-sale securities are classified as long-term. We evaluate our available-for-sale securities for other-than-temporary i</w:t>
      </w:r>
      <w:r>
        <w:rPr>
          <w:rFonts w:ascii="Times New Roman" w:eastAsia="宋体" w:hAnsi="Times New Roman"/>
          <w:color w:val="000000"/>
          <w:sz w:val="20"/>
          <w:szCs w:val="20"/>
        </w:rPr>
        <w:t xml:space="preserve">mpairment on a quarterly basis. Unrealized losses are charged against net earnings when a decline in fair value is determined to be other than temporary. We review several factors to determine whether a loss is other than temporary, such as the length and </w:t>
      </w:r>
      <w:r>
        <w:rPr>
          <w:rFonts w:ascii="Times New Roman" w:eastAsia="宋体" w:hAnsi="Times New Roman"/>
          <w:color w:val="000000"/>
          <w:sz w:val="20"/>
          <w:szCs w:val="20"/>
        </w:rPr>
        <w:t>extent of the fair value decline, the financial condition and near-term prospects of the issuer and whether we have the intent to sell or will more likely than not be required to sell before the securities' anticipated recovery, which may be at maturity. R</w:t>
      </w:r>
      <w:r>
        <w:rPr>
          <w:rFonts w:ascii="Times New Roman" w:eastAsia="宋体" w:hAnsi="Times New Roman"/>
          <w:color w:val="000000"/>
          <w:sz w:val="20"/>
          <w:szCs w:val="20"/>
        </w:rPr>
        <w:t>ealized gains and losses are accounted for using the specific identification method. Purchases and sales are recorded on a trade date basis.</w:t>
      </w:r>
    </w:p>
    <w:p w14:paraId="00BAEE0D" w14:textId="77777777" w:rsidR="00871BDF" w:rsidRDefault="005C5088">
      <w:pPr>
        <w:spacing w:before="120"/>
      </w:pPr>
      <w:r>
        <w:rPr>
          <w:rFonts w:ascii="Times New Roman" w:eastAsia="宋体" w:hAnsi="Times New Roman"/>
          <w:i/>
          <w:iCs/>
          <w:color w:val="000000"/>
          <w:sz w:val="20"/>
          <w:szCs w:val="20"/>
        </w:rPr>
        <w:t>Marketable Equity Securities</w:t>
      </w:r>
    </w:p>
    <w:p w14:paraId="00BAEE0E" w14:textId="77777777" w:rsidR="00871BDF" w:rsidRDefault="005C5088">
      <w:pPr>
        <w:spacing w:before="120"/>
      </w:pPr>
      <w:r>
        <w:rPr>
          <w:rFonts w:ascii="Times New Roman" w:eastAsia="宋体" w:hAnsi="Times New Roman"/>
          <w:color w:val="000000"/>
          <w:sz w:val="20"/>
          <w:szCs w:val="20"/>
        </w:rPr>
        <w:t xml:space="preserve">We also have a marketable equity securities portfolio, which is comprised of </w:t>
      </w:r>
      <w:r>
        <w:rPr>
          <w:rFonts w:ascii="Times New Roman" w:eastAsia="宋体" w:hAnsi="Times New Roman"/>
          <w:color w:val="000000"/>
          <w:sz w:val="20"/>
          <w:szCs w:val="20"/>
        </w:rPr>
        <w:t>marketable equity mutual funds and equity exchange-traded funds. Marketable equity securities are recorded at fair value and approximates a portion of our liability under our Management Deferred Compensation Plan (“MDCP”). Gains or losses from the portfoli</w:t>
      </w:r>
      <w:r>
        <w:rPr>
          <w:rFonts w:ascii="Times New Roman" w:eastAsia="宋体" w:hAnsi="Times New Roman"/>
          <w:color w:val="000000"/>
          <w:sz w:val="20"/>
          <w:szCs w:val="20"/>
        </w:rPr>
        <w:t>o and the change in our MDCP liability are recorded in our consolidated statements of earnings.</w:t>
      </w:r>
    </w:p>
    <w:p w14:paraId="00BAEE0F" w14:textId="77777777" w:rsidR="00871BDF" w:rsidRDefault="005C5088">
      <w:pPr>
        <w:spacing w:before="120"/>
      </w:pPr>
      <w:r>
        <w:rPr>
          <w:rFonts w:ascii="Times New Roman" w:eastAsia="宋体" w:hAnsi="Times New Roman"/>
          <w:i/>
          <w:iCs/>
          <w:color w:val="000000"/>
          <w:sz w:val="20"/>
          <w:szCs w:val="20"/>
        </w:rPr>
        <w:t xml:space="preserve">Equity Investments </w:t>
      </w:r>
    </w:p>
    <w:p w14:paraId="00BAEE10" w14:textId="77777777" w:rsidR="00871BDF" w:rsidRDefault="005C5088">
      <w:pPr>
        <w:spacing w:before="120"/>
      </w:pPr>
      <w:r>
        <w:rPr>
          <w:rFonts w:ascii="Times New Roman" w:eastAsia="宋体" w:hAnsi="Times New Roman"/>
          <w:color w:val="000000"/>
          <w:sz w:val="20"/>
          <w:szCs w:val="20"/>
        </w:rPr>
        <w:t>Equity investments are accounted under the equity method if we are able to exercise significant influence, but not control, over an investee</w:t>
      </w:r>
      <w:r>
        <w:rPr>
          <w:rFonts w:ascii="Times New Roman" w:eastAsia="宋体" w:hAnsi="Times New Roman"/>
          <w:color w:val="000000"/>
          <w:sz w:val="20"/>
          <w:szCs w:val="20"/>
        </w:rPr>
        <w:t>. Our share of the earnings or losses as reported by the investees is classified as income from equity investees on our consolidated statements of earnings. The investments are evaluated for impairment annually and when facts and circumstances indicate tha</w:t>
      </w:r>
      <w:r>
        <w:rPr>
          <w:rFonts w:ascii="Times New Roman" w:eastAsia="宋体" w:hAnsi="Times New Roman"/>
          <w:color w:val="000000"/>
          <w:sz w:val="20"/>
          <w:szCs w:val="20"/>
        </w:rPr>
        <w:t xml:space="preserve">t the carrying value may not be recoverable. If a decline in fair value is determined to be other-than-temporary, an impairment charge is recorded in interest income and other, net on our consolidated statements of earnings. </w:t>
      </w:r>
    </w:p>
    <w:p w14:paraId="00BAEE11" w14:textId="77777777" w:rsidR="00871BDF" w:rsidRDefault="005C5088">
      <w:pPr>
        <w:spacing w:before="120"/>
      </w:pPr>
      <w:r>
        <w:rPr>
          <w:rFonts w:ascii="Times New Roman" w:eastAsia="宋体" w:hAnsi="Times New Roman"/>
          <w:color w:val="000000"/>
          <w:sz w:val="20"/>
          <w:szCs w:val="20"/>
        </w:rPr>
        <w:t>We account for equity investme</w:t>
      </w:r>
      <w:r>
        <w:rPr>
          <w:rFonts w:ascii="Times New Roman" w:eastAsia="宋体" w:hAnsi="Times New Roman"/>
          <w:color w:val="000000"/>
          <w:sz w:val="20"/>
          <w:szCs w:val="20"/>
        </w:rPr>
        <w:t>nts for which we do not have significant influence and without readily determinable fair values at cost with adjustments for observable changes in price or impairments as permitted by the measurement alternative. Investments for which the measurement alter</w:t>
      </w:r>
      <w:r>
        <w:rPr>
          <w:rFonts w:ascii="Times New Roman" w:eastAsia="宋体" w:hAnsi="Times New Roman"/>
          <w:color w:val="000000"/>
          <w:sz w:val="20"/>
          <w:szCs w:val="20"/>
        </w:rPr>
        <w:t>native has been elected are assessed for impairment quarterly, or if a triggering event indicates impairment may be present. Any adjustments as a result of price changes or impairments are recorded in interest income and other, net on our consolidated stat</w:t>
      </w:r>
      <w:r>
        <w:rPr>
          <w:rFonts w:ascii="Times New Roman" w:eastAsia="宋体" w:hAnsi="Times New Roman"/>
          <w:color w:val="000000"/>
          <w:sz w:val="20"/>
          <w:szCs w:val="20"/>
        </w:rPr>
        <w:t xml:space="preserve">ements of earnings. </w:t>
      </w:r>
    </w:p>
    <w:p w14:paraId="00BAEE12" w14:textId="77777777" w:rsidR="00871BDF" w:rsidRDefault="005C5088">
      <w:pPr>
        <w:jc w:val="center"/>
      </w:pPr>
      <w:r>
        <w:rPr>
          <w:rFonts w:ascii="Times New Roman" w:eastAsia="宋体" w:hAnsi="Times New Roman"/>
          <w:color w:val="000000"/>
          <w:sz w:val="20"/>
          <w:szCs w:val="20"/>
        </w:rPr>
        <w:t>54</w:t>
      </w:r>
    </w:p>
    <w:p w14:paraId="00BAEE13" w14:textId="77777777" w:rsidR="00871BDF" w:rsidRDefault="005C5088">
      <w:r>
        <w:pict w14:anchorId="00BB149B">
          <v:rect id="_x0000_i1081" style="width:415.3pt;height:1.5pt" o:hralign="center" o:hrstd="t" o:hr="t" fillcolor="#a0a0a0" stroked="f"/>
        </w:pict>
      </w:r>
    </w:p>
    <w:p w14:paraId="00BAEE14" w14:textId="77777777" w:rsidR="00871BDF" w:rsidRDefault="005C5088">
      <w:hyperlink r:id="rId174" w:anchor="i54ccc64cb5384be5a4849ef1cdef4dde_7" w:history="1">
        <w:r>
          <w:rPr>
            <w:rStyle w:val="a5"/>
            <w:rFonts w:ascii="Times New Roman" w:eastAsia="宋体" w:hAnsi="Times New Roman"/>
            <w:sz w:val="20"/>
            <w:szCs w:val="20"/>
          </w:rPr>
          <w:t>Table of Contents</w:t>
        </w:r>
      </w:hyperlink>
    </w:p>
    <w:p w14:paraId="00BAEE15" w14:textId="77777777" w:rsidR="00871BDF" w:rsidRDefault="005C5088">
      <w:pPr>
        <w:spacing w:before="120"/>
      </w:pPr>
      <w:r>
        <w:rPr>
          <w:rFonts w:ascii="Times New Roman" w:eastAsia="宋体" w:hAnsi="Times New Roman"/>
          <w:b/>
          <w:bCs/>
          <w:i/>
          <w:iCs/>
          <w:color w:val="000000"/>
          <w:sz w:val="20"/>
          <w:szCs w:val="20"/>
        </w:rPr>
        <w:t>Fair Value</w:t>
      </w:r>
    </w:p>
    <w:p w14:paraId="00BAEE16" w14:textId="77777777" w:rsidR="00871BDF" w:rsidRDefault="005C5088">
      <w:pPr>
        <w:spacing w:before="120"/>
      </w:pPr>
      <w:r>
        <w:rPr>
          <w:rFonts w:ascii="Times New Roman" w:eastAsia="宋体" w:hAnsi="Times New Roman"/>
          <w:color w:val="000000"/>
          <w:sz w:val="20"/>
          <w:szCs w:val="20"/>
        </w:rPr>
        <w:t xml:space="preserve">Fair value is the price we would receive to </w:t>
      </w:r>
      <w:r>
        <w:rPr>
          <w:rFonts w:ascii="Times New Roman" w:eastAsia="宋体" w:hAnsi="Times New Roman"/>
          <w:color w:val="000000"/>
          <w:sz w:val="20"/>
          <w:szCs w:val="20"/>
        </w:rPr>
        <w:t>sell an asset or pay to transfer a liability (exit price) in an orderly transaction between market participants. For assets and liabilities recorded or disclosed at fair value on a recurring basis, we determine fair value based on the following:</w:t>
      </w:r>
    </w:p>
    <w:p w14:paraId="00BAEE17" w14:textId="77777777" w:rsidR="00871BDF" w:rsidRDefault="005C5088">
      <w:pPr>
        <w:spacing w:before="120"/>
      </w:pPr>
      <w:r>
        <w:rPr>
          <w:rFonts w:ascii="Times New Roman" w:eastAsia="宋体" w:hAnsi="Times New Roman"/>
          <w:i/>
          <w:iCs/>
          <w:color w:val="000000"/>
          <w:sz w:val="20"/>
          <w:szCs w:val="20"/>
        </w:rPr>
        <w:t>Level 1:</w:t>
      </w:r>
      <w:r>
        <w:rPr>
          <w:rFonts w:ascii="Times New Roman" w:eastAsia="宋体" w:hAnsi="Times New Roman"/>
          <w:color w:val="000000"/>
          <w:sz w:val="20"/>
          <w:szCs w:val="20"/>
        </w:rPr>
        <w:t xml:space="preserve"> T</w:t>
      </w:r>
      <w:r>
        <w:rPr>
          <w:rFonts w:ascii="Times New Roman" w:eastAsia="宋体" w:hAnsi="Times New Roman"/>
          <w:color w:val="000000"/>
          <w:sz w:val="20"/>
          <w:szCs w:val="20"/>
        </w:rPr>
        <w:t>he carrying value of cash and cash equivalents approximates fair value because of the short-term nature of these instruments. For equity and U.S. government treasury securities and commodity futures contracts, we use quoted prices in active markets for ide</w:t>
      </w:r>
      <w:r>
        <w:rPr>
          <w:rFonts w:ascii="Times New Roman" w:eastAsia="宋体" w:hAnsi="Times New Roman"/>
          <w:color w:val="000000"/>
          <w:sz w:val="20"/>
          <w:szCs w:val="20"/>
        </w:rPr>
        <w:t xml:space="preserve">ntical assets to determine fair value. </w:t>
      </w:r>
    </w:p>
    <w:p w14:paraId="00BAEE18" w14:textId="77777777" w:rsidR="00871BDF" w:rsidRDefault="005C5088">
      <w:pPr>
        <w:spacing w:before="120"/>
      </w:pPr>
      <w:r>
        <w:rPr>
          <w:rFonts w:ascii="Times New Roman" w:eastAsia="宋体" w:hAnsi="Times New Roman"/>
          <w:i/>
          <w:iCs/>
          <w:color w:val="000000"/>
          <w:sz w:val="20"/>
          <w:szCs w:val="20"/>
        </w:rPr>
        <w:t xml:space="preserve">Level 2: </w:t>
      </w:r>
      <w:r>
        <w:rPr>
          <w:rFonts w:ascii="Times New Roman" w:eastAsia="宋体" w:hAnsi="Times New Roman"/>
          <w:color w:val="000000"/>
          <w:sz w:val="20"/>
          <w:szCs w:val="20"/>
        </w:rPr>
        <w:t>When quoted prices in active markets for identical assets are not available, we determine the fair value of our available-for-sale securities and our over-the-counter forward contracts, collars and swaps bas</w:t>
      </w:r>
      <w:r>
        <w:rPr>
          <w:rFonts w:ascii="Times New Roman" w:eastAsia="宋体" w:hAnsi="Times New Roman"/>
          <w:color w:val="000000"/>
          <w:sz w:val="20"/>
          <w:szCs w:val="20"/>
        </w:rPr>
        <w:t>ed upon factors such as the quoted market price of similar assets or a discounted cash flow model using readily observable market data, which may include interest rate curves and forward and spot prices for currencies and commodities, depending on the natu</w:t>
      </w:r>
      <w:r>
        <w:rPr>
          <w:rFonts w:ascii="Times New Roman" w:eastAsia="宋体" w:hAnsi="Times New Roman"/>
          <w:color w:val="000000"/>
          <w:sz w:val="20"/>
          <w:szCs w:val="20"/>
        </w:rPr>
        <w:t>re of the investment. The fair value of our long-term debt is estimated based on the quoted market prices for the same or similar issues or on the current rates offered to us for debt of the same remaining maturities.</w:t>
      </w:r>
    </w:p>
    <w:p w14:paraId="00BAEE19" w14:textId="77777777" w:rsidR="00871BDF" w:rsidRDefault="005C5088">
      <w:pPr>
        <w:spacing w:before="120"/>
      </w:pPr>
      <w:r>
        <w:rPr>
          <w:rFonts w:ascii="Times New Roman" w:eastAsia="宋体" w:hAnsi="Times New Roman"/>
          <w:i/>
          <w:iCs/>
          <w:color w:val="000000"/>
          <w:sz w:val="20"/>
          <w:szCs w:val="20"/>
        </w:rPr>
        <w:t xml:space="preserve">Level 3: </w:t>
      </w:r>
      <w:r>
        <w:rPr>
          <w:rFonts w:ascii="Times New Roman" w:eastAsia="宋体" w:hAnsi="Times New Roman"/>
          <w:color w:val="000000"/>
          <w:sz w:val="20"/>
          <w:szCs w:val="20"/>
        </w:rPr>
        <w:t>We determine the fair value o</w:t>
      </w:r>
      <w:r>
        <w:rPr>
          <w:rFonts w:ascii="Times New Roman" w:eastAsia="宋体" w:hAnsi="Times New Roman"/>
          <w:color w:val="000000"/>
          <w:sz w:val="20"/>
          <w:szCs w:val="20"/>
        </w:rPr>
        <w:t xml:space="preserve">f our auction rate securities using an internally-developed valuation model, using inputs that include interest rate curves, credit and liquidity spreads and effective maturity. </w:t>
      </w:r>
    </w:p>
    <w:p w14:paraId="00BAEE1A" w14:textId="77777777" w:rsidR="00871BDF" w:rsidRDefault="005C5088">
      <w:pPr>
        <w:spacing w:before="120"/>
      </w:pPr>
      <w:r>
        <w:rPr>
          <w:rFonts w:ascii="Times New Roman" w:eastAsia="宋体" w:hAnsi="Times New Roman"/>
          <w:color w:val="000000"/>
          <w:sz w:val="20"/>
          <w:szCs w:val="20"/>
        </w:rPr>
        <w:t>Assets and liabilities recognized or disclosed at fair value on a nonrecurrin</w:t>
      </w:r>
      <w:r>
        <w:rPr>
          <w:rFonts w:ascii="Times New Roman" w:eastAsia="宋体" w:hAnsi="Times New Roman"/>
          <w:color w:val="000000"/>
          <w:sz w:val="20"/>
          <w:szCs w:val="20"/>
        </w:rPr>
        <w:t>g basis may include items such as property, plant and equipment, goodwill and other intangible assets, equity and other investments and other assets. We determine the fair value of these items using Level 3 inputs, as described in the related sections belo</w:t>
      </w:r>
      <w:r>
        <w:rPr>
          <w:rFonts w:ascii="Times New Roman" w:eastAsia="宋体" w:hAnsi="Times New Roman"/>
          <w:color w:val="000000"/>
          <w:sz w:val="20"/>
          <w:szCs w:val="20"/>
        </w:rPr>
        <w:t xml:space="preserve">w. </w:t>
      </w:r>
    </w:p>
    <w:p w14:paraId="00BAEE1B" w14:textId="77777777" w:rsidR="00871BDF" w:rsidRDefault="005C5088">
      <w:pPr>
        <w:spacing w:before="120"/>
      </w:pPr>
      <w:r>
        <w:rPr>
          <w:rFonts w:ascii="Times New Roman" w:eastAsia="宋体" w:hAnsi="Times New Roman"/>
          <w:b/>
          <w:bCs/>
          <w:i/>
          <w:iCs/>
          <w:color w:val="000000"/>
          <w:sz w:val="20"/>
          <w:szCs w:val="20"/>
        </w:rPr>
        <w:t>Derivative Instruments</w:t>
      </w:r>
    </w:p>
    <w:p w14:paraId="00BAEE1C" w14:textId="77777777" w:rsidR="00871BDF" w:rsidRDefault="005C5088">
      <w:pPr>
        <w:spacing w:before="120"/>
      </w:pPr>
      <w:r>
        <w:rPr>
          <w:rFonts w:ascii="Times New Roman" w:eastAsia="宋体" w:hAnsi="Times New Roman"/>
          <w:color w:val="000000"/>
          <w:sz w:val="20"/>
          <w:szCs w:val="20"/>
        </w:rPr>
        <w:t>We manage our exposure to various risks within our consolidated financial statements according to a market price risk management policy. Under this policy, we may engage in transactions involving various derivative instruments to</w:t>
      </w:r>
      <w:r>
        <w:rPr>
          <w:rFonts w:ascii="Times New Roman" w:eastAsia="宋体" w:hAnsi="Times New Roman"/>
          <w:color w:val="000000"/>
          <w:sz w:val="20"/>
          <w:szCs w:val="20"/>
        </w:rPr>
        <w:t xml:space="preserve"> hedge interest rates, commodity prices and foreign currency-denominated revenue streams, inventory purchases, assets and liabilities and investments in certain foreign operations. In order to manage our exposure to these risks, we use various types of der</w:t>
      </w:r>
      <w:r>
        <w:rPr>
          <w:rFonts w:ascii="Times New Roman" w:eastAsia="宋体" w:hAnsi="Times New Roman"/>
          <w:color w:val="000000"/>
          <w:sz w:val="20"/>
          <w:szCs w:val="20"/>
        </w:rPr>
        <w:t>ivative instruments including forward contracts, commodity futures contracts, collars and swaps. Forward contracts and commodity futures contracts are agreements to buy or sell a quantity of a currency or commodity at a predetermined future date and at a p</w:t>
      </w:r>
      <w:r>
        <w:rPr>
          <w:rFonts w:ascii="Times New Roman" w:eastAsia="宋体" w:hAnsi="Times New Roman"/>
          <w:color w:val="000000"/>
          <w:sz w:val="20"/>
          <w:szCs w:val="20"/>
        </w:rPr>
        <w:t>redetermined rate or price. A collar is a strategy that uses a combination of a purchased call option and a sold put option with equal premiums to hedge a portion of anticipated cash flows, or to limit possible gains or losses on an underlying asset or lia</w:t>
      </w:r>
      <w:r>
        <w:rPr>
          <w:rFonts w:ascii="Times New Roman" w:eastAsia="宋体" w:hAnsi="Times New Roman"/>
          <w:color w:val="000000"/>
          <w:sz w:val="20"/>
          <w:szCs w:val="20"/>
        </w:rPr>
        <w:t>bility to a specific range. A swap agreement is a contract between two parties to exchange cash flows based on specified underlying notional amounts, assets and/or indices. We do not enter into derivative instruments for speculative purposes.</w:t>
      </w:r>
    </w:p>
    <w:p w14:paraId="00BAEE1D" w14:textId="77777777" w:rsidR="00871BDF" w:rsidRDefault="005C5088">
      <w:pPr>
        <w:spacing w:before="120"/>
      </w:pPr>
      <w:r>
        <w:rPr>
          <w:rFonts w:ascii="Times New Roman" w:eastAsia="宋体" w:hAnsi="Times New Roman"/>
          <w:color w:val="000000"/>
          <w:sz w:val="20"/>
          <w:szCs w:val="20"/>
        </w:rPr>
        <w:t>We record all</w:t>
      </w:r>
      <w:r>
        <w:rPr>
          <w:rFonts w:ascii="Times New Roman" w:eastAsia="宋体" w:hAnsi="Times New Roman"/>
          <w:color w:val="000000"/>
          <w:sz w:val="20"/>
          <w:szCs w:val="20"/>
        </w:rPr>
        <w:t xml:space="preserve"> derivatives on our consolidated balance sheets at fair value and typically do not offset derivative assets and liabilities. Excluding interest rate hedging instruments, cross-currency swaps and foreign currency debt hedging instruments, we generally do no</w:t>
      </w:r>
      <w:r>
        <w:rPr>
          <w:rFonts w:ascii="Times New Roman" w:eastAsia="宋体" w:hAnsi="Times New Roman"/>
          <w:color w:val="000000"/>
          <w:sz w:val="20"/>
          <w:szCs w:val="20"/>
        </w:rPr>
        <w:t>t enter into derivative instruments with maturities longer than three years. However, we are allowed to net settle transactions with respective counterparties for certain derivative contracts, inclusive of interest rate swaps and foreign currency forwards,</w:t>
      </w:r>
      <w:r>
        <w:rPr>
          <w:rFonts w:ascii="Times New Roman" w:eastAsia="宋体" w:hAnsi="Times New Roman"/>
          <w:color w:val="000000"/>
          <w:sz w:val="20"/>
          <w:szCs w:val="20"/>
        </w:rPr>
        <w:t xml:space="preserve"> with a single, net amount payable by one party to the other. We also enter into collateral security arrangements that provide for collateral to be received or posted when the net fair value of certain financial instruments fluctuates from contractually es</w:t>
      </w:r>
      <w:r>
        <w:rPr>
          <w:rFonts w:ascii="Times New Roman" w:eastAsia="宋体" w:hAnsi="Times New Roman"/>
          <w:color w:val="000000"/>
          <w:sz w:val="20"/>
          <w:szCs w:val="20"/>
        </w:rPr>
        <w:t>tablished thresholds. As of September 27, 2020, cash collateral held under collateral security arrangements was $34.9 million and is included in other long-term liabilities on our consolidated balance sheet. Cash collateral was immaterial as of September 2</w:t>
      </w:r>
      <w:r>
        <w:rPr>
          <w:rFonts w:ascii="Times New Roman" w:eastAsia="宋体" w:hAnsi="Times New Roman"/>
          <w:color w:val="000000"/>
          <w:sz w:val="20"/>
          <w:szCs w:val="20"/>
        </w:rPr>
        <w:t xml:space="preserve">9, 2019. The potential effects of netting arrangements with our derivative contracts, excluding the effects of collateral, would not have had a material impact on our consolidated balance sheets. </w:t>
      </w:r>
    </w:p>
    <w:p w14:paraId="00BAEE1E" w14:textId="77777777" w:rsidR="00871BDF" w:rsidRDefault="005C5088">
      <w:pPr>
        <w:spacing w:before="120"/>
      </w:pPr>
      <w:r>
        <w:rPr>
          <w:rFonts w:ascii="Times New Roman" w:eastAsia="宋体" w:hAnsi="Times New Roman"/>
          <w:color w:val="000000"/>
          <w:sz w:val="20"/>
          <w:szCs w:val="20"/>
        </w:rPr>
        <w:t xml:space="preserve">By using these derivative instruments, we expose ourselves </w:t>
      </w:r>
      <w:r>
        <w:rPr>
          <w:rFonts w:ascii="Times New Roman" w:eastAsia="宋体" w:hAnsi="Times New Roman"/>
          <w:color w:val="000000"/>
          <w:sz w:val="20"/>
          <w:szCs w:val="20"/>
        </w:rPr>
        <w:t xml:space="preserve">to potential credit risk. Credit risk is the failure of the counterparty to perform under the terms of the derivative contract. We minimize this credit risk by entering into transactions with carefully selected, credit-worthy counterparties and distribute </w:t>
      </w:r>
      <w:r>
        <w:rPr>
          <w:rFonts w:ascii="Times New Roman" w:eastAsia="宋体" w:hAnsi="Times New Roman"/>
          <w:color w:val="000000"/>
          <w:sz w:val="20"/>
          <w:szCs w:val="20"/>
        </w:rPr>
        <w:t>contracts among several financial institutions to reduce the concentration of credit risk.</w:t>
      </w:r>
    </w:p>
    <w:p w14:paraId="00BAEE1F" w14:textId="77777777" w:rsidR="00871BDF" w:rsidRDefault="005C5088">
      <w:pPr>
        <w:spacing w:before="120"/>
      </w:pPr>
      <w:r>
        <w:rPr>
          <w:rFonts w:ascii="Times New Roman" w:eastAsia="宋体" w:hAnsi="Times New Roman"/>
          <w:i/>
          <w:iCs/>
          <w:color w:val="000000"/>
          <w:sz w:val="20"/>
          <w:szCs w:val="20"/>
        </w:rPr>
        <w:t>Cash Flow Hedges</w:t>
      </w:r>
    </w:p>
    <w:p w14:paraId="00BAEE20" w14:textId="77777777" w:rsidR="00871BDF" w:rsidRDefault="005C5088">
      <w:pPr>
        <w:spacing w:before="120"/>
      </w:pPr>
      <w:r>
        <w:rPr>
          <w:rFonts w:ascii="Times New Roman" w:eastAsia="宋体" w:hAnsi="Times New Roman"/>
          <w:color w:val="000000"/>
          <w:sz w:val="20"/>
          <w:szCs w:val="20"/>
        </w:rPr>
        <w:t>For derivative instruments that are designated and qualify as a cash flow hedge, the derivative's gain or loss is reported as a component of other c</w:t>
      </w:r>
      <w:r>
        <w:rPr>
          <w:rFonts w:ascii="Times New Roman" w:eastAsia="宋体" w:hAnsi="Times New Roman"/>
          <w:color w:val="000000"/>
          <w:sz w:val="20"/>
          <w:szCs w:val="20"/>
        </w:rPr>
        <w:t xml:space="preserve">omprehensive income (“OCI”) and recorded in accumulated other comprehensive income (“AOCI”) on our consolidated balance sheets. The gain or loss is subsequently reclassified into net earnings when the hedged exposure affects net earnings, in the same line </w:t>
      </w:r>
      <w:r>
        <w:rPr>
          <w:rFonts w:ascii="Times New Roman" w:eastAsia="宋体" w:hAnsi="Times New Roman"/>
          <w:color w:val="000000"/>
          <w:sz w:val="20"/>
          <w:szCs w:val="20"/>
        </w:rPr>
        <w:t>item as the underlying hedged item on our consolidated statements of earnings.</w:t>
      </w:r>
    </w:p>
    <w:p w14:paraId="00BAEE21" w14:textId="77777777" w:rsidR="00871BDF" w:rsidRDefault="005C5088">
      <w:pPr>
        <w:spacing w:before="120"/>
      </w:pPr>
      <w:r>
        <w:rPr>
          <w:rFonts w:ascii="Times New Roman" w:eastAsia="宋体" w:hAnsi="Times New Roman"/>
          <w:color w:val="000000"/>
          <w:sz w:val="20"/>
          <w:szCs w:val="20"/>
        </w:rPr>
        <w:t>Cash flow hedges related to anticipated transactions are designated and documented at the inception of each hedge. Cash flows from hedging transactions are classified in the sam</w:t>
      </w:r>
      <w:r>
        <w:rPr>
          <w:rFonts w:ascii="Times New Roman" w:eastAsia="宋体" w:hAnsi="Times New Roman"/>
          <w:color w:val="000000"/>
          <w:sz w:val="20"/>
          <w:szCs w:val="20"/>
        </w:rPr>
        <w:t>e categories as the cash flows from the respective hedged items. For de-designated cash flow hedges in which the transactions are no longer likely to occur, the related accumulated derivative gains or losses are recognized in interest income and other, net</w:t>
      </w:r>
      <w:r>
        <w:rPr>
          <w:rFonts w:ascii="Times New Roman" w:eastAsia="宋体" w:hAnsi="Times New Roman"/>
          <w:color w:val="000000"/>
          <w:sz w:val="20"/>
          <w:szCs w:val="20"/>
        </w:rPr>
        <w:t xml:space="preserve"> on our consolidated statements of earnings based on the nature of the underlying transaction. </w:t>
      </w:r>
    </w:p>
    <w:p w14:paraId="00BAEE22" w14:textId="77777777" w:rsidR="00871BDF" w:rsidRDefault="005C5088">
      <w:pPr>
        <w:jc w:val="center"/>
      </w:pPr>
      <w:r>
        <w:rPr>
          <w:rFonts w:ascii="Times New Roman" w:eastAsia="宋体" w:hAnsi="Times New Roman"/>
          <w:color w:val="000000"/>
          <w:sz w:val="20"/>
          <w:szCs w:val="20"/>
        </w:rPr>
        <w:t>55</w:t>
      </w:r>
    </w:p>
    <w:p w14:paraId="00BAEE23" w14:textId="77777777" w:rsidR="00871BDF" w:rsidRDefault="005C5088">
      <w:r>
        <w:pict w14:anchorId="00BB149C">
          <v:rect id="_x0000_i1082" style="width:415.3pt;height:1.5pt" o:hralign="center" o:hrstd="t" o:hr="t" fillcolor="#a0a0a0" stroked="f"/>
        </w:pict>
      </w:r>
    </w:p>
    <w:p w14:paraId="00BAEE24" w14:textId="77777777" w:rsidR="00871BDF" w:rsidRDefault="005C5088">
      <w:hyperlink r:id="rId175" w:anchor="i54ccc64cb5384be5a4849ef1cdef4dde_7" w:history="1">
        <w:r>
          <w:rPr>
            <w:rStyle w:val="a5"/>
            <w:rFonts w:ascii="Times New Roman" w:eastAsia="宋体" w:hAnsi="Times New Roman"/>
            <w:sz w:val="20"/>
            <w:szCs w:val="20"/>
          </w:rPr>
          <w:t>Table</w:t>
        </w:r>
        <w:r>
          <w:rPr>
            <w:rStyle w:val="a5"/>
            <w:rFonts w:ascii="Times New Roman" w:eastAsia="宋体" w:hAnsi="Times New Roman"/>
            <w:sz w:val="20"/>
            <w:szCs w:val="20"/>
          </w:rPr>
          <w:t xml:space="preserve"> of Contents</w:t>
        </w:r>
      </w:hyperlink>
    </w:p>
    <w:p w14:paraId="00BAEE25" w14:textId="77777777" w:rsidR="00871BDF" w:rsidRDefault="005C5088">
      <w:pPr>
        <w:spacing w:before="120"/>
      </w:pPr>
      <w:r>
        <w:rPr>
          <w:rFonts w:ascii="Times New Roman" w:eastAsia="宋体" w:hAnsi="Times New Roman"/>
          <w:i/>
          <w:iCs/>
          <w:color w:val="000000"/>
          <w:sz w:val="20"/>
          <w:szCs w:val="20"/>
        </w:rPr>
        <w:t>Net Investment Hedges</w:t>
      </w:r>
    </w:p>
    <w:p w14:paraId="00BAEE26" w14:textId="77777777" w:rsidR="00871BDF" w:rsidRDefault="005C5088">
      <w:pPr>
        <w:spacing w:before="120"/>
      </w:pPr>
      <w:r>
        <w:rPr>
          <w:rFonts w:ascii="Times New Roman" w:eastAsia="宋体" w:hAnsi="Times New Roman"/>
          <w:color w:val="000000"/>
          <w:sz w:val="20"/>
          <w:szCs w:val="20"/>
        </w:rPr>
        <w:t>For derivative instruments that are designated and qualify as a net investment hedge, the derivative's, or qualifying non-derivative instrument’s gain or loss is reported as a component of OCI and recorded in AOCI. The</w:t>
      </w:r>
      <w:r>
        <w:rPr>
          <w:rFonts w:ascii="Times New Roman" w:eastAsia="宋体" w:hAnsi="Times New Roman"/>
          <w:color w:val="000000"/>
          <w:sz w:val="20"/>
          <w:szCs w:val="20"/>
        </w:rPr>
        <w:t xml:space="preserve"> gain or loss will be subsequently reclassified into net earnings when the hedged net investment is either sold or substantially liquidated.</w:t>
      </w:r>
    </w:p>
    <w:p w14:paraId="00BAEE27" w14:textId="77777777" w:rsidR="00871BDF" w:rsidRDefault="005C5088">
      <w:pPr>
        <w:spacing w:before="120"/>
      </w:pPr>
      <w:r>
        <w:rPr>
          <w:rFonts w:ascii="Times New Roman" w:eastAsia="宋体" w:hAnsi="Times New Roman"/>
          <w:i/>
          <w:iCs/>
          <w:color w:val="000000"/>
          <w:sz w:val="20"/>
          <w:szCs w:val="20"/>
        </w:rPr>
        <w:t>Fair Value Hedges</w:t>
      </w:r>
    </w:p>
    <w:p w14:paraId="00BAEE28" w14:textId="77777777" w:rsidR="00871BDF" w:rsidRDefault="005C5088">
      <w:pPr>
        <w:spacing w:before="120"/>
      </w:pPr>
      <w:r>
        <w:rPr>
          <w:rFonts w:ascii="Times New Roman" w:eastAsia="宋体" w:hAnsi="Times New Roman"/>
          <w:color w:val="000000"/>
          <w:sz w:val="20"/>
          <w:szCs w:val="20"/>
        </w:rPr>
        <w:t xml:space="preserve">For derivative instruments that are designated and qualify as a fair value hedge, the changes in </w:t>
      </w:r>
      <w:r>
        <w:rPr>
          <w:rFonts w:ascii="Times New Roman" w:eastAsia="宋体" w:hAnsi="Times New Roman"/>
          <w:color w:val="000000"/>
          <w:sz w:val="20"/>
          <w:szCs w:val="20"/>
        </w:rPr>
        <w:t>fair value of the derivative instrument and the offsetting changes in fair value of the underlying hedged item due to changes in the hedged risk are recorded in interest income and other, net or interest expense on our consolidated statements of earnings.</w:t>
      </w:r>
    </w:p>
    <w:p w14:paraId="00BAEE29" w14:textId="77777777" w:rsidR="00871BDF" w:rsidRDefault="005C5088">
      <w:pPr>
        <w:spacing w:before="120"/>
      </w:pPr>
      <w:r>
        <w:rPr>
          <w:rFonts w:ascii="Times New Roman" w:eastAsia="宋体" w:hAnsi="Times New Roman"/>
          <w:i/>
          <w:iCs/>
          <w:color w:val="000000"/>
          <w:sz w:val="20"/>
          <w:szCs w:val="20"/>
        </w:rPr>
        <w:t>Derivatives Not Designated As Hedging Instruments</w:t>
      </w:r>
    </w:p>
    <w:p w14:paraId="00BAEE2A" w14:textId="77777777" w:rsidR="00871BDF" w:rsidRDefault="005C5088">
      <w:pPr>
        <w:spacing w:before="120"/>
      </w:pPr>
      <w:r>
        <w:rPr>
          <w:rFonts w:ascii="Times New Roman" w:eastAsia="宋体" w:hAnsi="Times New Roman"/>
          <w:color w:val="000000"/>
          <w:sz w:val="20"/>
          <w:szCs w:val="20"/>
        </w:rPr>
        <w:t xml:space="preserve">We also enter into certain foreign currency forward contracts, commodity futures contracts, collars and swaps that are not designated as hedging instruments for accounting purposes. The changes in the </w:t>
      </w:r>
      <w:r>
        <w:rPr>
          <w:rFonts w:ascii="Times New Roman" w:eastAsia="宋体" w:hAnsi="Times New Roman"/>
          <w:color w:val="000000"/>
          <w:sz w:val="20"/>
          <w:szCs w:val="20"/>
        </w:rPr>
        <w:t>fair values of these contracts are immediately recognized in interest income and other, net on our consolidated statements of earnings.</w:t>
      </w:r>
    </w:p>
    <w:p w14:paraId="00BAEE2B" w14:textId="77777777" w:rsidR="00871BDF" w:rsidRDefault="005C5088">
      <w:pPr>
        <w:spacing w:before="120"/>
      </w:pPr>
      <w:r>
        <w:rPr>
          <w:rFonts w:ascii="Times New Roman" w:eastAsia="宋体" w:hAnsi="Times New Roman"/>
          <w:i/>
          <w:iCs/>
          <w:color w:val="000000"/>
          <w:sz w:val="20"/>
          <w:szCs w:val="20"/>
        </w:rPr>
        <w:t>Normal Purchase Normal Sale</w:t>
      </w:r>
    </w:p>
    <w:p w14:paraId="00BAEE2C" w14:textId="77777777" w:rsidR="00871BDF" w:rsidRDefault="005C5088">
      <w:pPr>
        <w:spacing w:before="120"/>
      </w:pPr>
      <w:r>
        <w:rPr>
          <w:rFonts w:ascii="Times New Roman" w:eastAsia="宋体" w:hAnsi="Times New Roman"/>
          <w:color w:val="000000"/>
          <w:sz w:val="20"/>
          <w:szCs w:val="20"/>
        </w:rPr>
        <w:t>We enter into fixed-price and price-to-be-fixed green coffee purchase commitments, which are</w:t>
      </w:r>
      <w:r>
        <w:rPr>
          <w:rFonts w:ascii="Times New Roman" w:eastAsia="宋体" w:hAnsi="Times New Roman"/>
          <w:color w:val="000000"/>
          <w:sz w:val="20"/>
          <w:szCs w:val="20"/>
        </w:rPr>
        <w:t xml:space="preserve"> described further in </w:t>
      </w:r>
      <w:hyperlink r:id="rId176" w:anchor="i54ccc64cb5384be5a4849ef1cdef4dde_148"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Inventories. For both fixed-price and price-to-be-fixed purchase commit</w:t>
      </w:r>
      <w:r>
        <w:rPr>
          <w:rFonts w:ascii="Times New Roman" w:eastAsia="宋体" w:hAnsi="Times New Roman"/>
          <w:color w:val="000000"/>
          <w:sz w:val="20"/>
          <w:szCs w:val="20"/>
        </w:rPr>
        <w:t>ments, we expect to take delivery of green coffee and to utilize the coffee in a reasonable period of time in the ordinary course of business. Since these types of purchase commitments qualify for the normal purchase normal sale exemption, they are not rec</w:t>
      </w:r>
      <w:r>
        <w:rPr>
          <w:rFonts w:ascii="Times New Roman" w:eastAsia="宋体" w:hAnsi="Times New Roman"/>
          <w:color w:val="000000"/>
          <w:sz w:val="20"/>
          <w:szCs w:val="20"/>
        </w:rPr>
        <w:t>orded as derivative instruments on our consolidated balance sheets.</w:t>
      </w:r>
    </w:p>
    <w:p w14:paraId="00BAEE2D" w14:textId="77777777" w:rsidR="00871BDF" w:rsidRDefault="005C5088">
      <w:pPr>
        <w:spacing w:before="120"/>
      </w:pPr>
      <w:r>
        <w:rPr>
          <w:rFonts w:ascii="Times New Roman" w:eastAsia="宋体" w:hAnsi="Times New Roman"/>
          <w:color w:val="000000"/>
          <w:sz w:val="20"/>
          <w:szCs w:val="20"/>
        </w:rPr>
        <w:t xml:space="preserve">Refer to </w:t>
      </w:r>
      <w:hyperlink r:id="rId177" w:anchor="i54ccc64cb5384be5a4849ef1cdef4dde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Finan</w:t>
      </w:r>
      <w:r>
        <w:rPr>
          <w:rFonts w:ascii="Times New Roman" w:eastAsia="宋体" w:hAnsi="Times New Roman"/>
          <w:color w:val="000000"/>
          <w:sz w:val="20"/>
          <w:szCs w:val="20"/>
        </w:rPr>
        <w:t xml:space="preserve">cial Instruments, and </w:t>
      </w:r>
      <w:hyperlink r:id="rId178" w:anchor="i54ccc64cb5384be5a4849ef1cdef4dde_148"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Inventories, for further discussion of our derivative instruments and g</w:t>
      </w:r>
      <w:r>
        <w:rPr>
          <w:rFonts w:ascii="Times New Roman" w:eastAsia="宋体" w:hAnsi="Times New Roman"/>
          <w:color w:val="000000"/>
          <w:sz w:val="20"/>
          <w:szCs w:val="20"/>
        </w:rPr>
        <w:t xml:space="preserve">reen coffee purchase commitments. </w:t>
      </w:r>
    </w:p>
    <w:p w14:paraId="00BAEE2E" w14:textId="77777777" w:rsidR="00871BDF" w:rsidRDefault="005C5088">
      <w:pPr>
        <w:spacing w:before="120"/>
      </w:pPr>
      <w:r>
        <w:rPr>
          <w:rFonts w:ascii="Times New Roman" w:eastAsia="宋体" w:hAnsi="Times New Roman"/>
          <w:b/>
          <w:bCs/>
          <w:i/>
          <w:iCs/>
          <w:color w:val="000000"/>
          <w:sz w:val="20"/>
          <w:szCs w:val="20"/>
        </w:rPr>
        <w:t>Receivables, net of Allowance for Doubtful Accounts</w:t>
      </w:r>
    </w:p>
    <w:p w14:paraId="00BAEE2F" w14:textId="77777777" w:rsidR="00871BDF" w:rsidRDefault="005C5088">
      <w:pPr>
        <w:spacing w:before="120"/>
      </w:pPr>
      <w:r>
        <w:rPr>
          <w:rFonts w:ascii="Times New Roman" w:eastAsia="宋体" w:hAnsi="Times New Roman"/>
          <w:color w:val="000000"/>
          <w:sz w:val="20"/>
          <w:szCs w:val="20"/>
        </w:rPr>
        <w:t>Our receivables are mainly comprised of receivables for product and equipment sales to and royalties from our licensees, as well as receivables from our Global Coffee Al</w:t>
      </w:r>
      <w:r>
        <w:rPr>
          <w:rFonts w:ascii="Times New Roman" w:eastAsia="宋体" w:hAnsi="Times New Roman"/>
          <w:color w:val="000000"/>
          <w:sz w:val="20"/>
          <w:szCs w:val="20"/>
        </w:rPr>
        <w:t>liance and other Channel Development customers. Our allowance for doubtful accounts is calculated based on historical experience, customer credit risk and application of the specific identification method. During fiscal 2020, we also assessed incremental r</w:t>
      </w:r>
      <w:r>
        <w:rPr>
          <w:rFonts w:ascii="Times New Roman" w:eastAsia="宋体" w:hAnsi="Times New Roman"/>
          <w:color w:val="000000"/>
          <w:sz w:val="20"/>
          <w:szCs w:val="20"/>
        </w:rPr>
        <w:t>isks due to COVID-19 on our licensees' financial viability. For the year ended September 27, 2020, we did not observe a significant deterioration of our receivable portfolio that required a significant increase in bad debt expense. To assist our internatio</w:t>
      </w:r>
      <w:r>
        <w:rPr>
          <w:rFonts w:ascii="Times New Roman" w:eastAsia="宋体" w:hAnsi="Times New Roman"/>
          <w:color w:val="000000"/>
          <w:sz w:val="20"/>
          <w:szCs w:val="20"/>
        </w:rPr>
        <w:t>nal licensed partners with their efforts to recover from the impact of COVID-19, we provided a short-term payment extension for their outstanding receivables as of the end of the second quarter of fiscal 2020 and offered longer-term payment extensions to h</w:t>
      </w:r>
      <w:r>
        <w:rPr>
          <w:rFonts w:ascii="Times New Roman" w:eastAsia="宋体" w:hAnsi="Times New Roman"/>
          <w:color w:val="000000"/>
          <w:sz w:val="20"/>
          <w:szCs w:val="20"/>
        </w:rPr>
        <w:t>elp certain licensees dedicate their capital to further develop stores and build the brand as the business recovers. During the third quarter of fiscal 2020, we waived royalty payments from our international licensees and did not recognize royalty revenues</w:t>
      </w:r>
      <w:r>
        <w:rPr>
          <w:rFonts w:ascii="Times New Roman" w:eastAsia="宋体" w:hAnsi="Times New Roman"/>
          <w:color w:val="000000"/>
          <w:sz w:val="20"/>
          <w:szCs w:val="20"/>
        </w:rPr>
        <w:t xml:space="preserve"> associated with these accounts. We do not believe the terms and forms of these financial relief actions changed our revenue recognition policy or had a significant impact on future collectability. During the fourth quarter of fiscal 2020, we resumed norma</w:t>
      </w:r>
      <w:r>
        <w:rPr>
          <w:rFonts w:ascii="Times New Roman" w:eastAsia="宋体" w:hAnsi="Times New Roman"/>
          <w:color w:val="000000"/>
          <w:sz w:val="20"/>
          <w:szCs w:val="20"/>
        </w:rPr>
        <w:t>l royalty billings and collections. As of September 27, 2020 and September 29, 2019, our allowance for doubtful accounts was $27.1 million and $6.7 million, respectively.</w:t>
      </w:r>
    </w:p>
    <w:p w14:paraId="00BAEE30" w14:textId="77777777" w:rsidR="00871BDF" w:rsidRDefault="005C5088">
      <w:pPr>
        <w:spacing w:before="120"/>
      </w:pPr>
      <w:r>
        <w:rPr>
          <w:rFonts w:ascii="Times New Roman" w:eastAsia="宋体" w:hAnsi="Times New Roman"/>
          <w:b/>
          <w:bCs/>
          <w:i/>
          <w:iCs/>
          <w:color w:val="000000"/>
          <w:sz w:val="20"/>
          <w:szCs w:val="20"/>
        </w:rPr>
        <w:t>Inventories</w:t>
      </w:r>
    </w:p>
    <w:p w14:paraId="00BAEE31" w14:textId="77777777" w:rsidR="00871BDF" w:rsidRDefault="005C5088">
      <w:pPr>
        <w:spacing w:before="120"/>
      </w:pPr>
      <w:r>
        <w:rPr>
          <w:rFonts w:ascii="Times New Roman" w:eastAsia="宋体" w:hAnsi="Times New Roman"/>
          <w:color w:val="000000"/>
          <w:sz w:val="20"/>
          <w:szCs w:val="20"/>
        </w:rPr>
        <w:t>Inventories are stated at the lower of cost (primarily moving average cos</w:t>
      </w:r>
      <w:r>
        <w:rPr>
          <w:rFonts w:ascii="Times New Roman" w:eastAsia="宋体" w:hAnsi="Times New Roman"/>
          <w:color w:val="000000"/>
          <w:sz w:val="20"/>
          <w:szCs w:val="20"/>
        </w:rPr>
        <w:t>t) or net realizable value. We record inventory reserves for obsolete and slow-moving inventory and for estimated shrinkage between physical inventory counts. Inventory reserves are based on inventory obsolescence trends, historical experience and applicat</w:t>
      </w:r>
      <w:r>
        <w:rPr>
          <w:rFonts w:ascii="Times New Roman" w:eastAsia="宋体" w:hAnsi="Times New Roman"/>
          <w:color w:val="000000"/>
          <w:sz w:val="20"/>
          <w:szCs w:val="20"/>
        </w:rPr>
        <w:t xml:space="preserve">ion of the specific identification method. As of September 27, 2020 and September 29, 2019, inventory reserves were $48.4 million and </w:t>
      </w:r>
      <w:r>
        <w:rPr>
          <w:rFonts w:ascii="Times New Roman" w:eastAsia="宋体" w:hAnsi="Times New Roman"/>
          <w:color w:val="000000"/>
          <w:sz w:val="20"/>
          <w:szCs w:val="20"/>
          <w:shd w:val="clear" w:color="auto" w:fill="FFFFFF"/>
        </w:rPr>
        <w:t>$33.7 million</w:t>
      </w:r>
      <w:r>
        <w:rPr>
          <w:rFonts w:ascii="Times New Roman" w:eastAsia="宋体" w:hAnsi="Times New Roman"/>
          <w:color w:val="000000"/>
          <w:sz w:val="20"/>
          <w:szCs w:val="20"/>
        </w:rPr>
        <w:t>, respectively.</w:t>
      </w:r>
    </w:p>
    <w:p w14:paraId="00BAEE32" w14:textId="77777777" w:rsidR="00871BDF" w:rsidRDefault="005C5088">
      <w:pPr>
        <w:spacing w:before="120"/>
      </w:pPr>
      <w:r>
        <w:rPr>
          <w:rFonts w:ascii="Times New Roman" w:eastAsia="宋体" w:hAnsi="Times New Roman"/>
          <w:b/>
          <w:bCs/>
          <w:i/>
          <w:iCs/>
          <w:color w:val="000000"/>
          <w:sz w:val="20"/>
          <w:szCs w:val="20"/>
        </w:rPr>
        <w:t>Property, Plant and Equipment</w:t>
      </w:r>
    </w:p>
    <w:p w14:paraId="00BAEE33" w14:textId="77777777" w:rsidR="00871BDF" w:rsidRDefault="005C5088">
      <w:pPr>
        <w:spacing w:before="120"/>
      </w:pPr>
      <w:r>
        <w:rPr>
          <w:rFonts w:ascii="Times New Roman" w:eastAsia="宋体" w:hAnsi="Times New Roman"/>
          <w:color w:val="000000"/>
          <w:sz w:val="20"/>
          <w:szCs w:val="20"/>
        </w:rPr>
        <w:t>Property, plant and equipment is carried at cost less accumulat</w:t>
      </w:r>
      <w:r>
        <w:rPr>
          <w:rFonts w:ascii="Times New Roman" w:eastAsia="宋体" w:hAnsi="Times New Roman"/>
          <w:color w:val="000000"/>
          <w:sz w:val="20"/>
          <w:szCs w:val="20"/>
        </w:rPr>
        <w:t>ed depreciation. Cost includes all direct costs necessary to acquire and prepare assets for use, including internal labor and overhead in some cases. Depreciation is computed using the straight-line method over estimated useful lives of the assets, general</w:t>
      </w:r>
      <w:r>
        <w:rPr>
          <w:rFonts w:ascii="Times New Roman" w:eastAsia="宋体" w:hAnsi="Times New Roman"/>
          <w:color w:val="000000"/>
          <w:sz w:val="20"/>
          <w:szCs w:val="20"/>
        </w:rPr>
        <w:t>ly ranging from 2 to 15 years for equipment and 30 to 40 years for buildings. Leasehold improvements are amortized over the shorter of their estimated useful lives or the related lease life, generally 10 years. For leases with renewal periods at our option</w:t>
      </w:r>
      <w:r>
        <w:rPr>
          <w:rFonts w:ascii="Times New Roman" w:eastAsia="宋体" w:hAnsi="Times New Roman"/>
          <w:color w:val="000000"/>
          <w:sz w:val="20"/>
          <w:szCs w:val="20"/>
        </w:rPr>
        <w:t>, we generally use the original lease term, excluding renewal option periods, to determine estimated useful lives. If failure to exercise a renewal option imposes an economic penalty to us, we may determine at the inception of the lease that renewal is rea</w:t>
      </w:r>
      <w:r>
        <w:rPr>
          <w:rFonts w:ascii="Times New Roman" w:eastAsia="宋体" w:hAnsi="Times New Roman"/>
          <w:color w:val="000000"/>
          <w:sz w:val="20"/>
          <w:szCs w:val="20"/>
        </w:rPr>
        <w:t xml:space="preserve">sonably assured and include the renewal option period in the determination of the appropriate estimated useful lives. </w:t>
      </w:r>
    </w:p>
    <w:p w14:paraId="00BAEE34" w14:textId="77777777" w:rsidR="00871BDF" w:rsidRDefault="005C5088">
      <w:pPr>
        <w:spacing w:before="120"/>
      </w:pPr>
      <w:r>
        <w:rPr>
          <w:rFonts w:ascii="Times New Roman" w:eastAsia="宋体" w:hAnsi="Times New Roman"/>
          <w:color w:val="000000"/>
          <w:sz w:val="20"/>
          <w:szCs w:val="20"/>
        </w:rPr>
        <w:t>The portion of depreciation expense related to production and distribution facilities is included in product and distribution costs on ou</w:t>
      </w:r>
      <w:r>
        <w:rPr>
          <w:rFonts w:ascii="Times New Roman" w:eastAsia="宋体" w:hAnsi="Times New Roman"/>
          <w:color w:val="000000"/>
          <w:sz w:val="20"/>
          <w:szCs w:val="20"/>
        </w:rPr>
        <w:t xml:space="preserve">r consolidated statements of earnings. The costs of repairs and maintenance are expensed when incurred, while expenditures for refurbishments and improvements that significantly add to the productive capacity or extend the useful life of </w:t>
      </w:r>
    </w:p>
    <w:p w14:paraId="00BAEE35" w14:textId="77777777" w:rsidR="00871BDF" w:rsidRDefault="005C5088">
      <w:pPr>
        <w:jc w:val="center"/>
      </w:pPr>
      <w:r>
        <w:rPr>
          <w:rFonts w:ascii="Times New Roman" w:eastAsia="宋体" w:hAnsi="Times New Roman"/>
          <w:color w:val="000000"/>
          <w:sz w:val="20"/>
          <w:szCs w:val="20"/>
        </w:rPr>
        <w:t>56</w:t>
      </w:r>
    </w:p>
    <w:p w14:paraId="00BAEE36" w14:textId="77777777" w:rsidR="00871BDF" w:rsidRDefault="005C5088">
      <w:r>
        <w:pict w14:anchorId="00BB149D">
          <v:rect id="_x0000_i1083" style="width:415.3pt;height:1.5pt" o:hralign="center" o:hrstd="t" o:hr="t" fillcolor="#a0a0a0" stroked="f"/>
        </w:pict>
      </w:r>
    </w:p>
    <w:p w14:paraId="00BAEE37" w14:textId="77777777" w:rsidR="00871BDF" w:rsidRDefault="005C5088">
      <w:hyperlink r:id="rId179" w:anchor="i54ccc64cb5384be5a4849ef1cdef4dde_7" w:history="1">
        <w:r>
          <w:rPr>
            <w:rStyle w:val="a5"/>
            <w:rFonts w:ascii="Times New Roman" w:eastAsia="宋体" w:hAnsi="Times New Roman"/>
            <w:sz w:val="20"/>
            <w:szCs w:val="20"/>
          </w:rPr>
          <w:t>Table of Contents</w:t>
        </w:r>
      </w:hyperlink>
    </w:p>
    <w:p w14:paraId="00BAEE38" w14:textId="77777777" w:rsidR="00871BDF" w:rsidRDefault="005C5088">
      <w:pPr>
        <w:spacing w:before="120"/>
      </w:pPr>
      <w:r>
        <w:rPr>
          <w:rFonts w:ascii="Times New Roman" w:eastAsia="宋体" w:hAnsi="Times New Roman"/>
          <w:color w:val="000000"/>
          <w:sz w:val="20"/>
          <w:szCs w:val="20"/>
        </w:rPr>
        <w:t xml:space="preserve">an asset are capitalized. When assets are disposed of, whether through retirement or </w:t>
      </w:r>
      <w:r>
        <w:rPr>
          <w:rFonts w:ascii="Times New Roman" w:eastAsia="宋体" w:hAnsi="Times New Roman"/>
          <w:color w:val="000000"/>
          <w:sz w:val="20"/>
          <w:szCs w:val="20"/>
        </w:rPr>
        <w:t>sale, the net gain or loss is recognized in net earnings. Long-lived assets to be disposed of are reported at the lower of their carrying amount or fair value less estimated costs to sell.</w:t>
      </w:r>
    </w:p>
    <w:p w14:paraId="00BAEE39" w14:textId="77777777" w:rsidR="00871BDF" w:rsidRDefault="005C5088">
      <w:pPr>
        <w:spacing w:before="120"/>
      </w:pPr>
      <w:r>
        <w:rPr>
          <w:rFonts w:ascii="Times New Roman" w:eastAsia="宋体" w:hAnsi="Times New Roman"/>
          <w:color w:val="000000"/>
          <w:sz w:val="20"/>
          <w:szCs w:val="20"/>
        </w:rPr>
        <w:t>We evaluate property, plant and equipment for impairment when facts</w:t>
      </w:r>
      <w:r>
        <w:rPr>
          <w:rFonts w:ascii="Times New Roman" w:eastAsia="宋体" w:hAnsi="Times New Roman"/>
          <w:color w:val="000000"/>
          <w:sz w:val="20"/>
          <w:szCs w:val="20"/>
        </w:rPr>
        <w:t xml:space="preserve"> and circumstances indicate that the carrying values of such assets may not be recoverable. When evaluating for impairment, we first compare the carrying value of the asset to the asset’s estimated future undiscounted cash flows. If the estimated undiscoun</w:t>
      </w:r>
      <w:r>
        <w:rPr>
          <w:rFonts w:ascii="Times New Roman" w:eastAsia="宋体" w:hAnsi="Times New Roman"/>
          <w:color w:val="000000"/>
          <w:sz w:val="20"/>
          <w:szCs w:val="20"/>
        </w:rPr>
        <w:t>ted future cash flows are less than the carrying value of the asset, we determine if we have an impairment loss by comparing the carrying value of the asset to the asset's estimated fair value and recognize an impairment charge when the asset’s carrying va</w:t>
      </w:r>
      <w:r>
        <w:rPr>
          <w:rFonts w:ascii="Times New Roman" w:eastAsia="宋体" w:hAnsi="Times New Roman"/>
          <w:color w:val="000000"/>
          <w:sz w:val="20"/>
          <w:szCs w:val="20"/>
        </w:rPr>
        <w:t>lue exceeds its estimated fair value. The fair value of the asset is estimated using a discounted cash flow model based on forecasted future revenues and operating costs, using internal projections. Property, plant and equipment assets and ROU assets relat</w:t>
      </w:r>
      <w:r>
        <w:rPr>
          <w:rFonts w:ascii="Times New Roman" w:eastAsia="宋体" w:hAnsi="Times New Roman"/>
          <w:color w:val="000000"/>
          <w:sz w:val="20"/>
          <w:szCs w:val="20"/>
        </w:rPr>
        <w:t>ed to the store lease are grouped at the lowest level for which identifiable cash flows are largely independent of the cash flows of other assets and liabilities. For company-operated store assets, the impairment test is performed at the individual store a</w:t>
      </w:r>
      <w:r>
        <w:rPr>
          <w:rFonts w:ascii="Times New Roman" w:eastAsia="宋体" w:hAnsi="Times New Roman"/>
          <w:color w:val="000000"/>
          <w:sz w:val="20"/>
          <w:szCs w:val="20"/>
        </w:rPr>
        <w:t xml:space="preserve">sset group level. </w:t>
      </w:r>
    </w:p>
    <w:p w14:paraId="00BAEE3A" w14:textId="77777777" w:rsidR="00871BDF" w:rsidRDefault="005C5088">
      <w:pPr>
        <w:spacing w:before="120"/>
      </w:pPr>
      <w:r>
        <w:rPr>
          <w:rFonts w:ascii="Times New Roman" w:eastAsia="宋体" w:hAnsi="Times New Roman"/>
          <w:color w:val="000000"/>
          <w:sz w:val="20"/>
          <w:szCs w:val="20"/>
        </w:rPr>
        <w:t>We recognized net disposition charges of $84.9 million, $64.6 million and $32.8 million in fiscal 2020, 2019 and 2018, respectively. Additionally, we recognized net impairment charges of $210.0 million, $43.4 million and $42.8 million in</w:t>
      </w:r>
      <w:r>
        <w:rPr>
          <w:rFonts w:ascii="Times New Roman" w:eastAsia="宋体" w:hAnsi="Times New Roman"/>
          <w:color w:val="000000"/>
          <w:sz w:val="20"/>
          <w:szCs w:val="20"/>
        </w:rPr>
        <w:t xml:space="preserve"> fiscal 2020, 2019 and 2018, respectively. Of the total net impairment charges, $134.6 million, $7.1 million and $37.0 million in fiscal 2020, 2019 and 2018, respectively, were restructuring related and recorded in restructuring and impairment expenses. Fo</w:t>
      </w:r>
      <w:r>
        <w:rPr>
          <w:rFonts w:ascii="Times New Roman" w:eastAsia="宋体" w:hAnsi="Times New Roman"/>
          <w:color w:val="000000"/>
          <w:sz w:val="20"/>
          <w:szCs w:val="20"/>
        </w:rPr>
        <w:t>r fiscal 2020, we evaluated initial COVID-19 business recovery trends and their estimated impacts on future revenue growth and profitability for assessing impairment of our company-operated retail store and related operating lease right-of-use assets. As a</w:t>
      </w:r>
      <w:r>
        <w:rPr>
          <w:rFonts w:ascii="Times New Roman" w:eastAsia="宋体" w:hAnsi="Times New Roman"/>
          <w:color w:val="000000"/>
          <w:sz w:val="20"/>
          <w:szCs w:val="20"/>
        </w:rPr>
        <w:t xml:space="preserve"> result, we recorded $59.6 million of impairment losses within store operating expenses on our consolidated statement of earnings during the year ended September 27, 2020. Unless it is restructuring related, the nature of the underlying asset that is impai</w:t>
      </w:r>
      <w:r>
        <w:rPr>
          <w:rFonts w:ascii="Times New Roman" w:eastAsia="宋体" w:hAnsi="Times New Roman"/>
          <w:color w:val="000000"/>
          <w:sz w:val="20"/>
          <w:szCs w:val="20"/>
        </w:rPr>
        <w:t>red or disposed of will determine the operating expense line on which the related impact is recorded on our consolidated statements of earnings.</w:t>
      </w:r>
    </w:p>
    <w:p w14:paraId="00BAEE3B" w14:textId="77777777" w:rsidR="00871BDF" w:rsidRDefault="005C5088">
      <w:pPr>
        <w:spacing w:before="120"/>
      </w:pPr>
      <w:r>
        <w:rPr>
          <w:rFonts w:ascii="Times New Roman" w:eastAsia="宋体" w:hAnsi="Times New Roman"/>
          <w:b/>
          <w:bCs/>
          <w:i/>
          <w:iCs/>
          <w:color w:val="000000"/>
          <w:sz w:val="20"/>
          <w:szCs w:val="20"/>
        </w:rPr>
        <w:t>Leases</w:t>
      </w:r>
    </w:p>
    <w:p w14:paraId="00BAEE3C" w14:textId="77777777" w:rsidR="00871BDF" w:rsidRDefault="005C5088">
      <w:pPr>
        <w:spacing w:before="120"/>
      </w:pPr>
      <w:r>
        <w:rPr>
          <w:rFonts w:ascii="Times New Roman" w:eastAsia="宋体" w:hAnsi="Times New Roman"/>
          <w:color w:val="000000"/>
          <w:sz w:val="20"/>
          <w:szCs w:val="20"/>
        </w:rPr>
        <w:t>The majority of our leases are operating leases for our company-operated retail store locations. We also</w:t>
      </w:r>
      <w:r>
        <w:rPr>
          <w:rFonts w:ascii="Times New Roman" w:eastAsia="宋体" w:hAnsi="Times New Roman"/>
          <w:color w:val="000000"/>
          <w:sz w:val="20"/>
          <w:szCs w:val="20"/>
        </w:rPr>
        <w:t xml:space="preserve"> lease, among other things, roasting, distribution and warehouse facilities and office space for corporate administrative purposes. </w:t>
      </w:r>
    </w:p>
    <w:p w14:paraId="00BAEE3D" w14:textId="77777777" w:rsidR="00871BDF" w:rsidRDefault="005C5088">
      <w:pPr>
        <w:spacing w:before="120"/>
      </w:pPr>
      <w:r>
        <w:rPr>
          <w:rFonts w:ascii="Times New Roman" w:eastAsia="宋体" w:hAnsi="Times New Roman"/>
          <w:color w:val="000000"/>
          <w:sz w:val="20"/>
          <w:szCs w:val="20"/>
        </w:rPr>
        <w:t>We categorize leases as either operating or finance leases at the commencement date of the lease. Operating lease agreement</w:t>
      </w:r>
      <w:r>
        <w:rPr>
          <w:rFonts w:ascii="Times New Roman" w:eastAsia="宋体" w:hAnsi="Times New Roman"/>
          <w:color w:val="000000"/>
          <w:sz w:val="20"/>
          <w:szCs w:val="20"/>
        </w:rPr>
        <w:t>s may contain tenant improvement allowances, rent holidays, rent escalation clauses and/or contingent rent provisions. We have lease agreements with lease and non-lease components, which are accounted for together as a single lease component for all underl</w:t>
      </w:r>
      <w:r>
        <w:rPr>
          <w:rFonts w:ascii="Times New Roman" w:eastAsia="宋体" w:hAnsi="Times New Roman"/>
          <w:color w:val="000000"/>
          <w:sz w:val="20"/>
          <w:szCs w:val="20"/>
        </w:rPr>
        <w:t xml:space="preserve">ying classes of assets. </w:t>
      </w:r>
    </w:p>
    <w:p w14:paraId="00BAEE3E" w14:textId="77777777" w:rsidR="00871BDF" w:rsidRDefault="005C5088">
      <w:pPr>
        <w:spacing w:before="120"/>
      </w:pPr>
      <w:r>
        <w:rPr>
          <w:rFonts w:ascii="Times New Roman" w:eastAsia="宋体" w:hAnsi="Times New Roman"/>
          <w:color w:val="000000"/>
          <w:sz w:val="20"/>
          <w:szCs w:val="20"/>
        </w:rPr>
        <w:t>We recognize a ROU asset and lease liability for each operating and finance lease with a contractual term greater than 12 months at the time of lease inception. We do not record leases with an initial term of 12 months or less on o</w:t>
      </w:r>
      <w:r>
        <w:rPr>
          <w:rFonts w:ascii="Times New Roman" w:eastAsia="宋体" w:hAnsi="Times New Roman"/>
          <w:color w:val="000000"/>
          <w:sz w:val="20"/>
          <w:szCs w:val="20"/>
        </w:rPr>
        <w:t xml:space="preserve">ur consolidated balance sheet but continue to record rent expense on a straight-line basis over the lease term. Our leases often include options to extend or terminate at our sole discretion, which are included in the determination of lease term when they </w:t>
      </w:r>
      <w:r>
        <w:rPr>
          <w:rFonts w:ascii="Times New Roman" w:eastAsia="宋体" w:hAnsi="Times New Roman"/>
          <w:color w:val="000000"/>
          <w:sz w:val="20"/>
          <w:szCs w:val="20"/>
        </w:rPr>
        <w:t>are reasonably certain to be exercised.</w:t>
      </w:r>
    </w:p>
    <w:p w14:paraId="00BAEE3F" w14:textId="77777777" w:rsidR="00871BDF" w:rsidRDefault="005C5088">
      <w:pPr>
        <w:spacing w:before="120"/>
      </w:pPr>
      <w:r>
        <w:rPr>
          <w:rFonts w:ascii="Times New Roman" w:eastAsia="宋体" w:hAnsi="Times New Roman"/>
          <w:color w:val="000000"/>
          <w:sz w:val="20"/>
          <w:szCs w:val="20"/>
        </w:rPr>
        <w:t>Our lease liability represents the present value of future lease payments over the lease term. Given our policy election to combine lease and non-lease components, we also consider fixed common area maintenance (“CAM</w:t>
      </w:r>
      <w:r>
        <w:rPr>
          <w:rFonts w:ascii="Times New Roman" w:eastAsia="宋体" w:hAnsi="Times New Roman"/>
          <w:color w:val="000000"/>
          <w:sz w:val="20"/>
          <w:szCs w:val="20"/>
        </w:rPr>
        <w:t xml:space="preserve">”) part of our fixed future lease payments; therefore, fixed CAM is also included in our lease liability. </w:t>
      </w:r>
    </w:p>
    <w:p w14:paraId="00BAEE40" w14:textId="77777777" w:rsidR="00871BDF" w:rsidRDefault="005C5088">
      <w:pPr>
        <w:spacing w:before="120"/>
      </w:pPr>
      <w:r>
        <w:rPr>
          <w:rFonts w:ascii="Times New Roman" w:eastAsia="宋体" w:hAnsi="Times New Roman"/>
          <w:color w:val="000000"/>
          <w:sz w:val="20"/>
          <w:szCs w:val="20"/>
        </w:rPr>
        <w:t>We cannot determine the interest rate implicit in each of our leases. Therefore, we use market and term-specific incremental borrowing rates. Our inc</w:t>
      </w:r>
      <w:r>
        <w:rPr>
          <w:rFonts w:ascii="Times New Roman" w:eastAsia="宋体" w:hAnsi="Times New Roman"/>
          <w:color w:val="000000"/>
          <w:sz w:val="20"/>
          <w:szCs w:val="20"/>
        </w:rPr>
        <w:t>remental borrowing rate for a lease is the rate of interest we expect to pay on a collateralized basis to borrow an amount equal to the lease payments under similar terms. Because we do not borrow on a collateralized basis, we consider a combination of fac</w:t>
      </w:r>
      <w:r>
        <w:rPr>
          <w:rFonts w:ascii="Times New Roman" w:eastAsia="宋体" w:hAnsi="Times New Roman"/>
          <w:color w:val="000000"/>
          <w:sz w:val="20"/>
          <w:szCs w:val="20"/>
        </w:rPr>
        <w:t>tors, including our credit-adjusted risk-free interest rate, the risk profile and funding cost of the specific geographic market of the lease, the lease term and the effect of adjusting the rate to reflect consideration of collateral. Our credit-adjusted r</w:t>
      </w:r>
      <w:r>
        <w:rPr>
          <w:rFonts w:ascii="Times New Roman" w:eastAsia="宋体" w:hAnsi="Times New Roman"/>
          <w:color w:val="000000"/>
          <w:sz w:val="20"/>
          <w:szCs w:val="20"/>
        </w:rPr>
        <w:t>isk-free rate takes into consideration interest rates we pay on our unsecured long-term bonds as well as quoted interest rates obtained from financial institutions.</w:t>
      </w:r>
    </w:p>
    <w:p w14:paraId="00BAEE41" w14:textId="77777777" w:rsidR="00871BDF" w:rsidRDefault="005C5088">
      <w:pPr>
        <w:spacing w:before="120"/>
      </w:pPr>
      <w:r>
        <w:rPr>
          <w:rFonts w:ascii="Times New Roman" w:eastAsia="宋体" w:hAnsi="Times New Roman"/>
          <w:color w:val="000000"/>
          <w:sz w:val="20"/>
          <w:szCs w:val="20"/>
        </w:rPr>
        <w:t xml:space="preserve">Total lease costs recorded as rent and other occupancy costs include fixed operating lease </w:t>
      </w:r>
      <w:r>
        <w:rPr>
          <w:rFonts w:ascii="Times New Roman" w:eastAsia="宋体" w:hAnsi="Times New Roman"/>
          <w:color w:val="000000"/>
          <w:sz w:val="20"/>
          <w:szCs w:val="20"/>
        </w:rPr>
        <w:t>costs, variable lease costs and short-term lease costs. Most of our real estate leases require we pay certain expenses, such as CAM costs, real estate taxes and other executory costs, of which the fixed portion is included in operating lease costs. We reco</w:t>
      </w:r>
      <w:r>
        <w:rPr>
          <w:rFonts w:ascii="Times New Roman" w:eastAsia="宋体" w:hAnsi="Times New Roman"/>
          <w:color w:val="000000"/>
          <w:sz w:val="20"/>
          <w:szCs w:val="20"/>
        </w:rPr>
        <w:t xml:space="preserve">gnize operating lease costs on a straight-line basis over the lease term. In addition to the above costs, variable lease costs also include amounts based on a percentage of gross sales in excess of specified levels and are recognized when probable and are </w:t>
      </w:r>
      <w:r>
        <w:rPr>
          <w:rFonts w:ascii="Times New Roman" w:eastAsia="宋体" w:hAnsi="Times New Roman"/>
          <w:color w:val="000000"/>
          <w:sz w:val="20"/>
          <w:szCs w:val="20"/>
        </w:rPr>
        <w:t>not included in determining the present value of our lease liability. Our lease agreements do not contain any material residual value guarantees or material restrictive covenants. A significant majority of our leases are related to our company-operated sto</w:t>
      </w:r>
      <w:r>
        <w:rPr>
          <w:rFonts w:ascii="Times New Roman" w:eastAsia="宋体" w:hAnsi="Times New Roman"/>
          <w:color w:val="000000"/>
          <w:sz w:val="20"/>
          <w:szCs w:val="20"/>
        </w:rPr>
        <w:t xml:space="preserve">res, and their related costs are recorded within store operating expenses. </w:t>
      </w:r>
    </w:p>
    <w:p w14:paraId="00BAEE42" w14:textId="77777777" w:rsidR="00871BDF" w:rsidRDefault="005C5088">
      <w:pPr>
        <w:spacing w:before="120"/>
      </w:pPr>
      <w:r>
        <w:rPr>
          <w:rFonts w:ascii="Times New Roman" w:eastAsia="宋体" w:hAnsi="Times New Roman"/>
          <w:color w:val="000000"/>
          <w:sz w:val="20"/>
          <w:szCs w:val="20"/>
        </w:rPr>
        <w:t>The ROU asset is measured at the initial amount of the lease liability adjusted for lease payments made at or before the lease commencement date, initial direct costs and any tenan</w:t>
      </w:r>
      <w:r>
        <w:rPr>
          <w:rFonts w:ascii="Times New Roman" w:eastAsia="宋体" w:hAnsi="Times New Roman"/>
          <w:color w:val="000000"/>
          <w:sz w:val="20"/>
          <w:szCs w:val="20"/>
        </w:rPr>
        <w:t xml:space="preserve">t improvement allowances received. For operating leases, ROU assets are </w:t>
      </w:r>
    </w:p>
    <w:p w14:paraId="00BAEE43" w14:textId="77777777" w:rsidR="00871BDF" w:rsidRDefault="005C5088">
      <w:pPr>
        <w:jc w:val="center"/>
      </w:pPr>
      <w:r>
        <w:rPr>
          <w:rFonts w:ascii="Times New Roman" w:eastAsia="宋体" w:hAnsi="Times New Roman"/>
          <w:color w:val="000000"/>
          <w:sz w:val="20"/>
          <w:szCs w:val="20"/>
        </w:rPr>
        <w:t>57</w:t>
      </w:r>
    </w:p>
    <w:p w14:paraId="00BAEE44" w14:textId="77777777" w:rsidR="00871BDF" w:rsidRDefault="005C5088">
      <w:r>
        <w:pict w14:anchorId="00BB149E">
          <v:rect id="_x0000_i1084" style="width:415.3pt;height:1.5pt" o:hralign="center" o:hrstd="t" o:hr="t" fillcolor="#a0a0a0" stroked="f"/>
        </w:pict>
      </w:r>
    </w:p>
    <w:p w14:paraId="00BAEE45" w14:textId="77777777" w:rsidR="00871BDF" w:rsidRDefault="005C5088">
      <w:hyperlink r:id="rId180" w:anchor="i54ccc64cb5384be5a4849ef1cdef4dde_7" w:history="1">
        <w:r>
          <w:rPr>
            <w:rStyle w:val="a5"/>
            <w:rFonts w:ascii="Times New Roman" w:eastAsia="宋体" w:hAnsi="Times New Roman"/>
            <w:sz w:val="20"/>
            <w:szCs w:val="20"/>
          </w:rPr>
          <w:t>Table of Contents</w:t>
        </w:r>
      </w:hyperlink>
    </w:p>
    <w:p w14:paraId="00BAEE46" w14:textId="77777777" w:rsidR="00871BDF" w:rsidRDefault="005C5088">
      <w:pPr>
        <w:spacing w:before="120"/>
      </w:pPr>
      <w:r>
        <w:rPr>
          <w:rFonts w:ascii="Times New Roman" w:eastAsia="宋体" w:hAnsi="Times New Roman"/>
          <w:color w:val="000000"/>
          <w:sz w:val="20"/>
          <w:szCs w:val="20"/>
        </w:rPr>
        <w:t>reduced over the lease term by the recognized straight-line lease expense less the amount of accretion of the lease liability determined using the effective interest method. For finance leases, ROU assets are amortized on a straight-line basis over the sho</w:t>
      </w:r>
      <w:r>
        <w:rPr>
          <w:rFonts w:ascii="Times New Roman" w:eastAsia="宋体" w:hAnsi="Times New Roman"/>
          <w:color w:val="000000"/>
          <w:sz w:val="20"/>
          <w:szCs w:val="20"/>
        </w:rPr>
        <w:t xml:space="preserve">rter of the useful life of the leased asset or the lease term. Interest expense on each finance lease liability is recognized utilizing the effective interest method. ROU assets are tested for impairment in the same manner as long-lived assets. </w:t>
      </w:r>
    </w:p>
    <w:p w14:paraId="00BAEE47" w14:textId="77777777" w:rsidR="00871BDF" w:rsidRDefault="005C5088">
      <w:r>
        <w:rPr>
          <w:rFonts w:ascii="Times New Roman" w:eastAsia="宋体" w:hAnsi="Times New Roman"/>
          <w:color w:val="000000"/>
          <w:sz w:val="20"/>
          <w:szCs w:val="20"/>
        </w:rPr>
        <w:t>Additional</w:t>
      </w:r>
      <w:r>
        <w:rPr>
          <w:rFonts w:ascii="Times New Roman" w:eastAsia="宋体" w:hAnsi="Times New Roman"/>
          <w:color w:val="000000"/>
          <w:sz w:val="20"/>
          <w:szCs w:val="20"/>
        </w:rPr>
        <w:t>ly, we monitor for events or changes in circumstances that may require a reassessment of one of our leases and determine if a remeasurement is required. During fiscal 2020, we received $27.6 million of COVID-19-related rent concessions for stores in our In</w:t>
      </w:r>
      <w:r>
        <w:rPr>
          <w:rFonts w:ascii="Times New Roman" w:eastAsia="宋体" w:hAnsi="Times New Roman"/>
          <w:color w:val="000000"/>
          <w:sz w:val="20"/>
          <w:szCs w:val="20"/>
        </w:rPr>
        <w:t>ternational segment generally correlating with the temporary period our stores were closed. Consistent with updated guidance from the Financial Accounting Standards Board (“FASB”) in April 2020, we elected to treat COVID-19-related rent concessions as vari</w:t>
      </w:r>
      <w:r>
        <w:rPr>
          <w:rFonts w:ascii="Times New Roman" w:eastAsia="宋体" w:hAnsi="Times New Roman"/>
          <w:color w:val="000000"/>
          <w:sz w:val="20"/>
          <w:szCs w:val="20"/>
        </w:rPr>
        <w:t xml:space="preserve">able rent. Rent concessions were recognized as an offset to our rent expense within store operating expenses on our consolidated statement of earnings. See </w:t>
      </w:r>
      <w:hyperlink r:id="rId181" w:anchor="i54ccc64cb5384be5a4849ef1cdef4dde_169"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Leases, for additional details. Additionally, for the year ended September 27, 2020, we recorded $87.7 million in accelerated amortization and impairment of ROU assets for stores identified fo</w:t>
      </w:r>
      <w:r>
        <w:rPr>
          <w:rFonts w:ascii="Times New Roman" w:eastAsia="宋体" w:hAnsi="Times New Roman"/>
          <w:color w:val="000000"/>
          <w:sz w:val="20"/>
          <w:szCs w:val="20"/>
        </w:rPr>
        <w:t>r closure under the restructuring of our Americas store portfolio, which were recorded in restructuring and impairments on the consolidated statement of earnings.</w:t>
      </w:r>
    </w:p>
    <w:p w14:paraId="00BAEE48" w14:textId="77777777" w:rsidR="00871BDF" w:rsidRDefault="005C5088">
      <w:pPr>
        <w:spacing w:before="120"/>
      </w:pPr>
      <w:r>
        <w:rPr>
          <w:rFonts w:ascii="Times New Roman" w:eastAsia="宋体" w:hAnsi="Times New Roman"/>
          <w:b/>
          <w:bCs/>
          <w:i/>
          <w:iCs/>
          <w:color w:val="000000"/>
          <w:sz w:val="20"/>
          <w:szCs w:val="20"/>
        </w:rPr>
        <w:t>Goodwill</w:t>
      </w:r>
    </w:p>
    <w:p w14:paraId="00BAEE49" w14:textId="77777777" w:rsidR="00871BDF" w:rsidRDefault="005C5088">
      <w:pPr>
        <w:spacing w:before="120"/>
      </w:pPr>
      <w:r>
        <w:rPr>
          <w:rFonts w:ascii="Times New Roman" w:eastAsia="宋体" w:hAnsi="Times New Roman"/>
          <w:color w:val="000000"/>
          <w:sz w:val="20"/>
          <w:szCs w:val="20"/>
        </w:rPr>
        <w:t>We evaluate goodwill for impairment annually during our third fiscal quarter, or mor</w:t>
      </w:r>
      <w:r>
        <w:rPr>
          <w:rFonts w:ascii="Times New Roman" w:eastAsia="宋体" w:hAnsi="Times New Roman"/>
          <w:color w:val="000000"/>
          <w:sz w:val="20"/>
          <w:szCs w:val="20"/>
        </w:rPr>
        <w:t>e frequently if an event occurs or circumstances change, such as material deterioration in performance or a significant number of store closures, that would indicate that impairment may exist. When evaluating goodwill for impairment, we may first perform a</w:t>
      </w:r>
      <w:r>
        <w:rPr>
          <w:rFonts w:ascii="Times New Roman" w:eastAsia="宋体" w:hAnsi="Times New Roman"/>
          <w:color w:val="000000"/>
          <w:sz w:val="20"/>
          <w:szCs w:val="20"/>
        </w:rPr>
        <w:t xml:space="preserve"> qualitative assessment to determine whether it is more likely than not that a reporting unit is impaired. If we do not perform a qualitative assessment, or if we determine that it is not more likely than not that the fair value of the reporting unit excee</w:t>
      </w:r>
      <w:r>
        <w:rPr>
          <w:rFonts w:ascii="Times New Roman" w:eastAsia="宋体" w:hAnsi="Times New Roman"/>
          <w:color w:val="000000"/>
          <w:sz w:val="20"/>
          <w:szCs w:val="20"/>
        </w:rPr>
        <w:t>ds its carrying amount, we calculate the estimated fair value of the reporting unit. Fair value is typically calculated using a discounted cash flow model. For certain reporting units, where deemed appropriate, we may also utilize a market approach for est</w:t>
      </w:r>
      <w:r>
        <w:rPr>
          <w:rFonts w:ascii="Times New Roman" w:eastAsia="宋体" w:hAnsi="Times New Roman"/>
          <w:color w:val="000000"/>
          <w:sz w:val="20"/>
          <w:szCs w:val="20"/>
        </w:rPr>
        <w:t>imating fair value. If the carrying amount of the reporting unit exceeds the estimated fair value, an impairment charge is recorded to reduce the carrying value to the estimated fair value.</w:t>
      </w:r>
    </w:p>
    <w:p w14:paraId="00BAEE4A" w14:textId="77777777" w:rsidR="00871BDF" w:rsidRDefault="005C5088">
      <w:pPr>
        <w:spacing w:before="120"/>
      </w:pPr>
      <w:r>
        <w:rPr>
          <w:rFonts w:ascii="Times New Roman" w:eastAsia="宋体" w:hAnsi="Times New Roman"/>
          <w:color w:val="000000"/>
          <w:sz w:val="20"/>
          <w:szCs w:val="20"/>
        </w:rPr>
        <w:t>As part of our ongoing operations, we may close certain stores wit</w:t>
      </w:r>
      <w:r>
        <w:rPr>
          <w:rFonts w:ascii="Times New Roman" w:eastAsia="宋体" w:hAnsi="Times New Roman"/>
          <w:color w:val="000000"/>
          <w:sz w:val="20"/>
          <w:szCs w:val="20"/>
        </w:rPr>
        <w:t>hin a reporting unit containing goodwill due to underperformance of the store or inability to renew our lease, among other reasons. We may abandon certain assets associated with a closed store, including leasehold improvements and other non-transferable as</w:t>
      </w:r>
      <w:r>
        <w:rPr>
          <w:rFonts w:ascii="Times New Roman" w:eastAsia="宋体" w:hAnsi="Times New Roman"/>
          <w:color w:val="000000"/>
          <w:sz w:val="20"/>
          <w:szCs w:val="20"/>
        </w:rPr>
        <w:t>sets. When a portion of a reporting unit that constitutes a business is to be disposed of, goodwill associated with the business is included in the carrying amount of the business in determining any loss on disposal. Our evaluation of whether the portion o</w:t>
      </w:r>
      <w:r>
        <w:rPr>
          <w:rFonts w:ascii="Times New Roman" w:eastAsia="宋体" w:hAnsi="Times New Roman"/>
          <w:color w:val="000000"/>
          <w:sz w:val="20"/>
          <w:szCs w:val="20"/>
        </w:rPr>
        <w:t>f a reporting unit being disposed of constitutes a business occurs on the date of abandonment. Although an operating store meets the accounting definition of a business prior to abandonment, it does not constitute a business on the closure date because the</w:t>
      </w:r>
      <w:r>
        <w:rPr>
          <w:rFonts w:ascii="Times New Roman" w:eastAsia="宋体" w:hAnsi="Times New Roman"/>
          <w:color w:val="000000"/>
          <w:sz w:val="20"/>
          <w:szCs w:val="20"/>
        </w:rPr>
        <w:t xml:space="preserve"> remaining assets on that date do not constitute an integrated set of activities (substantive processes) and assets that are capable of being managed for the purpose of providing a return to investors. As a result, when closing individual stores, we do not</w:t>
      </w:r>
      <w:r>
        <w:rPr>
          <w:rFonts w:ascii="Times New Roman" w:eastAsia="宋体" w:hAnsi="Times New Roman"/>
          <w:color w:val="000000"/>
          <w:sz w:val="20"/>
          <w:szCs w:val="20"/>
        </w:rPr>
        <w:t xml:space="preserve"> include goodwill in the calculation of any loss on disposal of the related assets. </w:t>
      </w:r>
    </w:p>
    <w:p w14:paraId="00BAEE4B" w14:textId="77777777" w:rsidR="00871BDF" w:rsidRDefault="005C5088">
      <w:pPr>
        <w:spacing w:before="120"/>
      </w:pPr>
      <w:r>
        <w:rPr>
          <w:rFonts w:ascii="Times New Roman" w:eastAsia="宋体" w:hAnsi="Times New Roman"/>
          <w:color w:val="000000"/>
          <w:sz w:val="20"/>
          <w:szCs w:val="20"/>
        </w:rPr>
        <w:t xml:space="preserve">We recorded no goodwill impairment during fiscal 2020. In fiscal 2019 and 2018, we recorded goodwill impairment of $10.5 million and $37.6 million, respectively. See </w:t>
      </w:r>
      <w:hyperlink r:id="rId182" w:anchor="i54ccc64cb5384be5a4849ef1cdef4dde_160"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Other Intangible Assets and Goodwill, for further information. </w:t>
      </w:r>
    </w:p>
    <w:p w14:paraId="00BAEE4C" w14:textId="77777777" w:rsidR="00871BDF" w:rsidRDefault="005C5088">
      <w:pPr>
        <w:spacing w:before="120"/>
      </w:pPr>
      <w:r>
        <w:rPr>
          <w:rFonts w:ascii="Times New Roman" w:eastAsia="宋体" w:hAnsi="Times New Roman"/>
          <w:b/>
          <w:bCs/>
          <w:i/>
          <w:iCs/>
          <w:color w:val="000000"/>
          <w:sz w:val="20"/>
          <w:szCs w:val="20"/>
        </w:rPr>
        <w:t>Other Intangible Assets</w:t>
      </w:r>
    </w:p>
    <w:p w14:paraId="00BAEE4D" w14:textId="77777777" w:rsidR="00871BDF" w:rsidRDefault="005C5088">
      <w:pPr>
        <w:spacing w:before="120"/>
      </w:pPr>
      <w:r>
        <w:rPr>
          <w:rFonts w:ascii="Times New Roman" w:eastAsia="宋体" w:hAnsi="Times New Roman"/>
          <w:color w:val="000000"/>
          <w:sz w:val="20"/>
          <w:szCs w:val="20"/>
        </w:rPr>
        <w:t>Other</w:t>
      </w:r>
      <w:r>
        <w:rPr>
          <w:rFonts w:ascii="Times New Roman" w:eastAsia="宋体" w:hAnsi="Times New Roman"/>
          <w:color w:val="000000"/>
          <w:sz w:val="20"/>
          <w:szCs w:val="20"/>
        </w:rPr>
        <w:t xml:space="preserve"> intangible assets include finite-lived intangible assets, which mainly consist of acquired and reacquired rights, trade secrets, licensing agreements, contract-based patents and copyrights. These assets are amortized over their estimated useful lives and </w:t>
      </w:r>
      <w:r>
        <w:rPr>
          <w:rFonts w:ascii="Times New Roman" w:eastAsia="宋体" w:hAnsi="Times New Roman"/>
          <w:color w:val="000000"/>
          <w:sz w:val="20"/>
          <w:szCs w:val="20"/>
        </w:rPr>
        <w:t xml:space="preserve">are tested for impairment using a similar methodology to our property, plant and equipment, as described above. </w:t>
      </w:r>
    </w:p>
    <w:p w14:paraId="00BAEE4E" w14:textId="77777777" w:rsidR="00871BDF" w:rsidRDefault="005C5088">
      <w:pPr>
        <w:spacing w:before="120"/>
      </w:pPr>
      <w:r>
        <w:rPr>
          <w:rFonts w:ascii="Times New Roman" w:eastAsia="宋体" w:hAnsi="Times New Roman"/>
          <w:color w:val="000000"/>
          <w:sz w:val="20"/>
          <w:szCs w:val="20"/>
        </w:rPr>
        <w:t>Indefinite-lived intangibles, which consist primarily of trade names and trademarks, are tested for impairment annually during the third fiscal</w:t>
      </w:r>
      <w:r>
        <w:rPr>
          <w:rFonts w:ascii="Times New Roman" w:eastAsia="宋体" w:hAnsi="Times New Roman"/>
          <w:color w:val="000000"/>
          <w:sz w:val="20"/>
          <w:szCs w:val="20"/>
        </w:rPr>
        <w:t xml:space="preserve"> quarter, or more frequently if an event occurs or circumstances change that would indicate that impairment may exist. When evaluating other intangible assets for impairment, we may first perform a qualitative assessment to determine whether it is more lik</w:t>
      </w:r>
      <w:r>
        <w:rPr>
          <w:rFonts w:ascii="Times New Roman" w:eastAsia="宋体" w:hAnsi="Times New Roman"/>
          <w:color w:val="000000"/>
          <w:sz w:val="20"/>
          <w:szCs w:val="20"/>
        </w:rPr>
        <w:t>ely than not that an intangible asset group is impaired. If we do not perform the qualitative assessment, or if we determine that it is not more likely than not that the fair value of the intangible asset group exceeds its carrying amount, we calculate the</w:t>
      </w:r>
      <w:r>
        <w:rPr>
          <w:rFonts w:ascii="Times New Roman" w:eastAsia="宋体" w:hAnsi="Times New Roman"/>
          <w:color w:val="000000"/>
          <w:sz w:val="20"/>
          <w:szCs w:val="20"/>
        </w:rPr>
        <w:t xml:space="preserve"> estimated fair value of the intangible asset group. Fair value is the price a willing buyer would pay for the intangible asset group and is typically calculated using an income approach, such as a relief-from-royalty model. If the carrying amount of the i</w:t>
      </w:r>
      <w:r>
        <w:rPr>
          <w:rFonts w:ascii="Times New Roman" w:eastAsia="宋体" w:hAnsi="Times New Roman"/>
          <w:color w:val="000000"/>
          <w:sz w:val="20"/>
          <w:szCs w:val="20"/>
        </w:rPr>
        <w:t>ntangible asset group exceeds the estimated fair value, an impairment charge is recorded to reduce the carrying value to the estimated fair value. In addition, we continuously monitor and may revise our intangible asset useful lives if and when facts and c</w:t>
      </w:r>
      <w:r>
        <w:rPr>
          <w:rFonts w:ascii="Times New Roman" w:eastAsia="宋体" w:hAnsi="Times New Roman"/>
          <w:color w:val="000000"/>
          <w:sz w:val="20"/>
          <w:szCs w:val="20"/>
        </w:rPr>
        <w:t>ircumstances change.</w:t>
      </w:r>
    </w:p>
    <w:p w14:paraId="00BAEE4F" w14:textId="77777777" w:rsidR="00871BDF" w:rsidRDefault="005C5088">
      <w:pPr>
        <w:spacing w:before="120"/>
      </w:pPr>
      <w:r>
        <w:rPr>
          <w:rFonts w:ascii="Times New Roman" w:eastAsia="宋体" w:hAnsi="Times New Roman"/>
          <w:color w:val="000000"/>
          <w:sz w:val="20"/>
          <w:szCs w:val="20"/>
        </w:rPr>
        <w:t xml:space="preserve">We recorded other intangible asset impairment charges of $22.1 million during fiscal 2020. There were no significant other intangible asset impairment charges recorded during fiscal 2019 and 2018. See </w:t>
      </w:r>
      <w:hyperlink r:id="rId183" w:anchor="i54ccc64cb5384be5a4849ef1cdef4dde_160"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Other Intangible Assets and Goodwill, for further information. </w:t>
      </w:r>
    </w:p>
    <w:p w14:paraId="00BAEE50" w14:textId="77777777" w:rsidR="00871BDF" w:rsidRDefault="005C5088">
      <w:pPr>
        <w:jc w:val="center"/>
      </w:pPr>
      <w:r>
        <w:rPr>
          <w:rFonts w:ascii="Times New Roman" w:eastAsia="宋体" w:hAnsi="Times New Roman"/>
          <w:color w:val="000000"/>
          <w:sz w:val="20"/>
          <w:szCs w:val="20"/>
        </w:rPr>
        <w:t>58</w:t>
      </w:r>
    </w:p>
    <w:p w14:paraId="00BAEE51" w14:textId="77777777" w:rsidR="00871BDF" w:rsidRDefault="005C5088">
      <w:r>
        <w:pict w14:anchorId="00BB149F">
          <v:rect id="_x0000_i1085" style="width:415.3pt;height:1.5pt" o:hralign="center" o:hrstd="t" o:hr="t" fillcolor="#a0a0a0" stroked="f"/>
        </w:pict>
      </w:r>
    </w:p>
    <w:p w14:paraId="00BAEE52" w14:textId="77777777" w:rsidR="00871BDF" w:rsidRDefault="005C5088">
      <w:hyperlink r:id="rId184" w:anchor="i54ccc64cb5384be5a4849ef1cdef4dde_7" w:history="1">
        <w:r>
          <w:rPr>
            <w:rStyle w:val="a5"/>
            <w:rFonts w:ascii="Times New Roman" w:eastAsia="宋体" w:hAnsi="Times New Roman"/>
            <w:sz w:val="20"/>
            <w:szCs w:val="20"/>
          </w:rPr>
          <w:t>Table of Contents</w:t>
        </w:r>
      </w:hyperlink>
    </w:p>
    <w:p w14:paraId="00BAEE53" w14:textId="77777777" w:rsidR="00871BDF" w:rsidRDefault="005C5088">
      <w:pPr>
        <w:spacing w:before="120"/>
      </w:pPr>
      <w:r>
        <w:rPr>
          <w:rFonts w:ascii="Times New Roman" w:eastAsia="宋体" w:hAnsi="Times New Roman"/>
          <w:b/>
          <w:bCs/>
          <w:i/>
          <w:iCs/>
          <w:color w:val="000000"/>
          <w:sz w:val="20"/>
          <w:szCs w:val="20"/>
        </w:rPr>
        <w:t>Insurance Reserves</w:t>
      </w:r>
    </w:p>
    <w:p w14:paraId="00BAEE54" w14:textId="77777777" w:rsidR="00871BDF" w:rsidRDefault="005C5088">
      <w:pPr>
        <w:spacing w:before="120"/>
      </w:pPr>
      <w:r>
        <w:rPr>
          <w:rFonts w:ascii="Times New Roman" w:eastAsia="宋体" w:hAnsi="Times New Roman"/>
          <w:color w:val="000000"/>
          <w:sz w:val="20"/>
          <w:szCs w:val="20"/>
        </w:rPr>
        <w:t>We use a combination of insurance and self-insurance mechanisms, including a wholly-owned captive insurance entity and parti</w:t>
      </w:r>
      <w:r>
        <w:rPr>
          <w:rFonts w:ascii="Times New Roman" w:eastAsia="宋体" w:hAnsi="Times New Roman"/>
          <w:color w:val="000000"/>
          <w:sz w:val="20"/>
          <w:szCs w:val="20"/>
        </w:rPr>
        <w:t>cipation in a reinsurance treaty, to provide for the potential liabilities for certain risks, including workers’ compensation, healthcare benefits, general liability, property insurance and director and officers’ liability insurance. Liabilities associated</w:t>
      </w:r>
      <w:r>
        <w:rPr>
          <w:rFonts w:ascii="Times New Roman" w:eastAsia="宋体" w:hAnsi="Times New Roman"/>
          <w:color w:val="000000"/>
          <w:sz w:val="20"/>
          <w:szCs w:val="20"/>
        </w:rPr>
        <w:t xml:space="preserve"> with the risks that are retained by us are not discounted and are estimated, in part, by considering historical claims experience, demographics, exposure and severity factors and other actuarial assumptions.</w:t>
      </w:r>
    </w:p>
    <w:p w14:paraId="00BAEE55" w14:textId="77777777" w:rsidR="00871BDF" w:rsidRDefault="005C5088">
      <w:pPr>
        <w:spacing w:before="120"/>
      </w:pPr>
      <w:r>
        <w:rPr>
          <w:rFonts w:ascii="Times New Roman" w:eastAsia="宋体" w:hAnsi="Times New Roman"/>
          <w:b/>
          <w:bCs/>
          <w:i/>
          <w:iCs/>
          <w:color w:val="000000"/>
          <w:sz w:val="20"/>
          <w:szCs w:val="20"/>
        </w:rPr>
        <w:t>Revenue Recognition</w:t>
      </w:r>
    </w:p>
    <w:p w14:paraId="00BAEE56" w14:textId="77777777" w:rsidR="00871BDF" w:rsidRDefault="005C5088">
      <w:pPr>
        <w:spacing w:before="120"/>
      </w:pPr>
      <w:r>
        <w:rPr>
          <w:rFonts w:ascii="Times New Roman" w:eastAsia="宋体" w:hAnsi="Times New Roman"/>
          <w:color w:val="000000"/>
          <w:sz w:val="20"/>
          <w:szCs w:val="20"/>
        </w:rPr>
        <w:t>Consolidated revenues are p</w:t>
      </w:r>
      <w:r>
        <w:rPr>
          <w:rFonts w:ascii="Times New Roman" w:eastAsia="宋体" w:hAnsi="Times New Roman"/>
          <w:color w:val="000000"/>
          <w:sz w:val="20"/>
          <w:szCs w:val="20"/>
        </w:rPr>
        <w:t>resented net of intercompany eliminations for wholly-owned subsidiaries and investees controlled by us and for product sales to and royalty and other fees from licensees accounted for under the equity method. Additionally, consolidated revenues are recogni</w:t>
      </w:r>
      <w:r>
        <w:rPr>
          <w:rFonts w:ascii="Times New Roman" w:eastAsia="宋体" w:hAnsi="Times New Roman"/>
          <w:color w:val="000000"/>
          <w:sz w:val="20"/>
          <w:szCs w:val="20"/>
        </w:rPr>
        <w:t xml:space="preserve">zed net of any discounts, returns, allowances and sales incentives, including coupon redemptions and rebates. </w:t>
      </w:r>
    </w:p>
    <w:p w14:paraId="00BAEE57" w14:textId="77777777" w:rsidR="00871BDF" w:rsidRDefault="005C5088">
      <w:pPr>
        <w:spacing w:before="120"/>
      </w:pPr>
      <w:r>
        <w:rPr>
          <w:rFonts w:ascii="Times New Roman" w:eastAsia="宋体" w:hAnsi="Times New Roman"/>
          <w:i/>
          <w:iCs/>
          <w:color w:val="000000"/>
          <w:sz w:val="20"/>
          <w:szCs w:val="20"/>
        </w:rPr>
        <w:t>Company-operated Store Revenues</w:t>
      </w:r>
    </w:p>
    <w:p w14:paraId="00BAEE58" w14:textId="77777777" w:rsidR="00871BDF" w:rsidRDefault="005C5088">
      <w:pPr>
        <w:spacing w:before="120"/>
      </w:pPr>
      <w:r>
        <w:rPr>
          <w:rFonts w:ascii="Times New Roman" w:eastAsia="宋体" w:hAnsi="Times New Roman"/>
          <w:color w:val="000000"/>
          <w:sz w:val="20"/>
          <w:szCs w:val="20"/>
        </w:rPr>
        <w:t>Company-operated store revenues are recognized when payment is tendered at the point of sale as the performance o</w:t>
      </w:r>
      <w:r>
        <w:rPr>
          <w:rFonts w:ascii="Times New Roman" w:eastAsia="宋体" w:hAnsi="Times New Roman"/>
          <w:color w:val="000000"/>
          <w:sz w:val="20"/>
          <w:szCs w:val="20"/>
        </w:rPr>
        <w:t>bligation has been satisfied. Company-operated store revenues are reported excluding sales, use or other transaction taxes that are collected from customers and remitted to taxing authorities.</w:t>
      </w:r>
    </w:p>
    <w:p w14:paraId="00BAEE59" w14:textId="77777777" w:rsidR="00871BDF" w:rsidRDefault="005C5088">
      <w:pPr>
        <w:spacing w:before="120"/>
      </w:pPr>
      <w:r>
        <w:rPr>
          <w:rFonts w:ascii="Times New Roman" w:eastAsia="宋体" w:hAnsi="Times New Roman"/>
          <w:i/>
          <w:iCs/>
          <w:color w:val="000000"/>
          <w:sz w:val="20"/>
          <w:szCs w:val="20"/>
        </w:rPr>
        <w:t>Licensed Store Revenues</w:t>
      </w:r>
    </w:p>
    <w:p w14:paraId="00BAEE5A" w14:textId="77777777" w:rsidR="00871BDF" w:rsidRDefault="005C5088">
      <w:pPr>
        <w:spacing w:before="120"/>
      </w:pPr>
      <w:r>
        <w:rPr>
          <w:rFonts w:ascii="Times New Roman" w:eastAsia="宋体" w:hAnsi="Times New Roman"/>
          <w:color w:val="000000"/>
          <w:sz w:val="20"/>
          <w:szCs w:val="20"/>
        </w:rPr>
        <w:t>Licensed store revenues consist of prod</w:t>
      </w:r>
      <w:r>
        <w:rPr>
          <w:rFonts w:ascii="Times New Roman" w:eastAsia="宋体" w:hAnsi="Times New Roman"/>
          <w:color w:val="000000"/>
          <w:sz w:val="20"/>
          <w:szCs w:val="20"/>
        </w:rPr>
        <w:t>uct and equipment sales, royalties and other fees paid by licensees using the Starbucks brand. Sales of coffee, tea, food and related products are generally recognized upon shipment to licensees, depending on contract terms. Shipping charges billed to lice</w:t>
      </w:r>
      <w:r>
        <w:rPr>
          <w:rFonts w:ascii="Times New Roman" w:eastAsia="宋体" w:hAnsi="Times New Roman"/>
          <w:color w:val="000000"/>
          <w:sz w:val="20"/>
          <w:szCs w:val="20"/>
        </w:rPr>
        <w:t>nsees are also recognized as revenue, and the related shipping costs are included in product and distribution costs on our consolidated statements of earnings.</w:t>
      </w:r>
    </w:p>
    <w:p w14:paraId="00BAEE5B" w14:textId="77777777" w:rsidR="00871BDF" w:rsidRDefault="005C5088">
      <w:pPr>
        <w:spacing w:before="120"/>
      </w:pPr>
      <w:r>
        <w:rPr>
          <w:rFonts w:ascii="Times New Roman" w:eastAsia="宋体" w:hAnsi="Times New Roman"/>
          <w:color w:val="000000"/>
          <w:sz w:val="20"/>
          <w:szCs w:val="20"/>
        </w:rPr>
        <w:t>We consider pre-opening services, including site evaluation and selection, store architectural/d</w:t>
      </w:r>
      <w:r>
        <w:rPr>
          <w:rFonts w:ascii="Times New Roman" w:eastAsia="宋体" w:hAnsi="Times New Roman"/>
          <w:color w:val="000000"/>
          <w:sz w:val="20"/>
          <w:szCs w:val="20"/>
        </w:rPr>
        <w:t>esign and development and operational training, to be performance obligations that are separate from the license to operate under the Starbucks brand. These services provide distinct value to our licensees, including business and industry insight and knowl</w:t>
      </w:r>
      <w:r>
        <w:rPr>
          <w:rFonts w:ascii="Times New Roman" w:eastAsia="宋体" w:hAnsi="Times New Roman"/>
          <w:color w:val="000000"/>
          <w:sz w:val="20"/>
          <w:szCs w:val="20"/>
        </w:rPr>
        <w:t>edge that transfers value apart from the license. Revenues associated with pre-opening services are recognized upon completion of the related performance obligations, generally when a store is opened. Royalty revenues are recognized based upon a percentage</w:t>
      </w:r>
      <w:r>
        <w:rPr>
          <w:rFonts w:ascii="Times New Roman" w:eastAsia="宋体" w:hAnsi="Times New Roman"/>
          <w:color w:val="000000"/>
          <w:sz w:val="20"/>
          <w:szCs w:val="20"/>
        </w:rPr>
        <w:t xml:space="preserve"> of reported sales, and other continuing fees, such as marketing and service fees, are recognized as the performance obligations are met. </w:t>
      </w:r>
    </w:p>
    <w:p w14:paraId="00BAEE5C" w14:textId="77777777" w:rsidR="00871BDF" w:rsidRDefault="005C5088">
      <w:pPr>
        <w:spacing w:before="120"/>
      </w:pPr>
      <w:r>
        <w:rPr>
          <w:rFonts w:ascii="Times New Roman" w:eastAsia="宋体" w:hAnsi="Times New Roman"/>
          <w:i/>
          <w:iCs/>
          <w:color w:val="000000"/>
          <w:sz w:val="20"/>
          <w:szCs w:val="20"/>
        </w:rPr>
        <w:t xml:space="preserve">Stored Value Cards </w:t>
      </w:r>
    </w:p>
    <w:p w14:paraId="00BAEE5D" w14:textId="77777777" w:rsidR="00871BDF" w:rsidRDefault="005C5088">
      <w:pPr>
        <w:spacing w:before="120"/>
      </w:pPr>
      <w:r>
        <w:rPr>
          <w:rFonts w:ascii="Times New Roman" w:eastAsia="宋体" w:hAnsi="Times New Roman"/>
          <w:color w:val="000000"/>
          <w:sz w:val="20"/>
          <w:szCs w:val="20"/>
        </w:rPr>
        <w:t xml:space="preserve">Stored value cards can be activated through various channels, including at our </w:t>
      </w:r>
      <w:r>
        <w:rPr>
          <w:rFonts w:ascii="Times New Roman" w:eastAsia="宋体" w:hAnsi="Times New Roman"/>
          <w:color w:val="000000"/>
          <w:sz w:val="20"/>
          <w:szCs w:val="20"/>
        </w:rPr>
        <w:t>company-operated and most licensed store locations, online at Starbucks.com or via mobile devices held by our customers and at certain other third-party websites and locations, such as grocery stores, although they cannot be reloaded at these third-party w</w:t>
      </w:r>
      <w:r>
        <w:rPr>
          <w:rFonts w:ascii="Times New Roman" w:eastAsia="宋体" w:hAnsi="Times New Roman"/>
          <w:color w:val="000000"/>
          <w:sz w:val="20"/>
          <w:szCs w:val="20"/>
        </w:rPr>
        <w:t>ebsites or locations. Amounts loaded onto stored value cards are initially recorded as deferred revenue and recognized as revenue upon redemption. Historically, the majority of stored value cards are redeemed within one year.</w:t>
      </w:r>
    </w:p>
    <w:p w14:paraId="00BAEE5E" w14:textId="77777777" w:rsidR="00871BDF" w:rsidRDefault="005C5088">
      <w:pPr>
        <w:spacing w:before="120"/>
      </w:pPr>
      <w:r>
        <w:rPr>
          <w:rFonts w:ascii="Times New Roman" w:eastAsia="宋体" w:hAnsi="Times New Roman"/>
          <w:color w:val="000000"/>
          <w:sz w:val="20"/>
          <w:szCs w:val="20"/>
        </w:rPr>
        <w:t>In many of our company-owned m</w:t>
      </w:r>
      <w:r>
        <w:rPr>
          <w:rFonts w:ascii="Times New Roman" w:eastAsia="宋体" w:hAnsi="Times New Roman"/>
          <w:color w:val="000000"/>
          <w:sz w:val="20"/>
          <w:szCs w:val="20"/>
        </w:rPr>
        <w:t>arkets, including the U.S., our stored value cards do not have an expiration date nor do we charge service fees that cause a decrement to customer balances. Based on historical redemption rates, a portion of stored value cards is not expected to be redeeme</w:t>
      </w:r>
      <w:r>
        <w:rPr>
          <w:rFonts w:ascii="Times New Roman" w:eastAsia="宋体" w:hAnsi="Times New Roman"/>
          <w:color w:val="000000"/>
          <w:sz w:val="20"/>
          <w:szCs w:val="20"/>
        </w:rPr>
        <w:t>d and will be recognized as breakage over time in proportion to stored value card redemptions. The redemption rates are based on historical redemption patterns for each market, including the timing and business channel in which the card was activated or re</w:t>
      </w:r>
      <w:r>
        <w:rPr>
          <w:rFonts w:ascii="Times New Roman" w:eastAsia="宋体" w:hAnsi="Times New Roman"/>
          <w:color w:val="000000"/>
          <w:sz w:val="20"/>
          <w:szCs w:val="20"/>
        </w:rPr>
        <w:t xml:space="preserve">loaded, and remittance to government agencies under unclaimed property laws, if applicable. </w:t>
      </w:r>
    </w:p>
    <w:p w14:paraId="00BAEE5F" w14:textId="77777777" w:rsidR="00871BDF" w:rsidRDefault="005C5088">
      <w:pPr>
        <w:spacing w:before="120"/>
      </w:pPr>
      <w:r>
        <w:rPr>
          <w:rFonts w:ascii="Times New Roman" w:eastAsia="宋体" w:hAnsi="Times New Roman"/>
          <w:color w:val="000000"/>
          <w:sz w:val="20"/>
          <w:szCs w:val="20"/>
        </w:rPr>
        <w:t xml:space="preserve">Breakage is recognized as company-operated stores and licensed stores revenue within the consolidated statement of earnings beginning in fiscal 2019 in accordance </w:t>
      </w:r>
      <w:r>
        <w:rPr>
          <w:rFonts w:ascii="Times New Roman" w:eastAsia="宋体" w:hAnsi="Times New Roman"/>
          <w:color w:val="000000"/>
          <w:sz w:val="20"/>
          <w:szCs w:val="20"/>
        </w:rPr>
        <w:t>with the revenue recognition guidance that we adopted prospectively during fiscal 2019. For the fiscal years ended September 27, 2020 and September 29, 2019, we recognized breakage revenue of $130.3 million and $125.1 million in company-operated store reve</w:t>
      </w:r>
      <w:r>
        <w:rPr>
          <w:rFonts w:ascii="Times New Roman" w:eastAsia="宋体" w:hAnsi="Times New Roman"/>
          <w:color w:val="000000"/>
          <w:sz w:val="20"/>
          <w:szCs w:val="20"/>
        </w:rPr>
        <w:t xml:space="preserve">nues and $14.3 million and $15.7 million in licensed store revenues, respectively. Prior to the adoption of the new revenue recognition guidance, breakage was recorded using the remote method and recorded in interest income and other, net. In fiscal 2018, </w:t>
      </w:r>
      <w:r>
        <w:rPr>
          <w:rFonts w:ascii="Times New Roman" w:eastAsia="宋体" w:hAnsi="Times New Roman"/>
          <w:color w:val="000000"/>
          <w:sz w:val="20"/>
          <w:szCs w:val="20"/>
        </w:rPr>
        <w:t>we recognized breakage income of $155.9 million.</w:t>
      </w:r>
    </w:p>
    <w:p w14:paraId="00BAEE60" w14:textId="77777777" w:rsidR="00871BDF" w:rsidRDefault="005C5088">
      <w:pPr>
        <w:jc w:val="center"/>
      </w:pPr>
      <w:r>
        <w:rPr>
          <w:rFonts w:ascii="Times New Roman" w:eastAsia="宋体" w:hAnsi="Times New Roman"/>
          <w:color w:val="000000"/>
          <w:sz w:val="20"/>
          <w:szCs w:val="20"/>
        </w:rPr>
        <w:t>59</w:t>
      </w:r>
    </w:p>
    <w:p w14:paraId="00BAEE61" w14:textId="77777777" w:rsidR="00871BDF" w:rsidRDefault="005C5088">
      <w:r>
        <w:pict w14:anchorId="00BB14A0">
          <v:rect id="_x0000_i1086" style="width:415.3pt;height:1.5pt" o:hralign="center" o:hrstd="t" o:hr="t" fillcolor="#a0a0a0" stroked="f"/>
        </w:pict>
      </w:r>
    </w:p>
    <w:p w14:paraId="00BAEE62" w14:textId="77777777" w:rsidR="00871BDF" w:rsidRDefault="005C5088">
      <w:hyperlink r:id="rId185" w:anchor="i54ccc64cb5384be5a4849ef1cdef4dde_7" w:history="1">
        <w:r>
          <w:rPr>
            <w:rStyle w:val="a5"/>
            <w:rFonts w:ascii="Times New Roman" w:eastAsia="宋体" w:hAnsi="Times New Roman"/>
            <w:sz w:val="20"/>
            <w:szCs w:val="20"/>
          </w:rPr>
          <w:t>Table of Contents</w:t>
        </w:r>
      </w:hyperlink>
    </w:p>
    <w:p w14:paraId="00BAEE63" w14:textId="77777777" w:rsidR="00871BDF" w:rsidRDefault="005C5088">
      <w:pPr>
        <w:spacing w:before="120"/>
      </w:pPr>
      <w:r>
        <w:rPr>
          <w:rFonts w:ascii="Times New Roman" w:eastAsia="宋体" w:hAnsi="Times New Roman"/>
          <w:i/>
          <w:iCs/>
          <w:color w:val="000000"/>
          <w:sz w:val="20"/>
          <w:szCs w:val="20"/>
        </w:rPr>
        <w:t xml:space="preserve">Loyalty Program </w:t>
      </w:r>
    </w:p>
    <w:p w14:paraId="00BAEE64" w14:textId="77777777" w:rsidR="00871BDF" w:rsidRDefault="005C5088">
      <w:pPr>
        <w:spacing w:before="120"/>
      </w:pPr>
      <w:r>
        <w:rPr>
          <w:rFonts w:ascii="Times New Roman" w:eastAsia="宋体" w:hAnsi="Times New Roman"/>
          <w:color w:val="000000"/>
          <w:sz w:val="20"/>
          <w:szCs w:val="20"/>
        </w:rPr>
        <w:t>Customers in the U.S., Canada and certain other countries who regist</w:t>
      </w:r>
      <w:r>
        <w:rPr>
          <w:rFonts w:ascii="Times New Roman" w:eastAsia="宋体" w:hAnsi="Times New Roman"/>
          <w:color w:val="000000"/>
          <w:sz w:val="20"/>
          <w:szCs w:val="20"/>
        </w:rPr>
        <w:t>er their Starbucks Card are automatically enrolled in the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Rewards program, which is primarily a spend-based loyalty program. They earn loyalty points (“Stars”) with each purchase at participating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stores and when making purchases with </w:t>
      </w:r>
      <w:r>
        <w:rPr>
          <w:rFonts w:ascii="Times New Roman" w:eastAsia="宋体" w:hAnsi="Times New Roman"/>
          <w:color w:val="000000"/>
          <w:sz w:val="20"/>
          <w:szCs w:val="20"/>
        </w:rPr>
        <w:t>the Starbucks-branded credit and debit cards. Beginning in the fourth quarter of fiscal 2020, in addition to using their Starbucks Cards,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Rewards members can earn Stars by paying with cash, credit or debit cards, or selected mobile wallets at co</w:t>
      </w:r>
      <w:r>
        <w:rPr>
          <w:rFonts w:ascii="Times New Roman" w:eastAsia="宋体" w:hAnsi="Times New Roman"/>
          <w:color w:val="000000"/>
          <w:sz w:val="20"/>
          <w:szCs w:val="20"/>
        </w:rPr>
        <w:t>mpany-operated stores in the U.S. and Canada. After accumulating a certain number of Stars, the customer earns a reward that can be redeemed for free product that, regardless of where the related Stars were earned within that country, will be honored at co</w:t>
      </w:r>
      <w:r>
        <w:rPr>
          <w:rFonts w:ascii="Times New Roman" w:eastAsia="宋体" w:hAnsi="Times New Roman"/>
          <w:color w:val="000000"/>
          <w:sz w:val="20"/>
          <w:szCs w:val="20"/>
        </w:rPr>
        <w:t>mpany-operated stores and certain participating licensed store locations in that same country.</w:t>
      </w:r>
    </w:p>
    <w:p w14:paraId="00BAEE65" w14:textId="77777777" w:rsidR="00871BDF" w:rsidRDefault="005C5088">
      <w:pPr>
        <w:spacing w:before="120"/>
      </w:pPr>
      <w:r>
        <w:rPr>
          <w:rFonts w:ascii="Times New Roman" w:eastAsia="宋体" w:hAnsi="Times New Roman"/>
          <w:color w:val="000000"/>
          <w:sz w:val="20"/>
          <w:szCs w:val="20"/>
        </w:rPr>
        <w:t>We defer revenue associated with the estimated selling price of Stars earned by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Rewards members towards free product as each Star is earned and a corr</w:t>
      </w:r>
      <w:r>
        <w:rPr>
          <w:rFonts w:ascii="Times New Roman" w:eastAsia="宋体" w:hAnsi="Times New Roman"/>
          <w:color w:val="000000"/>
          <w:sz w:val="20"/>
          <w:szCs w:val="20"/>
        </w:rPr>
        <w:t>esponding liability is established in deferred revenue. This deferral is based on the estimated value of the product for which the reward is expected to be redeemed, net of estimated unredeemed Stars. Stars generally expire after six months.</w:t>
      </w:r>
    </w:p>
    <w:p w14:paraId="00BAEE66" w14:textId="77777777" w:rsidR="00871BDF" w:rsidRDefault="005C5088">
      <w:pPr>
        <w:spacing w:before="120"/>
      </w:pPr>
      <w:r>
        <w:rPr>
          <w:rFonts w:ascii="Times New Roman" w:eastAsia="宋体" w:hAnsi="Times New Roman"/>
          <w:color w:val="000000"/>
          <w:sz w:val="20"/>
          <w:szCs w:val="20"/>
        </w:rPr>
        <w:t>When a custome</w:t>
      </w:r>
      <w:r>
        <w:rPr>
          <w:rFonts w:ascii="Times New Roman" w:eastAsia="宋体" w:hAnsi="Times New Roman"/>
          <w:color w:val="000000"/>
          <w:sz w:val="20"/>
          <w:szCs w:val="20"/>
        </w:rPr>
        <w:t>r redeems an earned reward, we recognize revenue for the redeemed product and reduce the related deferred revenue. The revenue recognition guidance that we adopted prospectively during fiscal 2019, did not impact the timing or total revenue recognized rela</w:t>
      </w:r>
      <w:r>
        <w:rPr>
          <w:rFonts w:ascii="Times New Roman" w:eastAsia="宋体" w:hAnsi="Times New Roman"/>
          <w:color w:val="000000"/>
          <w:sz w:val="20"/>
          <w:szCs w:val="20"/>
        </w:rPr>
        <w:t>ted to the loyalty program.</w:t>
      </w:r>
    </w:p>
    <w:p w14:paraId="00BAEE67" w14:textId="77777777" w:rsidR="00871BDF" w:rsidRDefault="005C5088">
      <w:pPr>
        <w:spacing w:before="120"/>
      </w:pPr>
      <w:r>
        <w:rPr>
          <w:rFonts w:ascii="Times New Roman" w:eastAsia="宋体" w:hAnsi="Times New Roman"/>
          <w:i/>
          <w:iCs/>
          <w:color w:val="000000"/>
          <w:sz w:val="20"/>
          <w:szCs w:val="20"/>
        </w:rPr>
        <w:t>Other Revenues</w:t>
      </w:r>
    </w:p>
    <w:p w14:paraId="00BAEE68" w14:textId="77777777" w:rsidR="00871BDF" w:rsidRDefault="005C5088">
      <w:pPr>
        <w:spacing w:before="120"/>
      </w:pPr>
      <w:r>
        <w:rPr>
          <w:rFonts w:ascii="Times New Roman" w:eastAsia="宋体" w:hAnsi="Times New Roman"/>
          <w:color w:val="000000"/>
          <w:sz w:val="20"/>
          <w:szCs w:val="20"/>
        </w:rPr>
        <w:t xml:space="preserve">Other revenues primarily include royalty revenues, sales of packaged coffee, tea and a variety of ready-to-drink beverages and single-serve coffee and tea products to customers outside of our company-operated and </w:t>
      </w:r>
      <w:r>
        <w:rPr>
          <w:rFonts w:ascii="Times New Roman" w:eastAsia="宋体" w:hAnsi="Times New Roman"/>
          <w:color w:val="000000"/>
          <w:sz w:val="20"/>
          <w:szCs w:val="20"/>
        </w:rPr>
        <w:t>licensed stores. Sales of these products are generally recognized upon shipment to customers, depending on contract terms.</w:t>
      </w:r>
    </w:p>
    <w:p w14:paraId="00BAEE69" w14:textId="77777777" w:rsidR="00871BDF" w:rsidRDefault="005C5088">
      <w:pPr>
        <w:spacing w:before="120"/>
      </w:pPr>
      <w:r>
        <w:rPr>
          <w:rFonts w:ascii="Times New Roman" w:eastAsia="宋体" w:hAnsi="Times New Roman"/>
          <w:color w:val="000000"/>
          <w:sz w:val="20"/>
          <w:szCs w:val="20"/>
        </w:rPr>
        <w:t>Beginning in late fiscal 2018, other revenues also include product sales to and licensing revenue from Nestlé related to our Global C</w:t>
      </w:r>
      <w:r>
        <w:rPr>
          <w:rFonts w:ascii="Times New Roman" w:eastAsia="宋体" w:hAnsi="Times New Roman"/>
          <w:color w:val="000000"/>
          <w:sz w:val="20"/>
          <w:szCs w:val="20"/>
        </w:rPr>
        <w:t>offee Alliance. Product sales to Nestlé are generally recognized when the product is shipped whereas royalty revenues are recognized based on a percentage of reported sales.</w:t>
      </w:r>
    </w:p>
    <w:p w14:paraId="00BAEE6A" w14:textId="77777777" w:rsidR="00871BDF" w:rsidRDefault="005C5088">
      <w:pPr>
        <w:spacing w:before="120"/>
      </w:pPr>
      <w:r>
        <w:rPr>
          <w:rFonts w:ascii="Times New Roman" w:eastAsia="宋体" w:hAnsi="Times New Roman"/>
          <w:color w:val="000000"/>
          <w:sz w:val="20"/>
          <w:szCs w:val="20"/>
        </w:rPr>
        <w:t>The adoption of the revenue recognition guidance discussed above did not impact th</w:t>
      </w:r>
      <w:r>
        <w:rPr>
          <w:rFonts w:ascii="Times New Roman" w:eastAsia="宋体" w:hAnsi="Times New Roman"/>
          <w:color w:val="000000"/>
          <w:sz w:val="20"/>
          <w:szCs w:val="20"/>
        </w:rPr>
        <w:t>e timing and amount of revenue recognized related to other revenues.</w:t>
      </w:r>
    </w:p>
    <w:p w14:paraId="00BAEE6B" w14:textId="77777777" w:rsidR="00871BDF" w:rsidRDefault="005C5088">
      <w:pPr>
        <w:spacing w:before="120"/>
      </w:pPr>
      <w:r>
        <w:rPr>
          <w:rFonts w:ascii="Times New Roman" w:eastAsia="宋体" w:hAnsi="Times New Roman"/>
          <w:i/>
          <w:iCs/>
          <w:color w:val="000000"/>
          <w:sz w:val="20"/>
          <w:szCs w:val="20"/>
        </w:rPr>
        <w:t>Deferred Revenues</w:t>
      </w:r>
    </w:p>
    <w:p w14:paraId="00BAEE6C" w14:textId="77777777" w:rsidR="00871BDF" w:rsidRDefault="005C5088">
      <w:pPr>
        <w:spacing w:before="120"/>
      </w:pPr>
      <w:r>
        <w:rPr>
          <w:rFonts w:ascii="Times New Roman" w:eastAsia="宋体" w:hAnsi="Times New Roman"/>
          <w:color w:val="000000"/>
          <w:sz w:val="20"/>
          <w:szCs w:val="20"/>
        </w:rPr>
        <w:t>Our deferred revenue primarily consists of the up-front prepaid royalty from Nestlé, for which we have continuing performance obligations to support the Global Coffee Al</w:t>
      </w:r>
      <w:r>
        <w:rPr>
          <w:rFonts w:ascii="Times New Roman" w:eastAsia="宋体" w:hAnsi="Times New Roman"/>
          <w:color w:val="000000"/>
          <w:sz w:val="20"/>
          <w:szCs w:val="20"/>
        </w:rPr>
        <w:t>liance, and our unredeemed stored value card liability and unredeemed Stars associated with our loyalty program. See</w:t>
      </w:r>
      <w:hyperlink r:id="rId186" w:anchor="i54ccc64cb5384be5a4849ef1cdef4dde_2423" w:history="1">
        <w:r>
          <w:rPr>
            <w:rStyle w:val="a5"/>
            <w:rFonts w:ascii="Times New Roman" w:eastAsia="宋体" w:hAnsi="Times New Roman"/>
            <w:sz w:val="20"/>
            <w:szCs w:val="20"/>
          </w:rPr>
          <w:t xml:space="preserve"> Note 11</w:t>
        </w:r>
      </w:hyperlink>
      <w:r>
        <w:rPr>
          <w:rFonts w:ascii="Times New Roman" w:eastAsia="宋体" w:hAnsi="Times New Roman"/>
          <w:color w:val="000000"/>
          <w:sz w:val="20"/>
          <w:szCs w:val="20"/>
        </w:rPr>
        <w:t xml:space="preserve">, Deferred Revenue, for further information. </w:t>
      </w:r>
    </w:p>
    <w:p w14:paraId="00BAEE6D" w14:textId="77777777" w:rsidR="00871BDF" w:rsidRDefault="005C5088">
      <w:pPr>
        <w:spacing w:before="120"/>
      </w:pPr>
      <w:r>
        <w:rPr>
          <w:rFonts w:ascii="Times New Roman" w:eastAsia="宋体" w:hAnsi="Times New Roman"/>
          <w:i/>
          <w:iCs/>
          <w:color w:val="000000"/>
          <w:sz w:val="20"/>
          <w:szCs w:val="20"/>
        </w:rPr>
        <w:t>Disaggregation of Revenues</w:t>
      </w:r>
    </w:p>
    <w:p w14:paraId="00BAEE6E" w14:textId="77777777" w:rsidR="00871BDF" w:rsidRDefault="005C5088">
      <w:pPr>
        <w:spacing w:before="120"/>
      </w:pPr>
      <w:r>
        <w:rPr>
          <w:rFonts w:ascii="Times New Roman" w:eastAsia="宋体" w:hAnsi="Times New Roman"/>
          <w:color w:val="000000"/>
          <w:sz w:val="20"/>
          <w:szCs w:val="20"/>
        </w:rPr>
        <w:t xml:space="preserve">Revenues disaggregated by segment, product type and geographic area are disclosed in </w:t>
      </w:r>
      <w:hyperlink r:id="rId187" w:anchor="i54ccc64cb5384be5a4849ef1cdef4dde_190" w:history="1">
        <w:r>
          <w:rPr>
            <w:rStyle w:val="a5"/>
            <w:rFonts w:ascii="Times New Roman" w:eastAsia="宋体" w:hAnsi="Times New Roman"/>
            <w:sz w:val="20"/>
            <w:szCs w:val="20"/>
          </w:rPr>
          <w:t>Note 17</w:t>
        </w:r>
      </w:hyperlink>
      <w:r>
        <w:rPr>
          <w:rFonts w:ascii="Times New Roman" w:eastAsia="宋体" w:hAnsi="Times New Roman"/>
          <w:color w:val="000000"/>
          <w:sz w:val="20"/>
          <w:szCs w:val="20"/>
        </w:rPr>
        <w:t>, Segment</w:t>
      </w:r>
      <w:r>
        <w:rPr>
          <w:rFonts w:ascii="Times New Roman" w:eastAsia="宋体" w:hAnsi="Times New Roman"/>
          <w:color w:val="000000"/>
          <w:sz w:val="20"/>
          <w:szCs w:val="20"/>
        </w:rPr>
        <w:t xml:space="preserve"> Reporting.</w:t>
      </w:r>
    </w:p>
    <w:p w14:paraId="00BAEE6F" w14:textId="77777777" w:rsidR="00871BDF" w:rsidRDefault="005C5088">
      <w:pPr>
        <w:spacing w:before="120"/>
      </w:pPr>
      <w:r>
        <w:rPr>
          <w:rFonts w:ascii="Times New Roman" w:eastAsia="宋体" w:hAnsi="Times New Roman"/>
          <w:b/>
          <w:bCs/>
          <w:i/>
          <w:iCs/>
          <w:color w:val="000000"/>
          <w:sz w:val="20"/>
          <w:szCs w:val="20"/>
        </w:rPr>
        <w:t>Product and Distribution Costs</w:t>
      </w:r>
    </w:p>
    <w:p w14:paraId="00BAEE70" w14:textId="77777777" w:rsidR="00871BDF" w:rsidRDefault="005C5088">
      <w:pPr>
        <w:spacing w:before="120"/>
      </w:pPr>
      <w:r>
        <w:rPr>
          <w:rFonts w:ascii="Times New Roman" w:eastAsia="宋体" w:hAnsi="Times New Roman"/>
          <w:color w:val="000000"/>
          <w:sz w:val="20"/>
          <w:szCs w:val="20"/>
        </w:rPr>
        <w:t>Product and distribution costs primarily consist of raw materials, purchased goods and packaging costs as well as operational costs of our supply chain organization, such as wages and benefits, occupancy costs and</w:t>
      </w:r>
      <w:r>
        <w:rPr>
          <w:rFonts w:ascii="Times New Roman" w:eastAsia="宋体" w:hAnsi="Times New Roman"/>
          <w:color w:val="000000"/>
          <w:sz w:val="20"/>
          <w:szCs w:val="20"/>
        </w:rPr>
        <w:t xml:space="preserve"> depreciation expenses, in support of sourcing, procuring, manufacturing, warehousing and transportation activities of products sold at our company-operated and licensed stores as well as through Channel Development and our other businesses. Also included </w:t>
      </w:r>
      <w:r>
        <w:rPr>
          <w:rFonts w:ascii="Times New Roman" w:eastAsia="宋体" w:hAnsi="Times New Roman"/>
          <w:color w:val="000000"/>
          <w:sz w:val="20"/>
          <w:szCs w:val="20"/>
        </w:rPr>
        <w:t>are inventory and supply chain asset impairment costs.</w:t>
      </w:r>
    </w:p>
    <w:p w14:paraId="00BAEE71" w14:textId="77777777" w:rsidR="00871BDF" w:rsidRDefault="005C5088">
      <w:pPr>
        <w:spacing w:before="120"/>
      </w:pPr>
      <w:r>
        <w:rPr>
          <w:rFonts w:ascii="Times New Roman" w:eastAsia="宋体" w:hAnsi="Times New Roman"/>
          <w:b/>
          <w:bCs/>
          <w:i/>
          <w:iCs/>
          <w:color w:val="000000"/>
          <w:sz w:val="20"/>
          <w:szCs w:val="20"/>
        </w:rPr>
        <w:t>Store Operating Expenses</w:t>
      </w:r>
    </w:p>
    <w:p w14:paraId="00BAEE72" w14:textId="77777777" w:rsidR="00871BDF" w:rsidRDefault="005C5088">
      <w:pPr>
        <w:spacing w:before="120"/>
      </w:pPr>
      <w:r>
        <w:rPr>
          <w:rFonts w:ascii="Times New Roman" w:eastAsia="宋体" w:hAnsi="Times New Roman"/>
          <w:color w:val="000000"/>
          <w:sz w:val="20"/>
          <w:szCs w:val="20"/>
        </w:rPr>
        <w:t>Store operating expenses consist of costs incurred in our company-operated stores, primarily wages and benefits related to store partners (employees), occupancy costs and other</w:t>
      </w:r>
      <w:r>
        <w:rPr>
          <w:rFonts w:ascii="Times New Roman" w:eastAsia="宋体" w:hAnsi="Times New Roman"/>
          <w:color w:val="000000"/>
          <w:sz w:val="20"/>
          <w:szCs w:val="20"/>
        </w:rPr>
        <w:t xml:space="preserve"> costs that directly support the operation and sales-related activities of those stores.</w:t>
      </w:r>
    </w:p>
    <w:p w14:paraId="00BAEE73" w14:textId="77777777" w:rsidR="00871BDF" w:rsidRDefault="005C5088">
      <w:pPr>
        <w:spacing w:before="120"/>
      </w:pPr>
      <w:r>
        <w:rPr>
          <w:rFonts w:ascii="Times New Roman" w:eastAsia="宋体" w:hAnsi="Times New Roman"/>
          <w:b/>
          <w:bCs/>
          <w:i/>
          <w:iCs/>
          <w:color w:val="000000"/>
          <w:sz w:val="20"/>
          <w:szCs w:val="20"/>
        </w:rPr>
        <w:t>General and Administrative Expenses</w:t>
      </w:r>
    </w:p>
    <w:p w14:paraId="00BAEE74" w14:textId="77777777" w:rsidR="00871BDF" w:rsidRDefault="005C5088">
      <w:pPr>
        <w:spacing w:before="120"/>
      </w:pPr>
      <w:r>
        <w:rPr>
          <w:rFonts w:ascii="Times New Roman" w:eastAsia="宋体" w:hAnsi="Times New Roman"/>
          <w:color w:val="000000"/>
          <w:sz w:val="20"/>
          <w:szCs w:val="20"/>
        </w:rPr>
        <w:t>General and administrative expenses primarily consist of wages and benefits, professional service fees and occupancy costs for corp</w:t>
      </w:r>
      <w:r>
        <w:rPr>
          <w:rFonts w:ascii="Times New Roman" w:eastAsia="宋体" w:hAnsi="Times New Roman"/>
          <w:color w:val="000000"/>
          <w:sz w:val="20"/>
          <w:szCs w:val="20"/>
        </w:rPr>
        <w:t>orate headquarter and regional offices that support our corporate functions, including technology, finance, legal and partner (employee) resources.</w:t>
      </w:r>
    </w:p>
    <w:p w14:paraId="00BAEE75" w14:textId="77777777" w:rsidR="00871BDF" w:rsidRDefault="005C5088">
      <w:pPr>
        <w:spacing w:before="120"/>
      </w:pPr>
      <w:r>
        <w:rPr>
          <w:rFonts w:ascii="Times New Roman" w:eastAsia="宋体" w:hAnsi="Times New Roman"/>
          <w:b/>
          <w:bCs/>
          <w:i/>
          <w:iCs/>
          <w:color w:val="000000"/>
          <w:sz w:val="20"/>
          <w:szCs w:val="20"/>
        </w:rPr>
        <w:t>Advertising</w:t>
      </w:r>
    </w:p>
    <w:p w14:paraId="00BAEE76" w14:textId="77777777" w:rsidR="00871BDF" w:rsidRDefault="005C5088">
      <w:pPr>
        <w:spacing w:before="120"/>
      </w:pPr>
      <w:r>
        <w:rPr>
          <w:rFonts w:ascii="Times New Roman" w:eastAsia="宋体" w:hAnsi="Times New Roman"/>
          <w:color w:val="000000"/>
          <w:sz w:val="20"/>
          <w:szCs w:val="20"/>
        </w:rPr>
        <w:t>We expense most advertising costs as they are incurred, except for certain production costs that</w:t>
      </w:r>
      <w:r>
        <w:rPr>
          <w:rFonts w:ascii="Times New Roman" w:eastAsia="宋体" w:hAnsi="Times New Roman"/>
          <w:color w:val="000000"/>
          <w:sz w:val="20"/>
          <w:szCs w:val="20"/>
        </w:rPr>
        <w:t xml:space="preserve"> are expensed the first time the advertising takes place. Advertising expenses totaled $258.8 million, $245.7 million and $260.3 million in fiscal 2020, 2019 and 2018, respectively.</w:t>
      </w:r>
    </w:p>
    <w:p w14:paraId="00BAEE77" w14:textId="77777777" w:rsidR="00871BDF" w:rsidRDefault="005C5088">
      <w:pPr>
        <w:jc w:val="center"/>
      </w:pPr>
      <w:r>
        <w:rPr>
          <w:rFonts w:ascii="Times New Roman" w:eastAsia="宋体" w:hAnsi="Times New Roman"/>
          <w:color w:val="000000"/>
          <w:sz w:val="20"/>
          <w:szCs w:val="20"/>
        </w:rPr>
        <w:t>60</w:t>
      </w:r>
    </w:p>
    <w:p w14:paraId="00BAEE78" w14:textId="77777777" w:rsidR="00871BDF" w:rsidRDefault="005C5088">
      <w:r>
        <w:pict w14:anchorId="00BB14A1">
          <v:rect id="_x0000_i1087" style="width:415.3pt;height:1.5pt" o:hralign="center" o:hrstd="t" o:hr="t" fillcolor="#a0a0a0" stroked="f"/>
        </w:pict>
      </w:r>
    </w:p>
    <w:p w14:paraId="00BAEE79" w14:textId="77777777" w:rsidR="00871BDF" w:rsidRDefault="005C5088">
      <w:hyperlink r:id="rId188" w:anchor="i54ccc64cb5384be5a4849ef1cdef4dde_7" w:history="1">
        <w:r>
          <w:rPr>
            <w:rStyle w:val="a5"/>
            <w:rFonts w:ascii="Times New Roman" w:eastAsia="宋体" w:hAnsi="Times New Roman"/>
            <w:sz w:val="20"/>
            <w:szCs w:val="20"/>
          </w:rPr>
          <w:t>Table of Contents</w:t>
        </w:r>
      </w:hyperlink>
    </w:p>
    <w:p w14:paraId="00BAEE7A" w14:textId="77777777" w:rsidR="00871BDF" w:rsidRDefault="005C5088">
      <w:pPr>
        <w:spacing w:before="120"/>
      </w:pPr>
      <w:r>
        <w:rPr>
          <w:rFonts w:ascii="Times New Roman" w:eastAsia="宋体" w:hAnsi="Times New Roman"/>
          <w:b/>
          <w:bCs/>
          <w:i/>
          <w:iCs/>
          <w:color w:val="000000"/>
          <w:sz w:val="20"/>
          <w:szCs w:val="20"/>
        </w:rPr>
        <w:t>Government Subsidies</w:t>
      </w:r>
    </w:p>
    <w:p w14:paraId="00BAEE7B" w14:textId="77777777" w:rsidR="00871BDF" w:rsidRDefault="005C5088">
      <w:pPr>
        <w:spacing w:before="120"/>
      </w:pPr>
      <w:r>
        <w:rPr>
          <w:rFonts w:ascii="Times New Roman" w:eastAsia="宋体" w:hAnsi="Times New Roman"/>
          <w:color w:val="000000"/>
          <w:sz w:val="20"/>
          <w:szCs w:val="20"/>
        </w:rPr>
        <w:t>On March 27, 2020, the U.S. government enacted the Coronavirus Aid, Relief and Economic Security Act (“CARES Act”), which among other</w:t>
      </w:r>
      <w:r>
        <w:rPr>
          <w:rFonts w:ascii="Times New Roman" w:eastAsia="宋体" w:hAnsi="Times New Roman"/>
          <w:color w:val="000000"/>
          <w:sz w:val="20"/>
          <w:szCs w:val="20"/>
        </w:rPr>
        <w:t xml:space="preserve"> things, provides employer payroll tax credits for wages paid to employees who are unable to work during the COVID-19 outbreak and options to defer payroll tax payments for a limited period. Based on our evaluation of the CARES Act, we qualify for certain </w:t>
      </w:r>
      <w:r>
        <w:rPr>
          <w:rFonts w:ascii="Times New Roman" w:eastAsia="宋体" w:hAnsi="Times New Roman"/>
          <w:color w:val="000000"/>
          <w:sz w:val="20"/>
          <w:szCs w:val="20"/>
        </w:rPr>
        <w:t>employer payroll tax credits as well as the deferral of payroll tax payments in the future. Additionally, the Canadian government enacted the Canada Emergency Wage Subsidy (“CEWS”) to help employers offset a portion of their employee wages for a limited pe</w:t>
      </w:r>
      <w:r>
        <w:rPr>
          <w:rFonts w:ascii="Times New Roman" w:eastAsia="宋体" w:hAnsi="Times New Roman"/>
          <w:color w:val="000000"/>
          <w:sz w:val="20"/>
          <w:szCs w:val="20"/>
        </w:rPr>
        <w:t>riod. We elected to treat qualified government subsidies from the U.S., Canada and other governments as offsets to the related operating expenses. During fiscal 2020, the qualified payroll credits reduced our store operating expenses by $349.6 million on o</w:t>
      </w:r>
      <w:r>
        <w:rPr>
          <w:rFonts w:ascii="Times New Roman" w:eastAsia="宋体" w:hAnsi="Times New Roman"/>
          <w:color w:val="000000"/>
          <w:sz w:val="20"/>
          <w:szCs w:val="20"/>
        </w:rPr>
        <w:t>ur consolidated statement of earnings. After netting the qualified U.S. payroll tax credits against our payroll tax payable, we recorded $155.1 million within prepaid expenses and other current assets as of September 27, 2020. As of September 27, 2020, def</w:t>
      </w:r>
      <w:r>
        <w:rPr>
          <w:rFonts w:ascii="Times New Roman" w:eastAsia="宋体" w:hAnsi="Times New Roman"/>
          <w:color w:val="000000"/>
          <w:sz w:val="20"/>
          <w:szCs w:val="20"/>
        </w:rPr>
        <w:t>erred payroll tax payments of $151.0 million were included in other long-term liabilities on our consolidated balance sheets.</w:t>
      </w:r>
    </w:p>
    <w:p w14:paraId="00BAEE7C" w14:textId="77777777" w:rsidR="00871BDF" w:rsidRDefault="005C5088">
      <w:pPr>
        <w:spacing w:before="120"/>
      </w:pPr>
      <w:r>
        <w:rPr>
          <w:rFonts w:ascii="Times New Roman" w:eastAsia="宋体" w:hAnsi="Times New Roman"/>
          <w:b/>
          <w:bCs/>
          <w:i/>
          <w:iCs/>
          <w:color w:val="000000"/>
          <w:sz w:val="20"/>
          <w:szCs w:val="20"/>
        </w:rPr>
        <w:t>Store Preopening Expenses</w:t>
      </w:r>
    </w:p>
    <w:p w14:paraId="00BAEE7D" w14:textId="77777777" w:rsidR="00871BDF" w:rsidRDefault="005C5088">
      <w:pPr>
        <w:spacing w:before="120"/>
      </w:pPr>
      <w:r>
        <w:rPr>
          <w:rFonts w:ascii="Times New Roman" w:eastAsia="宋体" w:hAnsi="Times New Roman"/>
          <w:color w:val="000000"/>
          <w:sz w:val="20"/>
          <w:szCs w:val="20"/>
        </w:rPr>
        <w:t xml:space="preserve">Costs incurred in connection with the start-up and promotion of new company-operated store openings are </w:t>
      </w:r>
      <w:r>
        <w:rPr>
          <w:rFonts w:ascii="Times New Roman" w:eastAsia="宋体" w:hAnsi="Times New Roman"/>
          <w:color w:val="000000"/>
          <w:sz w:val="20"/>
          <w:szCs w:val="20"/>
        </w:rPr>
        <w:t>expensed as incurred.</w:t>
      </w:r>
    </w:p>
    <w:p w14:paraId="00BAEE7E" w14:textId="77777777" w:rsidR="00871BDF" w:rsidRDefault="005C5088">
      <w:pPr>
        <w:spacing w:before="120"/>
      </w:pPr>
      <w:r>
        <w:rPr>
          <w:rFonts w:ascii="Times New Roman" w:eastAsia="宋体" w:hAnsi="Times New Roman"/>
          <w:b/>
          <w:bCs/>
          <w:i/>
          <w:iCs/>
          <w:color w:val="000000"/>
          <w:sz w:val="20"/>
          <w:szCs w:val="20"/>
        </w:rPr>
        <w:t>Asset Retirement Obligations</w:t>
      </w:r>
    </w:p>
    <w:p w14:paraId="00BAEE7F" w14:textId="77777777" w:rsidR="00871BDF" w:rsidRDefault="005C5088">
      <w:pPr>
        <w:spacing w:before="120"/>
      </w:pPr>
      <w:r>
        <w:rPr>
          <w:rFonts w:ascii="Times New Roman" w:eastAsia="宋体" w:hAnsi="Times New Roman"/>
          <w:color w:val="000000"/>
          <w:sz w:val="20"/>
          <w:szCs w:val="20"/>
        </w:rPr>
        <w:t xml:space="preserve">We recognize a liability for the fair value of required asset retirement obligations (“ARO”) when such obligations are incurred. Our AROs are primarily associated with leasehold improvements, which, at </w:t>
      </w:r>
      <w:r>
        <w:rPr>
          <w:rFonts w:ascii="Times New Roman" w:eastAsia="宋体" w:hAnsi="Times New Roman"/>
          <w:color w:val="000000"/>
          <w:sz w:val="20"/>
          <w:szCs w:val="20"/>
        </w:rPr>
        <w:t>the end of a lease, we are contractually obligated to remove in order to comply with the lease agreement. At the inception of a lease with such conditions, we record an ARO liability and a corresponding capital asset in an amount equal to the estimated fai</w:t>
      </w:r>
      <w:r>
        <w:rPr>
          <w:rFonts w:ascii="Times New Roman" w:eastAsia="宋体" w:hAnsi="Times New Roman"/>
          <w:color w:val="000000"/>
          <w:sz w:val="20"/>
          <w:szCs w:val="20"/>
        </w:rPr>
        <w:t>r value of the obligation. We estimate the liability using a number of assumptions, including store closing costs, cost inflation rates and discount rates, and accrete the liability to its projected future value over time. The capitalized asset is deprecia</w:t>
      </w:r>
      <w:r>
        <w:rPr>
          <w:rFonts w:ascii="Times New Roman" w:eastAsia="宋体" w:hAnsi="Times New Roman"/>
          <w:color w:val="000000"/>
          <w:sz w:val="20"/>
          <w:szCs w:val="20"/>
        </w:rPr>
        <w:t>ted using the same depreciation convention as leasehold improvement assets. Upon satisfaction of the ARO conditions, any difference between the recorded ARO liability and the actual retirement costs incurred is recognized as a gain or loss in store operati</w:t>
      </w:r>
      <w:r>
        <w:rPr>
          <w:rFonts w:ascii="Times New Roman" w:eastAsia="宋体" w:hAnsi="Times New Roman"/>
          <w:color w:val="000000"/>
          <w:sz w:val="20"/>
          <w:szCs w:val="20"/>
        </w:rPr>
        <w:t>ng expense on our consolidated statements of earnings. As of September 27, 2020 and September 29, 2019, our net ARO assets included in property, plant and equipment were $30.7 million and $23.5 million, respectively, and our net ARO liabilities included in</w:t>
      </w:r>
      <w:r>
        <w:rPr>
          <w:rFonts w:ascii="Times New Roman" w:eastAsia="宋体" w:hAnsi="Times New Roman"/>
          <w:color w:val="000000"/>
          <w:sz w:val="20"/>
          <w:szCs w:val="20"/>
        </w:rPr>
        <w:t xml:space="preserve"> other long-term liabilities were $111.0 million and $95.5 million, respectively.</w:t>
      </w:r>
    </w:p>
    <w:p w14:paraId="00BAEE80" w14:textId="77777777" w:rsidR="00871BDF" w:rsidRDefault="005C5088">
      <w:pPr>
        <w:spacing w:before="120"/>
      </w:pPr>
      <w:r>
        <w:rPr>
          <w:rFonts w:ascii="Times New Roman" w:eastAsia="宋体" w:hAnsi="Times New Roman"/>
          <w:b/>
          <w:bCs/>
          <w:i/>
          <w:iCs/>
          <w:color w:val="000000"/>
          <w:sz w:val="20"/>
          <w:szCs w:val="20"/>
        </w:rPr>
        <w:t>Stock-based Compensation</w:t>
      </w:r>
    </w:p>
    <w:p w14:paraId="00BAEE81" w14:textId="77777777" w:rsidR="00871BDF" w:rsidRDefault="005C5088">
      <w:pPr>
        <w:spacing w:before="120"/>
      </w:pPr>
      <w:r>
        <w:rPr>
          <w:rFonts w:ascii="Times New Roman" w:eastAsia="宋体" w:hAnsi="Times New Roman"/>
          <w:color w:val="000000"/>
          <w:sz w:val="20"/>
          <w:szCs w:val="20"/>
        </w:rPr>
        <w:t>We maintain several equity incentive plans under which we may grant non-qualified stock options, incentive stock options, restricted stock, restricte</w:t>
      </w:r>
      <w:r>
        <w:rPr>
          <w:rFonts w:ascii="Times New Roman" w:eastAsia="宋体" w:hAnsi="Times New Roman"/>
          <w:color w:val="000000"/>
          <w:sz w:val="20"/>
          <w:szCs w:val="20"/>
        </w:rPr>
        <w:t xml:space="preserve">d stock units (“RSUs”) or stock appreciation rights to employees, non-employee directors and consultants. We also have an employee stock purchase plan (“ESPP”). RSUs issued by us are equivalent to nonvested shares under the applicable accounting guidance. </w:t>
      </w:r>
      <w:r>
        <w:rPr>
          <w:rFonts w:ascii="Times New Roman" w:eastAsia="宋体" w:hAnsi="Times New Roman"/>
          <w:color w:val="000000"/>
          <w:sz w:val="20"/>
          <w:szCs w:val="20"/>
        </w:rPr>
        <w:t>We record stock-based compensation expense based on the fair value of stock awards at the grant date and recognize the expense over the related service period following a graded vesting expense schedule. Expense for performance-based RSUs is recognized whe</w:t>
      </w:r>
      <w:r>
        <w:rPr>
          <w:rFonts w:ascii="Times New Roman" w:eastAsia="宋体" w:hAnsi="Times New Roman"/>
          <w:color w:val="000000"/>
          <w:sz w:val="20"/>
          <w:szCs w:val="20"/>
        </w:rPr>
        <w:t>n it is probable the performance goal will be achieved. Performance goals are determined by the Board of Directors and may include measures such as earnings per share, operating income and return on invested capital. The fair value of each stock option gra</w:t>
      </w:r>
      <w:r>
        <w:rPr>
          <w:rFonts w:ascii="Times New Roman" w:eastAsia="宋体" w:hAnsi="Times New Roman"/>
          <w:color w:val="000000"/>
          <w:sz w:val="20"/>
          <w:szCs w:val="20"/>
        </w:rPr>
        <w:t>nted is estimated on the grant date using the Black-Scholes-Merton option valuation model. The assumptions used to calculate the fair value of options granted are evaluated and revised, as necessary, to reflect market conditions and our historical experien</w:t>
      </w:r>
      <w:r>
        <w:rPr>
          <w:rFonts w:ascii="Times New Roman" w:eastAsia="宋体" w:hAnsi="Times New Roman"/>
          <w:color w:val="000000"/>
          <w:sz w:val="20"/>
          <w:szCs w:val="20"/>
        </w:rPr>
        <w:t>ce. The fair value of RSUs is based on the closing price of Starbucks common stock on the award date, less the present value of expected dividends not received during the vesting period. If applicable, our total shareholder return relative to our peer grou</w:t>
      </w:r>
      <w:r>
        <w:rPr>
          <w:rFonts w:ascii="Times New Roman" w:eastAsia="宋体" w:hAnsi="Times New Roman"/>
          <w:color w:val="000000"/>
          <w:sz w:val="20"/>
          <w:szCs w:val="20"/>
        </w:rPr>
        <w:t>p is incorporated into the underlying assumptions used to calculate grant date fair value. Compensation expense is recognized over the requisite service period for each separately vesting portion of the award, and only for those awards expected to vest, wi</w:t>
      </w:r>
      <w:r>
        <w:rPr>
          <w:rFonts w:ascii="Times New Roman" w:eastAsia="宋体" w:hAnsi="Times New Roman"/>
          <w:color w:val="000000"/>
          <w:sz w:val="20"/>
          <w:szCs w:val="20"/>
        </w:rPr>
        <w:t xml:space="preserve">th forfeitures estimated at the date of grant based on our historical experience and future expectations. </w:t>
      </w:r>
    </w:p>
    <w:p w14:paraId="00BAEE82" w14:textId="77777777" w:rsidR="00871BDF" w:rsidRDefault="005C5088">
      <w:pPr>
        <w:spacing w:before="120"/>
      </w:pPr>
      <w:r>
        <w:rPr>
          <w:rFonts w:ascii="Times New Roman" w:eastAsia="宋体" w:hAnsi="Times New Roman"/>
          <w:b/>
          <w:bCs/>
          <w:i/>
          <w:iCs/>
          <w:color w:val="000000"/>
          <w:sz w:val="20"/>
          <w:szCs w:val="20"/>
        </w:rPr>
        <w:t>Foreign Currency Translation</w:t>
      </w:r>
    </w:p>
    <w:p w14:paraId="00BAEE83" w14:textId="77777777" w:rsidR="00871BDF" w:rsidRDefault="005C5088">
      <w:pPr>
        <w:spacing w:before="120"/>
      </w:pPr>
      <w:r>
        <w:rPr>
          <w:rFonts w:ascii="Times New Roman" w:eastAsia="宋体" w:hAnsi="Times New Roman"/>
          <w:color w:val="000000"/>
          <w:sz w:val="20"/>
          <w:szCs w:val="20"/>
        </w:rPr>
        <w:t>Our international operations generally use their local currency as their functional currency. Assets and liabilities are</w:t>
      </w:r>
      <w:r>
        <w:rPr>
          <w:rFonts w:ascii="Times New Roman" w:eastAsia="宋体" w:hAnsi="Times New Roman"/>
          <w:color w:val="000000"/>
          <w:sz w:val="20"/>
          <w:szCs w:val="20"/>
        </w:rPr>
        <w:t xml:space="preserve"> translated at exchange rates in effect at the balance sheet date. Income and expense accounts are translated at the average monthly exchange rates during the year. Resulting translation adjustments are reported as a component of OCI and recorded in AOCI o</w:t>
      </w:r>
      <w:r>
        <w:rPr>
          <w:rFonts w:ascii="Times New Roman" w:eastAsia="宋体" w:hAnsi="Times New Roman"/>
          <w:color w:val="000000"/>
          <w:sz w:val="20"/>
          <w:szCs w:val="20"/>
        </w:rPr>
        <w:t>n our consolidated balance sheets.</w:t>
      </w:r>
    </w:p>
    <w:p w14:paraId="00BAEE84" w14:textId="77777777" w:rsidR="00871BDF" w:rsidRDefault="005C5088">
      <w:pPr>
        <w:spacing w:before="120"/>
      </w:pPr>
      <w:r>
        <w:rPr>
          <w:rFonts w:ascii="Times New Roman" w:eastAsia="宋体" w:hAnsi="Times New Roman"/>
          <w:b/>
          <w:bCs/>
          <w:i/>
          <w:iCs/>
          <w:color w:val="000000"/>
          <w:sz w:val="20"/>
          <w:szCs w:val="20"/>
        </w:rPr>
        <w:t>Income Taxes</w:t>
      </w:r>
    </w:p>
    <w:p w14:paraId="00BAEE85" w14:textId="77777777" w:rsidR="00871BDF" w:rsidRDefault="005C5088">
      <w:pPr>
        <w:spacing w:before="120"/>
      </w:pPr>
      <w:r>
        <w:rPr>
          <w:rFonts w:ascii="Times New Roman" w:eastAsia="宋体" w:hAnsi="Times New Roman"/>
          <w:color w:val="000000"/>
          <w:sz w:val="20"/>
          <w:szCs w:val="20"/>
        </w:rPr>
        <w:t xml:space="preserve">We compute income taxes using the asset and liability method, under which deferred income taxes are recognized based on the differences between the financial statement carrying amounts and the respective tax </w:t>
      </w:r>
      <w:r>
        <w:rPr>
          <w:rFonts w:ascii="Times New Roman" w:eastAsia="宋体" w:hAnsi="Times New Roman"/>
          <w:color w:val="000000"/>
          <w:sz w:val="20"/>
          <w:szCs w:val="20"/>
        </w:rPr>
        <w:t xml:space="preserve">bases of our assets and liabilities. Deferred tax assets and liabilities are measured using current enacted tax rates expected to apply to taxable income in the years in which </w:t>
      </w:r>
    </w:p>
    <w:p w14:paraId="00BAEE86" w14:textId="77777777" w:rsidR="00871BDF" w:rsidRDefault="005C5088">
      <w:pPr>
        <w:jc w:val="center"/>
      </w:pPr>
      <w:r>
        <w:rPr>
          <w:rFonts w:ascii="Times New Roman" w:eastAsia="宋体" w:hAnsi="Times New Roman"/>
          <w:color w:val="000000"/>
          <w:sz w:val="20"/>
          <w:szCs w:val="20"/>
        </w:rPr>
        <w:t>61</w:t>
      </w:r>
    </w:p>
    <w:p w14:paraId="00BAEE87" w14:textId="77777777" w:rsidR="00871BDF" w:rsidRDefault="005C5088">
      <w:r>
        <w:pict w14:anchorId="00BB14A2">
          <v:rect id="_x0000_i1088" style="width:415.3pt;height:1.5pt" o:hralign="center" o:hrstd="t" o:hr="t" fillcolor="#a0a0a0" stroked="f"/>
        </w:pict>
      </w:r>
    </w:p>
    <w:p w14:paraId="00BAEE88" w14:textId="77777777" w:rsidR="00871BDF" w:rsidRDefault="005C5088">
      <w:hyperlink r:id="rId189" w:anchor="i54ccc64cb5384be5a4849ef1cdef4dde_7" w:history="1">
        <w:r>
          <w:rPr>
            <w:rStyle w:val="a5"/>
            <w:rFonts w:ascii="Times New Roman" w:eastAsia="宋体" w:hAnsi="Times New Roman"/>
            <w:sz w:val="20"/>
            <w:szCs w:val="20"/>
          </w:rPr>
          <w:t>Table of Contents</w:t>
        </w:r>
      </w:hyperlink>
    </w:p>
    <w:p w14:paraId="00BAEE89" w14:textId="77777777" w:rsidR="00871BDF" w:rsidRDefault="005C5088">
      <w:pPr>
        <w:spacing w:before="120"/>
      </w:pPr>
      <w:r>
        <w:rPr>
          <w:rFonts w:ascii="Times New Roman" w:eastAsia="宋体" w:hAnsi="Times New Roman"/>
          <w:color w:val="000000"/>
          <w:sz w:val="20"/>
          <w:szCs w:val="20"/>
        </w:rPr>
        <w:t>we expect the temporary differences to reverse. The effect of a change in tax rates on deferred taxes is recognized in income in the period that includes the e</w:t>
      </w:r>
      <w:r>
        <w:rPr>
          <w:rFonts w:ascii="Times New Roman" w:eastAsia="宋体" w:hAnsi="Times New Roman"/>
          <w:color w:val="000000"/>
          <w:sz w:val="20"/>
          <w:szCs w:val="20"/>
        </w:rPr>
        <w:t>nactment date.</w:t>
      </w:r>
    </w:p>
    <w:p w14:paraId="00BAEE8A" w14:textId="77777777" w:rsidR="00871BDF" w:rsidRDefault="005C5088">
      <w:pPr>
        <w:spacing w:before="120"/>
      </w:pPr>
      <w:r>
        <w:rPr>
          <w:rFonts w:ascii="Times New Roman" w:eastAsia="宋体" w:hAnsi="Times New Roman"/>
          <w:color w:val="000000"/>
          <w:sz w:val="20"/>
          <w:szCs w:val="20"/>
        </w:rPr>
        <w:t>We routinely evaluate the likelihood of realizing the benefit of our deferred tax assets and may record a valuation allowance if, based on all available evidence, we determine that some portion of the tax benefit will not be realized. In eva</w:t>
      </w:r>
      <w:r>
        <w:rPr>
          <w:rFonts w:ascii="Times New Roman" w:eastAsia="宋体" w:hAnsi="Times New Roman"/>
          <w:color w:val="000000"/>
          <w:sz w:val="20"/>
          <w:szCs w:val="20"/>
        </w:rPr>
        <w:t>luating our ability to recover our deferred tax assets within the jurisdictions from which they arise, we consider all available positive and negative evidence, including scheduled reversals of deferred tax liabilities, projected future taxable income, tax</w:t>
      </w:r>
      <w:r>
        <w:rPr>
          <w:rFonts w:ascii="Times New Roman" w:eastAsia="宋体" w:hAnsi="Times New Roman"/>
          <w:color w:val="000000"/>
          <w:sz w:val="20"/>
          <w:szCs w:val="20"/>
        </w:rPr>
        <w:t>-planning strategies and results of recent operations. If we determine that we would be able to realize our deferred tax assets in the future in excess of their net recorded amount, we would make an adjustment to the deferred tax asset valuation allowance,</w:t>
      </w:r>
      <w:r>
        <w:rPr>
          <w:rFonts w:ascii="Times New Roman" w:eastAsia="宋体" w:hAnsi="Times New Roman"/>
          <w:color w:val="000000"/>
          <w:sz w:val="20"/>
          <w:szCs w:val="20"/>
        </w:rPr>
        <w:t xml:space="preserve"> which would reduce the provision for income taxes. </w:t>
      </w:r>
    </w:p>
    <w:p w14:paraId="00BAEE8B" w14:textId="77777777" w:rsidR="00871BDF" w:rsidRDefault="005C5088">
      <w:pPr>
        <w:spacing w:before="120"/>
      </w:pPr>
      <w:r>
        <w:rPr>
          <w:rFonts w:ascii="Times New Roman" w:eastAsia="宋体" w:hAnsi="Times New Roman"/>
          <w:color w:val="000000"/>
          <w:sz w:val="20"/>
          <w:szCs w:val="20"/>
        </w:rPr>
        <w:t>In addition, our income tax returns are periodically audited by domestic and foreign tax authorities. These audits include review of our tax filing positions, including the timing and amount of deduction</w:t>
      </w:r>
      <w:r>
        <w:rPr>
          <w:rFonts w:ascii="Times New Roman" w:eastAsia="宋体" w:hAnsi="Times New Roman"/>
          <w:color w:val="000000"/>
          <w:sz w:val="20"/>
          <w:szCs w:val="20"/>
        </w:rPr>
        <w:t>s taken and the allocation of income between tax jurisdictions. We evaluate our exposures associated with our various tax filing positions and recognize a tax benefit from an uncertain tax position only if it is more likely than not that the tax position w</w:t>
      </w:r>
      <w:r>
        <w:rPr>
          <w:rFonts w:ascii="Times New Roman" w:eastAsia="宋体" w:hAnsi="Times New Roman"/>
          <w:color w:val="000000"/>
          <w:sz w:val="20"/>
          <w:szCs w:val="20"/>
        </w:rPr>
        <w:t>ill be sustained upon examination by the relevant taxing authorities, including resolutions of any related appeals or litigation processes, based on the technical merits of our position. The tax benefits recognized in the financial statements from such a p</w:t>
      </w:r>
      <w:r>
        <w:rPr>
          <w:rFonts w:ascii="Times New Roman" w:eastAsia="宋体" w:hAnsi="Times New Roman"/>
          <w:color w:val="000000"/>
          <w:sz w:val="20"/>
          <w:szCs w:val="20"/>
        </w:rPr>
        <w:t xml:space="preserve">osition are measured based on the largest benefit that has a greater than 50% likelihood of being realized upon ultimate settlement. For uncertain tax positions that do not meet this threshold, we record a related liability. We adjust our unrecognized tax </w:t>
      </w:r>
      <w:r>
        <w:rPr>
          <w:rFonts w:ascii="Times New Roman" w:eastAsia="宋体" w:hAnsi="Times New Roman"/>
          <w:color w:val="000000"/>
          <w:sz w:val="20"/>
          <w:szCs w:val="20"/>
        </w:rPr>
        <w:t xml:space="preserve">benefit liability and income tax expense in the period in which the uncertain tax position is effectively settled, the statute of limitations expires for the relevant taxing authority to examine the tax position or when new information becomes available. </w:t>
      </w:r>
    </w:p>
    <w:p w14:paraId="00BAEE8C" w14:textId="77777777" w:rsidR="00871BDF" w:rsidRDefault="005C5088">
      <w:pPr>
        <w:spacing w:before="120"/>
      </w:pPr>
      <w:r>
        <w:rPr>
          <w:rFonts w:ascii="Times New Roman" w:eastAsia="宋体" w:hAnsi="Times New Roman"/>
          <w:color w:val="000000"/>
          <w:sz w:val="20"/>
          <w:szCs w:val="20"/>
        </w:rPr>
        <w:t>Starbucks recognizes interest and penalties related to income tax matters in income tax expense on our consolidated statements of earnings. Accrued interest and penalties are included within the related tax balances on our consolidated balance sheets.</w:t>
      </w:r>
    </w:p>
    <w:p w14:paraId="00BAEE8D" w14:textId="77777777" w:rsidR="00871BDF" w:rsidRDefault="005C5088">
      <w:pPr>
        <w:spacing w:before="120"/>
      </w:pPr>
      <w:r>
        <w:rPr>
          <w:rFonts w:ascii="Times New Roman" w:eastAsia="宋体" w:hAnsi="Times New Roman"/>
          <w:color w:val="000000"/>
          <w:sz w:val="20"/>
          <w:szCs w:val="20"/>
        </w:rPr>
        <w:t>Glob</w:t>
      </w:r>
      <w:r>
        <w:rPr>
          <w:rFonts w:ascii="Times New Roman" w:eastAsia="宋体" w:hAnsi="Times New Roman"/>
          <w:color w:val="000000"/>
          <w:sz w:val="20"/>
          <w:szCs w:val="20"/>
        </w:rPr>
        <w:t>al intangible low-taxed income (“GILTI”) provisions are applied, providing an incremental tax on foreign income. We have made a policy election to classify taxes due under the GILTI provision as a current period expense.</w:t>
      </w:r>
    </w:p>
    <w:p w14:paraId="00BAEE8E" w14:textId="77777777" w:rsidR="00871BDF" w:rsidRDefault="005C5088">
      <w:pPr>
        <w:spacing w:before="120"/>
      </w:pPr>
      <w:r>
        <w:rPr>
          <w:rFonts w:ascii="Times New Roman" w:eastAsia="宋体" w:hAnsi="Times New Roman"/>
          <w:b/>
          <w:bCs/>
          <w:i/>
          <w:iCs/>
          <w:color w:val="000000"/>
          <w:sz w:val="20"/>
          <w:szCs w:val="20"/>
        </w:rPr>
        <w:t>Earnings per Share</w:t>
      </w:r>
    </w:p>
    <w:p w14:paraId="00BAEE8F" w14:textId="77777777" w:rsidR="00871BDF" w:rsidRDefault="005C5088">
      <w:pPr>
        <w:spacing w:before="120"/>
      </w:pPr>
      <w:r>
        <w:rPr>
          <w:rFonts w:ascii="Times New Roman" w:eastAsia="宋体" w:hAnsi="Times New Roman"/>
          <w:color w:val="000000"/>
          <w:sz w:val="20"/>
          <w:szCs w:val="20"/>
        </w:rPr>
        <w:t>Basic earnings p</w:t>
      </w:r>
      <w:r>
        <w:rPr>
          <w:rFonts w:ascii="Times New Roman" w:eastAsia="宋体" w:hAnsi="Times New Roman"/>
          <w:color w:val="000000"/>
          <w:sz w:val="20"/>
          <w:szCs w:val="20"/>
        </w:rPr>
        <w:t>er share is computed based on the weighted average number of shares of common stock outstanding during the period. Diluted earnings per share is computed based on the weighted average number of shares of common stock and the effect of dilutive potential co</w:t>
      </w:r>
      <w:r>
        <w:rPr>
          <w:rFonts w:ascii="Times New Roman" w:eastAsia="宋体" w:hAnsi="Times New Roman"/>
          <w:color w:val="000000"/>
          <w:sz w:val="20"/>
          <w:szCs w:val="20"/>
        </w:rPr>
        <w:t>mmon shares outstanding during the period, calculated using the treasury stock method. Dilutive potential common shares include outstanding stock options and RSUs. Performance-based RSUs are considered dilutive when the related performance criterion has be</w:t>
      </w:r>
      <w:r>
        <w:rPr>
          <w:rFonts w:ascii="Times New Roman" w:eastAsia="宋体" w:hAnsi="Times New Roman"/>
          <w:color w:val="000000"/>
          <w:sz w:val="20"/>
          <w:szCs w:val="20"/>
        </w:rPr>
        <w:t>en met.</w:t>
      </w:r>
    </w:p>
    <w:p w14:paraId="00BAEE90" w14:textId="77777777" w:rsidR="00871BDF" w:rsidRDefault="005C5088">
      <w:pPr>
        <w:spacing w:before="120"/>
      </w:pPr>
      <w:r>
        <w:rPr>
          <w:rFonts w:ascii="Times New Roman" w:eastAsia="宋体" w:hAnsi="Times New Roman"/>
          <w:b/>
          <w:bCs/>
          <w:i/>
          <w:iCs/>
          <w:color w:val="000000"/>
          <w:sz w:val="20"/>
          <w:szCs w:val="20"/>
        </w:rPr>
        <w:t>Common Stock Share Repurchases</w:t>
      </w:r>
    </w:p>
    <w:p w14:paraId="00BAEE91" w14:textId="77777777" w:rsidR="00871BDF" w:rsidRDefault="005C5088">
      <w:pPr>
        <w:spacing w:before="120"/>
      </w:pPr>
      <w:r>
        <w:rPr>
          <w:rFonts w:ascii="Times New Roman" w:eastAsia="宋体" w:hAnsi="Times New Roman"/>
          <w:color w:val="000000"/>
          <w:sz w:val="20"/>
          <w:szCs w:val="20"/>
        </w:rPr>
        <w:t>We may repurchase shares of Starbucks common stock under a program authorized by our Board of Directors, including pursuant to a contract, instruction or written plan meeting the requirements of Rule 10b5-1(c)(1) of t</w:t>
      </w:r>
      <w:r>
        <w:rPr>
          <w:rFonts w:ascii="Times New Roman" w:eastAsia="宋体" w:hAnsi="Times New Roman"/>
          <w:color w:val="000000"/>
          <w:sz w:val="20"/>
          <w:szCs w:val="20"/>
        </w:rPr>
        <w:t>he Securities Exchange Act of 1934. Under applicable Washington State law, shares repurchased are retired and not displayed separately as treasury stock on the financial statements. Instead, the par value of repurchased shares is deducted from common stock</w:t>
      </w:r>
      <w:r>
        <w:rPr>
          <w:rFonts w:ascii="Times New Roman" w:eastAsia="宋体" w:hAnsi="Times New Roman"/>
          <w:color w:val="000000"/>
          <w:sz w:val="20"/>
          <w:szCs w:val="20"/>
        </w:rPr>
        <w:t xml:space="preserve"> and the excess repurchase price over par value is deducted from additional paid-in capital and from retained earnings.</w:t>
      </w:r>
    </w:p>
    <w:p w14:paraId="00BAEE92" w14:textId="77777777" w:rsidR="00871BDF" w:rsidRDefault="005C5088">
      <w:pPr>
        <w:spacing w:before="120"/>
      </w:pPr>
      <w:r>
        <w:rPr>
          <w:rFonts w:ascii="Times New Roman" w:eastAsia="宋体" w:hAnsi="Times New Roman"/>
          <w:b/>
          <w:bCs/>
          <w:i/>
          <w:iCs/>
          <w:color w:val="000000"/>
          <w:sz w:val="20"/>
          <w:szCs w:val="20"/>
        </w:rPr>
        <w:t>Recent Accounting Pronouncements</w:t>
      </w:r>
    </w:p>
    <w:p w14:paraId="00BAEE93" w14:textId="77777777" w:rsidR="00871BDF" w:rsidRDefault="005C5088">
      <w:pPr>
        <w:spacing w:before="120"/>
      </w:pPr>
      <w:r>
        <w:rPr>
          <w:rFonts w:ascii="Times New Roman" w:eastAsia="宋体" w:hAnsi="Times New Roman"/>
          <w:i/>
          <w:iCs/>
          <w:color w:val="000000"/>
          <w:sz w:val="20"/>
          <w:szCs w:val="20"/>
        </w:rPr>
        <w:t>Recently Adopted Accounting Pronouncements</w:t>
      </w:r>
    </w:p>
    <w:p w14:paraId="00BAEE94" w14:textId="77777777" w:rsidR="00871BDF" w:rsidRDefault="005C5088">
      <w:pPr>
        <w:spacing w:before="120"/>
      </w:pPr>
      <w:r>
        <w:rPr>
          <w:rFonts w:ascii="Times New Roman" w:eastAsia="宋体" w:hAnsi="Times New Roman"/>
          <w:color w:val="000000"/>
          <w:sz w:val="20"/>
          <w:szCs w:val="20"/>
        </w:rPr>
        <w:t>In the second quarter of fiscal 2020, we adopted the new guidance from the FASB on simplifying the accounting for income taxes by removing certain exceptions to the general principles. The guidance was adopted on a prospective basis and had no material imp</w:t>
      </w:r>
      <w:r>
        <w:rPr>
          <w:rFonts w:ascii="Times New Roman" w:eastAsia="宋体" w:hAnsi="Times New Roman"/>
          <w:color w:val="000000"/>
          <w:sz w:val="20"/>
          <w:szCs w:val="20"/>
        </w:rPr>
        <w:t xml:space="preserve">act on the consolidated financial statements. </w:t>
      </w:r>
    </w:p>
    <w:p w14:paraId="00BAEE95" w14:textId="77777777" w:rsidR="00871BDF" w:rsidRDefault="005C5088">
      <w:pPr>
        <w:spacing w:before="120"/>
      </w:pPr>
      <w:r>
        <w:rPr>
          <w:rFonts w:ascii="Times New Roman" w:eastAsia="宋体" w:hAnsi="Times New Roman"/>
          <w:color w:val="000000"/>
          <w:sz w:val="20"/>
          <w:szCs w:val="20"/>
        </w:rPr>
        <w:t>On September 30, 2019, we adopted the new guidance from the FASB on the recognition and measurement of leases utilizing the modified retrospective approach. As a result, the prior period information reported u</w:t>
      </w:r>
      <w:r>
        <w:rPr>
          <w:rFonts w:ascii="Times New Roman" w:eastAsia="宋体" w:hAnsi="Times New Roman"/>
          <w:color w:val="000000"/>
          <w:sz w:val="20"/>
          <w:szCs w:val="20"/>
        </w:rPr>
        <w:t xml:space="preserve">nder the previous lease guidance has not been restated. </w:t>
      </w:r>
    </w:p>
    <w:p w14:paraId="00BAEE96" w14:textId="77777777" w:rsidR="00871BDF" w:rsidRDefault="005C5088">
      <w:pPr>
        <w:spacing w:before="120"/>
      </w:pPr>
      <w:r>
        <w:rPr>
          <w:rFonts w:ascii="Times New Roman" w:eastAsia="宋体" w:hAnsi="Times New Roman"/>
          <w:color w:val="000000"/>
          <w:sz w:val="20"/>
          <w:szCs w:val="20"/>
        </w:rPr>
        <w:t>As permitted under the new FASB lease guidance, we elected the package of practical expedients, which allowed us to retain our prior conclusions regarding lease identification, classification and ini</w:t>
      </w:r>
      <w:r>
        <w:rPr>
          <w:rFonts w:ascii="Times New Roman" w:eastAsia="宋体" w:hAnsi="Times New Roman"/>
          <w:color w:val="000000"/>
          <w:sz w:val="20"/>
          <w:szCs w:val="20"/>
        </w:rPr>
        <w:t>tial direct costs. For our lease agreements with lease and non-lease components, we elected the practical expedient to account for these as a single lease component for all underlying classes of assets. For our adoption, we did not elect to use hindsight f</w:t>
      </w:r>
      <w:r>
        <w:rPr>
          <w:rFonts w:ascii="Times New Roman" w:eastAsia="宋体" w:hAnsi="Times New Roman"/>
          <w:color w:val="000000"/>
          <w:sz w:val="20"/>
          <w:szCs w:val="20"/>
        </w:rPr>
        <w:t>or our existing leases. Additionally, for short-term leases with an initial lease term of 12 months or less and with purchase options we are reasonably certain will not be exercised, we elected to not record right-of-use assets or corresponding lease oblig</w:t>
      </w:r>
      <w:r>
        <w:rPr>
          <w:rFonts w:ascii="Times New Roman" w:eastAsia="宋体" w:hAnsi="Times New Roman"/>
          <w:color w:val="000000"/>
          <w:sz w:val="20"/>
          <w:szCs w:val="20"/>
        </w:rPr>
        <w:t xml:space="preserve">ations on our consolidated balance sheet. We will continue to record rent expense for each short-term lease on a straight-line basis over the lease term. </w:t>
      </w:r>
    </w:p>
    <w:p w14:paraId="00BAEE97" w14:textId="77777777" w:rsidR="00871BDF" w:rsidRDefault="005C5088">
      <w:pPr>
        <w:spacing w:before="120"/>
      </w:pPr>
      <w:r>
        <w:rPr>
          <w:rFonts w:ascii="Times New Roman" w:eastAsia="宋体" w:hAnsi="Times New Roman"/>
          <w:color w:val="000000"/>
          <w:sz w:val="20"/>
          <w:szCs w:val="20"/>
        </w:rPr>
        <w:t xml:space="preserve">The new FASB lease guidance had a material impact on our consolidated balance sheet; however, it did </w:t>
      </w:r>
      <w:r>
        <w:rPr>
          <w:rFonts w:ascii="Times New Roman" w:eastAsia="宋体" w:hAnsi="Times New Roman"/>
          <w:color w:val="000000"/>
          <w:sz w:val="20"/>
          <w:szCs w:val="20"/>
        </w:rPr>
        <w:t xml:space="preserve">not have a material impact on our consolidated statement of earnings. The most material impact was the recognition of right-of-use assets of </w:t>
      </w:r>
    </w:p>
    <w:p w14:paraId="00BAEE98" w14:textId="77777777" w:rsidR="00871BDF" w:rsidRDefault="005C5088">
      <w:pPr>
        <w:jc w:val="center"/>
      </w:pPr>
      <w:r>
        <w:rPr>
          <w:rFonts w:ascii="Times New Roman" w:eastAsia="宋体" w:hAnsi="Times New Roman"/>
          <w:color w:val="000000"/>
          <w:sz w:val="20"/>
          <w:szCs w:val="20"/>
        </w:rPr>
        <w:t>62</w:t>
      </w:r>
    </w:p>
    <w:p w14:paraId="00BAEE99" w14:textId="77777777" w:rsidR="00871BDF" w:rsidRDefault="005C5088">
      <w:r>
        <w:pict w14:anchorId="00BB14A3">
          <v:rect id="_x0000_i1089" style="width:415.3pt;height:1.5pt" o:hralign="center" o:hrstd="t" o:hr="t" fillcolor="#a0a0a0" stroked="f"/>
        </w:pict>
      </w:r>
    </w:p>
    <w:p w14:paraId="00BAEE9A" w14:textId="77777777" w:rsidR="00871BDF" w:rsidRDefault="005C5088">
      <w:hyperlink r:id="rId190" w:anchor="i54ccc64cb5384be5a4849ef1cdef4dde_7" w:history="1">
        <w:r>
          <w:rPr>
            <w:rStyle w:val="a5"/>
            <w:rFonts w:ascii="Times New Roman" w:eastAsia="宋体" w:hAnsi="Times New Roman"/>
            <w:sz w:val="20"/>
            <w:szCs w:val="20"/>
          </w:rPr>
          <w:t>Table of Contents</w:t>
        </w:r>
      </w:hyperlink>
    </w:p>
    <w:p w14:paraId="00BAEE9B" w14:textId="77777777" w:rsidR="00871BDF" w:rsidRDefault="005C5088">
      <w:pPr>
        <w:spacing w:before="120"/>
      </w:pPr>
      <w:r>
        <w:rPr>
          <w:rFonts w:ascii="Times New Roman" w:eastAsia="宋体" w:hAnsi="Times New Roman"/>
          <w:color w:val="000000"/>
          <w:sz w:val="20"/>
          <w:szCs w:val="20"/>
        </w:rPr>
        <w:t>$8.4 billion upon adoption, with corresponding lease liabilities of $9.0 billion rela</w:t>
      </w:r>
      <w:r>
        <w:rPr>
          <w:rFonts w:ascii="Times New Roman" w:eastAsia="宋体" w:hAnsi="Times New Roman"/>
          <w:color w:val="000000"/>
          <w:sz w:val="20"/>
          <w:szCs w:val="20"/>
        </w:rPr>
        <w:t>ting to our operating leases. Existing deferred rent and tenant improvement allowances of approximately $568.0 million, previously recorded within other long-term liabilities, were recorded as an offset to our gross operating lease right-of-use assets. Add</w:t>
      </w:r>
      <w:r>
        <w:rPr>
          <w:rFonts w:ascii="Times New Roman" w:eastAsia="宋体" w:hAnsi="Times New Roman"/>
          <w:color w:val="000000"/>
          <w:sz w:val="20"/>
          <w:szCs w:val="20"/>
        </w:rPr>
        <w:t>itionally, pursuant to the transition guidance, we derecognized build-to-suit lease assets, previously recorded in property, plant and equipment, net, along with the corresponding liabilities on the consolidated balance sheet as of September 30, 2019. Acco</w:t>
      </w:r>
      <w:r>
        <w:rPr>
          <w:rFonts w:ascii="Times New Roman" w:eastAsia="宋体" w:hAnsi="Times New Roman"/>
          <w:color w:val="000000"/>
          <w:sz w:val="20"/>
          <w:szCs w:val="20"/>
        </w:rPr>
        <w:t>rdingly, these leases have been recorded as operating leases as of the adoption date and are now included in operating lease, right-of-use assets and operating lease liabilities on the consolidated balance sheet. As of the adoption date, accumulated defici</w:t>
      </w:r>
      <w:r>
        <w:rPr>
          <w:rFonts w:ascii="Times New Roman" w:eastAsia="宋体" w:hAnsi="Times New Roman"/>
          <w:color w:val="000000"/>
          <w:sz w:val="20"/>
          <w:szCs w:val="20"/>
        </w:rPr>
        <w:t>t within shareholder's equity on our consolidated balance sheet decreased by $17.3 million, primarily related to the derecognition of build-to-suit leasing arrangements.</w:t>
      </w:r>
    </w:p>
    <w:p w14:paraId="00BAEE9C" w14:textId="77777777" w:rsidR="00871BDF" w:rsidRDefault="005C5088">
      <w:pPr>
        <w:spacing w:before="120"/>
      </w:pPr>
      <w:r>
        <w:rPr>
          <w:rFonts w:ascii="Times New Roman" w:eastAsia="宋体" w:hAnsi="Times New Roman"/>
          <w:color w:val="000000"/>
          <w:sz w:val="20"/>
          <w:szCs w:val="20"/>
        </w:rPr>
        <w:t xml:space="preserve">In the first quarter of fiscal 2020, we adopted the new guidance from the FASB on the </w:t>
      </w:r>
      <w:r>
        <w:rPr>
          <w:rFonts w:ascii="Times New Roman" w:eastAsia="宋体" w:hAnsi="Times New Roman"/>
          <w:color w:val="000000"/>
          <w:sz w:val="20"/>
          <w:szCs w:val="20"/>
        </w:rPr>
        <w:t>reclassification of certain tax effects from accumulated other comprehensive income (loss) (“AOCI”) which permits entities to reclassify the stranded tax effects resulting from the Tax Cuts and Jobs Act (the “Tax Act”) from AOCI to retained earnings. The g</w:t>
      </w:r>
      <w:r>
        <w:rPr>
          <w:rFonts w:ascii="Times New Roman" w:eastAsia="宋体" w:hAnsi="Times New Roman"/>
          <w:color w:val="000000"/>
          <w:sz w:val="20"/>
          <w:szCs w:val="20"/>
        </w:rPr>
        <w:t>uidance was adopted prospectively with no material impact on the consolidated financial statements as of September 27, 2020.</w:t>
      </w:r>
    </w:p>
    <w:p w14:paraId="00BAEE9D" w14:textId="77777777" w:rsidR="00871BDF" w:rsidRDefault="005C5088">
      <w:pPr>
        <w:spacing w:before="120"/>
      </w:pPr>
      <w:r>
        <w:rPr>
          <w:rFonts w:ascii="Times New Roman" w:eastAsia="宋体" w:hAnsi="Times New Roman"/>
          <w:i/>
          <w:iCs/>
          <w:color w:val="000000"/>
          <w:sz w:val="20"/>
          <w:szCs w:val="20"/>
        </w:rPr>
        <w:t>Recent Accounting Pronouncements Not Yet Adopted</w:t>
      </w:r>
    </w:p>
    <w:p w14:paraId="00BAEE9E" w14:textId="77777777" w:rsidR="00871BDF" w:rsidRDefault="005C5088">
      <w:pPr>
        <w:spacing w:before="120"/>
      </w:pPr>
      <w:r>
        <w:rPr>
          <w:rFonts w:ascii="Times New Roman" w:eastAsia="宋体" w:hAnsi="Times New Roman"/>
          <w:color w:val="000000"/>
          <w:sz w:val="20"/>
          <w:szCs w:val="20"/>
        </w:rPr>
        <w:t>In March 2020, the FASB issued guidance related to reference rate reform. The pron</w:t>
      </w:r>
      <w:r>
        <w:rPr>
          <w:rFonts w:ascii="Times New Roman" w:eastAsia="宋体" w:hAnsi="Times New Roman"/>
          <w:color w:val="000000"/>
          <w:sz w:val="20"/>
          <w:szCs w:val="20"/>
        </w:rPr>
        <w:t>ouncement provides temporary optional expedients and exceptions to the current guidance on contract modifications and hedge accounting to ease the financial reporting burden related to the expected market transition from the London Interbank Offered Rate (</w:t>
      </w:r>
      <w:r>
        <w:rPr>
          <w:rFonts w:ascii="Times New Roman" w:eastAsia="宋体" w:hAnsi="Times New Roman"/>
          <w:color w:val="000000"/>
          <w:sz w:val="20"/>
          <w:szCs w:val="20"/>
        </w:rPr>
        <w:t>“LIBOR”) and other interbank offered rates to alternative reference rates. The guidance was effective upon issuance and generally can be applied to applicable contract modifications through December 31, 2022. We are currently evaluating the impact of the t</w:t>
      </w:r>
      <w:r>
        <w:rPr>
          <w:rFonts w:ascii="Times New Roman" w:eastAsia="宋体" w:hAnsi="Times New Roman"/>
          <w:color w:val="000000"/>
          <w:sz w:val="20"/>
          <w:szCs w:val="20"/>
        </w:rPr>
        <w:t>ransition from LIBOR to alternative reference rates but do not expect a significant impact to our consolidated financial statements.</w:t>
      </w:r>
    </w:p>
    <w:p w14:paraId="00BAEE9F" w14:textId="77777777" w:rsidR="00871BDF" w:rsidRDefault="005C5088">
      <w:pPr>
        <w:spacing w:before="120"/>
      </w:pPr>
      <w:r>
        <w:rPr>
          <w:rFonts w:ascii="Times New Roman" w:eastAsia="宋体" w:hAnsi="Times New Roman"/>
          <w:color w:val="000000"/>
          <w:sz w:val="20"/>
          <w:szCs w:val="20"/>
        </w:rPr>
        <w:t>In June 2016, the FASB issued guidance replacing the incurred loss impairment methodology with a new methodology that refle</w:t>
      </w:r>
      <w:r>
        <w:rPr>
          <w:rFonts w:ascii="Times New Roman" w:eastAsia="宋体" w:hAnsi="Times New Roman"/>
          <w:color w:val="000000"/>
          <w:sz w:val="20"/>
          <w:szCs w:val="20"/>
        </w:rPr>
        <w:t>cts Current Expected Credit Losses on financial assets, including receivables and available-for-sale securities. The new methodology requires entities to estimate and recognize expected credit losses each reporting period. The guidance will be applied unde</w:t>
      </w:r>
      <w:r>
        <w:rPr>
          <w:rFonts w:ascii="Times New Roman" w:eastAsia="宋体" w:hAnsi="Times New Roman"/>
          <w:color w:val="000000"/>
          <w:sz w:val="20"/>
          <w:szCs w:val="20"/>
        </w:rPr>
        <w:t xml:space="preserve">r the modified retrospective approach and will be effective at the beginning of our first quarter of fiscal 2021. We do not expect a material impact to our consolidated financial statements upon adoption. </w:t>
      </w:r>
    </w:p>
    <w:p w14:paraId="00BAEEA0" w14:textId="77777777" w:rsidR="00871BDF" w:rsidRDefault="005C5088">
      <w:pPr>
        <w:spacing w:before="120"/>
      </w:pPr>
      <w:r>
        <w:rPr>
          <w:rFonts w:ascii="Times New Roman" w:eastAsia="宋体" w:hAnsi="Times New Roman"/>
          <w:b/>
          <w:bCs/>
          <w:color w:val="000000"/>
          <w:sz w:val="20"/>
          <w:szCs w:val="20"/>
        </w:rPr>
        <w:t>Note 2:    Acquisitions, Divestitures and Strategi</w:t>
      </w:r>
      <w:r>
        <w:rPr>
          <w:rFonts w:ascii="Times New Roman" w:eastAsia="宋体" w:hAnsi="Times New Roman"/>
          <w:b/>
          <w:bCs/>
          <w:color w:val="000000"/>
          <w:sz w:val="20"/>
          <w:szCs w:val="20"/>
        </w:rPr>
        <w:t>c Alliance</w:t>
      </w:r>
    </w:p>
    <w:p w14:paraId="00BAEEA1" w14:textId="77777777" w:rsidR="00871BDF" w:rsidRDefault="005C5088">
      <w:pPr>
        <w:spacing w:before="120"/>
      </w:pPr>
      <w:r>
        <w:rPr>
          <w:rFonts w:ascii="Times New Roman" w:eastAsia="宋体" w:hAnsi="Times New Roman"/>
          <w:i/>
          <w:iCs/>
          <w:color w:val="000000"/>
          <w:sz w:val="20"/>
          <w:szCs w:val="20"/>
        </w:rPr>
        <w:t>Fiscal 2019</w:t>
      </w:r>
    </w:p>
    <w:p w14:paraId="00BAEEA2" w14:textId="77777777" w:rsidR="00871BDF" w:rsidRDefault="005C5088">
      <w:pPr>
        <w:spacing w:before="120"/>
      </w:pPr>
      <w:r>
        <w:rPr>
          <w:rFonts w:ascii="Times New Roman" w:eastAsia="宋体" w:hAnsi="Times New Roman"/>
          <w:color w:val="000000"/>
          <w:sz w:val="20"/>
          <w:szCs w:val="20"/>
        </w:rPr>
        <w:t xml:space="preserve">In the third quarter of fiscal 2019, we sold our company-operated retail business in Thailand to Coffee Concepts Thailand, a joint-venture between Maxim's Caterers Limited and F&amp;N Retail Connection Co. Ltd, converting this operation </w:t>
      </w:r>
      <w:r>
        <w:rPr>
          <w:rFonts w:ascii="Times New Roman" w:eastAsia="宋体" w:hAnsi="Times New Roman"/>
          <w:color w:val="000000"/>
          <w:sz w:val="20"/>
          <w:szCs w:val="20"/>
        </w:rPr>
        <w:t xml:space="preserve">to a fully licensed market. This transaction resulted in a pre-tax gain of $601.9 million, which was included in net gains resulting from divestiture of certain operations on our consolidated statements of earnings. </w:t>
      </w:r>
    </w:p>
    <w:p w14:paraId="00BAEEA3" w14:textId="77777777" w:rsidR="00871BDF" w:rsidRDefault="005C5088">
      <w:pPr>
        <w:spacing w:before="120"/>
      </w:pPr>
      <w:r>
        <w:rPr>
          <w:rFonts w:ascii="Times New Roman" w:eastAsia="宋体" w:hAnsi="Times New Roman"/>
          <w:color w:val="000000"/>
          <w:sz w:val="20"/>
          <w:szCs w:val="20"/>
        </w:rPr>
        <w:t>In the second quarter of fiscal 2019, w</w:t>
      </w:r>
      <w:r>
        <w:rPr>
          <w:rFonts w:ascii="Times New Roman" w:eastAsia="宋体" w:hAnsi="Times New Roman"/>
          <w:color w:val="000000"/>
          <w:sz w:val="20"/>
          <w:szCs w:val="20"/>
        </w:rPr>
        <w:t xml:space="preserve">e sold our company-operated retail businesses in France and the Netherlands to Alsea, S.A.B. de C.V. converting these operations to fully licensed markets. These transactions did not have a material impact on our consolidated financial statements. </w:t>
      </w:r>
    </w:p>
    <w:p w14:paraId="00BAEEA4" w14:textId="77777777" w:rsidR="00871BDF" w:rsidRDefault="005C5088">
      <w:pPr>
        <w:spacing w:before="120"/>
      </w:pPr>
      <w:r>
        <w:rPr>
          <w:rFonts w:ascii="Times New Roman" w:eastAsia="宋体" w:hAnsi="Times New Roman"/>
          <w:i/>
          <w:iCs/>
          <w:color w:val="000000"/>
          <w:sz w:val="20"/>
          <w:szCs w:val="20"/>
        </w:rPr>
        <w:t xml:space="preserve">Fiscal </w:t>
      </w:r>
      <w:r>
        <w:rPr>
          <w:rFonts w:ascii="Times New Roman" w:eastAsia="宋体" w:hAnsi="Times New Roman"/>
          <w:i/>
          <w:iCs/>
          <w:color w:val="000000"/>
          <w:sz w:val="20"/>
          <w:szCs w:val="20"/>
        </w:rPr>
        <w:t>2018</w:t>
      </w:r>
    </w:p>
    <w:p w14:paraId="00BAEEA5" w14:textId="77777777" w:rsidR="00871BDF" w:rsidRDefault="005C5088">
      <w:pPr>
        <w:spacing w:before="120"/>
      </w:pPr>
      <w:r>
        <w:rPr>
          <w:rFonts w:ascii="Times New Roman" w:eastAsia="宋体" w:hAnsi="Times New Roman"/>
          <w:color w:val="000000"/>
          <w:sz w:val="20"/>
          <w:szCs w:val="20"/>
        </w:rPr>
        <w:t>We entered into an agreement on May 6, 2018 to establish the Global Coffee Alliance with Nestlé. On August 26, 2018, Nestlé licensed the rights to market, sell and distribute Starbucks consumer packaged goods and foodservice products in authorized cha</w:t>
      </w:r>
      <w:r>
        <w:rPr>
          <w:rFonts w:ascii="Times New Roman" w:eastAsia="宋体" w:hAnsi="Times New Roman"/>
          <w:color w:val="000000"/>
          <w:sz w:val="20"/>
          <w:szCs w:val="20"/>
        </w:rPr>
        <w:t xml:space="preserve">nnels. We received an up-front payment of approximately $7 billion consisting primarily of prepaid royalties which was recorded to current and long-term deferred revenue. See </w:t>
      </w:r>
      <w:hyperlink r:id="rId191" w:anchor="i54ccc64cb5384be5a4849ef1cdef4dde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for the accounting treatment. Also see </w:t>
      </w:r>
      <w:hyperlink r:id="rId192" w:anchor="i54ccc64cb5384be5a4849ef1cdef4dde_2423" w:history="1">
        <w:r>
          <w:rPr>
            <w:rStyle w:val="a5"/>
            <w:rFonts w:ascii="Times New Roman" w:eastAsia="宋体" w:hAnsi="Times New Roman"/>
            <w:sz w:val="20"/>
            <w:szCs w:val="20"/>
          </w:rPr>
          <w:t xml:space="preserve">Note </w:t>
        </w:r>
      </w:hyperlink>
      <w:hyperlink r:id="rId193" w:anchor="i54ccc64cb5384be5a4849ef1cdef4dde_2423" w:history="1">
        <w:r>
          <w:rPr>
            <w:rStyle w:val="a5"/>
            <w:rFonts w:ascii="Times New Roman" w:eastAsia="宋体" w:hAnsi="Times New Roman"/>
            <w:sz w:val="20"/>
            <w:szCs w:val="20"/>
          </w:rPr>
          <w:t>11</w:t>
        </w:r>
      </w:hyperlink>
      <w:r>
        <w:rPr>
          <w:rFonts w:ascii="Times New Roman" w:eastAsia="宋体" w:hAnsi="Times New Roman"/>
          <w:color w:val="000000"/>
          <w:sz w:val="20"/>
          <w:szCs w:val="20"/>
        </w:rPr>
        <w:t>, Deferred Revenue.</w:t>
      </w:r>
    </w:p>
    <w:p w14:paraId="00BAEEA6" w14:textId="77777777" w:rsidR="00871BDF" w:rsidRDefault="005C5088">
      <w:pPr>
        <w:spacing w:before="120"/>
      </w:pPr>
      <w:r>
        <w:rPr>
          <w:rFonts w:ascii="Times New Roman" w:eastAsia="宋体" w:hAnsi="Times New Roman"/>
          <w:color w:val="000000"/>
          <w:sz w:val="20"/>
          <w:szCs w:val="20"/>
        </w:rPr>
        <w:t xml:space="preserve">On </w:t>
      </w:r>
      <w:r>
        <w:rPr>
          <w:rFonts w:ascii="Times New Roman" w:eastAsia="宋体" w:hAnsi="Times New Roman"/>
          <w:color w:val="000000"/>
          <w:sz w:val="20"/>
          <w:szCs w:val="20"/>
        </w:rPr>
        <w:t>March 23, 2018, we sold our company-operated retail store assets and operations in Brazil to SouthRock, converting these operations to a fully licensed market. This transaction did not have a material impact on our consolidated financial statements.</w:t>
      </w:r>
    </w:p>
    <w:p w14:paraId="00BAEEA7" w14:textId="77777777" w:rsidR="00871BDF" w:rsidRDefault="005C5088">
      <w:pPr>
        <w:spacing w:before="120"/>
      </w:pPr>
      <w:r>
        <w:rPr>
          <w:rFonts w:ascii="Times New Roman" w:eastAsia="宋体" w:hAnsi="Times New Roman"/>
          <w:color w:val="000000"/>
          <w:sz w:val="20"/>
          <w:szCs w:val="20"/>
        </w:rPr>
        <w:t>On Dec</w:t>
      </w:r>
      <w:r>
        <w:rPr>
          <w:rFonts w:ascii="Times New Roman" w:eastAsia="宋体" w:hAnsi="Times New Roman"/>
          <w:color w:val="000000"/>
          <w:sz w:val="20"/>
          <w:szCs w:val="20"/>
        </w:rPr>
        <w:t>ember 31, 2017, we acquired the remaining 50% interest of our East China joint venture (“East China”) from President Chain Store (Hong Kong) Holding Ltd. and Kai Yu (BVI) collectively, “Uni-President Group” or “UPG”, for approximately $1.4 billion. Approxi</w:t>
      </w:r>
      <w:r>
        <w:rPr>
          <w:rFonts w:ascii="Times New Roman" w:eastAsia="宋体" w:hAnsi="Times New Roman"/>
          <w:color w:val="000000"/>
          <w:sz w:val="20"/>
          <w:szCs w:val="20"/>
        </w:rPr>
        <w:t>mately $90.5 million of pre-existing liabilities owed by East China to Starbucks were effectively settled upon the acquisition. Acquiring the remaining interest of East China, which at the time operated over 1,400 stores in the Shanghai, Jiangsu and Zhejia</w:t>
      </w:r>
      <w:r>
        <w:rPr>
          <w:rFonts w:ascii="Times New Roman" w:eastAsia="宋体" w:hAnsi="Times New Roman"/>
          <w:color w:val="000000"/>
          <w:sz w:val="20"/>
          <w:szCs w:val="20"/>
        </w:rPr>
        <w:t xml:space="preserve">ng Provinces, built on the Company's ongoing investment in China. The estimated fair values of the assets acquired and liabilities assumed are based on valuation and analysis performed by management. </w:t>
      </w:r>
    </w:p>
    <w:p w14:paraId="00BAEEA8" w14:textId="77777777" w:rsidR="00871BDF" w:rsidRDefault="005C5088">
      <w:pPr>
        <w:spacing w:before="120"/>
      </w:pPr>
      <w:r>
        <w:rPr>
          <w:rFonts w:ascii="Times New Roman" w:eastAsia="宋体" w:hAnsi="Times New Roman"/>
          <w:color w:val="000000"/>
          <w:sz w:val="20"/>
          <w:szCs w:val="20"/>
        </w:rPr>
        <w:t xml:space="preserve">Concurrently with the purchase of our East China joint </w:t>
      </w:r>
      <w:r>
        <w:rPr>
          <w:rFonts w:ascii="Times New Roman" w:eastAsia="宋体" w:hAnsi="Times New Roman"/>
          <w:color w:val="000000"/>
          <w:sz w:val="20"/>
          <w:szCs w:val="20"/>
        </w:rPr>
        <w:t>venture, we sold our 50% interest in President Starbucks Coffee Taiwan Limited, our joint venture operations in Taiwan, to UPG for approximately $181.2 million. The transaction resulted in a pre-tax gain of $156.6 million which was included in net gain res</w:t>
      </w:r>
      <w:r>
        <w:rPr>
          <w:rFonts w:ascii="Times New Roman" w:eastAsia="宋体" w:hAnsi="Times New Roman"/>
          <w:color w:val="000000"/>
          <w:sz w:val="20"/>
          <w:szCs w:val="20"/>
        </w:rPr>
        <w:t xml:space="preserve">ulting from divestiture of certain operations on our consolidated statements of earnings. </w:t>
      </w:r>
    </w:p>
    <w:p w14:paraId="00BAEEA9" w14:textId="77777777" w:rsidR="00871BDF" w:rsidRDefault="005C5088">
      <w:pPr>
        <w:jc w:val="center"/>
      </w:pPr>
      <w:r>
        <w:rPr>
          <w:rFonts w:ascii="Times New Roman" w:eastAsia="宋体" w:hAnsi="Times New Roman"/>
          <w:color w:val="000000"/>
          <w:sz w:val="20"/>
          <w:szCs w:val="20"/>
        </w:rPr>
        <w:t>63</w:t>
      </w:r>
    </w:p>
    <w:p w14:paraId="00BAEEAA" w14:textId="77777777" w:rsidR="00871BDF" w:rsidRDefault="005C5088">
      <w:r>
        <w:pict w14:anchorId="00BB14A4">
          <v:rect id="_x0000_i1090" style="width:415.3pt;height:1.5pt" o:hralign="center" o:hrstd="t" o:hr="t" fillcolor="#a0a0a0" stroked="f"/>
        </w:pict>
      </w:r>
    </w:p>
    <w:p w14:paraId="00BAEEAB" w14:textId="77777777" w:rsidR="00871BDF" w:rsidRDefault="005C5088">
      <w:hyperlink r:id="rId194" w:anchor="i54ccc64cb5384be5a4849ef1cdef4dde_7" w:history="1">
        <w:r>
          <w:rPr>
            <w:rStyle w:val="a5"/>
            <w:rFonts w:ascii="Times New Roman" w:eastAsia="宋体" w:hAnsi="Times New Roman"/>
            <w:sz w:val="20"/>
            <w:szCs w:val="20"/>
          </w:rPr>
          <w:t>Table of C</w:t>
        </w:r>
        <w:r>
          <w:rPr>
            <w:rStyle w:val="a5"/>
            <w:rFonts w:ascii="Times New Roman" w:eastAsia="宋体" w:hAnsi="Times New Roman"/>
            <w:sz w:val="20"/>
            <w:szCs w:val="20"/>
          </w:rPr>
          <w:t>ontents</w:t>
        </w:r>
      </w:hyperlink>
    </w:p>
    <w:p w14:paraId="00BAEEAC" w14:textId="77777777" w:rsidR="00871BDF" w:rsidRDefault="005C5088">
      <w:pPr>
        <w:spacing w:before="120"/>
      </w:pPr>
      <w:r>
        <w:rPr>
          <w:rFonts w:ascii="Times New Roman" w:eastAsia="宋体" w:hAnsi="Times New Roman"/>
          <w:color w:val="000000"/>
          <w:sz w:val="20"/>
          <w:szCs w:val="20"/>
        </w:rPr>
        <w:t xml:space="preserve">The following table summarizes the preliminary allocation of the total consideration to the fair values of the assets acquired and liabilities assumed as of December 31, 2017, which are reported within our International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46"/>
        <w:gridCol w:w="6880"/>
        <w:gridCol w:w="37"/>
        <w:gridCol w:w="36"/>
        <w:gridCol w:w="36"/>
        <w:gridCol w:w="36"/>
        <w:gridCol w:w="120"/>
        <w:gridCol w:w="1097"/>
        <w:gridCol w:w="36"/>
      </w:tblGrid>
      <w:tr w:rsidR="00871BDF" w14:paraId="00BAEEB6" w14:textId="77777777">
        <w:trPr>
          <w:jc w:val="center"/>
        </w:trPr>
        <w:tc>
          <w:tcPr>
            <w:tcW w:w="50" w:type="pct"/>
            <w:shd w:val="clear" w:color="auto" w:fill="auto"/>
          </w:tcPr>
          <w:p w14:paraId="00BAEEAD" w14:textId="77777777" w:rsidR="00871BDF" w:rsidRDefault="00871BDF">
            <w:pPr>
              <w:rPr>
                <w:rFonts w:ascii="宋体"/>
              </w:rPr>
            </w:pPr>
          </w:p>
        </w:tc>
        <w:tc>
          <w:tcPr>
            <w:tcW w:w="4154" w:type="pct"/>
            <w:shd w:val="clear" w:color="auto" w:fill="auto"/>
          </w:tcPr>
          <w:p w14:paraId="00BAEEAE" w14:textId="77777777" w:rsidR="00871BDF" w:rsidRDefault="00871BDF">
            <w:pPr>
              <w:rPr>
                <w:rFonts w:ascii="宋体"/>
              </w:rPr>
            </w:pPr>
          </w:p>
        </w:tc>
        <w:tc>
          <w:tcPr>
            <w:tcW w:w="5" w:type="pct"/>
            <w:shd w:val="clear" w:color="auto" w:fill="auto"/>
          </w:tcPr>
          <w:p w14:paraId="00BAEEAF" w14:textId="77777777" w:rsidR="00871BDF" w:rsidRDefault="00871BDF">
            <w:pPr>
              <w:rPr>
                <w:rFonts w:ascii="宋体"/>
              </w:rPr>
            </w:pPr>
          </w:p>
        </w:tc>
        <w:tc>
          <w:tcPr>
            <w:tcW w:w="5" w:type="pct"/>
            <w:shd w:val="clear" w:color="auto" w:fill="auto"/>
          </w:tcPr>
          <w:p w14:paraId="00BAEEB0" w14:textId="77777777" w:rsidR="00871BDF" w:rsidRDefault="00871BDF">
            <w:pPr>
              <w:rPr>
                <w:rFonts w:ascii="宋体"/>
              </w:rPr>
            </w:pPr>
          </w:p>
        </w:tc>
        <w:tc>
          <w:tcPr>
            <w:tcW w:w="26" w:type="pct"/>
            <w:shd w:val="clear" w:color="auto" w:fill="auto"/>
          </w:tcPr>
          <w:p w14:paraId="00BAEEB1" w14:textId="77777777" w:rsidR="00871BDF" w:rsidRDefault="00871BDF">
            <w:pPr>
              <w:rPr>
                <w:rFonts w:ascii="宋体"/>
              </w:rPr>
            </w:pPr>
          </w:p>
        </w:tc>
        <w:tc>
          <w:tcPr>
            <w:tcW w:w="5" w:type="pct"/>
            <w:shd w:val="clear" w:color="auto" w:fill="auto"/>
          </w:tcPr>
          <w:p w14:paraId="00BAEEB2" w14:textId="77777777" w:rsidR="00871BDF" w:rsidRDefault="00871BDF">
            <w:pPr>
              <w:rPr>
                <w:rFonts w:ascii="宋体"/>
              </w:rPr>
            </w:pPr>
          </w:p>
        </w:tc>
        <w:tc>
          <w:tcPr>
            <w:tcW w:w="50" w:type="pct"/>
            <w:shd w:val="clear" w:color="auto" w:fill="auto"/>
          </w:tcPr>
          <w:p w14:paraId="00BAEEB3" w14:textId="77777777" w:rsidR="00871BDF" w:rsidRDefault="00871BDF">
            <w:pPr>
              <w:rPr>
                <w:rFonts w:ascii="宋体"/>
              </w:rPr>
            </w:pPr>
          </w:p>
        </w:tc>
        <w:tc>
          <w:tcPr>
            <w:tcW w:w="699" w:type="pct"/>
            <w:shd w:val="clear" w:color="auto" w:fill="auto"/>
          </w:tcPr>
          <w:p w14:paraId="00BAEEB4" w14:textId="77777777" w:rsidR="00871BDF" w:rsidRDefault="00871BDF">
            <w:pPr>
              <w:rPr>
                <w:rFonts w:ascii="宋体"/>
              </w:rPr>
            </w:pPr>
          </w:p>
        </w:tc>
        <w:tc>
          <w:tcPr>
            <w:tcW w:w="5" w:type="pct"/>
            <w:shd w:val="clear" w:color="auto" w:fill="auto"/>
          </w:tcPr>
          <w:p w14:paraId="00BAEEB5" w14:textId="77777777" w:rsidR="00871BDF" w:rsidRDefault="00871BDF">
            <w:pPr>
              <w:rPr>
                <w:rFonts w:ascii="宋体"/>
              </w:rPr>
            </w:pPr>
          </w:p>
        </w:tc>
      </w:tr>
      <w:tr w:rsidR="00871BDF" w14:paraId="00BAEEBA" w14:textId="77777777">
        <w:trPr>
          <w:jc w:val="center"/>
        </w:trPr>
        <w:tc>
          <w:tcPr>
            <w:tcW w:w="0" w:type="auto"/>
            <w:gridSpan w:val="3"/>
            <w:shd w:val="clear" w:color="auto" w:fill="auto"/>
            <w:tcMar>
              <w:top w:w="40" w:type="dxa"/>
              <w:left w:w="20" w:type="dxa"/>
              <w:bottom w:w="40" w:type="dxa"/>
              <w:right w:w="20" w:type="dxa"/>
            </w:tcMar>
            <w:vAlign w:val="bottom"/>
          </w:tcPr>
          <w:p w14:paraId="00BAEEB7" w14:textId="77777777" w:rsidR="00871BDF" w:rsidRDefault="005C5088">
            <w:pPr>
              <w:textAlignment w:val="bottom"/>
            </w:pPr>
            <w:r>
              <w:rPr>
                <w:rFonts w:ascii="Times New Roman" w:eastAsia="宋体" w:hAnsi="Times New Roman"/>
                <w:b/>
                <w:bCs/>
                <w:color w:val="000000"/>
                <w:sz w:val="20"/>
                <w:szCs w:val="20"/>
              </w:rPr>
              <w:t>Consideration:</w:t>
            </w:r>
          </w:p>
        </w:tc>
        <w:tc>
          <w:tcPr>
            <w:tcW w:w="0" w:type="auto"/>
            <w:gridSpan w:val="3"/>
            <w:shd w:val="clear" w:color="auto" w:fill="auto"/>
            <w:tcMar>
              <w:top w:w="0" w:type="dxa"/>
              <w:left w:w="20" w:type="dxa"/>
              <w:bottom w:w="0" w:type="dxa"/>
              <w:right w:w="20" w:type="dxa"/>
            </w:tcMar>
          </w:tcPr>
          <w:p w14:paraId="00BAEEB8"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EEB9" w14:textId="77777777" w:rsidR="00871BDF" w:rsidRDefault="00871BDF">
            <w:pPr>
              <w:rPr>
                <w:rFonts w:ascii="宋体"/>
              </w:rPr>
            </w:pPr>
          </w:p>
        </w:tc>
      </w:tr>
      <w:tr w:rsidR="00871BDF" w14:paraId="00BAEEC0" w14:textId="77777777">
        <w:trPr>
          <w:jc w:val="center"/>
        </w:trPr>
        <w:tc>
          <w:tcPr>
            <w:tcW w:w="0" w:type="auto"/>
            <w:gridSpan w:val="3"/>
            <w:shd w:val="clear" w:color="auto" w:fill="D7E4BC"/>
            <w:tcMar>
              <w:top w:w="40" w:type="dxa"/>
              <w:left w:w="20" w:type="dxa"/>
              <w:bottom w:w="40" w:type="dxa"/>
              <w:right w:w="20" w:type="dxa"/>
            </w:tcMar>
            <w:vAlign w:val="bottom"/>
          </w:tcPr>
          <w:p w14:paraId="00BAEEBB" w14:textId="77777777" w:rsidR="00871BDF" w:rsidRDefault="005C5088">
            <w:pPr>
              <w:textAlignment w:val="bottom"/>
            </w:pPr>
            <w:r>
              <w:rPr>
                <w:rFonts w:ascii="Times New Roman" w:eastAsia="宋体" w:hAnsi="Times New Roman"/>
                <w:color w:val="000000"/>
                <w:sz w:val="20"/>
                <w:szCs w:val="20"/>
              </w:rPr>
              <w:t>Cash paid for UPG 50% equity interest</w:t>
            </w:r>
          </w:p>
        </w:tc>
        <w:tc>
          <w:tcPr>
            <w:tcW w:w="0" w:type="auto"/>
            <w:gridSpan w:val="3"/>
            <w:shd w:val="clear" w:color="auto" w:fill="D7E4BC"/>
            <w:tcMar>
              <w:top w:w="0" w:type="dxa"/>
              <w:left w:w="20" w:type="dxa"/>
              <w:bottom w:w="0" w:type="dxa"/>
              <w:right w:w="20" w:type="dxa"/>
            </w:tcMar>
          </w:tcPr>
          <w:p w14:paraId="00BAEEBC"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EEBD"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EEBE" w14:textId="77777777" w:rsidR="00871BDF" w:rsidRDefault="005C5088">
            <w:pPr>
              <w:jc w:val="right"/>
              <w:textAlignment w:val="bottom"/>
            </w:pPr>
            <w:r>
              <w:rPr>
                <w:rFonts w:ascii="Times New Roman" w:eastAsia="宋体" w:hAnsi="Times New Roman"/>
                <w:color w:val="000000"/>
                <w:sz w:val="20"/>
                <w:szCs w:val="20"/>
              </w:rPr>
              <w:t>1,440.8 </w:t>
            </w:r>
          </w:p>
        </w:tc>
        <w:tc>
          <w:tcPr>
            <w:tcW w:w="0" w:type="auto"/>
            <w:shd w:val="clear" w:color="auto" w:fill="D7E4BC"/>
            <w:tcMar>
              <w:top w:w="40" w:type="dxa"/>
              <w:left w:w="0" w:type="dxa"/>
              <w:bottom w:w="40" w:type="dxa"/>
              <w:right w:w="20" w:type="dxa"/>
            </w:tcMar>
            <w:vAlign w:val="bottom"/>
          </w:tcPr>
          <w:p w14:paraId="00BAEEBF" w14:textId="77777777" w:rsidR="00871BDF" w:rsidRDefault="00871BDF">
            <w:pPr>
              <w:jc w:val="right"/>
              <w:rPr>
                <w:rFonts w:ascii="宋体"/>
              </w:rPr>
            </w:pPr>
          </w:p>
        </w:tc>
      </w:tr>
      <w:tr w:rsidR="00871BDF" w14:paraId="00BAEEC5" w14:textId="77777777">
        <w:trPr>
          <w:jc w:val="center"/>
        </w:trPr>
        <w:tc>
          <w:tcPr>
            <w:tcW w:w="0" w:type="auto"/>
            <w:gridSpan w:val="3"/>
            <w:shd w:val="clear" w:color="auto" w:fill="FFFFFF"/>
            <w:tcMar>
              <w:top w:w="40" w:type="dxa"/>
              <w:left w:w="20" w:type="dxa"/>
              <w:bottom w:w="40" w:type="dxa"/>
              <w:right w:w="20" w:type="dxa"/>
            </w:tcMar>
            <w:vAlign w:val="bottom"/>
          </w:tcPr>
          <w:p w14:paraId="00BAEEC1" w14:textId="77777777" w:rsidR="00871BDF" w:rsidRDefault="005C5088">
            <w:pPr>
              <w:textAlignment w:val="bottom"/>
            </w:pPr>
            <w:r>
              <w:rPr>
                <w:rFonts w:ascii="Times New Roman" w:eastAsia="宋体" w:hAnsi="Times New Roman"/>
                <w:color w:val="000000"/>
                <w:sz w:val="20"/>
                <w:szCs w:val="20"/>
              </w:rPr>
              <w:t>Fair value of our pre-existing 50% equity interest</w:t>
            </w:r>
          </w:p>
        </w:tc>
        <w:tc>
          <w:tcPr>
            <w:tcW w:w="0" w:type="auto"/>
            <w:gridSpan w:val="3"/>
            <w:shd w:val="clear" w:color="auto" w:fill="FFFFFF"/>
            <w:tcMar>
              <w:top w:w="0" w:type="dxa"/>
              <w:left w:w="20" w:type="dxa"/>
              <w:bottom w:w="0" w:type="dxa"/>
              <w:right w:w="20" w:type="dxa"/>
            </w:tcMar>
          </w:tcPr>
          <w:p w14:paraId="00BAEEC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EC3" w14:textId="77777777" w:rsidR="00871BDF" w:rsidRDefault="005C5088">
            <w:pPr>
              <w:jc w:val="right"/>
              <w:textAlignment w:val="bottom"/>
            </w:pPr>
            <w:r>
              <w:rPr>
                <w:rFonts w:ascii="Times New Roman" w:eastAsia="宋体" w:hAnsi="Times New Roman"/>
                <w:color w:val="000000"/>
                <w:sz w:val="20"/>
                <w:szCs w:val="20"/>
              </w:rPr>
              <w:t>1,440.8 </w:t>
            </w:r>
          </w:p>
        </w:tc>
        <w:tc>
          <w:tcPr>
            <w:tcW w:w="0" w:type="auto"/>
            <w:shd w:val="clear" w:color="auto" w:fill="FFFFFF"/>
            <w:tcMar>
              <w:top w:w="40" w:type="dxa"/>
              <w:left w:w="0" w:type="dxa"/>
              <w:bottom w:w="40" w:type="dxa"/>
              <w:right w:w="20" w:type="dxa"/>
            </w:tcMar>
            <w:vAlign w:val="bottom"/>
          </w:tcPr>
          <w:p w14:paraId="00BAEEC4" w14:textId="77777777" w:rsidR="00871BDF" w:rsidRDefault="00871BDF">
            <w:pPr>
              <w:jc w:val="right"/>
              <w:rPr>
                <w:rFonts w:ascii="宋体"/>
              </w:rPr>
            </w:pPr>
          </w:p>
        </w:tc>
      </w:tr>
      <w:tr w:rsidR="00871BDF" w14:paraId="00BAEECA" w14:textId="77777777">
        <w:trPr>
          <w:jc w:val="center"/>
        </w:trPr>
        <w:tc>
          <w:tcPr>
            <w:tcW w:w="0" w:type="auto"/>
            <w:gridSpan w:val="3"/>
            <w:shd w:val="clear" w:color="auto" w:fill="D7E4BC"/>
            <w:tcMar>
              <w:top w:w="40" w:type="dxa"/>
              <w:left w:w="20" w:type="dxa"/>
              <w:bottom w:w="40" w:type="dxa"/>
              <w:right w:w="20" w:type="dxa"/>
            </w:tcMar>
            <w:vAlign w:val="bottom"/>
          </w:tcPr>
          <w:p w14:paraId="00BAEEC6" w14:textId="77777777" w:rsidR="00871BDF" w:rsidRDefault="005C5088">
            <w:pPr>
              <w:textAlignment w:val="bottom"/>
            </w:pPr>
            <w:r>
              <w:rPr>
                <w:rFonts w:ascii="Times New Roman" w:eastAsia="宋体" w:hAnsi="Times New Roman"/>
                <w:color w:val="000000"/>
                <w:sz w:val="20"/>
                <w:szCs w:val="20"/>
              </w:rPr>
              <w:t>Settlement of pre-existing liabilities</w:t>
            </w:r>
          </w:p>
        </w:tc>
        <w:tc>
          <w:tcPr>
            <w:tcW w:w="0" w:type="auto"/>
            <w:gridSpan w:val="3"/>
            <w:shd w:val="clear" w:color="auto" w:fill="D7E4BC"/>
            <w:tcMar>
              <w:top w:w="0" w:type="dxa"/>
              <w:left w:w="20" w:type="dxa"/>
              <w:bottom w:w="0" w:type="dxa"/>
              <w:right w:w="20" w:type="dxa"/>
            </w:tcMar>
          </w:tcPr>
          <w:p w14:paraId="00BAEEC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EC8" w14:textId="77777777" w:rsidR="00871BDF" w:rsidRDefault="005C5088">
            <w:pPr>
              <w:jc w:val="right"/>
              <w:textAlignment w:val="bottom"/>
            </w:pPr>
            <w:r>
              <w:rPr>
                <w:rFonts w:ascii="Times New Roman" w:eastAsia="宋体" w:hAnsi="Times New Roman"/>
                <w:color w:val="000000"/>
                <w:sz w:val="20"/>
                <w:szCs w:val="20"/>
              </w:rPr>
              <w:t>90.5 </w:t>
            </w:r>
          </w:p>
        </w:tc>
        <w:tc>
          <w:tcPr>
            <w:tcW w:w="0" w:type="auto"/>
            <w:shd w:val="clear" w:color="auto" w:fill="D7E4BC"/>
            <w:tcMar>
              <w:top w:w="40" w:type="dxa"/>
              <w:left w:w="0" w:type="dxa"/>
              <w:bottom w:w="40" w:type="dxa"/>
              <w:right w:w="20" w:type="dxa"/>
            </w:tcMar>
            <w:vAlign w:val="bottom"/>
          </w:tcPr>
          <w:p w14:paraId="00BAEEC9" w14:textId="77777777" w:rsidR="00871BDF" w:rsidRDefault="00871BDF">
            <w:pPr>
              <w:jc w:val="right"/>
              <w:rPr>
                <w:rFonts w:ascii="宋体"/>
              </w:rPr>
            </w:pPr>
          </w:p>
        </w:tc>
      </w:tr>
      <w:tr w:rsidR="00871BDF" w14:paraId="00BAEED0" w14:textId="77777777">
        <w:trPr>
          <w:jc w:val="center"/>
        </w:trPr>
        <w:tc>
          <w:tcPr>
            <w:tcW w:w="0" w:type="auto"/>
            <w:gridSpan w:val="3"/>
            <w:shd w:val="clear" w:color="auto" w:fill="FFFFFF"/>
            <w:tcMar>
              <w:top w:w="40" w:type="dxa"/>
              <w:left w:w="380" w:type="dxa"/>
              <w:bottom w:w="40" w:type="dxa"/>
              <w:right w:w="20" w:type="dxa"/>
            </w:tcMar>
            <w:vAlign w:val="bottom"/>
          </w:tcPr>
          <w:p w14:paraId="00BAEECB" w14:textId="77777777" w:rsidR="00871BDF" w:rsidRDefault="005C5088">
            <w:pPr>
              <w:textAlignment w:val="bottom"/>
            </w:pPr>
            <w:r>
              <w:rPr>
                <w:rFonts w:ascii="Times New Roman" w:eastAsia="宋体" w:hAnsi="Times New Roman"/>
                <w:color w:val="000000"/>
                <w:sz w:val="20"/>
                <w:szCs w:val="20"/>
              </w:rPr>
              <w:t>Total consideration</w:t>
            </w:r>
          </w:p>
        </w:tc>
        <w:tc>
          <w:tcPr>
            <w:tcW w:w="0" w:type="auto"/>
            <w:gridSpan w:val="3"/>
            <w:shd w:val="clear" w:color="auto" w:fill="FFFFFF"/>
            <w:tcMar>
              <w:top w:w="0" w:type="dxa"/>
              <w:left w:w="20" w:type="dxa"/>
              <w:bottom w:w="0" w:type="dxa"/>
              <w:right w:w="20" w:type="dxa"/>
            </w:tcMar>
          </w:tcPr>
          <w:p w14:paraId="00BAEECC"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EEC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EECE" w14:textId="77777777" w:rsidR="00871BDF" w:rsidRDefault="005C5088">
            <w:pPr>
              <w:jc w:val="right"/>
              <w:textAlignment w:val="bottom"/>
            </w:pPr>
            <w:r>
              <w:rPr>
                <w:rFonts w:ascii="Times New Roman" w:eastAsia="宋体" w:hAnsi="Times New Roman"/>
                <w:color w:val="000000"/>
                <w:sz w:val="20"/>
                <w:szCs w:val="20"/>
              </w:rPr>
              <w:t>2,972.1 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ECF" w14:textId="77777777" w:rsidR="00871BDF" w:rsidRDefault="00871BDF">
            <w:pPr>
              <w:jc w:val="right"/>
              <w:rPr>
                <w:rFonts w:ascii="宋体"/>
              </w:rPr>
            </w:pPr>
          </w:p>
        </w:tc>
      </w:tr>
      <w:tr w:rsidR="00871BDF" w14:paraId="00BAEED4" w14:textId="77777777">
        <w:trPr>
          <w:trHeight w:val="280"/>
          <w:jc w:val="center"/>
        </w:trPr>
        <w:tc>
          <w:tcPr>
            <w:tcW w:w="0" w:type="auto"/>
            <w:gridSpan w:val="3"/>
            <w:shd w:val="clear" w:color="auto" w:fill="D7E4BC"/>
            <w:tcMar>
              <w:top w:w="0" w:type="dxa"/>
              <w:left w:w="20" w:type="dxa"/>
              <w:bottom w:w="0" w:type="dxa"/>
              <w:right w:w="20" w:type="dxa"/>
            </w:tcMar>
          </w:tcPr>
          <w:p w14:paraId="00BAEED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ED2" w14:textId="77777777" w:rsidR="00871BDF" w:rsidRDefault="00871BDF">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00BAEED3" w14:textId="77777777" w:rsidR="00871BDF" w:rsidRDefault="00871BDF">
            <w:pPr>
              <w:rPr>
                <w:rFonts w:ascii="宋体"/>
              </w:rPr>
            </w:pPr>
          </w:p>
        </w:tc>
      </w:tr>
      <w:tr w:rsidR="00871BDF" w14:paraId="00BAEED8" w14:textId="77777777">
        <w:trPr>
          <w:jc w:val="center"/>
        </w:trPr>
        <w:tc>
          <w:tcPr>
            <w:tcW w:w="0" w:type="auto"/>
            <w:gridSpan w:val="3"/>
            <w:shd w:val="clear" w:color="auto" w:fill="FFFFFF"/>
            <w:tcMar>
              <w:top w:w="40" w:type="dxa"/>
              <w:left w:w="20" w:type="dxa"/>
              <w:bottom w:w="40" w:type="dxa"/>
              <w:right w:w="20" w:type="dxa"/>
            </w:tcMar>
            <w:vAlign w:val="bottom"/>
          </w:tcPr>
          <w:p w14:paraId="00BAEED5" w14:textId="77777777" w:rsidR="00871BDF" w:rsidRDefault="005C5088">
            <w:pPr>
              <w:textAlignment w:val="bottom"/>
            </w:pPr>
            <w:r>
              <w:rPr>
                <w:rFonts w:ascii="Times New Roman" w:eastAsia="宋体" w:hAnsi="Times New Roman"/>
                <w:b/>
                <w:bCs/>
                <w:color w:val="000000"/>
                <w:sz w:val="20"/>
                <w:szCs w:val="20"/>
              </w:rPr>
              <w:t xml:space="preserve">Fair value of assets </w:t>
            </w:r>
            <w:r>
              <w:rPr>
                <w:rFonts w:ascii="Times New Roman" w:eastAsia="宋体" w:hAnsi="Times New Roman"/>
                <w:b/>
                <w:bCs/>
                <w:color w:val="000000"/>
                <w:sz w:val="20"/>
                <w:szCs w:val="20"/>
              </w:rPr>
              <w:t>acquired and liabilities assumed:</w:t>
            </w:r>
          </w:p>
        </w:tc>
        <w:tc>
          <w:tcPr>
            <w:tcW w:w="0" w:type="auto"/>
            <w:gridSpan w:val="3"/>
            <w:shd w:val="clear" w:color="auto" w:fill="FFFFFF"/>
            <w:tcMar>
              <w:top w:w="0" w:type="dxa"/>
              <w:left w:w="20" w:type="dxa"/>
              <w:bottom w:w="0" w:type="dxa"/>
              <w:right w:w="20" w:type="dxa"/>
            </w:tcMar>
          </w:tcPr>
          <w:p w14:paraId="00BAEED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EED7" w14:textId="77777777" w:rsidR="00871BDF" w:rsidRDefault="00871BDF">
            <w:pPr>
              <w:rPr>
                <w:rFonts w:ascii="宋体"/>
              </w:rPr>
            </w:pPr>
          </w:p>
        </w:tc>
      </w:tr>
      <w:tr w:rsidR="00871BDF" w14:paraId="00BAEEDE" w14:textId="77777777">
        <w:trPr>
          <w:jc w:val="center"/>
        </w:trPr>
        <w:tc>
          <w:tcPr>
            <w:tcW w:w="0" w:type="auto"/>
            <w:gridSpan w:val="3"/>
            <w:shd w:val="clear" w:color="auto" w:fill="D7E4BC"/>
            <w:tcMar>
              <w:top w:w="40" w:type="dxa"/>
              <w:left w:w="20" w:type="dxa"/>
              <w:bottom w:w="40" w:type="dxa"/>
              <w:right w:w="20" w:type="dxa"/>
            </w:tcMar>
            <w:vAlign w:val="bottom"/>
          </w:tcPr>
          <w:p w14:paraId="00BAEED9" w14:textId="77777777" w:rsidR="00871BDF" w:rsidRDefault="005C5088">
            <w:pPr>
              <w:textAlignment w:val="bottom"/>
            </w:pPr>
            <w:r>
              <w:rPr>
                <w:rFonts w:ascii="Times New Roman" w:eastAsia="宋体" w:hAnsi="Times New Roman"/>
                <w:color w:val="000000"/>
                <w:sz w:val="20"/>
                <w:szCs w:val="20"/>
              </w:rPr>
              <w:t>Cash and cash equivalents</w:t>
            </w:r>
          </w:p>
        </w:tc>
        <w:tc>
          <w:tcPr>
            <w:tcW w:w="0" w:type="auto"/>
            <w:gridSpan w:val="3"/>
            <w:shd w:val="clear" w:color="auto" w:fill="D7E4BC"/>
            <w:tcMar>
              <w:top w:w="0" w:type="dxa"/>
              <w:left w:w="20" w:type="dxa"/>
              <w:bottom w:w="0" w:type="dxa"/>
              <w:right w:w="20" w:type="dxa"/>
            </w:tcMar>
          </w:tcPr>
          <w:p w14:paraId="00BAEEDA"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EED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EEDC" w14:textId="77777777" w:rsidR="00871BDF" w:rsidRDefault="005C5088">
            <w:pPr>
              <w:jc w:val="right"/>
              <w:textAlignment w:val="bottom"/>
            </w:pPr>
            <w:r>
              <w:rPr>
                <w:rFonts w:ascii="Times New Roman" w:eastAsia="宋体" w:hAnsi="Times New Roman"/>
                <w:color w:val="000000"/>
                <w:sz w:val="20"/>
                <w:szCs w:val="20"/>
              </w:rPr>
              <w:t>129.5 </w:t>
            </w:r>
          </w:p>
        </w:tc>
        <w:tc>
          <w:tcPr>
            <w:tcW w:w="0" w:type="auto"/>
            <w:shd w:val="clear" w:color="auto" w:fill="D7E4BC"/>
            <w:tcMar>
              <w:top w:w="40" w:type="dxa"/>
              <w:left w:w="0" w:type="dxa"/>
              <w:bottom w:w="40" w:type="dxa"/>
              <w:right w:w="20" w:type="dxa"/>
            </w:tcMar>
            <w:vAlign w:val="bottom"/>
          </w:tcPr>
          <w:p w14:paraId="00BAEEDD" w14:textId="77777777" w:rsidR="00871BDF" w:rsidRDefault="00871BDF">
            <w:pPr>
              <w:jc w:val="right"/>
              <w:rPr>
                <w:rFonts w:ascii="宋体"/>
              </w:rPr>
            </w:pPr>
          </w:p>
        </w:tc>
      </w:tr>
      <w:tr w:rsidR="00871BDF" w14:paraId="00BAEEE3" w14:textId="77777777">
        <w:trPr>
          <w:jc w:val="center"/>
        </w:trPr>
        <w:tc>
          <w:tcPr>
            <w:tcW w:w="0" w:type="auto"/>
            <w:gridSpan w:val="3"/>
            <w:shd w:val="clear" w:color="auto" w:fill="FFFFFF"/>
            <w:tcMar>
              <w:top w:w="40" w:type="dxa"/>
              <w:left w:w="20" w:type="dxa"/>
              <w:bottom w:w="40" w:type="dxa"/>
              <w:right w:w="20" w:type="dxa"/>
            </w:tcMar>
            <w:vAlign w:val="bottom"/>
          </w:tcPr>
          <w:p w14:paraId="00BAEEDF" w14:textId="77777777" w:rsidR="00871BDF" w:rsidRDefault="005C5088">
            <w:pPr>
              <w:textAlignment w:val="bottom"/>
            </w:pPr>
            <w:r>
              <w:rPr>
                <w:rFonts w:ascii="Times New Roman" w:eastAsia="宋体" w:hAnsi="Times New Roman"/>
                <w:color w:val="000000"/>
                <w:sz w:val="20"/>
                <w:szCs w:val="20"/>
              </w:rPr>
              <w:t>Accounts receivable</w:t>
            </w:r>
          </w:p>
        </w:tc>
        <w:tc>
          <w:tcPr>
            <w:tcW w:w="0" w:type="auto"/>
            <w:gridSpan w:val="3"/>
            <w:shd w:val="clear" w:color="auto" w:fill="FFFFFF"/>
            <w:tcMar>
              <w:top w:w="0" w:type="dxa"/>
              <w:left w:w="20" w:type="dxa"/>
              <w:bottom w:w="0" w:type="dxa"/>
              <w:right w:w="20" w:type="dxa"/>
            </w:tcMar>
          </w:tcPr>
          <w:p w14:paraId="00BAEEE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EE1" w14:textId="77777777" w:rsidR="00871BDF" w:rsidRDefault="005C5088">
            <w:pPr>
              <w:jc w:val="right"/>
              <w:textAlignment w:val="bottom"/>
            </w:pPr>
            <w:r>
              <w:rPr>
                <w:rFonts w:ascii="Times New Roman" w:eastAsia="宋体" w:hAnsi="Times New Roman"/>
                <w:color w:val="000000"/>
                <w:sz w:val="20"/>
                <w:szCs w:val="20"/>
              </w:rPr>
              <w:t>14.3 </w:t>
            </w:r>
          </w:p>
        </w:tc>
        <w:tc>
          <w:tcPr>
            <w:tcW w:w="0" w:type="auto"/>
            <w:shd w:val="clear" w:color="auto" w:fill="FFFFFF"/>
            <w:tcMar>
              <w:top w:w="40" w:type="dxa"/>
              <w:left w:w="0" w:type="dxa"/>
              <w:bottom w:w="40" w:type="dxa"/>
              <w:right w:w="20" w:type="dxa"/>
            </w:tcMar>
            <w:vAlign w:val="bottom"/>
          </w:tcPr>
          <w:p w14:paraId="00BAEEE2" w14:textId="77777777" w:rsidR="00871BDF" w:rsidRDefault="00871BDF">
            <w:pPr>
              <w:jc w:val="right"/>
              <w:rPr>
                <w:rFonts w:ascii="宋体"/>
              </w:rPr>
            </w:pPr>
          </w:p>
        </w:tc>
      </w:tr>
      <w:tr w:rsidR="00871BDF" w14:paraId="00BAEEE8" w14:textId="77777777">
        <w:trPr>
          <w:jc w:val="center"/>
        </w:trPr>
        <w:tc>
          <w:tcPr>
            <w:tcW w:w="0" w:type="auto"/>
            <w:gridSpan w:val="3"/>
            <w:shd w:val="clear" w:color="auto" w:fill="D7E4BC"/>
            <w:tcMar>
              <w:top w:w="40" w:type="dxa"/>
              <w:left w:w="20" w:type="dxa"/>
              <w:bottom w:w="40" w:type="dxa"/>
              <w:right w:w="20" w:type="dxa"/>
            </w:tcMar>
            <w:vAlign w:val="bottom"/>
          </w:tcPr>
          <w:p w14:paraId="00BAEEE4" w14:textId="77777777" w:rsidR="00871BDF" w:rsidRDefault="005C5088">
            <w:pPr>
              <w:textAlignment w:val="bottom"/>
            </w:pPr>
            <w:r>
              <w:rPr>
                <w:rFonts w:ascii="Times New Roman" w:eastAsia="宋体" w:hAnsi="Times New Roman"/>
                <w:color w:val="000000"/>
                <w:sz w:val="20"/>
                <w:szCs w:val="20"/>
              </w:rPr>
              <w:t>Inventories</w:t>
            </w:r>
          </w:p>
        </w:tc>
        <w:tc>
          <w:tcPr>
            <w:tcW w:w="0" w:type="auto"/>
            <w:gridSpan w:val="3"/>
            <w:shd w:val="clear" w:color="auto" w:fill="D7E4BC"/>
            <w:tcMar>
              <w:top w:w="0" w:type="dxa"/>
              <w:left w:w="20" w:type="dxa"/>
              <w:bottom w:w="0" w:type="dxa"/>
              <w:right w:w="20" w:type="dxa"/>
            </w:tcMar>
          </w:tcPr>
          <w:p w14:paraId="00BAEEE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EE6" w14:textId="77777777" w:rsidR="00871BDF" w:rsidRDefault="005C5088">
            <w:pPr>
              <w:jc w:val="right"/>
              <w:textAlignment w:val="bottom"/>
            </w:pPr>
            <w:r>
              <w:rPr>
                <w:rFonts w:ascii="Times New Roman" w:eastAsia="宋体" w:hAnsi="Times New Roman"/>
                <w:color w:val="000000"/>
                <w:sz w:val="20"/>
                <w:szCs w:val="20"/>
              </w:rPr>
              <w:t>16.1 </w:t>
            </w:r>
          </w:p>
        </w:tc>
        <w:tc>
          <w:tcPr>
            <w:tcW w:w="0" w:type="auto"/>
            <w:shd w:val="clear" w:color="auto" w:fill="D7E4BC"/>
            <w:tcMar>
              <w:top w:w="40" w:type="dxa"/>
              <w:left w:w="0" w:type="dxa"/>
              <w:bottom w:w="40" w:type="dxa"/>
              <w:right w:w="20" w:type="dxa"/>
            </w:tcMar>
            <w:vAlign w:val="bottom"/>
          </w:tcPr>
          <w:p w14:paraId="00BAEEE7" w14:textId="77777777" w:rsidR="00871BDF" w:rsidRDefault="00871BDF">
            <w:pPr>
              <w:jc w:val="right"/>
              <w:rPr>
                <w:rFonts w:ascii="宋体"/>
              </w:rPr>
            </w:pPr>
          </w:p>
        </w:tc>
      </w:tr>
      <w:tr w:rsidR="00871BDF" w14:paraId="00BAEEED" w14:textId="77777777">
        <w:trPr>
          <w:jc w:val="center"/>
        </w:trPr>
        <w:tc>
          <w:tcPr>
            <w:tcW w:w="0" w:type="auto"/>
            <w:gridSpan w:val="3"/>
            <w:shd w:val="clear" w:color="auto" w:fill="FFFFFF"/>
            <w:tcMar>
              <w:top w:w="40" w:type="dxa"/>
              <w:left w:w="20" w:type="dxa"/>
              <w:bottom w:w="40" w:type="dxa"/>
              <w:right w:w="20" w:type="dxa"/>
            </w:tcMar>
            <w:vAlign w:val="bottom"/>
          </w:tcPr>
          <w:p w14:paraId="00BAEEE9" w14:textId="77777777" w:rsidR="00871BDF" w:rsidRDefault="005C5088">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tcPr>
          <w:p w14:paraId="00BAEEE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EEB" w14:textId="77777777" w:rsidR="00871BDF" w:rsidRDefault="005C5088">
            <w:pPr>
              <w:jc w:val="right"/>
              <w:textAlignment w:val="bottom"/>
            </w:pPr>
            <w:r>
              <w:rPr>
                <w:rFonts w:ascii="Times New Roman" w:eastAsia="宋体" w:hAnsi="Times New Roman"/>
                <w:color w:val="000000"/>
                <w:sz w:val="20"/>
                <w:szCs w:val="20"/>
              </w:rPr>
              <w:t>20.6 </w:t>
            </w:r>
          </w:p>
        </w:tc>
        <w:tc>
          <w:tcPr>
            <w:tcW w:w="0" w:type="auto"/>
            <w:shd w:val="clear" w:color="auto" w:fill="FFFFFF"/>
            <w:tcMar>
              <w:top w:w="40" w:type="dxa"/>
              <w:left w:w="0" w:type="dxa"/>
              <w:bottom w:w="40" w:type="dxa"/>
              <w:right w:w="20" w:type="dxa"/>
            </w:tcMar>
            <w:vAlign w:val="bottom"/>
          </w:tcPr>
          <w:p w14:paraId="00BAEEEC" w14:textId="77777777" w:rsidR="00871BDF" w:rsidRDefault="00871BDF">
            <w:pPr>
              <w:jc w:val="right"/>
              <w:rPr>
                <w:rFonts w:ascii="宋体"/>
              </w:rPr>
            </w:pPr>
          </w:p>
        </w:tc>
      </w:tr>
      <w:tr w:rsidR="00871BDF" w14:paraId="00BAEEF2" w14:textId="77777777">
        <w:trPr>
          <w:jc w:val="center"/>
        </w:trPr>
        <w:tc>
          <w:tcPr>
            <w:tcW w:w="0" w:type="auto"/>
            <w:gridSpan w:val="3"/>
            <w:shd w:val="clear" w:color="auto" w:fill="D7E4BC"/>
            <w:tcMar>
              <w:top w:w="40" w:type="dxa"/>
              <w:left w:w="20" w:type="dxa"/>
              <w:bottom w:w="40" w:type="dxa"/>
              <w:right w:w="20" w:type="dxa"/>
            </w:tcMar>
            <w:vAlign w:val="bottom"/>
          </w:tcPr>
          <w:p w14:paraId="00BAEEEE" w14:textId="77777777" w:rsidR="00871BDF" w:rsidRDefault="005C5088">
            <w:pPr>
              <w:textAlignment w:val="bottom"/>
            </w:pPr>
            <w:r>
              <w:rPr>
                <w:rFonts w:ascii="Times New Roman" w:eastAsia="宋体" w:hAnsi="Times New Roman"/>
                <w:color w:val="000000"/>
                <w:sz w:val="20"/>
                <w:szCs w:val="20"/>
              </w:rPr>
              <w:t>Property, plant and equipment</w:t>
            </w:r>
          </w:p>
        </w:tc>
        <w:tc>
          <w:tcPr>
            <w:tcW w:w="0" w:type="auto"/>
            <w:gridSpan w:val="3"/>
            <w:shd w:val="clear" w:color="auto" w:fill="D7E4BC"/>
            <w:tcMar>
              <w:top w:w="0" w:type="dxa"/>
              <w:left w:w="20" w:type="dxa"/>
              <w:bottom w:w="0" w:type="dxa"/>
              <w:right w:w="20" w:type="dxa"/>
            </w:tcMar>
          </w:tcPr>
          <w:p w14:paraId="00BAEEE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EF0" w14:textId="77777777" w:rsidR="00871BDF" w:rsidRDefault="005C5088">
            <w:pPr>
              <w:jc w:val="right"/>
              <w:textAlignment w:val="bottom"/>
            </w:pPr>
            <w:r>
              <w:rPr>
                <w:rFonts w:ascii="Times New Roman" w:eastAsia="宋体" w:hAnsi="Times New Roman"/>
                <w:color w:val="000000"/>
                <w:sz w:val="20"/>
                <w:szCs w:val="20"/>
              </w:rPr>
              <w:t>254.1 </w:t>
            </w:r>
          </w:p>
        </w:tc>
        <w:tc>
          <w:tcPr>
            <w:tcW w:w="0" w:type="auto"/>
            <w:shd w:val="clear" w:color="auto" w:fill="D7E4BC"/>
            <w:tcMar>
              <w:top w:w="40" w:type="dxa"/>
              <w:left w:w="0" w:type="dxa"/>
              <w:bottom w:w="40" w:type="dxa"/>
              <w:right w:w="20" w:type="dxa"/>
            </w:tcMar>
            <w:vAlign w:val="bottom"/>
          </w:tcPr>
          <w:p w14:paraId="00BAEEF1" w14:textId="77777777" w:rsidR="00871BDF" w:rsidRDefault="00871BDF">
            <w:pPr>
              <w:jc w:val="right"/>
              <w:rPr>
                <w:rFonts w:ascii="宋体"/>
              </w:rPr>
            </w:pPr>
          </w:p>
        </w:tc>
      </w:tr>
      <w:tr w:rsidR="00871BDF" w14:paraId="00BAEEF7" w14:textId="77777777">
        <w:trPr>
          <w:jc w:val="center"/>
        </w:trPr>
        <w:tc>
          <w:tcPr>
            <w:tcW w:w="0" w:type="auto"/>
            <w:gridSpan w:val="3"/>
            <w:shd w:val="clear" w:color="auto" w:fill="FFFFFF"/>
            <w:tcMar>
              <w:top w:w="40" w:type="dxa"/>
              <w:left w:w="20" w:type="dxa"/>
              <w:bottom w:w="40" w:type="dxa"/>
              <w:right w:w="20" w:type="dxa"/>
            </w:tcMar>
            <w:vAlign w:val="bottom"/>
          </w:tcPr>
          <w:p w14:paraId="00BAEEF3" w14:textId="77777777" w:rsidR="00871BDF" w:rsidRDefault="005C5088">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tcPr>
          <w:p w14:paraId="00BAEEF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EF5" w14:textId="77777777" w:rsidR="00871BDF" w:rsidRDefault="005C5088">
            <w:pPr>
              <w:jc w:val="right"/>
              <w:textAlignment w:val="bottom"/>
            </w:pPr>
            <w:r>
              <w:rPr>
                <w:rFonts w:ascii="Times New Roman" w:eastAsia="宋体" w:hAnsi="Times New Roman"/>
                <w:color w:val="000000"/>
                <w:sz w:val="20"/>
                <w:szCs w:val="20"/>
              </w:rPr>
              <w:t>44.6 </w:t>
            </w:r>
          </w:p>
        </w:tc>
        <w:tc>
          <w:tcPr>
            <w:tcW w:w="0" w:type="auto"/>
            <w:shd w:val="clear" w:color="auto" w:fill="FFFFFF"/>
            <w:tcMar>
              <w:top w:w="40" w:type="dxa"/>
              <w:left w:w="0" w:type="dxa"/>
              <w:bottom w:w="40" w:type="dxa"/>
              <w:right w:w="20" w:type="dxa"/>
            </w:tcMar>
            <w:vAlign w:val="bottom"/>
          </w:tcPr>
          <w:p w14:paraId="00BAEEF6" w14:textId="77777777" w:rsidR="00871BDF" w:rsidRDefault="00871BDF">
            <w:pPr>
              <w:jc w:val="right"/>
              <w:rPr>
                <w:rFonts w:ascii="宋体"/>
              </w:rPr>
            </w:pPr>
          </w:p>
        </w:tc>
      </w:tr>
      <w:tr w:rsidR="00871BDF" w14:paraId="00BAEEFC" w14:textId="77777777">
        <w:trPr>
          <w:jc w:val="center"/>
        </w:trPr>
        <w:tc>
          <w:tcPr>
            <w:tcW w:w="0" w:type="auto"/>
            <w:gridSpan w:val="3"/>
            <w:shd w:val="clear" w:color="auto" w:fill="D7E4BC"/>
            <w:tcMar>
              <w:top w:w="40" w:type="dxa"/>
              <w:left w:w="20" w:type="dxa"/>
              <w:bottom w:w="40" w:type="dxa"/>
              <w:right w:w="20" w:type="dxa"/>
            </w:tcMar>
            <w:vAlign w:val="bottom"/>
          </w:tcPr>
          <w:p w14:paraId="00BAEEF8" w14:textId="77777777" w:rsidR="00871BDF" w:rsidRDefault="005C5088">
            <w:pPr>
              <w:textAlignment w:val="bottom"/>
            </w:pPr>
            <w:r>
              <w:rPr>
                <w:rFonts w:ascii="Times New Roman" w:eastAsia="宋体" w:hAnsi="Times New Roman"/>
                <w:color w:val="000000"/>
                <w:sz w:val="20"/>
                <w:szCs w:val="20"/>
              </w:rPr>
              <w:t>Other intangible assets</w:t>
            </w:r>
          </w:p>
        </w:tc>
        <w:tc>
          <w:tcPr>
            <w:tcW w:w="0" w:type="auto"/>
            <w:gridSpan w:val="3"/>
            <w:shd w:val="clear" w:color="auto" w:fill="D7E4BC"/>
            <w:tcMar>
              <w:top w:w="0" w:type="dxa"/>
              <w:left w:w="20" w:type="dxa"/>
              <w:bottom w:w="0" w:type="dxa"/>
              <w:right w:w="20" w:type="dxa"/>
            </w:tcMar>
          </w:tcPr>
          <w:p w14:paraId="00BAEEF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EFA" w14:textId="77777777" w:rsidR="00871BDF" w:rsidRDefault="005C5088">
            <w:pPr>
              <w:jc w:val="right"/>
              <w:textAlignment w:val="bottom"/>
            </w:pPr>
            <w:r>
              <w:rPr>
                <w:rFonts w:ascii="Times New Roman" w:eastAsia="宋体" w:hAnsi="Times New Roman"/>
                <w:color w:val="000000"/>
                <w:sz w:val="20"/>
                <w:szCs w:val="20"/>
              </w:rPr>
              <w:t>818.0 </w:t>
            </w:r>
          </w:p>
        </w:tc>
        <w:tc>
          <w:tcPr>
            <w:tcW w:w="0" w:type="auto"/>
            <w:shd w:val="clear" w:color="auto" w:fill="D7E4BC"/>
            <w:tcMar>
              <w:top w:w="40" w:type="dxa"/>
              <w:left w:w="0" w:type="dxa"/>
              <w:bottom w:w="40" w:type="dxa"/>
              <w:right w:w="20" w:type="dxa"/>
            </w:tcMar>
            <w:vAlign w:val="bottom"/>
          </w:tcPr>
          <w:p w14:paraId="00BAEEFB" w14:textId="77777777" w:rsidR="00871BDF" w:rsidRDefault="00871BDF">
            <w:pPr>
              <w:jc w:val="right"/>
              <w:rPr>
                <w:rFonts w:ascii="宋体"/>
              </w:rPr>
            </w:pPr>
          </w:p>
        </w:tc>
      </w:tr>
      <w:tr w:rsidR="00871BDF" w14:paraId="00BAEF01" w14:textId="77777777">
        <w:trPr>
          <w:jc w:val="center"/>
        </w:trPr>
        <w:tc>
          <w:tcPr>
            <w:tcW w:w="0" w:type="auto"/>
            <w:gridSpan w:val="3"/>
            <w:shd w:val="clear" w:color="auto" w:fill="FFFFFF"/>
            <w:tcMar>
              <w:top w:w="40" w:type="dxa"/>
              <w:left w:w="20" w:type="dxa"/>
              <w:bottom w:w="40" w:type="dxa"/>
              <w:right w:w="20" w:type="dxa"/>
            </w:tcMar>
            <w:vAlign w:val="bottom"/>
          </w:tcPr>
          <w:p w14:paraId="00BAEEFD" w14:textId="77777777" w:rsidR="00871BDF" w:rsidRDefault="005C5088">
            <w:pPr>
              <w:textAlignment w:val="bottom"/>
            </w:pPr>
            <w:r>
              <w:rPr>
                <w:rFonts w:ascii="Times New Roman" w:eastAsia="宋体" w:hAnsi="Times New Roman"/>
                <w:color w:val="000000"/>
                <w:sz w:val="20"/>
                <w:szCs w:val="20"/>
              </w:rPr>
              <w:t>Goodwill</w:t>
            </w:r>
          </w:p>
        </w:tc>
        <w:tc>
          <w:tcPr>
            <w:tcW w:w="0" w:type="auto"/>
            <w:gridSpan w:val="3"/>
            <w:shd w:val="clear" w:color="auto" w:fill="FFFFFF"/>
            <w:tcMar>
              <w:top w:w="0" w:type="dxa"/>
              <w:left w:w="20" w:type="dxa"/>
              <w:bottom w:w="0" w:type="dxa"/>
              <w:right w:w="20" w:type="dxa"/>
            </w:tcMar>
          </w:tcPr>
          <w:p w14:paraId="00BAEEF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EFF" w14:textId="77777777" w:rsidR="00871BDF" w:rsidRDefault="005C5088">
            <w:pPr>
              <w:jc w:val="right"/>
              <w:textAlignment w:val="bottom"/>
            </w:pPr>
            <w:r>
              <w:rPr>
                <w:rFonts w:ascii="Times New Roman" w:eastAsia="宋体" w:hAnsi="Times New Roman"/>
                <w:color w:val="000000"/>
                <w:sz w:val="20"/>
                <w:szCs w:val="20"/>
              </w:rPr>
              <w:t>2,164.1 </w:t>
            </w:r>
          </w:p>
        </w:tc>
        <w:tc>
          <w:tcPr>
            <w:tcW w:w="0" w:type="auto"/>
            <w:shd w:val="clear" w:color="auto" w:fill="FFFFFF"/>
            <w:tcMar>
              <w:top w:w="40" w:type="dxa"/>
              <w:left w:w="0" w:type="dxa"/>
              <w:bottom w:w="40" w:type="dxa"/>
              <w:right w:w="20" w:type="dxa"/>
            </w:tcMar>
            <w:vAlign w:val="bottom"/>
          </w:tcPr>
          <w:p w14:paraId="00BAEF00" w14:textId="77777777" w:rsidR="00871BDF" w:rsidRDefault="00871BDF">
            <w:pPr>
              <w:jc w:val="right"/>
              <w:rPr>
                <w:rFonts w:ascii="宋体"/>
              </w:rPr>
            </w:pPr>
          </w:p>
        </w:tc>
      </w:tr>
      <w:tr w:rsidR="00871BDF" w14:paraId="00BAEF07" w14:textId="77777777">
        <w:trPr>
          <w:jc w:val="center"/>
        </w:trPr>
        <w:tc>
          <w:tcPr>
            <w:tcW w:w="0" w:type="auto"/>
            <w:gridSpan w:val="3"/>
            <w:shd w:val="clear" w:color="auto" w:fill="D7E4BC"/>
            <w:tcMar>
              <w:top w:w="40" w:type="dxa"/>
              <w:left w:w="380" w:type="dxa"/>
              <w:bottom w:w="40" w:type="dxa"/>
              <w:right w:w="20" w:type="dxa"/>
            </w:tcMar>
            <w:vAlign w:val="bottom"/>
          </w:tcPr>
          <w:p w14:paraId="00BAEF02" w14:textId="77777777" w:rsidR="00871BDF" w:rsidRDefault="005C5088">
            <w:pPr>
              <w:textAlignment w:val="bottom"/>
            </w:pPr>
            <w:r>
              <w:rPr>
                <w:rFonts w:ascii="Times New Roman" w:eastAsia="宋体" w:hAnsi="Times New Roman"/>
                <w:color w:val="000000"/>
                <w:sz w:val="20"/>
                <w:szCs w:val="20"/>
              </w:rPr>
              <w:t>Total assets acquired</w:t>
            </w:r>
          </w:p>
        </w:tc>
        <w:tc>
          <w:tcPr>
            <w:tcW w:w="0" w:type="auto"/>
            <w:gridSpan w:val="3"/>
            <w:shd w:val="clear" w:color="auto" w:fill="D7E4BC"/>
            <w:tcMar>
              <w:top w:w="0" w:type="dxa"/>
              <w:left w:w="20" w:type="dxa"/>
              <w:bottom w:w="0" w:type="dxa"/>
              <w:right w:w="20" w:type="dxa"/>
            </w:tcMar>
          </w:tcPr>
          <w:p w14:paraId="00BAEF03"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F0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F05" w14:textId="77777777" w:rsidR="00871BDF" w:rsidRDefault="005C5088">
            <w:pPr>
              <w:jc w:val="right"/>
              <w:textAlignment w:val="bottom"/>
            </w:pPr>
            <w:r>
              <w:rPr>
                <w:rFonts w:ascii="Times New Roman" w:eastAsia="宋体" w:hAnsi="Times New Roman"/>
                <w:color w:val="000000"/>
                <w:sz w:val="20"/>
                <w:szCs w:val="20"/>
              </w:rPr>
              <w:t>3,461.3 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F06" w14:textId="77777777" w:rsidR="00871BDF" w:rsidRDefault="00871BDF">
            <w:pPr>
              <w:jc w:val="right"/>
              <w:rPr>
                <w:rFonts w:ascii="宋体"/>
              </w:rPr>
            </w:pPr>
          </w:p>
        </w:tc>
      </w:tr>
      <w:tr w:rsidR="00871BDF" w14:paraId="00BAEF0C" w14:textId="77777777">
        <w:trPr>
          <w:jc w:val="center"/>
        </w:trPr>
        <w:tc>
          <w:tcPr>
            <w:tcW w:w="0" w:type="auto"/>
            <w:gridSpan w:val="3"/>
            <w:shd w:val="clear" w:color="auto" w:fill="FFFFFF"/>
            <w:tcMar>
              <w:top w:w="40" w:type="dxa"/>
              <w:left w:w="20" w:type="dxa"/>
              <w:bottom w:w="40" w:type="dxa"/>
              <w:right w:w="20" w:type="dxa"/>
            </w:tcMar>
            <w:vAlign w:val="bottom"/>
          </w:tcPr>
          <w:p w14:paraId="00BAEF08" w14:textId="77777777" w:rsidR="00871BDF" w:rsidRDefault="005C5088">
            <w:pPr>
              <w:textAlignment w:val="bottom"/>
            </w:pPr>
            <w:r>
              <w:rPr>
                <w:rFonts w:ascii="Times New Roman" w:eastAsia="宋体" w:hAnsi="Times New Roman"/>
                <w:color w:val="000000"/>
                <w:sz w:val="20"/>
                <w:szCs w:val="20"/>
              </w:rPr>
              <w:t>Accounts payable</w:t>
            </w:r>
          </w:p>
        </w:tc>
        <w:tc>
          <w:tcPr>
            <w:tcW w:w="0" w:type="auto"/>
            <w:gridSpan w:val="3"/>
            <w:shd w:val="clear" w:color="auto" w:fill="FFFFFF"/>
            <w:tcMar>
              <w:top w:w="0" w:type="dxa"/>
              <w:left w:w="20" w:type="dxa"/>
              <w:bottom w:w="0" w:type="dxa"/>
              <w:right w:w="20" w:type="dxa"/>
            </w:tcMar>
          </w:tcPr>
          <w:p w14:paraId="00BAEF0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center"/>
          </w:tcPr>
          <w:p w14:paraId="00BAEF0A" w14:textId="77777777" w:rsidR="00871BDF" w:rsidRDefault="005C5088">
            <w:pPr>
              <w:jc w:val="right"/>
              <w:textAlignment w:val="center"/>
            </w:pPr>
            <w:r>
              <w:rPr>
                <w:rFonts w:ascii="Times New Roman" w:eastAsia="宋体" w:hAnsi="Times New Roman"/>
                <w:color w:val="000000"/>
                <w:sz w:val="20"/>
                <w:szCs w:val="20"/>
              </w:rPr>
              <w:t>34.7 </w:t>
            </w:r>
          </w:p>
        </w:tc>
        <w:tc>
          <w:tcPr>
            <w:tcW w:w="0" w:type="auto"/>
            <w:shd w:val="clear" w:color="auto" w:fill="FFFFFF"/>
            <w:tcMar>
              <w:top w:w="40" w:type="dxa"/>
              <w:left w:w="0" w:type="dxa"/>
              <w:bottom w:w="40" w:type="dxa"/>
              <w:right w:w="20" w:type="dxa"/>
            </w:tcMar>
            <w:vAlign w:val="center"/>
          </w:tcPr>
          <w:p w14:paraId="00BAEF0B" w14:textId="77777777" w:rsidR="00871BDF" w:rsidRDefault="00871BDF">
            <w:pPr>
              <w:jc w:val="right"/>
              <w:rPr>
                <w:rFonts w:ascii="宋体"/>
              </w:rPr>
            </w:pPr>
          </w:p>
        </w:tc>
      </w:tr>
      <w:tr w:rsidR="00871BDF" w14:paraId="00BAEF11" w14:textId="77777777">
        <w:trPr>
          <w:jc w:val="center"/>
        </w:trPr>
        <w:tc>
          <w:tcPr>
            <w:tcW w:w="0" w:type="auto"/>
            <w:gridSpan w:val="3"/>
            <w:shd w:val="clear" w:color="auto" w:fill="D7E4BC"/>
            <w:tcMar>
              <w:top w:w="40" w:type="dxa"/>
              <w:left w:w="20" w:type="dxa"/>
              <w:bottom w:w="40" w:type="dxa"/>
              <w:right w:w="20" w:type="dxa"/>
            </w:tcMar>
            <w:vAlign w:val="bottom"/>
          </w:tcPr>
          <w:p w14:paraId="00BAEF0D" w14:textId="77777777" w:rsidR="00871BDF" w:rsidRDefault="005C5088">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tcPr>
          <w:p w14:paraId="00BAEF0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F0F" w14:textId="77777777" w:rsidR="00871BDF" w:rsidRDefault="005C5088">
            <w:pPr>
              <w:jc w:val="right"/>
              <w:textAlignment w:val="bottom"/>
            </w:pPr>
            <w:r>
              <w:rPr>
                <w:rFonts w:ascii="Times New Roman" w:eastAsia="宋体" w:hAnsi="Times New Roman"/>
                <w:color w:val="000000"/>
                <w:sz w:val="20"/>
                <w:szCs w:val="20"/>
              </w:rPr>
              <w:t>187.7 </w:t>
            </w:r>
          </w:p>
        </w:tc>
        <w:tc>
          <w:tcPr>
            <w:tcW w:w="0" w:type="auto"/>
            <w:shd w:val="clear" w:color="auto" w:fill="D7E4BC"/>
            <w:tcMar>
              <w:top w:w="40" w:type="dxa"/>
              <w:left w:w="0" w:type="dxa"/>
              <w:bottom w:w="40" w:type="dxa"/>
              <w:right w:w="20" w:type="dxa"/>
            </w:tcMar>
            <w:vAlign w:val="bottom"/>
          </w:tcPr>
          <w:p w14:paraId="00BAEF10" w14:textId="77777777" w:rsidR="00871BDF" w:rsidRDefault="00871BDF">
            <w:pPr>
              <w:jc w:val="right"/>
              <w:rPr>
                <w:rFonts w:ascii="宋体"/>
              </w:rPr>
            </w:pPr>
          </w:p>
        </w:tc>
      </w:tr>
      <w:tr w:rsidR="00871BDF" w14:paraId="00BAEF16" w14:textId="77777777">
        <w:trPr>
          <w:jc w:val="center"/>
        </w:trPr>
        <w:tc>
          <w:tcPr>
            <w:tcW w:w="0" w:type="auto"/>
            <w:gridSpan w:val="3"/>
            <w:shd w:val="clear" w:color="auto" w:fill="FFFFFF"/>
            <w:tcMar>
              <w:top w:w="40" w:type="dxa"/>
              <w:left w:w="20" w:type="dxa"/>
              <w:bottom w:w="40" w:type="dxa"/>
              <w:right w:w="20" w:type="dxa"/>
            </w:tcMar>
            <w:vAlign w:val="bottom"/>
          </w:tcPr>
          <w:p w14:paraId="00BAEF12" w14:textId="77777777" w:rsidR="00871BDF" w:rsidRDefault="005C5088">
            <w:pPr>
              <w:textAlignment w:val="bottom"/>
            </w:pPr>
            <w:r>
              <w:rPr>
                <w:rFonts w:ascii="Times New Roman" w:eastAsia="宋体" w:hAnsi="Times New Roman"/>
                <w:color w:val="000000"/>
                <w:sz w:val="20"/>
                <w:szCs w:val="20"/>
              </w:rPr>
              <w:t>Stored value card liability</w:t>
            </w:r>
          </w:p>
        </w:tc>
        <w:tc>
          <w:tcPr>
            <w:tcW w:w="0" w:type="auto"/>
            <w:gridSpan w:val="3"/>
            <w:shd w:val="clear" w:color="auto" w:fill="FFFFFF"/>
            <w:tcMar>
              <w:top w:w="0" w:type="dxa"/>
              <w:left w:w="20" w:type="dxa"/>
              <w:bottom w:w="0" w:type="dxa"/>
              <w:right w:w="20" w:type="dxa"/>
            </w:tcMar>
          </w:tcPr>
          <w:p w14:paraId="00BAEF1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center"/>
          </w:tcPr>
          <w:p w14:paraId="00BAEF14" w14:textId="77777777" w:rsidR="00871BDF" w:rsidRDefault="005C5088">
            <w:pPr>
              <w:jc w:val="right"/>
              <w:textAlignment w:val="center"/>
            </w:pPr>
            <w:r>
              <w:rPr>
                <w:rFonts w:ascii="Times New Roman" w:eastAsia="宋体" w:hAnsi="Times New Roman"/>
                <w:color w:val="000000"/>
                <w:sz w:val="20"/>
                <w:szCs w:val="20"/>
              </w:rPr>
              <w:t>21.7 </w:t>
            </w:r>
          </w:p>
        </w:tc>
        <w:tc>
          <w:tcPr>
            <w:tcW w:w="0" w:type="auto"/>
            <w:shd w:val="clear" w:color="auto" w:fill="FFFFFF"/>
            <w:tcMar>
              <w:top w:w="40" w:type="dxa"/>
              <w:left w:w="0" w:type="dxa"/>
              <w:bottom w:w="40" w:type="dxa"/>
              <w:right w:w="20" w:type="dxa"/>
            </w:tcMar>
            <w:vAlign w:val="center"/>
          </w:tcPr>
          <w:p w14:paraId="00BAEF15" w14:textId="77777777" w:rsidR="00871BDF" w:rsidRDefault="00871BDF">
            <w:pPr>
              <w:jc w:val="right"/>
              <w:rPr>
                <w:rFonts w:ascii="宋体"/>
              </w:rPr>
            </w:pPr>
          </w:p>
        </w:tc>
      </w:tr>
      <w:tr w:rsidR="00871BDF" w14:paraId="00BAEF1A" w14:textId="77777777">
        <w:trPr>
          <w:jc w:val="center"/>
          <w:hidden/>
        </w:trPr>
        <w:tc>
          <w:tcPr>
            <w:tcW w:w="0" w:type="auto"/>
            <w:gridSpan w:val="3"/>
            <w:shd w:val="clear" w:color="auto" w:fill="auto"/>
          </w:tcPr>
          <w:p w14:paraId="00BAEF17" w14:textId="77777777" w:rsidR="00871BDF" w:rsidRDefault="00871BDF">
            <w:pPr>
              <w:rPr>
                <w:rFonts w:ascii="宋体"/>
                <w:vanish/>
              </w:rPr>
            </w:pPr>
          </w:p>
        </w:tc>
        <w:tc>
          <w:tcPr>
            <w:tcW w:w="0" w:type="auto"/>
            <w:gridSpan w:val="3"/>
            <w:shd w:val="clear" w:color="auto" w:fill="auto"/>
          </w:tcPr>
          <w:p w14:paraId="00BAEF18" w14:textId="77777777" w:rsidR="00871BDF" w:rsidRDefault="00871BDF">
            <w:pPr>
              <w:rPr>
                <w:rFonts w:ascii="宋体"/>
                <w:vanish/>
              </w:rPr>
            </w:pPr>
          </w:p>
        </w:tc>
        <w:tc>
          <w:tcPr>
            <w:tcW w:w="0" w:type="auto"/>
            <w:gridSpan w:val="3"/>
            <w:shd w:val="clear" w:color="auto" w:fill="auto"/>
          </w:tcPr>
          <w:p w14:paraId="00BAEF19" w14:textId="77777777" w:rsidR="00871BDF" w:rsidRDefault="00871BDF">
            <w:pPr>
              <w:rPr>
                <w:rFonts w:ascii="宋体"/>
                <w:vanish/>
              </w:rPr>
            </w:pPr>
          </w:p>
        </w:tc>
      </w:tr>
      <w:tr w:rsidR="00871BDF" w14:paraId="00BAEF1F" w14:textId="77777777">
        <w:trPr>
          <w:jc w:val="center"/>
        </w:trPr>
        <w:tc>
          <w:tcPr>
            <w:tcW w:w="0" w:type="auto"/>
            <w:gridSpan w:val="3"/>
            <w:shd w:val="clear" w:color="auto" w:fill="D7E4BC"/>
            <w:tcMar>
              <w:top w:w="40" w:type="dxa"/>
              <w:left w:w="20" w:type="dxa"/>
              <w:bottom w:w="40" w:type="dxa"/>
              <w:right w:w="20" w:type="dxa"/>
            </w:tcMar>
            <w:vAlign w:val="bottom"/>
          </w:tcPr>
          <w:p w14:paraId="00BAEF1B" w14:textId="77777777" w:rsidR="00871BDF" w:rsidRDefault="005C5088">
            <w:pPr>
              <w:textAlignment w:val="bottom"/>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tcPr>
          <w:p w14:paraId="00BAEF1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F1D" w14:textId="77777777" w:rsidR="00871BDF" w:rsidRDefault="005C5088">
            <w:pPr>
              <w:jc w:val="right"/>
              <w:textAlignment w:val="bottom"/>
            </w:pPr>
            <w:r>
              <w:rPr>
                <w:rFonts w:ascii="Times New Roman" w:eastAsia="宋体" w:hAnsi="Times New Roman"/>
                <w:color w:val="000000"/>
                <w:sz w:val="20"/>
                <w:szCs w:val="20"/>
              </w:rPr>
              <w:t>245.1 </w:t>
            </w:r>
          </w:p>
        </w:tc>
        <w:tc>
          <w:tcPr>
            <w:tcW w:w="0" w:type="auto"/>
            <w:shd w:val="clear" w:color="auto" w:fill="D7E4BC"/>
            <w:tcMar>
              <w:top w:w="40" w:type="dxa"/>
              <w:left w:w="0" w:type="dxa"/>
              <w:bottom w:w="40" w:type="dxa"/>
              <w:right w:w="20" w:type="dxa"/>
            </w:tcMar>
            <w:vAlign w:val="bottom"/>
          </w:tcPr>
          <w:p w14:paraId="00BAEF1E" w14:textId="77777777" w:rsidR="00871BDF" w:rsidRDefault="00871BDF">
            <w:pPr>
              <w:jc w:val="right"/>
              <w:rPr>
                <w:rFonts w:ascii="宋体"/>
              </w:rPr>
            </w:pPr>
          </w:p>
        </w:tc>
      </w:tr>
      <w:tr w:rsidR="00871BDF" w14:paraId="00BAEF24" w14:textId="77777777">
        <w:trPr>
          <w:jc w:val="center"/>
        </w:trPr>
        <w:tc>
          <w:tcPr>
            <w:tcW w:w="0" w:type="auto"/>
            <w:gridSpan w:val="3"/>
            <w:shd w:val="clear" w:color="auto" w:fill="FFFFFF"/>
            <w:tcMar>
              <w:top w:w="40" w:type="dxa"/>
              <w:left w:w="155" w:type="dxa"/>
              <w:bottom w:w="40" w:type="dxa"/>
              <w:right w:w="20" w:type="dxa"/>
            </w:tcMar>
            <w:vAlign w:val="bottom"/>
          </w:tcPr>
          <w:p w14:paraId="00BAEF20" w14:textId="77777777" w:rsidR="00871BDF" w:rsidRDefault="005C5088">
            <w:pPr>
              <w:textAlignment w:val="bottom"/>
            </w:pPr>
            <w:r>
              <w:rPr>
                <w:rFonts w:ascii="Times New Roman" w:eastAsia="宋体" w:hAnsi="Times New Roman"/>
                <w:color w:val="000000"/>
                <w:sz w:val="20"/>
                <w:szCs w:val="20"/>
              </w:rPr>
              <w:t xml:space="preserve">Total liabilities </w:t>
            </w:r>
            <w:r>
              <w:rPr>
                <w:rFonts w:ascii="Times New Roman" w:eastAsia="宋体" w:hAnsi="Times New Roman"/>
                <w:color w:val="000000"/>
                <w:sz w:val="20"/>
                <w:szCs w:val="20"/>
              </w:rPr>
              <w:t>assumed</w:t>
            </w:r>
          </w:p>
        </w:tc>
        <w:tc>
          <w:tcPr>
            <w:tcW w:w="0" w:type="auto"/>
            <w:gridSpan w:val="3"/>
            <w:shd w:val="clear" w:color="auto" w:fill="FFFFFF"/>
            <w:tcMar>
              <w:top w:w="0" w:type="dxa"/>
              <w:left w:w="20" w:type="dxa"/>
              <w:bottom w:w="0" w:type="dxa"/>
              <w:right w:w="20" w:type="dxa"/>
            </w:tcMar>
          </w:tcPr>
          <w:p w14:paraId="00BAEF21"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EF22" w14:textId="77777777" w:rsidR="00871BDF" w:rsidRDefault="005C5088">
            <w:pPr>
              <w:jc w:val="right"/>
              <w:textAlignment w:val="bottom"/>
            </w:pPr>
            <w:r>
              <w:rPr>
                <w:rFonts w:ascii="Times New Roman" w:eastAsia="宋体" w:hAnsi="Times New Roman"/>
                <w:color w:val="000000"/>
                <w:sz w:val="20"/>
                <w:szCs w:val="20"/>
              </w:rPr>
              <w:t>489.2 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EF23" w14:textId="77777777" w:rsidR="00871BDF" w:rsidRDefault="00871BDF">
            <w:pPr>
              <w:jc w:val="right"/>
              <w:rPr>
                <w:rFonts w:ascii="宋体"/>
              </w:rPr>
            </w:pPr>
          </w:p>
        </w:tc>
      </w:tr>
      <w:tr w:rsidR="00871BDF" w14:paraId="00BAEF2A" w14:textId="77777777">
        <w:trPr>
          <w:jc w:val="center"/>
        </w:trPr>
        <w:tc>
          <w:tcPr>
            <w:tcW w:w="0" w:type="auto"/>
            <w:gridSpan w:val="3"/>
            <w:shd w:val="clear" w:color="auto" w:fill="D7E4BC"/>
            <w:tcMar>
              <w:top w:w="40" w:type="dxa"/>
              <w:left w:w="380" w:type="dxa"/>
              <w:bottom w:w="40" w:type="dxa"/>
              <w:right w:w="20" w:type="dxa"/>
            </w:tcMar>
            <w:vAlign w:val="bottom"/>
          </w:tcPr>
          <w:p w14:paraId="00BAEF25" w14:textId="77777777" w:rsidR="00871BDF" w:rsidRDefault="005C5088">
            <w:pPr>
              <w:textAlignment w:val="bottom"/>
            </w:pPr>
            <w:r>
              <w:rPr>
                <w:rFonts w:ascii="Times New Roman" w:eastAsia="宋体" w:hAnsi="Times New Roman"/>
                <w:color w:val="000000"/>
                <w:sz w:val="20"/>
                <w:szCs w:val="20"/>
              </w:rPr>
              <w:t>Total consideration</w:t>
            </w:r>
          </w:p>
        </w:tc>
        <w:tc>
          <w:tcPr>
            <w:tcW w:w="0" w:type="auto"/>
            <w:gridSpan w:val="3"/>
            <w:shd w:val="clear" w:color="auto" w:fill="D7E4BC"/>
            <w:tcMar>
              <w:top w:w="0" w:type="dxa"/>
              <w:left w:w="20" w:type="dxa"/>
              <w:bottom w:w="0" w:type="dxa"/>
              <w:right w:w="20" w:type="dxa"/>
            </w:tcMar>
          </w:tcPr>
          <w:p w14:paraId="00BAEF26" w14:textId="77777777" w:rsidR="00871BDF" w:rsidRDefault="00871BDF">
            <w:pPr>
              <w:rPr>
                <w:rFonts w:ascii="宋体"/>
              </w:rPr>
            </w:pPr>
          </w:p>
        </w:tc>
        <w:tc>
          <w:tcPr>
            <w:tcW w:w="0" w:type="auto"/>
            <w:tcBorders>
              <w:bottom w:val="double" w:sz="6" w:space="0" w:color="000000"/>
            </w:tcBorders>
            <w:shd w:val="clear" w:color="auto" w:fill="D7E4BC"/>
            <w:tcMar>
              <w:top w:w="40" w:type="dxa"/>
              <w:left w:w="20" w:type="dxa"/>
              <w:bottom w:w="40" w:type="dxa"/>
              <w:right w:w="0" w:type="dxa"/>
            </w:tcMar>
            <w:vAlign w:val="bottom"/>
          </w:tcPr>
          <w:p w14:paraId="00BAEF27" w14:textId="77777777" w:rsidR="00871BDF" w:rsidRDefault="005C5088">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D7E4BC"/>
            <w:tcMar>
              <w:top w:w="40" w:type="dxa"/>
              <w:left w:w="0" w:type="dxa"/>
              <w:bottom w:w="40" w:type="dxa"/>
              <w:right w:w="0" w:type="dxa"/>
            </w:tcMar>
            <w:vAlign w:val="bottom"/>
          </w:tcPr>
          <w:p w14:paraId="00BAEF28" w14:textId="77777777" w:rsidR="00871BDF" w:rsidRDefault="005C5088">
            <w:pPr>
              <w:jc w:val="right"/>
              <w:textAlignment w:val="bottom"/>
            </w:pPr>
            <w:r>
              <w:rPr>
                <w:rFonts w:ascii="Times New Roman" w:eastAsia="宋体" w:hAnsi="Times New Roman"/>
                <w:color w:val="000000"/>
                <w:sz w:val="20"/>
                <w:szCs w:val="20"/>
              </w:rPr>
              <w:t>2,972.1 </w:t>
            </w:r>
          </w:p>
        </w:tc>
        <w:tc>
          <w:tcPr>
            <w:tcW w:w="0" w:type="auto"/>
            <w:tcBorders>
              <w:bottom w:val="double" w:sz="6" w:space="0" w:color="000000"/>
            </w:tcBorders>
            <w:shd w:val="clear" w:color="auto" w:fill="D7E4BC"/>
            <w:tcMar>
              <w:top w:w="40" w:type="dxa"/>
              <w:left w:w="0" w:type="dxa"/>
              <w:bottom w:w="40" w:type="dxa"/>
              <w:right w:w="20" w:type="dxa"/>
            </w:tcMar>
            <w:vAlign w:val="bottom"/>
          </w:tcPr>
          <w:p w14:paraId="00BAEF29" w14:textId="77777777" w:rsidR="00871BDF" w:rsidRDefault="00871BDF">
            <w:pPr>
              <w:jc w:val="right"/>
              <w:rPr>
                <w:rFonts w:ascii="宋体"/>
              </w:rPr>
            </w:pPr>
          </w:p>
        </w:tc>
      </w:tr>
    </w:tbl>
    <w:p w14:paraId="00BAEF2B" w14:textId="77777777" w:rsidR="00871BDF" w:rsidRDefault="005C5088">
      <w:pPr>
        <w:spacing w:before="120"/>
      </w:pPr>
      <w:r>
        <w:rPr>
          <w:rFonts w:ascii="Times New Roman" w:eastAsia="宋体" w:hAnsi="Times New Roman"/>
          <w:color w:val="000000"/>
          <w:sz w:val="20"/>
          <w:szCs w:val="20"/>
        </w:rPr>
        <w:t xml:space="preserve">As a result of this acquisition, we remeasured the carrying value of our preexisting 50% equity method investment to fair value, which resulted in a total gain of $1.4 billion that is not subject to </w:t>
      </w:r>
      <w:r>
        <w:rPr>
          <w:rFonts w:ascii="Times New Roman" w:eastAsia="宋体" w:hAnsi="Times New Roman"/>
          <w:color w:val="000000"/>
          <w:sz w:val="20"/>
          <w:szCs w:val="20"/>
        </w:rPr>
        <w:t>income tax, and was presented as gain resulting from acquisition of joint venture on our consolidated statements of earnings. The fair value of $1.4 billion was calculated using an income approach, which was based on significant inputs that are not observa</w:t>
      </w:r>
      <w:r>
        <w:rPr>
          <w:rFonts w:ascii="Times New Roman" w:eastAsia="宋体" w:hAnsi="Times New Roman"/>
          <w:color w:val="000000"/>
          <w:sz w:val="20"/>
          <w:szCs w:val="20"/>
        </w:rPr>
        <w:t>ble in the market and thus represents a fair value measurement categorized within Level 3 of the fair value hierarchy. Key assumptions used in estimating future cash flows included projected revenue growth and operating expenses, as well as the selection o</w:t>
      </w:r>
      <w:r>
        <w:rPr>
          <w:rFonts w:ascii="Times New Roman" w:eastAsia="宋体" w:hAnsi="Times New Roman"/>
          <w:color w:val="000000"/>
          <w:sz w:val="20"/>
          <w:szCs w:val="20"/>
        </w:rPr>
        <w:t>f an appropriate discount rate. Estimates of revenue growth and operating expenses were based on internal projections and considered the historical performance of stores, local market economics and the business environments impacting store performance. The</w:t>
      </w:r>
      <w:r>
        <w:rPr>
          <w:rFonts w:ascii="Times New Roman" w:eastAsia="宋体" w:hAnsi="Times New Roman"/>
          <w:color w:val="000000"/>
          <w:sz w:val="20"/>
          <w:szCs w:val="20"/>
        </w:rPr>
        <w:t xml:space="preserve"> discount rate applied was based on East China's weighted-average cost of capital and included company-specific and size risk premiums.</w:t>
      </w:r>
    </w:p>
    <w:p w14:paraId="00BAEF2C" w14:textId="77777777" w:rsidR="00871BDF" w:rsidRDefault="005C5088">
      <w:pPr>
        <w:spacing w:before="120"/>
      </w:pPr>
      <w:r>
        <w:rPr>
          <w:rFonts w:ascii="Times New Roman" w:eastAsia="宋体" w:hAnsi="Times New Roman"/>
          <w:color w:val="000000"/>
          <w:sz w:val="20"/>
          <w:szCs w:val="20"/>
        </w:rPr>
        <w:t>The assets acquired and liabilities assumed are reported within our International segment. Other current and long-term a</w:t>
      </w:r>
      <w:r>
        <w:rPr>
          <w:rFonts w:ascii="Times New Roman" w:eastAsia="宋体" w:hAnsi="Times New Roman"/>
          <w:color w:val="000000"/>
          <w:sz w:val="20"/>
          <w:szCs w:val="20"/>
        </w:rPr>
        <w:t>ssets acquired primarily include lease deposits and prepaid rent. Accrued liabilities and other long-term liabilities assumed primarily include deferred income tax, dividend payable, accrued payroll, income tax payable and accrued occupancy costs.</w:t>
      </w:r>
    </w:p>
    <w:p w14:paraId="00BAEF2D" w14:textId="77777777" w:rsidR="00871BDF" w:rsidRDefault="005C5088">
      <w:pPr>
        <w:spacing w:before="120"/>
      </w:pPr>
      <w:r>
        <w:rPr>
          <w:rFonts w:ascii="Times New Roman" w:eastAsia="宋体" w:hAnsi="Times New Roman"/>
          <w:color w:val="000000"/>
          <w:sz w:val="20"/>
          <w:szCs w:val="20"/>
        </w:rPr>
        <w:t>The defi</w:t>
      </w:r>
      <w:r>
        <w:rPr>
          <w:rFonts w:ascii="Times New Roman" w:eastAsia="宋体" w:hAnsi="Times New Roman"/>
          <w:color w:val="000000"/>
          <w:sz w:val="20"/>
          <w:szCs w:val="20"/>
        </w:rPr>
        <w:t xml:space="preserve">nite-lived intangibles primarily relate to reacquired rights to operate stores exclusively in East China. The reacquired rights of $798.0 million represent the fair value calculated over the remaining original contractual period and will be amortized on a </w:t>
      </w:r>
      <w:r>
        <w:rPr>
          <w:rFonts w:ascii="Times New Roman" w:eastAsia="宋体" w:hAnsi="Times New Roman"/>
          <w:color w:val="000000"/>
          <w:sz w:val="20"/>
          <w:szCs w:val="20"/>
        </w:rPr>
        <w:t>straight-line basis through September 2022. Amortization expense for these definite-lived intangible assets was $160.6 million and $163.8 million for fiscal 2020 and 2019, respectively. The estimated future amortization expense is approximately $157.8 mill</w:t>
      </w:r>
      <w:r>
        <w:rPr>
          <w:rFonts w:ascii="Times New Roman" w:eastAsia="宋体" w:hAnsi="Times New Roman"/>
          <w:color w:val="000000"/>
          <w:sz w:val="20"/>
          <w:szCs w:val="20"/>
        </w:rPr>
        <w:t>ion and $154.4 million in fiscal 2021 and 2022, respectively.</w:t>
      </w:r>
    </w:p>
    <w:p w14:paraId="00BAEF2E" w14:textId="77777777" w:rsidR="00871BDF" w:rsidRDefault="005C5088">
      <w:pPr>
        <w:spacing w:before="120"/>
      </w:pPr>
      <w:r>
        <w:rPr>
          <w:rFonts w:ascii="Times New Roman" w:eastAsia="宋体" w:hAnsi="Times New Roman"/>
          <w:color w:val="000000"/>
          <w:sz w:val="20"/>
          <w:szCs w:val="20"/>
        </w:rPr>
        <w:t>Goodwill represents the intangible assets that do not qualify for separate recognition and primarily includes the acquired customer base, the acquired workforce including store partners in the r</w:t>
      </w:r>
      <w:r>
        <w:rPr>
          <w:rFonts w:ascii="Times New Roman" w:eastAsia="宋体" w:hAnsi="Times New Roman"/>
          <w:color w:val="000000"/>
          <w:sz w:val="20"/>
          <w:szCs w:val="20"/>
        </w:rPr>
        <w:t>egion that have strong relationships with these customers and the existing geographic retail and online presence. The entire balance was allocated to the International segment and is not deductible for income tax purposes. Due to foreign currency translati</w:t>
      </w:r>
      <w:r>
        <w:rPr>
          <w:rFonts w:ascii="Times New Roman" w:eastAsia="宋体" w:hAnsi="Times New Roman"/>
          <w:color w:val="000000"/>
          <w:sz w:val="20"/>
          <w:szCs w:val="20"/>
        </w:rPr>
        <w:t>on, the balance of goodwill related to the acquisition decreased $102.8 million since the date of acquisition to $2.1 billion as of September 27, 2020.</w:t>
      </w:r>
    </w:p>
    <w:p w14:paraId="00BAEF2F" w14:textId="77777777" w:rsidR="00871BDF" w:rsidRDefault="005C5088">
      <w:pPr>
        <w:spacing w:before="120"/>
      </w:pPr>
      <w:r>
        <w:rPr>
          <w:rFonts w:ascii="Times New Roman" w:eastAsia="宋体" w:hAnsi="Times New Roman"/>
          <w:color w:val="000000"/>
          <w:sz w:val="20"/>
          <w:szCs w:val="20"/>
        </w:rPr>
        <w:t>We began consolidating East China's results of operations and cash flows into our consolidated financial</w:t>
      </w:r>
      <w:r>
        <w:rPr>
          <w:rFonts w:ascii="Times New Roman" w:eastAsia="宋体" w:hAnsi="Times New Roman"/>
          <w:color w:val="000000"/>
          <w:sz w:val="20"/>
          <w:szCs w:val="20"/>
        </w:rPr>
        <w:t xml:space="preserve"> statements after December 31, 2017. For the year ended September 30, 2018, East China's revenue included in our consolidated statements of earnings was $903.0 million. For the year ended September 30, 2018, East China's net earnings included in our consol</w:t>
      </w:r>
      <w:r>
        <w:rPr>
          <w:rFonts w:ascii="Times New Roman" w:eastAsia="宋体" w:hAnsi="Times New Roman"/>
          <w:color w:val="000000"/>
          <w:sz w:val="20"/>
          <w:szCs w:val="20"/>
        </w:rPr>
        <w:t>idated statements of earnings was $73.1 million.</w:t>
      </w:r>
    </w:p>
    <w:p w14:paraId="00BAEF30" w14:textId="77777777" w:rsidR="00871BDF" w:rsidRDefault="005C5088">
      <w:pPr>
        <w:jc w:val="center"/>
      </w:pPr>
      <w:r>
        <w:rPr>
          <w:rFonts w:ascii="Times New Roman" w:eastAsia="宋体" w:hAnsi="Times New Roman"/>
          <w:color w:val="000000"/>
          <w:sz w:val="20"/>
          <w:szCs w:val="20"/>
        </w:rPr>
        <w:t>64</w:t>
      </w:r>
    </w:p>
    <w:p w14:paraId="00BAEF31" w14:textId="77777777" w:rsidR="00871BDF" w:rsidRDefault="005C5088">
      <w:r>
        <w:pict w14:anchorId="00BB14A5">
          <v:rect id="_x0000_i1091" style="width:415.3pt;height:1.5pt" o:hralign="center" o:hrstd="t" o:hr="t" fillcolor="#a0a0a0" stroked="f"/>
        </w:pict>
      </w:r>
    </w:p>
    <w:p w14:paraId="00BAEF32" w14:textId="77777777" w:rsidR="00871BDF" w:rsidRDefault="005C5088">
      <w:hyperlink r:id="rId195" w:anchor="i54ccc64cb5384be5a4849ef1cdef4dde_7" w:history="1">
        <w:r>
          <w:rPr>
            <w:rStyle w:val="a5"/>
            <w:rFonts w:ascii="Times New Roman" w:eastAsia="宋体" w:hAnsi="Times New Roman"/>
            <w:sz w:val="20"/>
            <w:szCs w:val="20"/>
          </w:rPr>
          <w:t>Table of Contents</w:t>
        </w:r>
      </w:hyperlink>
    </w:p>
    <w:p w14:paraId="00BAEF33" w14:textId="77777777" w:rsidR="00871BDF" w:rsidRDefault="005C5088">
      <w:pPr>
        <w:spacing w:before="120"/>
      </w:pPr>
      <w:r>
        <w:rPr>
          <w:rFonts w:ascii="Times New Roman" w:eastAsia="宋体" w:hAnsi="Times New Roman"/>
          <w:color w:val="000000"/>
          <w:sz w:val="20"/>
          <w:szCs w:val="20"/>
        </w:rPr>
        <w:t>The following table provides the supplemental pro forma revenue and net earnings of the combined entity had the acquisition date of East China been October 3, 2016, the first day of our first quarter of fiscal 2017, rather than the end of our first quarter</w:t>
      </w:r>
      <w:r>
        <w:rPr>
          <w:rFonts w:ascii="Times New Roman" w:eastAsia="宋体" w:hAnsi="Times New Roman"/>
          <w:color w:val="000000"/>
          <w:sz w:val="20"/>
          <w:szCs w:val="20"/>
        </w:rPr>
        <w:t xml:space="preserve"> of fiscal 2018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5281"/>
        <w:gridCol w:w="36"/>
        <w:gridCol w:w="36"/>
        <w:gridCol w:w="36"/>
        <w:gridCol w:w="36"/>
        <w:gridCol w:w="36"/>
        <w:gridCol w:w="36"/>
        <w:gridCol w:w="120"/>
        <w:gridCol w:w="2633"/>
        <w:gridCol w:w="36"/>
      </w:tblGrid>
      <w:tr w:rsidR="00871BDF" w14:paraId="00BAEF3F" w14:textId="77777777">
        <w:trPr>
          <w:jc w:val="center"/>
        </w:trPr>
        <w:tc>
          <w:tcPr>
            <w:tcW w:w="50" w:type="pct"/>
            <w:shd w:val="clear" w:color="auto" w:fill="auto"/>
          </w:tcPr>
          <w:p w14:paraId="00BAEF34" w14:textId="77777777" w:rsidR="00871BDF" w:rsidRDefault="00871BDF">
            <w:pPr>
              <w:rPr>
                <w:rFonts w:ascii="宋体"/>
              </w:rPr>
            </w:pPr>
          </w:p>
        </w:tc>
        <w:tc>
          <w:tcPr>
            <w:tcW w:w="3256" w:type="pct"/>
            <w:shd w:val="clear" w:color="auto" w:fill="auto"/>
          </w:tcPr>
          <w:p w14:paraId="00BAEF35" w14:textId="77777777" w:rsidR="00871BDF" w:rsidRDefault="00871BDF">
            <w:pPr>
              <w:rPr>
                <w:rFonts w:ascii="宋体"/>
              </w:rPr>
            </w:pPr>
          </w:p>
        </w:tc>
        <w:tc>
          <w:tcPr>
            <w:tcW w:w="5" w:type="pct"/>
            <w:shd w:val="clear" w:color="auto" w:fill="auto"/>
          </w:tcPr>
          <w:p w14:paraId="00BAEF36" w14:textId="77777777" w:rsidR="00871BDF" w:rsidRDefault="00871BDF">
            <w:pPr>
              <w:rPr>
                <w:rFonts w:ascii="宋体"/>
              </w:rPr>
            </w:pPr>
          </w:p>
        </w:tc>
        <w:tc>
          <w:tcPr>
            <w:tcW w:w="0" w:type="auto"/>
            <w:shd w:val="clear" w:color="auto" w:fill="auto"/>
          </w:tcPr>
          <w:p w14:paraId="00BAEF37" w14:textId="77777777" w:rsidR="00871BDF" w:rsidRDefault="00871BDF">
            <w:pPr>
              <w:rPr>
                <w:rFonts w:ascii="宋体"/>
                <w:vanish/>
              </w:rPr>
            </w:pPr>
          </w:p>
        </w:tc>
        <w:tc>
          <w:tcPr>
            <w:tcW w:w="0" w:type="auto"/>
            <w:shd w:val="clear" w:color="auto" w:fill="auto"/>
          </w:tcPr>
          <w:p w14:paraId="00BAEF38" w14:textId="77777777" w:rsidR="00871BDF" w:rsidRDefault="00871BDF">
            <w:pPr>
              <w:rPr>
                <w:rFonts w:ascii="宋体"/>
                <w:vanish/>
              </w:rPr>
            </w:pPr>
          </w:p>
        </w:tc>
        <w:tc>
          <w:tcPr>
            <w:tcW w:w="0" w:type="auto"/>
            <w:shd w:val="clear" w:color="auto" w:fill="auto"/>
          </w:tcPr>
          <w:p w14:paraId="00BAEF39" w14:textId="77777777" w:rsidR="00871BDF" w:rsidRDefault="00871BDF">
            <w:pPr>
              <w:rPr>
                <w:rFonts w:ascii="宋体"/>
                <w:vanish/>
              </w:rPr>
            </w:pPr>
          </w:p>
        </w:tc>
        <w:tc>
          <w:tcPr>
            <w:tcW w:w="0" w:type="auto"/>
            <w:shd w:val="clear" w:color="auto" w:fill="auto"/>
          </w:tcPr>
          <w:p w14:paraId="00BAEF3A" w14:textId="77777777" w:rsidR="00871BDF" w:rsidRDefault="00871BDF">
            <w:pPr>
              <w:rPr>
                <w:rFonts w:ascii="宋体"/>
                <w:vanish/>
              </w:rPr>
            </w:pPr>
          </w:p>
        </w:tc>
        <w:tc>
          <w:tcPr>
            <w:tcW w:w="0" w:type="auto"/>
            <w:shd w:val="clear" w:color="auto" w:fill="auto"/>
          </w:tcPr>
          <w:p w14:paraId="00BAEF3B" w14:textId="77777777" w:rsidR="00871BDF" w:rsidRDefault="00871BDF">
            <w:pPr>
              <w:rPr>
                <w:rFonts w:ascii="宋体"/>
                <w:vanish/>
              </w:rPr>
            </w:pPr>
          </w:p>
        </w:tc>
        <w:tc>
          <w:tcPr>
            <w:tcW w:w="50" w:type="pct"/>
            <w:shd w:val="clear" w:color="auto" w:fill="auto"/>
          </w:tcPr>
          <w:p w14:paraId="00BAEF3C" w14:textId="77777777" w:rsidR="00871BDF" w:rsidRDefault="00871BDF">
            <w:pPr>
              <w:rPr>
                <w:rFonts w:ascii="宋体"/>
              </w:rPr>
            </w:pPr>
          </w:p>
        </w:tc>
        <w:tc>
          <w:tcPr>
            <w:tcW w:w="1633" w:type="pct"/>
            <w:shd w:val="clear" w:color="auto" w:fill="auto"/>
          </w:tcPr>
          <w:p w14:paraId="00BAEF3D" w14:textId="77777777" w:rsidR="00871BDF" w:rsidRDefault="00871BDF">
            <w:pPr>
              <w:rPr>
                <w:rFonts w:ascii="宋体"/>
              </w:rPr>
            </w:pPr>
          </w:p>
        </w:tc>
        <w:tc>
          <w:tcPr>
            <w:tcW w:w="5" w:type="pct"/>
            <w:shd w:val="clear" w:color="auto" w:fill="auto"/>
          </w:tcPr>
          <w:p w14:paraId="00BAEF3E" w14:textId="77777777" w:rsidR="00871BDF" w:rsidRDefault="00871BDF">
            <w:pPr>
              <w:rPr>
                <w:rFonts w:ascii="宋体"/>
              </w:rPr>
            </w:pPr>
          </w:p>
        </w:tc>
      </w:tr>
      <w:tr w:rsidR="00871BDF" w14:paraId="00BAEF47" w14:textId="77777777">
        <w:trPr>
          <w:jc w:val="center"/>
        </w:trPr>
        <w:tc>
          <w:tcPr>
            <w:tcW w:w="0" w:type="auto"/>
            <w:gridSpan w:val="3"/>
            <w:shd w:val="clear" w:color="auto" w:fill="auto"/>
            <w:tcMar>
              <w:top w:w="0" w:type="dxa"/>
              <w:left w:w="20" w:type="dxa"/>
              <w:bottom w:w="0" w:type="dxa"/>
              <w:right w:w="20" w:type="dxa"/>
            </w:tcMar>
          </w:tcPr>
          <w:p w14:paraId="00BAEF40" w14:textId="77777777" w:rsidR="00871BDF" w:rsidRDefault="00871BDF">
            <w:pPr>
              <w:rPr>
                <w:rFonts w:ascii="宋体"/>
              </w:rPr>
            </w:pPr>
          </w:p>
        </w:tc>
        <w:tc>
          <w:tcPr>
            <w:tcW w:w="0" w:type="auto"/>
            <w:shd w:val="clear" w:color="auto" w:fill="auto"/>
          </w:tcPr>
          <w:p w14:paraId="00BAEF41" w14:textId="77777777" w:rsidR="00871BDF" w:rsidRDefault="00871BDF">
            <w:pPr>
              <w:rPr>
                <w:rFonts w:ascii="宋体"/>
                <w:vanish/>
              </w:rPr>
            </w:pPr>
          </w:p>
        </w:tc>
        <w:tc>
          <w:tcPr>
            <w:tcW w:w="0" w:type="auto"/>
            <w:shd w:val="clear" w:color="auto" w:fill="auto"/>
          </w:tcPr>
          <w:p w14:paraId="00BAEF42" w14:textId="77777777" w:rsidR="00871BDF" w:rsidRDefault="00871BDF">
            <w:pPr>
              <w:rPr>
                <w:rFonts w:ascii="宋体"/>
                <w:vanish/>
              </w:rPr>
            </w:pPr>
          </w:p>
        </w:tc>
        <w:tc>
          <w:tcPr>
            <w:tcW w:w="0" w:type="auto"/>
            <w:shd w:val="clear" w:color="auto" w:fill="auto"/>
          </w:tcPr>
          <w:p w14:paraId="00BAEF43" w14:textId="77777777" w:rsidR="00871BDF" w:rsidRDefault="00871BDF">
            <w:pPr>
              <w:rPr>
                <w:rFonts w:ascii="宋体"/>
                <w:vanish/>
              </w:rPr>
            </w:pPr>
          </w:p>
        </w:tc>
        <w:tc>
          <w:tcPr>
            <w:tcW w:w="0" w:type="auto"/>
            <w:shd w:val="clear" w:color="auto" w:fill="auto"/>
          </w:tcPr>
          <w:p w14:paraId="00BAEF44" w14:textId="77777777" w:rsidR="00871BDF" w:rsidRDefault="00871BDF">
            <w:pPr>
              <w:rPr>
                <w:rFonts w:ascii="宋体"/>
                <w:vanish/>
              </w:rPr>
            </w:pPr>
          </w:p>
        </w:tc>
        <w:tc>
          <w:tcPr>
            <w:tcW w:w="0" w:type="auto"/>
            <w:shd w:val="clear" w:color="auto" w:fill="auto"/>
          </w:tcPr>
          <w:p w14:paraId="00BAEF45" w14:textId="77777777" w:rsidR="00871BDF" w:rsidRDefault="00871BDF">
            <w:pPr>
              <w:rPr>
                <w:rFonts w:ascii="宋体"/>
                <w:vanish/>
              </w:rPr>
            </w:pPr>
          </w:p>
        </w:tc>
        <w:tc>
          <w:tcPr>
            <w:tcW w:w="0" w:type="auto"/>
            <w:gridSpan w:val="3"/>
            <w:shd w:val="clear" w:color="auto" w:fill="00704A"/>
            <w:tcMar>
              <w:top w:w="40" w:type="dxa"/>
              <w:left w:w="20" w:type="dxa"/>
              <w:bottom w:w="40" w:type="dxa"/>
              <w:right w:w="20" w:type="dxa"/>
            </w:tcMar>
            <w:vAlign w:val="bottom"/>
          </w:tcPr>
          <w:p w14:paraId="00BAEF46" w14:textId="77777777" w:rsidR="00871BDF" w:rsidRDefault="005C5088">
            <w:pPr>
              <w:jc w:val="center"/>
              <w:textAlignment w:val="bottom"/>
            </w:pPr>
            <w:r>
              <w:rPr>
                <w:rFonts w:ascii="Times New Roman" w:eastAsia="宋体" w:hAnsi="Times New Roman"/>
                <w:b/>
                <w:bCs/>
                <w:color w:val="FFFFFF"/>
                <w:sz w:val="16"/>
                <w:szCs w:val="16"/>
              </w:rPr>
              <w:t>Year Ended</w:t>
            </w:r>
          </w:p>
        </w:tc>
      </w:tr>
      <w:tr w:rsidR="00871BDF" w14:paraId="00BAEF4F" w14:textId="77777777">
        <w:trPr>
          <w:jc w:val="center"/>
        </w:trPr>
        <w:tc>
          <w:tcPr>
            <w:tcW w:w="0" w:type="auto"/>
            <w:gridSpan w:val="3"/>
            <w:shd w:val="clear" w:color="auto" w:fill="auto"/>
            <w:tcMar>
              <w:top w:w="0" w:type="dxa"/>
              <w:left w:w="20" w:type="dxa"/>
              <w:bottom w:w="0" w:type="dxa"/>
              <w:right w:w="20" w:type="dxa"/>
            </w:tcMar>
          </w:tcPr>
          <w:p w14:paraId="00BAEF48" w14:textId="77777777" w:rsidR="00871BDF" w:rsidRDefault="00871BDF">
            <w:pPr>
              <w:rPr>
                <w:rFonts w:ascii="宋体"/>
              </w:rPr>
            </w:pPr>
          </w:p>
        </w:tc>
        <w:tc>
          <w:tcPr>
            <w:tcW w:w="0" w:type="auto"/>
            <w:shd w:val="clear" w:color="auto" w:fill="auto"/>
          </w:tcPr>
          <w:p w14:paraId="00BAEF49" w14:textId="77777777" w:rsidR="00871BDF" w:rsidRDefault="00871BDF">
            <w:pPr>
              <w:rPr>
                <w:rFonts w:ascii="宋体"/>
                <w:vanish/>
              </w:rPr>
            </w:pPr>
          </w:p>
        </w:tc>
        <w:tc>
          <w:tcPr>
            <w:tcW w:w="0" w:type="auto"/>
            <w:shd w:val="clear" w:color="auto" w:fill="auto"/>
          </w:tcPr>
          <w:p w14:paraId="00BAEF4A" w14:textId="77777777" w:rsidR="00871BDF" w:rsidRDefault="00871BDF">
            <w:pPr>
              <w:rPr>
                <w:rFonts w:ascii="宋体"/>
                <w:vanish/>
              </w:rPr>
            </w:pPr>
          </w:p>
        </w:tc>
        <w:tc>
          <w:tcPr>
            <w:tcW w:w="0" w:type="auto"/>
            <w:shd w:val="clear" w:color="auto" w:fill="auto"/>
          </w:tcPr>
          <w:p w14:paraId="00BAEF4B" w14:textId="77777777" w:rsidR="00871BDF" w:rsidRDefault="00871BDF">
            <w:pPr>
              <w:rPr>
                <w:rFonts w:ascii="宋体"/>
                <w:vanish/>
              </w:rPr>
            </w:pPr>
          </w:p>
        </w:tc>
        <w:tc>
          <w:tcPr>
            <w:tcW w:w="0" w:type="auto"/>
            <w:shd w:val="clear" w:color="auto" w:fill="auto"/>
          </w:tcPr>
          <w:p w14:paraId="00BAEF4C" w14:textId="77777777" w:rsidR="00871BDF" w:rsidRDefault="00871BDF">
            <w:pPr>
              <w:rPr>
                <w:rFonts w:ascii="宋体"/>
                <w:vanish/>
              </w:rPr>
            </w:pPr>
          </w:p>
        </w:tc>
        <w:tc>
          <w:tcPr>
            <w:tcW w:w="0" w:type="auto"/>
            <w:shd w:val="clear" w:color="auto" w:fill="auto"/>
          </w:tcPr>
          <w:p w14:paraId="00BAEF4D" w14:textId="77777777" w:rsidR="00871BDF" w:rsidRDefault="00871BDF">
            <w:pPr>
              <w:rPr>
                <w:rFonts w:ascii="宋体"/>
                <w:vanish/>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F4E" w14:textId="77777777" w:rsidR="00871BDF" w:rsidRDefault="005C5088">
            <w:pPr>
              <w:jc w:val="center"/>
              <w:textAlignment w:val="bottom"/>
            </w:pPr>
            <w:r>
              <w:rPr>
                <w:rFonts w:ascii="Times New Roman" w:eastAsia="宋体" w:hAnsi="Times New Roman"/>
                <w:b/>
                <w:bCs/>
                <w:color w:val="FFFFFF"/>
                <w:sz w:val="16"/>
                <w:szCs w:val="16"/>
              </w:rPr>
              <w:t>Sep 30, 2018</w:t>
            </w:r>
          </w:p>
        </w:tc>
      </w:tr>
      <w:tr w:rsidR="00871BDF" w14:paraId="00BAEF59" w14:textId="77777777">
        <w:trPr>
          <w:jc w:val="center"/>
        </w:trPr>
        <w:tc>
          <w:tcPr>
            <w:tcW w:w="0" w:type="auto"/>
            <w:gridSpan w:val="3"/>
            <w:shd w:val="clear" w:color="auto" w:fill="D7E4BC"/>
            <w:tcMar>
              <w:top w:w="40" w:type="dxa"/>
              <w:left w:w="20" w:type="dxa"/>
              <w:bottom w:w="40" w:type="dxa"/>
              <w:right w:w="20" w:type="dxa"/>
            </w:tcMar>
            <w:vAlign w:val="bottom"/>
          </w:tcPr>
          <w:p w14:paraId="00BAEF50" w14:textId="77777777" w:rsidR="00871BDF" w:rsidRDefault="005C5088">
            <w:pPr>
              <w:textAlignment w:val="bottom"/>
            </w:pPr>
            <w:r>
              <w:rPr>
                <w:rFonts w:ascii="Times New Roman" w:eastAsia="宋体" w:hAnsi="Times New Roman"/>
                <w:color w:val="000000"/>
                <w:sz w:val="20"/>
                <w:szCs w:val="20"/>
              </w:rPr>
              <w:t>Revenue</w:t>
            </w:r>
          </w:p>
        </w:tc>
        <w:tc>
          <w:tcPr>
            <w:tcW w:w="0" w:type="auto"/>
            <w:shd w:val="clear" w:color="auto" w:fill="auto"/>
          </w:tcPr>
          <w:p w14:paraId="00BAEF51" w14:textId="77777777" w:rsidR="00871BDF" w:rsidRDefault="00871BDF">
            <w:pPr>
              <w:rPr>
                <w:rFonts w:ascii="宋体"/>
                <w:vanish/>
              </w:rPr>
            </w:pPr>
          </w:p>
        </w:tc>
        <w:tc>
          <w:tcPr>
            <w:tcW w:w="0" w:type="auto"/>
            <w:shd w:val="clear" w:color="auto" w:fill="auto"/>
          </w:tcPr>
          <w:p w14:paraId="00BAEF52" w14:textId="77777777" w:rsidR="00871BDF" w:rsidRDefault="00871BDF">
            <w:pPr>
              <w:rPr>
                <w:rFonts w:ascii="宋体"/>
                <w:vanish/>
              </w:rPr>
            </w:pPr>
          </w:p>
        </w:tc>
        <w:tc>
          <w:tcPr>
            <w:tcW w:w="0" w:type="auto"/>
            <w:shd w:val="clear" w:color="auto" w:fill="auto"/>
          </w:tcPr>
          <w:p w14:paraId="00BAEF53" w14:textId="77777777" w:rsidR="00871BDF" w:rsidRDefault="00871BDF">
            <w:pPr>
              <w:rPr>
                <w:rFonts w:ascii="宋体"/>
                <w:vanish/>
              </w:rPr>
            </w:pPr>
          </w:p>
        </w:tc>
        <w:tc>
          <w:tcPr>
            <w:tcW w:w="0" w:type="auto"/>
            <w:shd w:val="clear" w:color="auto" w:fill="auto"/>
          </w:tcPr>
          <w:p w14:paraId="00BAEF54" w14:textId="77777777" w:rsidR="00871BDF" w:rsidRDefault="00871BDF">
            <w:pPr>
              <w:rPr>
                <w:rFonts w:ascii="宋体"/>
                <w:vanish/>
              </w:rPr>
            </w:pPr>
          </w:p>
        </w:tc>
        <w:tc>
          <w:tcPr>
            <w:tcW w:w="0" w:type="auto"/>
            <w:shd w:val="clear" w:color="auto" w:fill="auto"/>
          </w:tcPr>
          <w:p w14:paraId="00BAEF55" w14:textId="77777777" w:rsidR="00871BDF" w:rsidRDefault="00871BDF">
            <w:pPr>
              <w:rPr>
                <w:rFonts w:ascii="宋体"/>
                <w:vanish/>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EF5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EF57" w14:textId="77777777" w:rsidR="00871BDF" w:rsidRDefault="005C5088">
            <w:pPr>
              <w:jc w:val="right"/>
              <w:textAlignment w:val="bottom"/>
            </w:pPr>
            <w:r>
              <w:rPr>
                <w:rFonts w:ascii="Times New Roman" w:eastAsia="宋体" w:hAnsi="Times New Roman"/>
                <w:color w:val="000000"/>
                <w:sz w:val="20"/>
                <w:szCs w:val="20"/>
              </w:rPr>
              <w:t>24,990.4 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EF58" w14:textId="77777777" w:rsidR="00871BDF" w:rsidRDefault="00871BDF">
            <w:pPr>
              <w:jc w:val="right"/>
              <w:rPr>
                <w:rFonts w:ascii="宋体"/>
              </w:rPr>
            </w:pPr>
          </w:p>
        </w:tc>
      </w:tr>
      <w:tr w:rsidR="00871BDF" w14:paraId="00BAEF62" w14:textId="77777777">
        <w:trPr>
          <w:jc w:val="center"/>
        </w:trPr>
        <w:tc>
          <w:tcPr>
            <w:tcW w:w="0" w:type="auto"/>
            <w:gridSpan w:val="3"/>
            <w:shd w:val="clear" w:color="auto" w:fill="FFFFFF"/>
            <w:tcMar>
              <w:top w:w="40" w:type="dxa"/>
              <w:left w:w="20" w:type="dxa"/>
              <w:bottom w:w="40" w:type="dxa"/>
              <w:right w:w="20" w:type="dxa"/>
            </w:tcMar>
            <w:vAlign w:val="center"/>
          </w:tcPr>
          <w:p w14:paraId="00BAEF5A" w14:textId="77777777" w:rsidR="00871BDF" w:rsidRDefault="005C5088">
            <w:pPr>
              <w:textAlignment w:val="center"/>
            </w:pPr>
            <w:r>
              <w:rPr>
                <w:rFonts w:ascii="Times New Roman" w:eastAsia="宋体" w:hAnsi="Times New Roman"/>
                <w:color w:val="000000"/>
                <w:sz w:val="20"/>
                <w:szCs w:val="20"/>
              </w:rPr>
              <w:t>Net earnings attributable to Starbucks</w:t>
            </w:r>
          </w:p>
        </w:tc>
        <w:tc>
          <w:tcPr>
            <w:tcW w:w="0" w:type="auto"/>
            <w:shd w:val="clear" w:color="auto" w:fill="auto"/>
          </w:tcPr>
          <w:p w14:paraId="00BAEF5B" w14:textId="77777777" w:rsidR="00871BDF" w:rsidRDefault="00871BDF">
            <w:pPr>
              <w:rPr>
                <w:rFonts w:ascii="宋体"/>
                <w:vanish/>
              </w:rPr>
            </w:pPr>
          </w:p>
        </w:tc>
        <w:tc>
          <w:tcPr>
            <w:tcW w:w="0" w:type="auto"/>
            <w:shd w:val="clear" w:color="auto" w:fill="auto"/>
          </w:tcPr>
          <w:p w14:paraId="00BAEF5C" w14:textId="77777777" w:rsidR="00871BDF" w:rsidRDefault="00871BDF">
            <w:pPr>
              <w:rPr>
                <w:rFonts w:ascii="宋体"/>
                <w:vanish/>
              </w:rPr>
            </w:pPr>
          </w:p>
        </w:tc>
        <w:tc>
          <w:tcPr>
            <w:tcW w:w="0" w:type="auto"/>
            <w:shd w:val="clear" w:color="auto" w:fill="auto"/>
          </w:tcPr>
          <w:p w14:paraId="00BAEF5D" w14:textId="77777777" w:rsidR="00871BDF" w:rsidRDefault="00871BDF">
            <w:pPr>
              <w:rPr>
                <w:rFonts w:ascii="宋体"/>
                <w:vanish/>
              </w:rPr>
            </w:pPr>
          </w:p>
        </w:tc>
        <w:tc>
          <w:tcPr>
            <w:tcW w:w="0" w:type="auto"/>
            <w:shd w:val="clear" w:color="auto" w:fill="auto"/>
          </w:tcPr>
          <w:p w14:paraId="00BAEF5E" w14:textId="77777777" w:rsidR="00871BDF" w:rsidRDefault="00871BDF">
            <w:pPr>
              <w:rPr>
                <w:rFonts w:ascii="宋体"/>
                <w:vanish/>
              </w:rPr>
            </w:pPr>
          </w:p>
        </w:tc>
        <w:tc>
          <w:tcPr>
            <w:tcW w:w="0" w:type="auto"/>
            <w:shd w:val="clear" w:color="auto" w:fill="auto"/>
          </w:tcPr>
          <w:p w14:paraId="00BAEF5F" w14:textId="77777777" w:rsidR="00871BDF" w:rsidRDefault="00871BDF">
            <w:pPr>
              <w:rPr>
                <w:rFonts w:ascii="宋体"/>
                <w:vanish/>
              </w:rPr>
            </w:pPr>
          </w:p>
        </w:tc>
        <w:tc>
          <w:tcPr>
            <w:tcW w:w="0" w:type="auto"/>
            <w:gridSpan w:val="2"/>
            <w:shd w:val="clear" w:color="auto" w:fill="FFFFFF"/>
            <w:tcMar>
              <w:top w:w="40" w:type="dxa"/>
              <w:left w:w="20" w:type="dxa"/>
              <w:bottom w:w="40" w:type="dxa"/>
              <w:right w:w="0" w:type="dxa"/>
            </w:tcMar>
            <w:vAlign w:val="bottom"/>
          </w:tcPr>
          <w:p w14:paraId="00BAEF60" w14:textId="77777777" w:rsidR="00871BDF" w:rsidRDefault="005C5088">
            <w:pPr>
              <w:jc w:val="right"/>
              <w:textAlignment w:val="bottom"/>
            </w:pPr>
            <w:r>
              <w:rPr>
                <w:rFonts w:ascii="Times New Roman" w:eastAsia="宋体" w:hAnsi="Times New Roman"/>
                <w:color w:val="000000"/>
                <w:sz w:val="20"/>
                <w:szCs w:val="20"/>
              </w:rPr>
              <w:t>3,196.8 </w:t>
            </w:r>
          </w:p>
        </w:tc>
        <w:tc>
          <w:tcPr>
            <w:tcW w:w="0" w:type="auto"/>
            <w:shd w:val="clear" w:color="auto" w:fill="FFFFFF"/>
            <w:tcMar>
              <w:top w:w="40" w:type="dxa"/>
              <w:left w:w="0" w:type="dxa"/>
              <w:bottom w:w="40" w:type="dxa"/>
              <w:right w:w="20" w:type="dxa"/>
            </w:tcMar>
            <w:vAlign w:val="bottom"/>
          </w:tcPr>
          <w:p w14:paraId="00BAEF61" w14:textId="77777777" w:rsidR="00871BDF" w:rsidRDefault="00871BDF">
            <w:pPr>
              <w:jc w:val="right"/>
              <w:rPr>
                <w:rFonts w:ascii="宋体"/>
              </w:rPr>
            </w:pPr>
          </w:p>
        </w:tc>
      </w:tr>
    </w:tbl>
    <w:p w14:paraId="00BAEF63" w14:textId="77777777" w:rsidR="00871BDF" w:rsidRDefault="005C5088">
      <w:pPr>
        <w:spacing w:before="120"/>
      </w:pPr>
      <w:r>
        <w:rPr>
          <w:rFonts w:ascii="Times New Roman" w:eastAsia="宋体" w:hAnsi="Times New Roman"/>
          <w:color w:val="000000"/>
          <w:sz w:val="20"/>
          <w:szCs w:val="20"/>
        </w:rPr>
        <w:t xml:space="preserve">The amounts in the supplemental pro forma earnings for the periods presented above fully </w:t>
      </w:r>
      <w:r>
        <w:rPr>
          <w:rFonts w:ascii="Times New Roman" w:eastAsia="宋体" w:hAnsi="Times New Roman"/>
          <w:color w:val="000000"/>
          <w:sz w:val="20"/>
          <w:szCs w:val="20"/>
        </w:rPr>
        <w:t>eliminate intercompany transactions, apply our accounting policies and reflect adjustments for additional occupancy costs as well as depreciation and amortization that would have been charged assuming the same fair value adjustments to leases, property, pl</w:t>
      </w:r>
      <w:r>
        <w:rPr>
          <w:rFonts w:ascii="Times New Roman" w:eastAsia="宋体" w:hAnsi="Times New Roman"/>
          <w:color w:val="000000"/>
          <w:sz w:val="20"/>
          <w:szCs w:val="20"/>
        </w:rPr>
        <w:t>ant and equipment and acquired intangibles had been applied on October 3, 2016. These pro forma results are unaudited and are not necessarily indicative of results of operations that would have occurred had the acquisition actually closed in the prior peri</w:t>
      </w:r>
      <w:r>
        <w:rPr>
          <w:rFonts w:ascii="Times New Roman" w:eastAsia="宋体" w:hAnsi="Times New Roman"/>
          <w:color w:val="000000"/>
          <w:sz w:val="20"/>
          <w:szCs w:val="20"/>
        </w:rPr>
        <w:t>od or indicative of the results of operations for any future period.</w:t>
      </w:r>
    </w:p>
    <w:p w14:paraId="00BAEF64" w14:textId="77777777" w:rsidR="00871BDF" w:rsidRDefault="005C5088">
      <w:pPr>
        <w:spacing w:before="120"/>
      </w:pPr>
      <w:r>
        <w:rPr>
          <w:rFonts w:ascii="Times New Roman" w:eastAsia="宋体" w:hAnsi="Times New Roman"/>
          <w:color w:val="000000"/>
          <w:sz w:val="20"/>
          <w:szCs w:val="20"/>
        </w:rPr>
        <w:t xml:space="preserve">During the year ended September 30, 2018, we incurred approximately $3.6 million of acquisition-related costs, such as regulatory, legal and advisory fees, which were recorded in general </w:t>
      </w:r>
      <w:r>
        <w:rPr>
          <w:rFonts w:ascii="Times New Roman" w:eastAsia="宋体" w:hAnsi="Times New Roman"/>
          <w:color w:val="000000"/>
          <w:sz w:val="20"/>
          <w:szCs w:val="20"/>
        </w:rPr>
        <w:t>and administrative expenses.</w:t>
      </w:r>
    </w:p>
    <w:p w14:paraId="00BAEF65" w14:textId="77777777" w:rsidR="00871BDF" w:rsidRDefault="005C5088">
      <w:pPr>
        <w:spacing w:before="120"/>
      </w:pPr>
      <w:r>
        <w:rPr>
          <w:rFonts w:ascii="Times New Roman" w:eastAsia="宋体" w:hAnsi="Times New Roman"/>
          <w:color w:val="000000"/>
          <w:sz w:val="20"/>
          <w:szCs w:val="20"/>
        </w:rPr>
        <w:t>In the first quarter of fiscal 2018, we sold the assets associated with our Tazo brand including Tazo</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signature recipes, intellectual property and inventory to Unilever for a total of $383.8 million. The transaction resulted i</w:t>
      </w:r>
      <w:r>
        <w:rPr>
          <w:rFonts w:ascii="Times New Roman" w:eastAsia="宋体" w:hAnsi="Times New Roman"/>
          <w:color w:val="000000"/>
          <w:sz w:val="20"/>
          <w:szCs w:val="20"/>
        </w:rPr>
        <w:t>n a pre-tax gain of $347.9 million, which was included in the net gain from divestiture of certain operations on our consolidated statements of earnings. Results from Tazo operations prior to the sale were reported primarily in Channel Development.</w:t>
      </w:r>
    </w:p>
    <w:p w14:paraId="00BAEF66" w14:textId="77777777" w:rsidR="00871BDF" w:rsidRDefault="005C5088">
      <w:pPr>
        <w:spacing w:before="120"/>
      </w:pPr>
      <w:r>
        <w:rPr>
          <w:rFonts w:ascii="Times New Roman" w:eastAsia="宋体" w:hAnsi="Times New Roman"/>
          <w:b/>
          <w:bCs/>
          <w:color w:val="000000"/>
          <w:sz w:val="20"/>
          <w:szCs w:val="20"/>
        </w:rPr>
        <w:t>Note 3:</w:t>
      </w:r>
      <w:r>
        <w:rPr>
          <w:rFonts w:ascii="Times New Roman" w:eastAsia="宋体" w:hAnsi="Times New Roman"/>
          <w:b/>
          <w:bCs/>
          <w:color w:val="000000"/>
          <w:sz w:val="20"/>
          <w:szCs w:val="20"/>
        </w:rPr>
        <w:t>    Derivative Financial Instruments</w:t>
      </w:r>
    </w:p>
    <w:p w14:paraId="00BAEF67" w14:textId="77777777" w:rsidR="00871BDF" w:rsidRDefault="005C5088">
      <w:pPr>
        <w:spacing w:before="120" w:after="60"/>
      </w:pPr>
      <w:r>
        <w:rPr>
          <w:rFonts w:ascii="Times New Roman" w:eastAsia="宋体" w:hAnsi="Times New Roman"/>
          <w:b/>
          <w:bCs/>
          <w:i/>
          <w:iCs/>
          <w:color w:val="000000"/>
          <w:sz w:val="20"/>
          <w:szCs w:val="20"/>
        </w:rPr>
        <w:t>Interest Rates</w:t>
      </w:r>
    </w:p>
    <w:p w14:paraId="00BAEF68" w14:textId="77777777" w:rsidR="00871BDF" w:rsidRDefault="005C5088">
      <w:pPr>
        <w:spacing w:before="120" w:after="60"/>
      </w:pPr>
      <w:r>
        <w:rPr>
          <w:rFonts w:ascii="Times New Roman" w:eastAsia="宋体" w:hAnsi="Times New Roman"/>
          <w:color w:val="000000"/>
          <w:sz w:val="20"/>
          <w:szCs w:val="20"/>
        </w:rPr>
        <w:t xml:space="preserve">From time to time, we enter into designated cash flow hedges to manage the variability in cash flows due to changes in benchmark interest rates. We enter into interest rate swap agreements and </w:t>
      </w:r>
      <w:r>
        <w:rPr>
          <w:rFonts w:ascii="Times New Roman" w:eastAsia="宋体" w:hAnsi="Times New Roman"/>
          <w:color w:val="000000"/>
          <w:sz w:val="20"/>
          <w:szCs w:val="20"/>
        </w:rPr>
        <w:t>treasury locks, which are synthetic forward sales of U.S. treasury securities settled in cash based upon the difference between an agreed-upon treasury rate and the prevailing treasury rate at settlement. These agreements are cash settled at the time of th</w:t>
      </w:r>
      <w:r>
        <w:rPr>
          <w:rFonts w:ascii="Times New Roman" w:eastAsia="宋体" w:hAnsi="Times New Roman"/>
          <w:color w:val="000000"/>
          <w:sz w:val="20"/>
          <w:szCs w:val="20"/>
        </w:rPr>
        <w:t>e pricing of the related debt. Each derivative agreement's gain or loss is recorded in AOCI and is subsequently reclassified to interest expense over the life of the related debt.</w:t>
      </w:r>
    </w:p>
    <w:p w14:paraId="00BAEF69" w14:textId="77777777" w:rsidR="00871BDF" w:rsidRDefault="005C5088">
      <w:pPr>
        <w:spacing w:before="120" w:after="60"/>
      </w:pPr>
      <w:r>
        <w:rPr>
          <w:rFonts w:ascii="Times New Roman" w:eastAsia="宋体" w:hAnsi="Times New Roman"/>
          <w:color w:val="000000"/>
          <w:sz w:val="20"/>
          <w:szCs w:val="20"/>
        </w:rPr>
        <w:t>To hedge the exposure to changes in the fair value of our fixed-rate debt, w</w:t>
      </w:r>
      <w:r>
        <w:rPr>
          <w:rFonts w:ascii="Times New Roman" w:eastAsia="宋体" w:hAnsi="Times New Roman"/>
          <w:color w:val="000000"/>
          <w:sz w:val="20"/>
          <w:szCs w:val="20"/>
        </w:rPr>
        <w:t>e enter into interest rate swap agreements, which are designated as fair value hedges. The changes in fair values of these derivative instruments and the offsetting changes in fair values of the underlying hedged debt due to changes in the relevant benchma</w:t>
      </w:r>
      <w:r>
        <w:rPr>
          <w:rFonts w:ascii="Times New Roman" w:eastAsia="宋体" w:hAnsi="Times New Roman"/>
          <w:color w:val="000000"/>
          <w:sz w:val="20"/>
          <w:szCs w:val="20"/>
        </w:rPr>
        <w:t>rk interest rates are recorded in interest expense. Refer to </w:t>
      </w:r>
      <w:hyperlink r:id="rId196" w:anchor="i54ccc64cb5384be5a4849ef1cdef4dde_163"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Debt, for additional information</w:t>
      </w:r>
      <w:r>
        <w:rPr>
          <w:rFonts w:ascii="Times New Roman" w:eastAsia="宋体" w:hAnsi="Times New Roman"/>
          <w:color w:val="000000"/>
          <w:sz w:val="20"/>
          <w:szCs w:val="20"/>
        </w:rPr>
        <w:t xml:space="preserve"> on our long-term debt.</w:t>
      </w:r>
    </w:p>
    <w:p w14:paraId="00BAEF6A" w14:textId="77777777" w:rsidR="00871BDF" w:rsidRDefault="005C5088">
      <w:pPr>
        <w:spacing w:before="120" w:after="60"/>
      </w:pPr>
      <w:r>
        <w:rPr>
          <w:rFonts w:ascii="Times New Roman" w:eastAsia="宋体" w:hAnsi="Times New Roman"/>
          <w:b/>
          <w:bCs/>
          <w:i/>
          <w:iCs/>
          <w:color w:val="000000"/>
          <w:sz w:val="20"/>
          <w:szCs w:val="20"/>
        </w:rPr>
        <w:t>Foreign Currency</w:t>
      </w:r>
    </w:p>
    <w:p w14:paraId="00BAEF6B" w14:textId="77777777" w:rsidR="00871BDF" w:rsidRDefault="005C5088">
      <w:pPr>
        <w:spacing w:before="120" w:after="60"/>
      </w:pPr>
      <w:r>
        <w:rPr>
          <w:rFonts w:ascii="Times New Roman" w:eastAsia="宋体" w:hAnsi="Times New Roman"/>
          <w:color w:val="000000"/>
          <w:sz w:val="20"/>
          <w:szCs w:val="20"/>
        </w:rPr>
        <w:t>To reduce cash flow volatility from foreign currency fluctuations, we enter into forward and swap contracts to hedge portions of cash flows of anticipated intercompany royalty payments, inventory purchases and inter</w:t>
      </w:r>
      <w:r>
        <w:rPr>
          <w:rFonts w:ascii="Times New Roman" w:eastAsia="宋体" w:hAnsi="Times New Roman"/>
          <w:color w:val="000000"/>
          <w:sz w:val="20"/>
          <w:szCs w:val="20"/>
        </w:rPr>
        <w:t xml:space="preserve">company borrowing and lending activities. The resulting gains and losses from these derivatives are recorded in AOCI and subsequently reclassified to revenue, product and distribution costs, or interest income and other, net, respectively, when the hedged </w:t>
      </w:r>
      <w:r>
        <w:rPr>
          <w:rFonts w:ascii="Times New Roman" w:eastAsia="宋体" w:hAnsi="Times New Roman"/>
          <w:color w:val="000000"/>
          <w:sz w:val="20"/>
          <w:szCs w:val="20"/>
        </w:rPr>
        <w:t>exposures affect net earnings.</w:t>
      </w:r>
    </w:p>
    <w:p w14:paraId="00BAEF6C" w14:textId="77777777" w:rsidR="00871BDF" w:rsidRDefault="005C5088">
      <w:pPr>
        <w:spacing w:before="120" w:after="60"/>
      </w:pPr>
      <w:r>
        <w:rPr>
          <w:rFonts w:ascii="Times New Roman" w:eastAsia="宋体" w:hAnsi="Times New Roman"/>
          <w:color w:val="000000"/>
          <w:sz w:val="20"/>
          <w:szCs w:val="20"/>
        </w:rPr>
        <w:t>From time to time, we may enter into financial instruments, including, but not limited to, forward and swap contracts or foreign currency-denominated debt, to hedge the currency exposure of our net investments in certain inte</w:t>
      </w:r>
      <w:r>
        <w:rPr>
          <w:rFonts w:ascii="Times New Roman" w:eastAsia="宋体" w:hAnsi="Times New Roman"/>
          <w:color w:val="000000"/>
          <w:sz w:val="20"/>
          <w:szCs w:val="20"/>
        </w:rPr>
        <w:t>rnational operations. The resulting gains and losses from these derivatives are recorded in AOCI and are subsequently reclassified to net earnings when the hedged net investment is either sold or substantially liquidated.</w:t>
      </w:r>
    </w:p>
    <w:p w14:paraId="00BAEF6D" w14:textId="77777777" w:rsidR="00871BDF" w:rsidRDefault="005C5088">
      <w:pPr>
        <w:spacing w:before="120" w:after="60"/>
      </w:pPr>
      <w:r>
        <w:rPr>
          <w:rFonts w:ascii="Times New Roman" w:eastAsia="宋体" w:hAnsi="Times New Roman"/>
          <w:color w:val="000000"/>
          <w:sz w:val="20"/>
          <w:szCs w:val="20"/>
        </w:rPr>
        <w:t xml:space="preserve">Foreign currency forward and swap </w:t>
      </w:r>
      <w:r>
        <w:rPr>
          <w:rFonts w:ascii="Times New Roman" w:eastAsia="宋体" w:hAnsi="Times New Roman"/>
          <w:color w:val="000000"/>
          <w:sz w:val="20"/>
          <w:szCs w:val="20"/>
        </w:rPr>
        <w:t>contracts not designated as hedging instruments are used to mitigate the foreign exchange risk of certain other balance sheet items. Gains and losses from these derivatives are largely offset by the financial impact of translating foreign currency-denomina</w:t>
      </w:r>
      <w:r>
        <w:rPr>
          <w:rFonts w:ascii="Times New Roman" w:eastAsia="宋体" w:hAnsi="Times New Roman"/>
          <w:color w:val="000000"/>
          <w:sz w:val="20"/>
          <w:szCs w:val="20"/>
        </w:rPr>
        <w:t>ted payables and receivables; these gains and losses are recorded in interest income and other, net.</w:t>
      </w:r>
    </w:p>
    <w:p w14:paraId="00BAEF6E" w14:textId="77777777" w:rsidR="00871BDF" w:rsidRDefault="005C5088">
      <w:pPr>
        <w:spacing w:before="120"/>
      </w:pPr>
      <w:r>
        <w:rPr>
          <w:rFonts w:ascii="Times New Roman" w:eastAsia="宋体" w:hAnsi="Times New Roman"/>
          <w:b/>
          <w:bCs/>
          <w:i/>
          <w:iCs/>
          <w:color w:val="000000"/>
          <w:sz w:val="20"/>
          <w:szCs w:val="20"/>
        </w:rPr>
        <w:t>Commodities</w:t>
      </w:r>
    </w:p>
    <w:p w14:paraId="00BAEF6F" w14:textId="77777777" w:rsidR="00871BDF" w:rsidRDefault="005C5088">
      <w:pPr>
        <w:spacing w:before="120"/>
      </w:pPr>
      <w:r>
        <w:rPr>
          <w:rFonts w:ascii="Times New Roman" w:eastAsia="宋体" w:hAnsi="Times New Roman"/>
          <w:color w:val="000000"/>
          <w:sz w:val="20"/>
          <w:szCs w:val="20"/>
        </w:rPr>
        <w:t>Depending on market conditions, we may enter into coffee forward contracts, futures contracts and collars to hedge anticipated cash flows</w:t>
      </w:r>
      <w:r>
        <w:rPr>
          <w:rFonts w:ascii="Times New Roman" w:eastAsia="宋体" w:hAnsi="Times New Roman"/>
          <w:b/>
          <w:bCs/>
          <w:color w:val="FFFFFF"/>
          <w:sz w:val="16"/>
          <w:szCs w:val="16"/>
        </w:rPr>
        <w:t xml:space="preserve"> </w:t>
      </w:r>
      <w:r>
        <w:rPr>
          <w:rFonts w:ascii="Times New Roman" w:eastAsia="宋体" w:hAnsi="Times New Roman"/>
          <w:color w:val="000000"/>
          <w:sz w:val="20"/>
          <w:szCs w:val="20"/>
        </w:rPr>
        <w:t>under</w:t>
      </w:r>
      <w:r>
        <w:rPr>
          <w:rFonts w:ascii="Times New Roman" w:eastAsia="宋体" w:hAnsi="Times New Roman"/>
          <w:color w:val="000000"/>
          <w:sz w:val="20"/>
          <w:szCs w:val="20"/>
        </w:rPr>
        <w:t xml:space="preserve"> our price-to-be-fixed green coffee contracts, which are described further in </w:t>
      </w:r>
      <w:hyperlink r:id="rId197" w:anchor="i54ccc64cb5384be5a4849ef1cdef4dde_148"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Inventories, or</w:t>
      </w:r>
      <w:r>
        <w:rPr>
          <w:rFonts w:ascii="Times New Roman" w:eastAsia="宋体" w:hAnsi="Times New Roman"/>
          <w:color w:val="000000"/>
          <w:sz w:val="20"/>
          <w:szCs w:val="20"/>
        </w:rPr>
        <w:t xml:space="preserve"> our longer-dated forecasted coffee demand where underlying fixed price and price-to-be-fixed contracts are not yet available. The resulting gains and losses are recorded in AOCI and are subsequently reclassified to product and distribution costs when the </w:t>
      </w:r>
      <w:r>
        <w:rPr>
          <w:rFonts w:ascii="Times New Roman" w:eastAsia="宋体" w:hAnsi="Times New Roman"/>
          <w:color w:val="000000"/>
          <w:sz w:val="20"/>
          <w:szCs w:val="20"/>
        </w:rPr>
        <w:t>hedged exposure affects net earnings.</w:t>
      </w:r>
    </w:p>
    <w:p w14:paraId="00BAEF70" w14:textId="77777777" w:rsidR="00871BDF" w:rsidRDefault="005C5088">
      <w:pPr>
        <w:jc w:val="center"/>
      </w:pPr>
      <w:r>
        <w:rPr>
          <w:rFonts w:ascii="Times New Roman" w:eastAsia="宋体" w:hAnsi="Times New Roman"/>
          <w:color w:val="000000"/>
          <w:sz w:val="20"/>
          <w:szCs w:val="20"/>
        </w:rPr>
        <w:t>65</w:t>
      </w:r>
    </w:p>
    <w:p w14:paraId="00BAEF71" w14:textId="77777777" w:rsidR="00871BDF" w:rsidRDefault="005C5088">
      <w:r>
        <w:pict w14:anchorId="00BB14A6">
          <v:rect id="_x0000_i1092" style="width:415.3pt;height:1.5pt" o:hralign="center" o:hrstd="t" o:hr="t" fillcolor="#a0a0a0" stroked="f"/>
        </w:pict>
      </w:r>
    </w:p>
    <w:p w14:paraId="00BAEF72" w14:textId="77777777" w:rsidR="00871BDF" w:rsidRDefault="005C5088">
      <w:hyperlink r:id="rId198" w:anchor="i54ccc64cb5384be5a4849ef1cdef4dde_7" w:history="1">
        <w:r>
          <w:rPr>
            <w:rStyle w:val="a5"/>
            <w:rFonts w:ascii="Times New Roman" w:eastAsia="宋体" w:hAnsi="Times New Roman"/>
            <w:sz w:val="20"/>
            <w:szCs w:val="20"/>
          </w:rPr>
          <w:t>Table of Contents</w:t>
        </w:r>
      </w:hyperlink>
    </w:p>
    <w:p w14:paraId="00BAEF73" w14:textId="77777777" w:rsidR="00871BDF" w:rsidRDefault="005C5088">
      <w:pPr>
        <w:spacing w:before="120"/>
      </w:pPr>
      <w:r>
        <w:rPr>
          <w:rFonts w:ascii="Times New Roman" w:eastAsia="宋体" w:hAnsi="Times New Roman"/>
          <w:color w:val="000000"/>
          <w:sz w:val="20"/>
          <w:szCs w:val="20"/>
        </w:rPr>
        <w:t>Depending on market conditions, we may als</w:t>
      </w:r>
      <w:r>
        <w:rPr>
          <w:rFonts w:ascii="Times New Roman" w:eastAsia="宋体" w:hAnsi="Times New Roman"/>
          <w:color w:val="000000"/>
          <w:sz w:val="20"/>
          <w:szCs w:val="20"/>
        </w:rPr>
        <w:t>o enter into dairy forward contracts and futures contracts to hedge a portion of anticipated cash flows under our dairy purchase contracts and our forecasted dairy demand. The resulting gains or losses are recorded in AOCI and are subsequently reclassified</w:t>
      </w:r>
      <w:r>
        <w:rPr>
          <w:rFonts w:ascii="Times New Roman" w:eastAsia="宋体" w:hAnsi="Times New Roman"/>
          <w:color w:val="000000"/>
          <w:sz w:val="20"/>
          <w:szCs w:val="20"/>
        </w:rPr>
        <w:t xml:space="preserve"> to product and distribution costs when the hedged exposure affects net earnings. </w:t>
      </w:r>
    </w:p>
    <w:p w14:paraId="00BAEF74" w14:textId="77777777" w:rsidR="00871BDF" w:rsidRDefault="005C5088">
      <w:pPr>
        <w:spacing w:before="120"/>
      </w:pPr>
      <w:r>
        <w:rPr>
          <w:rFonts w:ascii="Times New Roman" w:eastAsia="宋体" w:hAnsi="Times New Roman"/>
          <w:color w:val="000000"/>
          <w:sz w:val="20"/>
          <w:szCs w:val="20"/>
        </w:rPr>
        <w:t>Cash flow hedges related to anticipated transactions are designated and documented at the inception of each hedge. Cash flows from hedging transactions are classified in the</w:t>
      </w:r>
      <w:r>
        <w:rPr>
          <w:rFonts w:ascii="Times New Roman" w:eastAsia="宋体" w:hAnsi="Times New Roman"/>
          <w:color w:val="000000"/>
          <w:sz w:val="20"/>
          <w:szCs w:val="20"/>
        </w:rPr>
        <w:t xml:space="preserve"> same categories as the cash flows from the respective hedged items. For de-designated cash flow hedges in which the underlying transactions are no longer probable of occurring, the related accumulated derivative gains or losses are recognized in interest </w:t>
      </w:r>
      <w:r>
        <w:rPr>
          <w:rFonts w:ascii="Times New Roman" w:eastAsia="宋体" w:hAnsi="Times New Roman"/>
          <w:color w:val="000000"/>
          <w:sz w:val="20"/>
          <w:szCs w:val="20"/>
        </w:rPr>
        <w:t>income and other, net on our consolidated statements of earnings. During the second, third and fourth quarters of fiscal 2020, we de-designated certain cash flow hedges due to the global COVID-19 impacts, resulting in the release of an insignificant net ga</w:t>
      </w:r>
      <w:r>
        <w:rPr>
          <w:rFonts w:ascii="Times New Roman" w:eastAsia="宋体" w:hAnsi="Times New Roman"/>
          <w:color w:val="000000"/>
          <w:sz w:val="20"/>
          <w:szCs w:val="20"/>
        </w:rPr>
        <w:t>in from AOCI to our consolidated statement of earnings. We continue to believe forecasted exposures relating to our other designated cash flow hedges are probable of occurring.</w:t>
      </w:r>
    </w:p>
    <w:p w14:paraId="00BAEF75" w14:textId="77777777" w:rsidR="00871BDF" w:rsidRDefault="005C5088">
      <w:pPr>
        <w:spacing w:before="120"/>
      </w:pPr>
      <w:r>
        <w:rPr>
          <w:rFonts w:ascii="Times New Roman" w:eastAsia="宋体" w:hAnsi="Times New Roman"/>
          <w:color w:val="000000"/>
          <w:sz w:val="20"/>
          <w:szCs w:val="20"/>
        </w:rPr>
        <w:t>To mitigate the price uncertainty of a portion of our future purchases, includi</w:t>
      </w:r>
      <w:r>
        <w:rPr>
          <w:rFonts w:ascii="Times New Roman" w:eastAsia="宋体" w:hAnsi="Times New Roman"/>
          <w:color w:val="000000"/>
          <w:sz w:val="20"/>
          <w:szCs w:val="20"/>
        </w:rPr>
        <w:t>ng diesel fuel and other commodities, we enter into swap contracts, futures and collars that are not designated as hedging instruments. The resulting gains and losses are recorded in interest income and other, net to help offset price fluctuations on our b</w:t>
      </w:r>
      <w:r>
        <w:rPr>
          <w:rFonts w:ascii="Times New Roman" w:eastAsia="宋体" w:hAnsi="Times New Roman"/>
          <w:color w:val="000000"/>
          <w:sz w:val="20"/>
          <w:szCs w:val="20"/>
        </w:rPr>
        <w:t>everage, food, packaging and transportation costs, which are included in product and distribution costs on our consolidated statements of earnings.</w:t>
      </w:r>
    </w:p>
    <w:p w14:paraId="00BAEF76" w14:textId="77777777" w:rsidR="00871BDF" w:rsidRDefault="005C5088">
      <w:pPr>
        <w:spacing w:before="100"/>
      </w:pPr>
      <w:r>
        <w:rPr>
          <w:rFonts w:ascii="Times New Roman" w:eastAsia="宋体" w:hAnsi="Times New Roman"/>
          <w:color w:val="000000"/>
          <w:sz w:val="20"/>
          <w:szCs w:val="20"/>
        </w:rPr>
        <w:t>Gains and losses on derivative contracts and foreign currency-denominated debt designated as hedging instrum</w:t>
      </w:r>
      <w:r>
        <w:rPr>
          <w:rFonts w:ascii="Times New Roman" w:eastAsia="宋体" w:hAnsi="Times New Roman"/>
          <w:color w:val="000000"/>
          <w:sz w:val="20"/>
          <w:szCs w:val="20"/>
        </w:rPr>
        <w:t>ents included in AOCI and expected to be reclassified into earnings within 12 months,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1" w:type="pct"/>
        <w:tblCellMar>
          <w:top w:w="15" w:type="dxa"/>
          <w:left w:w="15" w:type="dxa"/>
          <w:bottom w:w="15" w:type="dxa"/>
          <w:right w:w="15" w:type="dxa"/>
        </w:tblCellMar>
        <w:tblLook w:val="04A0" w:firstRow="1" w:lastRow="0" w:firstColumn="1" w:lastColumn="0" w:noHBand="0" w:noVBand="1"/>
      </w:tblPr>
      <w:tblGrid>
        <w:gridCol w:w="38"/>
        <w:gridCol w:w="2927"/>
        <w:gridCol w:w="37"/>
        <w:gridCol w:w="120"/>
        <w:gridCol w:w="754"/>
        <w:gridCol w:w="36"/>
        <w:gridCol w:w="36"/>
        <w:gridCol w:w="36"/>
        <w:gridCol w:w="36"/>
        <w:gridCol w:w="120"/>
        <w:gridCol w:w="716"/>
        <w:gridCol w:w="36"/>
        <w:gridCol w:w="36"/>
        <w:gridCol w:w="36"/>
        <w:gridCol w:w="36"/>
        <w:gridCol w:w="120"/>
        <w:gridCol w:w="716"/>
        <w:gridCol w:w="36"/>
        <w:gridCol w:w="36"/>
        <w:gridCol w:w="36"/>
        <w:gridCol w:w="36"/>
        <w:gridCol w:w="121"/>
        <w:gridCol w:w="984"/>
        <w:gridCol w:w="36"/>
        <w:gridCol w:w="36"/>
        <w:gridCol w:w="36"/>
        <w:gridCol w:w="36"/>
        <w:gridCol w:w="74"/>
        <w:gridCol w:w="949"/>
        <w:gridCol w:w="36"/>
      </w:tblGrid>
      <w:tr w:rsidR="00871BDF" w14:paraId="00BAEF95" w14:textId="77777777">
        <w:tc>
          <w:tcPr>
            <w:tcW w:w="50" w:type="pct"/>
            <w:shd w:val="clear" w:color="auto" w:fill="auto"/>
          </w:tcPr>
          <w:p w14:paraId="00BAEF77" w14:textId="77777777" w:rsidR="00871BDF" w:rsidRDefault="00871BDF">
            <w:pPr>
              <w:rPr>
                <w:rFonts w:ascii="宋体"/>
              </w:rPr>
            </w:pPr>
          </w:p>
        </w:tc>
        <w:tc>
          <w:tcPr>
            <w:tcW w:w="1790" w:type="pct"/>
            <w:shd w:val="clear" w:color="auto" w:fill="auto"/>
          </w:tcPr>
          <w:p w14:paraId="00BAEF78" w14:textId="77777777" w:rsidR="00871BDF" w:rsidRDefault="00871BDF">
            <w:pPr>
              <w:rPr>
                <w:rFonts w:ascii="宋体"/>
              </w:rPr>
            </w:pPr>
          </w:p>
        </w:tc>
        <w:tc>
          <w:tcPr>
            <w:tcW w:w="5" w:type="pct"/>
            <w:shd w:val="clear" w:color="auto" w:fill="auto"/>
          </w:tcPr>
          <w:p w14:paraId="00BAEF79" w14:textId="77777777" w:rsidR="00871BDF" w:rsidRDefault="00871BDF">
            <w:pPr>
              <w:rPr>
                <w:rFonts w:ascii="宋体"/>
              </w:rPr>
            </w:pPr>
          </w:p>
        </w:tc>
        <w:tc>
          <w:tcPr>
            <w:tcW w:w="50" w:type="pct"/>
            <w:shd w:val="clear" w:color="auto" w:fill="auto"/>
          </w:tcPr>
          <w:p w14:paraId="00BAEF7A" w14:textId="77777777" w:rsidR="00871BDF" w:rsidRDefault="00871BDF">
            <w:pPr>
              <w:rPr>
                <w:rFonts w:ascii="宋体"/>
              </w:rPr>
            </w:pPr>
          </w:p>
        </w:tc>
        <w:tc>
          <w:tcPr>
            <w:tcW w:w="481" w:type="pct"/>
            <w:shd w:val="clear" w:color="auto" w:fill="auto"/>
          </w:tcPr>
          <w:p w14:paraId="00BAEF7B" w14:textId="77777777" w:rsidR="00871BDF" w:rsidRDefault="00871BDF">
            <w:pPr>
              <w:rPr>
                <w:rFonts w:ascii="宋体"/>
              </w:rPr>
            </w:pPr>
          </w:p>
        </w:tc>
        <w:tc>
          <w:tcPr>
            <w:tcW w:w="5" w:type="pct"/>
            <w:shd w:val="clear" w:color="auto" w:fill="auto"/>
          </w:tcPr>
          <w:p w14:paraId="00BAEF7C" w14:textId="77777777" w:rsidR="00871BDF" w:rsidRDefault="00871BDF">
            <w:pPr>
              <w:rPr>
                <w:rFonts w:ascii="宋体"/>
              </w:rPr>
            </w:pPr>
          </w:p>
        </w:tc>
        <w:tc>
          <w:tcPr>
            <w:tcW w:w="5" w:type="pct"/>
            <w:shd w:val="clear" w:color="auto" w:fill="auto"/>
          </w:tcPr>
          <w:p w14:paraId="00BAEF7D" w14:textId="77777777" w:rsidR="00871BDF" w:rsidRDefault="00871BDF">
            <w:pPr>
              <w:rPr>
                <w:rFonts w:ascii="宋体"/>
              </w:rPr>
            </w:pPr>
          </w:p>
        </w:tc>
        <w:tc>
          <w:tcPr>
            <w:tcW w:w="26" w:type="pct"/>
            <w:shd w:val="clear" w:color="auto" w:fill="auto"/>
          </w:tcPr>
          <w:p w14:paraId="00BAEF7E" w14:textId="77777777" w:rsidR="00871BDF" w:rsidRDefault="00871BDF">
            <w:pPr>
              <w:rPr>
                <w:rFonts w:ascii="宋体"/>
              </w:rPr>
            </w:pPr>
          </w:p>
        </w:tc>
        <w:tc>
          <w:tcPr>
            <w:tcW w:w="5" w:type="pct"/>
            <w:shd w:val="clear" w:color="auto" w:fill="auto"/>
          </w:tcPr>
          <w:p w14:paraId="00BAEF7F" w14:textId="77777777" w:rsidR="00871BDF" w:rsidRDefault="00871BDF">
            <w:pPr>
              <w:rPr>
                <w:rFonts w:ascii="宋体"/>
              </w:rPr>
            </w:pPr>
          </w:p>
        </w:tc>
        <w:tc>
          <w:tcPr>
            <w:tcW w:w="50" w:type="pct"/>
            <w:shd w:val="clear" w:color="auto" w:fill="auto"/>
          </w:tcPr>
          <w:p w14:paraId="00BAEF80" w14:textId="77777777" w:rsidR="00871BDF" w:rsidRDefault="00871BDF">
            <w:pPr>
              <w:rPr>
                <w:rFonts w:ascii="宋体"/>
              </w:rPr>
            </w:pPr>
          </w:p>
        </w:tc>
        <w:tc>
          <w:tcPr>
            <w:tcW w:w="481" w:type="pct"/>
            <w:shd w:val="clear" w:color="auto" w:fill="auto"/>
          </w:tcPr>
          <w:p w14:paraId="00BAEF81" w14:textId="77777777" w:rsidR="00871BDF" w:rsidRDefault="00871BDF">
            <w:pPr>
              <w:rPr>
                <w:rFonts w:ascii="宋体"/>
              </w:rPr>
            </w:pPr>
          </w:p>
        </w:tc>
        <w:tc>
          <w:tcPr>
            <w:tcW w:w="5" w:type="pct"/>
            <w:shd w:val="clear" w:color="auto" w:fill="auto"/>
          </w:tcPr>
          <w:p w14:paraId="00BAEF82" w14:textId="77777777" w:rsidR="00871BDF" w:rsidRDefault="00871BDF">
            <w:pPr>
              <w:rPr>
                <w:rFonts w:ascii="宋体"/>
              </w:rPr>
            </w:pPr>
          </w:p>
        </w:tc>
        <w:tc>
          <w:tcPr>
            <w:tcW w:w="5" w:type="pct"/>
            <w:shd w:val="clear" w:color="auto" w:fill="auto"/>
          </w:tcPr>
          <w:p w14:paraId="00BAEF83" w14:textId="77777777" w:rsidR="00871BDF" w:rsidRDefault="00871BDF">
            <w:pPr>
              <w:rPr>
                <w:rFonts w:ascii="宋体"/>
              </w:rPr>
            </w:pPr>
          </w:p>
        </w:tc>
        <w:tc>
          <w:tcPr>
            <w:tcW w:w="26" w:type="pct"/>
            <w:shd w:val="clear" w:color="auto" w:fill="auto"/>
          </w:tcPr>
          <w:p w14:paraId="00BAEF84" w14:textId="77777777" w:rsidR="00871BDF" w:rsidRDefault="00871BDF">
            <w:pPr>
              <w:rPr>
                <w:rFonts w:ascii="宋体"/>
              </w:rPr>
            </w:pPr>
          </w:p>
        </w:tc>
        <w:tc>
          <w:tcPr>
            <w:tcW w:w="5" w:type="pct"/>
            <w:shd w:val="clear" w:color="auto" w:fill="auto"/>
          </w:tcPr>
          <w:p w14:paraId="00BAEF85" w14:textId="77777777" w:rsidR="00871BDF" w:rsidRDefault="00871BDF">
            <w:pPr>
              <w:rPr>
                <w:rFonts w:ascii="宋体"/>
              </w:rPr>
            </w:pPr>
          </w:p>
        </w:tc>
        <w:tc>
          <w:tcPr>
            <w:tcW w:w="50" w:type="pct"/>
            <w:shd w:val="clear" w:color="auto" w:fill="auto"/>
          </w:tcPr>
          <w:p w14:paraId="00BAEF86" w14:textId="77777777" w:rsidR="00871BDF" w:rsidRDefault="00871BDF">
            <w:pPr>
              <w:rPr>
                <w:rFonts w:ascii="宋体"/>
              </w:rPr>
            </w:pPr>
          </w:p>
        </w:tc>
        <w:tc>
          <w:tcPr>
            <w:tcW w:w="481" w:type="pct"/>
            <w:shd w:val="clear" w:color="auto" w:fill="auto"/>
          </w:tcPr>
          <w:p w14:paraId="00BAEF87" w14:textId="77777777" w:rsidR="00871BDF" w:rsidRDefault="00871BDF">
            <w:pPr>
              <w:rPr>
                <w:rFonts w:ascii="宋体"/>
              </w:rPr>
            </w:pPr>
          </w:p>
        </w:tc>
        <w:tc>
          <w:tcPr>
            <w:tcW w:w="5" w:type="pct"/>
            <w:shd w:val="clear" w:color="auto" w:fill="auto"/>
          </w:tcPr>
          <w:p w14:paraId="00BAEF88" w14:textId="77777777" w:rsidR="00871BDF" w:rsidRDefault="00871BDF">
            <w:pPr>
              <w:rPr>
                <w:rFonts w:ascii="宋体"/>
              </w:rPr>
            </w:pPr>
          </w:p>
        </w:tc>
        <w:tc>
          <w:tcPr>
            <w:tcW w:w="5" w:type="pct"/>
            <w:shd w:val="clear" w:color="auto" w:fill="auto"/>
          </w:tcPr>
          <w:p w14:paraId="00BAEF89" w14:textId="77777777" w:rsidR="00871BDF" w:rsidRDefault="00871BDF">
            <w:pPr>
              <w:rPr>
                <w:rFonts w:ascii="宋体"/>
              </w:rPr>
            </w:pPr>
          </w:p>
        </w:tc>
        <w:tc>
          <w:tcPr>
            <w:tcW w:w="26" w:type="pct"/>
            <w:shd w:val="clear" w:color="auto" w:fill="auto"/>
          </w:tcPr>
          <w:p w14:paraId="00BAEF8A" w14:textId="77777777" w:rsidR="00871BDF" w:rsidRDefault="00871BDF">
            <w:pPr>
              <w:rPr>
                <w:rFonts w:ascii="宋体"/>
              </w:rPr>
            </w:pPr>
          </w:p>
        </w:tc>
        <w:tc>
          <w:tcPr>
            <w:tcW w:w="5" w:type="pct"/>
            <w:shd w:val="clear" w:color="auto" w:fill="auto"/>
          </w:tcPr>
          <w:p w14:paraId="00BAEF8B" w14:textId="77777777" w:rsidR="00871BDF" w:rsidRDefault="00871BDF">
            <w:pPr>
              <w:rPr>
                <w:rFonts w:ascii="宋体"/>
              </w:rPr>
            </w:pPr>
          </w:p>
        </w:tc>
        <w:tc>
          <w:tcPr>
            <w:tcW w:w="50" w:type="pct"/>
            <w:shd w:val="clear" w:color="auto" w:fill="auto"/>
          </w:tcPr>
          <w:p w14:paraId="00BAEF8C" w14:textId="77777777" w:rsidR="00871BDF" w:rsidRDefault="00871BDF">
            <w:pPr>
              <w:rPr>
                <w:rFonts w:ascii="宋体"/>
              </w:rPr>
            </w:pPr>
          </w:p>
        </w:tc>
        <w:tc>
          <w:tcPr>
            <w:tcW w:w="643" w:type="pct"/>
            <w:shd w:val="clear" w:color="auto" w:fill="auto"/>
          </w:tcPr>
          <w:p w14:paraId="00BAEF8D" w14:textId="77777777" w:rsidR="00871BDF" w:rsidRDefault="00871BDF">
            <w:pPr>
              <w:rPr>
                <w:rFonts w:ascii="宋体"/>
              </w:rPr>
            </w:pPr>
          </w:p>
        </w:tc>
        <w:tc>
          <w:tcPr>
            <w:tcW w:w="5" w:type="pct"/>
            <w:shd w:val="clear" w:color="auto" w:fill="auto"/>
          </w:tcPr>
          <w:p w14:paraId="00BAEF8E" w14:textId="77777777" w:rsidR="00871BDF" w:rsidRDefault="00871BDF">
            <w:pPr>
              <w:rPr>
                <w:rFonts w:ascii="宋体"/>
              </w:rPr>
            </w:pPr>
          </w:p>
        </w:tc>
        <w:tc>
          <w:tcPr>
            <w:tcW w:w="5" w:type="pct"/>
            <w:shd w:val="clear" w:color="auto" w:fill="auto"/>
          </w:tcPr>
          <w:p w14:paraId="00BAEF8F" w14:textId="77777777" w:rsidR="00871BDF" w:rsidRDefault="00871BDF">
            <w:pPr>
              <w:rPr>
                <w:rFonts w:ascii="宋体"/>
              </w:rPr>
            </w:pPr>
          </w:p>
        </w:tc>
        <w:tc>
          <w:tcPr>
            <w:tcW w:w="26" w:type="pct"/>
            <w:shd w:val="clear" w:color="auto" w:fill="auto"/>
          </w:tcPr>
          <w:p w14:paraId="00BAEF90" w14:textId="77777777" w:rsidR="00871BDF" w:rsidRDefault="00871BDF">
            <w:pPr>
              <w:rPr>
                <w:rFonts w:ascii="宋体"/>
              </w:rPr>
            </w:pPr>
          </w:p>
        </w:tc>
        <w:tc>
          <w:tcPr>
            <w:tcW w:w="5" w:type="pct"/>
            <w:shd w:val="clear" w:color="auto" w:fill="auto"/>
          </w:tcPr>
          <w:p w14:paraId="00BAEF91" w14:textId="77777777" w:rsidR="00871BDF" w:rsidRDefault="00871BDF">
            <w:pPr>
              <w:rPr>
                <w:rFonts w:ascii="宋体"/>
              </w:rPr>
            </w:pPr>
          </w:p>
        </w:tc>
        <w:tc>
          <w:tcPr>
            <w:tcW w:w="50" w:type="pct"/>
            <w:shd w:val="clear" w:color="auto" w:fill="auto"/>
          </w:tcPr>
          <w:p w14:paraId="00BAEF92" w14:textId="77777777" w:rsidR="00871BDF" w:rsidRDefault="00871BDF">
            <w:pPr>
              <w:rPr>
                <w:rFonts w:ascii="宋体"/>
              </w:rPr>
            </w:pPr>
          </w:p>
        </w:tc>
        <w:tc>
          <w:tcPr>
            <w:tcW w:w="643" w:type="pct"/>
            <w:shd w:val="clear" w:color="auto" w:fill="auto"/>
          </w:tcPr>
          <w:p w14:paraId="00BAEF93" w14:textId="77777777" w:rsidR="00871BDF" w:rsidRDefault="00871BDF">
            <w:pPr>
              <w:rPr>
                <w:rFonts w:ascii="宋体"/>
              </w:rPr>
            </w:pPr>
          </w:p>
        </w:tc>
        <w:tc>
          <w:tcPr>
            <w:tcW w:w="5" w:type="pct"/>
            <w:shd w:val="clear" w:color="auto" w:fill="auto"/>
          </w:tcPr>
          <w:p w14:paraId="00BAEF94" w14:textId="77777777" w:rsidR="00871BDF" w:rsidRDefault="00871BDF">
            <w:pPr>
              <w:rPr>
                <w:rFonts w:ascii="宋体"/>
              </w:rPr>
            </w:pPr>
          </w:p>
        </w:tc>
      </w:tr>
      <w:tr w:rsidR="00871BDF" w14:paraId="00BAEF9E" w14:textId="77777777">
        <w:trPr>
          <w:trHeight w:val="600"/>
        </w:trPr>
        <w:tc>
          <w:tcPr>
            <w:tcW w:w="0" w:type="auto"/>
            <w:gridSpan w:val="3"/>
            <w:shd w:val="clear" w:color="auto" w:fill="auto"/>
            <w:tcMar>
              <w:top w:w="0" w:type="dxa"/>
              <w:left w:w="20" w:type="dxa"/>
              <w:bottom w:w="0" w:type="dxa"/>
              <w:right w:w="20" w:type="dxa"/>
            </w:tcMar>
          </w:tcPr>
          <w:p w14:paraId="00BAEF96" w14:textId="77777777" w:rsidR="00871BDF" w:rsidRDefault="00871BDF">
            <w:pPr>
              <w:rPr>
                <w:rFonts w:ascii="宋体"/>
              </w:rPr>
            </w:pPr>
          </w:p>
        </w:tc>
        <w:tc>
          <w:tcPr>
            <w:tcW w:w="0" w:type="auto"/>
            <w:gridSpan w:val="15"/>
            <w:shd w:val="clear" w:color="auto" w:fill="00704A"/>
            <w:tcMar>
              <w:top w:w="40" w:type="dxa"/>
              <w:left w:w="20" w:type="dxa"/>
              <w:bottom w:w="40" w:type="dxa"/>
              <w:right w:w="20" w:type="dxa"/>
            </w:tcMar>
            <w:vAlign w:val="bottom"/>
          </w:tcPr>
          <w:p w14:paraId="00BAEF97" w14:textId="77777777" w:rsidR="00871BDF" w:rsidRDefault="005C5088">
            <w:pPr>
              <w:jc w:val="center"/>
              <w:textAlignment w:val="bottom"/>
            </w:pPr>
            <w:r>
              <w:rPr>
                <w:rFonts w:ascii="Times New Roman" w:eastAsia="宋体" w:hAnsi="Times New Roman"/>
                <w:b/>
                <w:bCs/>
                <w:color w:val="FFFFFF"/>
                <w:sz w:val="16"/>
                <w:szCs w:val="16"/>
              </w:rPr>
              <w:t xml:space="preserve">Net Gains/(Losses) </w:t>
            </w:r>
          </w:p>
          <w:p w14:paraId="00BAEF98" w14:textId="77777777" w:rsidR="00871BDF" w:rsidRDefault="005C5088">
            <w:pPr>
              <w:jc w:val="center"/>
              <w:textAlignment w:val="bottom"/>
            </w:pPr>
            <w:r>
              <w:rPr>
                <w:rFonts w:ascii="Times New Roman" w:eastAsia="宋体" w:hAnsi="Times New Roman"/>
                <w:b/>
                <w:bCs/>
                <w:color w:val="FFFFFF"/>
                <w:sz w:val="16"/>
                <w:szCs w:val="16"/>
              </w:rPr>
              <w:t>Included in AOCI</w:t>
            </w:r>
          </w:p>
        </w:tc>
        <w:tc>
          <w:tcPr>
            <w:tcW w:w="0" w:type="auto"/>
            <w:gridSpan w:val="3"/>
            <w:shd w:val="clear" w:color="auto" w:fill="auto"/>
            <w:tcMar>
              <w:top w:w="0" w:type="dxa"/>
              <w:left w:w="20" w:type="dxa"/>
              <w:bottom w:w="0" w:type="dxa"/>
              <w:right w:w="20" w:type="dxa"/>
            </w:tcMar>
          </w:tcPr>
          <w:p w14:paraId="00BAEF99" w14:textId="77777777" w:rsidR="00871BDF" w:rsidRDefault="00871BDF">
            <w:pPr>
              <w:rPr>
                <w:rFonts w:ascii="宋体"/>
              </w:rPr>
            </w:pP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00BAEF9A" w14:textId="77777777" w:rsidR="00871BDF" w:rsidRDefault="005C5088">
            <w:pPr>
              <w:jc w:val="center"/>
              <w:textAlignment w:val="bottom"/>
            </w:pPr>
            <w:r>
              <w:rPr>
                <w:rFonts w:ascii="Times New Roman" w:eastAsia="宋体" w:hAnsi="Times New Roman"/>
                <w:b/>
                <w:bCs/>
                <w:color w:val="FFFFFF"/>
                <w:sz w:val="16"/>
                <w:szCs w:val="16"/>
              </w:rPr>
              <w:t>Net Gains/(Losses) Expected to be Reclassified from AOCI into Earnings within 12 Months</w:t>
            </w:r>
          </w:p>
        </w:tc>
        <w:tc>
          <w:tcPr>
            <w:tcW w:w="0" w:type="auto"/>
            <w:gridSpan w:val="3"/>
            <w:shd w:val="clear" w:color="auto" w:fill="auto"/>
            <w:tcMar>
              <w:top w:w="0" w:type="dxa"/>
              <w:left w:w="20" w:type="dxa"/>
              <w:bottom w:w="0" w:type="dxa"/>
              <w:right w:w="20" w:type="dxa"/>
            </w:tcMar>
          </w:tcPr>
          <w:p w14:paraId="00BAEF9B"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0BAEF9C" w14:textId="77777777" w:rsidR="00871BDF" w:rsidRDefault="005C5088">
            <w:pPr>
              <w:jc w:val="center"/>
              <w:textAlignment w:val="bottom"/>
            </w:pPr>
            <w:r>
              <w:rPr>
                <w:rFonts w:ascii="Times New Roman" w:eastAsia="宋体" w:hAnsi="Times New Roman"/>
                <w:b/>
                <w:bCs/>
                <w:color w:val="FFFFFF"/>
                <w:sz w:val="16"/>
                <w:szCs w:val="16"/>
              </w:rPr>
              <w:t xml:space="preserve">Outstanding Contract/Debt Remaining </w:t>
            </w:r>
            <w:r>
              <w:rPr>
                <w:rFonts w:ascii="Times New Roman" w:eastAsia="宋体" w:hAnsi="Times New Roman"/>
                <w:b/>
                <w:bCs/>
                <w:color w:val="FFFFFF"/>
                <w:sz w:val="16"/>
                <w:szCs w:val="16"/>
              </w:rPr>
              <w:t>Maturity</w:t>
            </w:r>
          </w:p>
          <w:p w14:paraId="00BAEF9D" w14:textId="77777777" w:rsidR="00871BDF" w:rsidRDefault="005C5088">
            <w:pPr>
              <w:jc w:val="center"/>
              <w:textAlignment w:val="bottom"/>
            </w:pPr>
            <w:r>
              <w:rPr>
                <w:rFonts w:ascii="Times New Roman" w:eastAsia="宋体" w:hAnsi="Times New Roman"/>
                <w:b/>
                <w:bCs/>
                <w:color w:val="FFFFFF"/>
                <w:sz w:val="16"/>
                <w:szCs w:val="16"/>
              </w:rPr>
              <w:t>(Months)</w:t>
            </w:r>
          </w:p>
        </w:tc>
      </w:tr>
      <w:tr w:rsidR="00871BDF" w14:paraId="00BAEFA9" w14:textId="77777777">
        <w:trPr>
          <w:trHeight w:val="600"/>
        </w:trPr>
        <w:tc>
          <w:tcPr>
            <w:tcW w:w="0" w:type="auto"/>
            <w:gridSpan w:val="3"/>
            <w:shd w:val="clear" w:color="auto" w:fill="auto"/>
            <w:tcMar>
              <w:top w:w="0" w:type="dxa"/>
              <w:left w:w="20" w:type="dxa"/>
              <w:bottom w:w="0" w:type="dxa"/>
              <w:right w:w="20" w:type="dxa"/>
            </w:tcMar>
          </w:tcPr>
          <w:p w14:paraId="00BAEF9F"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FA0"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00BAEFA1"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FA2"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00BAEFA3"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EFA4"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c>
          <w:tcPr>
            <w:tcW w:w="0" w:type="auto"/>
            <w:gridSpan w:val="3"/>
            <w:shd w:val="clear" w:color="auto" w:fill="auto"/>
            <w:tcMar>
              <w:top w:w="0" w:type="dxa"/>
              <w:left w:w="20" w:type="dxa"/>
              <w:bottom w:w="0" w:type="dxa"/>
              <w:right w:w="20" w:type="dxa"/>
            </w:tcMar>
          </w:tcPr>
          <w:p w14:paraId="00BAEFA5" w14:textId="77777777" w:rsidR="00871BDF" w:rsidRDefault="00871BDF">
            <w:pPr>
              <w:rPr>
                <w:rFonts w:ascii="宋体"/>
              </w:rPr>
            </w:pP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00BAEFA6" w14:textId="77777777" w:rsidR="00871BDF" w:rsidRDefault="00871BDF">
            <w:pPr>
              <w:jc w:val="center"/>
              <w:rPr>
                <w:rFonts w:ascii="宋体"/>
              </w:rPr>
            </w:pPr>
          </w:p>
        </w:tc>
        <w:tc>
          <w:tcPr>
            <w:tcW w:w="0" w:type="auto"/>
            <w:gridSpan w:val="3"/>
            <w:shd w:val="clear" w:color="auto" w:fill="auto"/>
            <w:tcMar>
              <w:top w:w="0" w:type="dxa"/>
              <w:left w:w="20" w:type="dxa"/>
              <w:bottom w:w="0" w:type="dxa"/>
              <w:right w:w="20" w:type="dxa"/>
            </w:tcMar>
          </w:tcPr>
          <w:p w14:paraId="00BAEFA7"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bottom"/>
          </w:tcPr>
          <w:p w14:paraId="00BAEFA8" w14:textId="77777777" w:rsidR="00871BDF" w:rsidRDefault="00871BDF">
            <w:pPr>
              <w:rPr>
                <w:rFonts w:ascii="宋体"/>
              </w:rPr>
            </w:pPr>
          </w:p>
        </w:tc>
      </w:tr>
      <w:tr w:rsidR="00871BDF" w14:paraId="00BAEFB4" w14:textId="77777777">
        <w:tc>
          <w:tcPr>
            <w:tcW w:w="0" w:type="auto"/>
            <w:gridSpan w:val="3"/>
            <w:shd w:val="clear" w:color="auto" w:fill="D7E4BC"/>
            <w:tcMar>
              <w:top w:w="40" w:type="dxa"/>
              <w:left w:w="20" w:type="dxa"/>
              <w:bottom w:w="40" w:type="dxa"/>
              <w:right w:w="20" w:type="dxa"/>
            </w:tcMar>
          </w:tcPr>
          <w:p w14:paraId="00BAEFAA" w14:textId="77777777" w:rsidR="00871BDF" w:rsidRDefault="005C5088">
            <w:pPr>
              <w:textAlignment w:val="top"/>
            </w:pPr>
            <w:r>
              <w:rPr>
                <w:rFonts w:ascii="Times New Roman" w:eastAsia="宋体" w:hAnsi="Times New Roman"/>
                <w:color w:val="000000"/>
                <w:sz w:val="20"/>
                <w:szCs w:val="20"/>
              </w:rPr>
              <w:t>Cash Flow Hedges:</w:t>
            </w:r>
          </w:p>
        </w:tc>
        <w:tc>
          <w:tcPr>
            <w:tcW w:w="0" w:type="auto"/>
            <w:gridSpan w:val="3"/>
            <w:tcBorders>
              <w:top w:val="single" w:sz="8" w:space="0" w:color="000000"/>
            </w:tcBorders>
            <w:shd w:val="clear" w:color="auto" w:fill="D7E4BC"/>
            <w:tcMar>
              <w:top w:w="0" w:type="dxa"/>
              <w:left w:w="20" w:type="dxa"/>
              <w:bottom w:w="0" w:type="dxa"/>
              <w:right w:w="20" w:type="dxa"/>
            </w:tcMar>
          </w:tcPr>
          <w:p w14:paraId="00BAEFA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FAC"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FAD"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FAE"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FA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FB0"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FB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EFB2"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EFB3" w14:textId="77777777" w:rsidR="00871BDF" w:rsidRDefault="00871BDF">
            <w:pPr>
              <w:rPr>
                <w:rFonts w:ascii="宋体"/>
              </w:rPr>
            </w:pPr>
          </w:p>
        </w:tc>
      </w:tr>
      <w:tr w:rsidR="00871BDF" w14:paraId="00BAEFC7" w14:textId="77777777">
        <w:tc>
          <w:tcPr>
            <w:tcW w:w="0" w:type="auto"/>
            <w:gridSpan w:val="3"/>
            <w:shd w:val="clear" w:color="auto" w:fill="FFFFFF"/>
            <w:tcMar>
              <w:top w:w="40" w:type="dxa"/>
              <w:left w:w="155" w:type="dxa"/>
              <w:bottom w:w="40" w:type="dxa"/>
              <w:right w:w="20" w:type="dxa"/>
            </w:tcMar>
          </w:tcPr>
          <w:p w14:paraId="00BAEFB5" w14:textId="77777777" w:rsidR="00871BDF" w:rsidRDefault="005C5088">
            <w:pPr>
              <w:textAlignment w:val="top"/>
            </w:pPr>
            <w:r>
              <w:rPr>
                <w:rFonts w:ascii="Times New Roman" w:eastAsia="宋体" w:hAnsi="Times New Roman"/>
                <w:color w:val="000000"/>
                <w:sz w:val="20"/>
                <w:szCs w:val="20"/>
              </w:rPr>
              <w:t>Coffee</w:t>
            </w:r>
          </w:p>
        </w:tc>
        <w:tc>
          <w:tcPr>
            <w:tcW w:w="0" w:type="auto"/>
            <w:shd w:val="clear" w:color="auto" w:fill="FFFFFF"/>
            <w:tcMar>
              <w:top w:w="40" w:type="dxa"/>
              <w:left w:w="20" w:type="dxa"/>
              <w:bottom w:w="40" w:type="dxa"/>
              <w:right w:w="0" w:type="dxa"/>
            </w:tcMar>
            <w:vAlign w:val="bottom"/>
          </w:tcPr>
          <w:p w14:paraId="00BAEFB6"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FB7" w14:textId="77777777" w:rsidR="00871BDF" w:rsidRDefault="005C5088">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00BAEFB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FB9"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EFBA"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FBB" w14:textId="77777777" w:rsidR="00871BDF" w:rsidRDefault="005C5088">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00BAEFB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FBD"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EFBE"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FBF" w14:textId="77777777" w:rsidR="00871BDF" w:rsidRDefault="005C5088">
            <w:pPr>
              <w:jc w:val="right"/>
              <w:textAlignment w:val="bottom"/>
            </w:pPr>
            <w:r>
              <w:rPr>
                <w:rFonts w:ascii="Times New Roman" w:eastAsia="宋体" w:hAnsi="Times New Roman"/>
                <w:color w:val="000000"/>
                <w:sz w:val="20"/>
                <w:szCs w:val="20"/>
              </w:rPr>
              <w:t>(0.2)</w:t>
            </w:r>
          </w:p>
        </w:tc>
        <w:tc>
          <w:tcPr>
            <w:tcW w:w="0" w:type="auto"/>
            <w:shd w:val="clear" w:color="auto" w:fill="FFFFFF"/>
            <w:tcMar>
              <w:top w:w="40" w:type="dxa"/>
              <w:left w:w="0" w:type="dxa"/>
              <w:bottom w:w="40" w:type="dxa"/>
              <w:right w:w="20" w:type="dxa"/>
            </w:tcMar>
            <w:vAlign w:val="bottom"/>
          </w:tcPr>
          <w:p w14:paraId="00BAEFC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FC1"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EFC2"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EFC3" w14:textId="77777777" w:rsidR="00871BDF" w:rsidRDefault="005C5088">
            <w:pPr>
              <w:jc w:val="right"/>
              <w:textAlignment w:val="bottom"/>
            </w:pPr>
            <w:r>
              <w:rPr>
                <w:rFonts w:ascii="Times New Roman" w:eastAsia="宋体" w:hAnsi="Times New Roman"/>
                <w:color w:val="000000"/>
                <w:sz w:val="20"/>
                <w:szCs w:val="20"/>
              </w:rPr>
              <w:t>(3.2)</w:t>
            </w:r>
          </w:p>
        </w:tc>
        <w:tc>
          <w:tcPr>
            <w:tcW w:w="0" w:type="auto"/>
            <w:shd w:val="clear" w:color="auto" w:fill="FFFFFF"/>
            <w:tcMar>
              <w:top w:w="40" w:type="dxa"/>
              <w:left w:w="0" w:type="dxa"/>
              <w:bottom w:w="40" w:type="dxa"/>
              <w:right w:w="20" w:type="dxa"/>
            </w:tcMar>
            <w:vAlign w:val="bottom"/>
          </w:tcPr>
          <w:p w14:paraId="00BAEFC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FC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AEFC6" w14:textId="77777777" w:rsidR="00871BDF" w:rsidRDefault="005C5088">
            <w:pPr>
              <w:jc w:val="center"/>
              <w:textAlignment w:val="bottom"/>
            </w:pPr>
            <w:r>
              <w:rPr>
                <w:rFonts w:ascii="Times New Roman" w:eastAsia="宋体" w:hAnsi="Times New Roman"/>
                <w:color w:val="000000"/>
                <w:sz w:val="20"/>
                <w:szCs w:val="20"/>
              </w:rPr>
              <w:t>15</w:t>
            </w:r>
          </w:p>
        </w:tc>
      </w:tr>
      <w:tr w:rsidR="00871BDF" w14:paraId="00BAEFD6" w14:textId="77777777">
        <w:tc>
          <w:tcPr>
            <w:tcW w:w="0" w:type="auto"/>
            <w:gridSpan w:val="3"/>
            <w:shd w:val="clear" w:color="auto" w:fill="D7E4BC"/>
            <w:tcMar>
              <w:top w:w="40" w:type="dxa"/>
              <w:left w:w="155" w:type="dxa"/>
              <w:bottom w:w="40" w:type="dxa"/>
              <w:right w:w="20" w:type="dxa"/>
            </w:tcMar>
          </w:tcPr>
          <w:p w14:paraId="00BAEFC8" w14:textId="77777777" w:rsidR="00871BDF" w:rsidRDefault="005C5088">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00BAEFC9" w14:textId="77777777" w:rsidR="00871BDF" w:rsidRDefault="005C5088">
            <w:pPr>
              <w:jc w:val="right"/>
              <w:textAlignment w:val="bottom"/>
            </w:pPr>
            <w:r>
              <w:rPr>
                <w:rFonts w:ascii="Times New Roman" w:eastAsia="宋体" w:hAnsi="Times New Roman"/>
                <w:color w:val="000000"/>
                <w:sz w:val="20"/>
                <w:szCs w:val="20"/>
              </w:rPr>
              <w:t>5.2 </w:t>
            </w:r>
          </w:p>
        </w:tc>
        <w:tc>
          <w:tcPr>
            <w:tcW w:w="0" w:type="auto"/>
            <w:shd w:val="clear" w:color="auto" w:fill="D7E4BC"/>
            <w:tcMar>
              <w:top w:w="40" w:type="dxa"/>
              <w:left w:w="0" w:type="dxa"/>
              <w:bottom w:w="40" w:type="dxa"/>
              <w:right w:w="20" w:type="dxa"/>
            </w:tcMar>
            <w:vAlign w:val="bottom"/>
          </w:tcPr>
          <w:p w14:paraId="00BAEFC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FC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center"/>
          </w:tcPr>
          <w:p w14:paraId="00BAEFCC" w14:textId="77777777" w:rsidR="00871BDF" w:rsidRDefault="005C5088">
            <w:pPr>
              <w:jc w:val="right"/>
              <w:textAlignment w:val="center"/>
            </w:pPr>
            <w:r>
              <w:rPr>
                <w:rFonts w:ascii="Times New Roman" w:eastAsia="宋体" w:hAnsi="Times New Roman"/>
                <w:color w:val="000000"/>
                <w:sz w:val="20"/>
                <w:szCs w:val="20"/>
              </w:rPr>
              <w:t>(1.4)</w:t>
            </w:r>
          </w:p>
        </w:tc>
        <w:tc>
          <w:tcPr>
            <w:tcW w:w="0" w:type="auto"/>
            <w:shd w:val="clear" w:color="auto" w:fill="D7E4BC"/>
            <w:tcMar>
              <w:top w:w="40" w:type="dxa"/>
              <w:left w:w="0" w:type="dxa"/>
              <w:bottom w:w="40" w:type="dxa"/>
              <w:right w:w="20" w:type="dxa"/>
            </w:tcMar>
            <w:vAlign w:val="center"/>
          </w:tcPr>
          <w:p w14:paraId="00BAEFC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FC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center"/>
          </w:tcPr>
          <w:p w14:paraId="00BAEFCF" w14:textId="77777777" w:rsidR="00871BDF" w:rsidRDefault="005C5088">
            <w:pPr>
              <w:jc w:val="right"/>
              <w:textAlignment w:val="center"/>
            </w:pPr>
            <w:r>
              <w:rPr>
                <w:rFonts w:ascii="Times New Roman" w:eastAsia="宋体" w:hAnsi="Times New Roman"/>
                <w:color w:val="000000"/>
                <w:sz w:val="20"/>
                <w:szCs w:val="20"/>
              </w:rPr>
              <w:t>(12.6)</w:t>
            </w:r>
          </w:p>
        </w:tc>
        <w:tc>
          <w:tcPr>
            <w:tcW w:w="0" w:type="auto"/>
            <w:shd w:val="clear" w:color="auto" w:fill="D7E4BC"/>
            <w:tcMar>
              <w:top w:w="40" w:type="dxa"/>
              <w:left w:w="0" w:type="dxa"/>
              <w:bottom w:w="40" w:type="dxa"/>
              <w:right w:w="20" w:type="dxa"/>
            </w:tcMar>
            <w:vAlign w:val="center"/>
          </w:tcPr>
          <w:p w14:paraId="00BAEFD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FD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FD2"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EFD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FD4"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EFD5" w14:textId="77777777" w:rsidR="00871BDF" w:rsidRDefault="005C5088">
            <w:pPr>
              <w:jc w:val="center"/>
              <w:textAlignment w:val="bottom"/>
            </w:pPr>
            <w:r>
              <w:rPr>
                <w:rFonts w:ascii="Times New Roman" w:eastAsia="宋体" w:hAnsi="Times New Roman"/>
                <w:color w:val="000000"/>
                <w:sz w:val="20"/>
                <w:szCs w:val="20"/>
              </w:rPr>
              <w:t>50</w:t>
            </w:r>
          </w:p>
        </w:tc>
      </w:tr>
      <w:tr w:rsidR="00871BDF" w14:paraId="00BAEFE5" w14:textId="77777777">
        <w:tc>
          <w:tcPr>
            <w:tcW w:w="0" w:type="auto"/>
            <w:gridSpan w:val="3"/>
            <w:shd w:val="clear" w:color="auto" w:fill="FFFFFF"/>
            <w:tcMar>
              <w:top w:w="40" w:type="dxa"/>
              <w:left w:w="155" w:type="dxa"/>
              <w:bottom w:w="40" w:type="dxa"/>
              <w:right w:w="20" w:type="dxa"/>
            </w:tcMar>
          </w:tcPr>
          <w:p w14:paraId="00BAEFD7" w14:textId="77777777" w:rsidR="00871BDF" w:rsidRDefault="005C5088">
            <w:pPr>
              <w:textAlignment w:val="top"/>
            </w:pPr>
            <w:r>
              <w:rPr>
                <w:rFonts w:ascii="Times New Roman" w:eastAsia="宋体" w:hAnsi="Times New Roman"/>
                <w:color w:val="000000"/>
                <w:sz w:val="20"/>
                <w:szCs w:val="20"/>
              </w:rPr>
              <w:t>Dairy</w:t>
            </w:r>
          </w:p>
        </w:tc>
        <w:tc>
          <w:tcPr>
            <w:tcW w:w="0" w:type="auto"/>
            <w:gridSpan w:val="2"/>
            <w:shd w:val="clear" w:color="auto" w:fill="FFFFFF"/>
            <w:tcMar>
              <w:top w:w="40" w:type="dxa"/>
              <w:left w:w="20" w:type="dxa"/>
              <w:bottom w:w="40" w:type="dxa"/>
              <w:right w:w="0" w:type="dxa"/>
            </w:tcMar>
            <w:vAlign w:val="bottom"/>
          </w:tcPr>
          <w:p w14:paraId="00BAEFD8" w14:textId="77777777" w:rsidR="00871BDF" w:rsidRDefault="005C5088">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00BAEFD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FD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FDB"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FD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FD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FD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EFD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FE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FE1" w14:textId="77777777" w:rsidR="00871BDF" w:rsidRDefault="005C5088">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00BAEFE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FE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AEFE4" w14:textId="77777777" w:rsidR="00871BDF" w:rsidRDefault="005C5088">
            <w:pPr>
              <w:jc w:val="center"/>
              <w:textAlignment w:val="bottom"/>
            </w:pPr>
            <w:r>
              <w:rPr>
                <w:rFonts w:ascii="Times New Roman" w:eastAsia="宋体" w:hAnsi="Times New Roman"/>
                <w:color w:val="000000"/>
                <w:sz w:val="20"/>
                <w:szCs w:val="20"/>
              </w:rPr>
              <w:t>9</w:t>
            </w:r>
          </w:p>
        </w:tc>
      </w:tr>
      <w:tr w:rsidR="00871BDF" w14:paraId="00BAEFF4" w14:textId="77777777">
        <w:tc>
          <w:tcPr>
            <w:tcW w:w="0" w:type="auto"/>
            <w:gridSpan w:val="3"/>
            <w:shd w:val="clear" w:color="auto" w:fill="D7E4BC"/>
            <w:tcMar>
              <w:top w:w="40" w:type="dxa"/>
              <w:left w:w="155" w:type="dxa"/>
              <w:bottom w:w="40" w:type="dxa"/>
              <w:right w:w="20" w:type="dxa"/>
            </w:tcMar>
          </w:tcPr>
          <w:p w14:paraId="00BAEFE6" w14:textId="77777777" w:rsidR="00871BDF" w:rsidRDefault="005C5088">
            <w:pPr>
              <w:textAlignment w:val="top"/>
            </w:pPr>
            <w:r>
              <w:rPr>
                <w:rFonts w:ascii="Times New Roman" w:eastAsia="宋体" w:hAnsi="Times New Roman"/>
                <w:color w:val="000000"/>
                <w:sz w:val="20"/>
                <w:szCs w:val="20"/>
              </w:rPr>
              <w:t>Foreign currency - other</w:t>
            </w:r>
          </w:p>
        </w:tc>
        <w:tc>
          <w:tcPr>
            <w:tcW w:w="0" w:type="auto"/>
            <w:gridSpan w:val="2"/>
            <w:shd w:val="clear" w:color="auto" w:fill="D7E4BC"/>
            <w:tcMar>
              <w:top w:w="40" w:type="dxa"/>
              <w:left w:w="20" w:type="dxa"/>
              <w:bottom w:w="40" w:type="dxa"/>
              <w:right w:w="0" w:type="dxa"/>
            </w:tcMar>
            <w:vAlign w:val="bottom"/>
          </w:tcPr>
          <w:p w14:paraId="00BAEFE7" w14:textId="77777777" w:rsidR="00871BDF" w:rsidRDefault="005C5088">
            <w:pPr>
              <w:jc w:val="right"/>
              <w:textAlignment w:val="bottom"/>
            </w:pPr>
            <w:r>
              <w:rPr>
                <w:rFonts w:ascii="Times New Roman" w:eastAsia="宋体" w:hAnsi="Times New Roman"/>
                <w:color w:val="000000"/>
                <w:sz w:val="20"/>
                <w:szCs w:val="20"/>
              </w:rPr>
              <w:t>5.3 </w:t>
            </w:r>
          </w:p>
        </w:tc>
        <w:tc>
          <w:tcPr>
            <w:tcW w:w="0" w:type="auto"/>
            <w:shd w:val="clear" w:color="auto" w:fill="D7E4BC"/>
            <w:tcMar>
              <w:top w:w="40" w:type="dxa"/>
              <w:left w:w="0" w:type="dxa"/>
              <w:bottom w:w="40" w:type="dxa"/>
              <w:right w:w="20" w:type="dxa"/>
            </w:tcMar>
            <w:vAlign w:val="bottom"/>
          </w:tcPr>
          <w:p w14:paraId="00BAEFE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FE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center"/>
          </w:tcPr>
          <w:p w14:paraId="00BAEFEA" w14:textId="77777777" w:rsidR="00871BDF" w:rsidRDefault="005C5088">
            <w:pPr>
              <w:jc w:val="right"/>
              <w:textAlignment w:val="center"/>
            </w:pPr>
            <w:r>
              <w:rPr>
                <w:rFonts w:ascii="Times New Roman" w:eastAsia="宋体" w:hAnsi="Times New Roman"/>
                <w:color w:val="000000"/>
                <w:sz w:val="20"/>
                <w:szCs w:val="20"/>
              </w:rPr>
              <w:t>12.9 </w:t>
            </w:r>
          </w:p>
        </w:tc>
        <w:tc>
          <w:tcPr>
            <w:tcW w:w="0" w:type="auto"/>
            <w:shd w:val="clear" w:color="auto" w:fill="D7E4BC"/>
            <w:tcMar>
              <w:top w:w="40" w:type="dxa"/>
              <w:left w:w="0" w:type="dxa"/>
              <w:bottom w:w="40" w:type="dxa"/>
              <w:right w:w="20" w:type="dxa"/>
            </w:tcMar>
            <w:vAlign w:val="center"/>
          </w:tcPr>
          <w:p w14:paraId="00BAEFE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FE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center"/>
          </w:tcPr>
          <w:p w14:paraId="00BAEFED" w14:textId="77777777" w:rsidR="00871BDF" w:rsidRDefault="005C5088">
            <w:pPr>
              <w:jc w:val="right"/>
              <w:textAlignment w:val="center"/>
            </w:pPr>
            <w:r>
              <w:rPr>
                <w:rFonts w:ascii="Times New Roman" w:eastAsia="宋体" w:hAnsi="Times New Roman"/>
                <w:color w:val="000000"/>
                <w:sz w:val="20"/>
                <w:szCs w:val="20"/>
              </w:rPr>
              <w:t>5.8 </w:t>
            </w:r>
          </w:p>
        </w:tc>
        <w:tc>
          <w:tcPr>
            <w:tcW w:w="0" w:type="auto"/>
            <w:shd w:val="clear" w:color="auto" w:fill="D7E4BC"/>
            <w:tcMar>
              <w:top w:w="40" w:type="dxa"/>
              <w:left w:w="0" w:type="dxa"/>
              <w:bottom w:w="40" w:type="dxa"/>
              <w:right w:w="20" w:type="dxa"/>
            </w:tcMar>
            <w:vAlign w:val="center"/>
          </w:tcPr>
          <w:p w14:paraId="00BAEFE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FE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EFF0" w14:textId="77777777" w:rsidR="00871BDF" w:rsidRDefault="005C5088">
            <w:pPr>
              <w:jc w:val="right"/>
              <w:textAlignment w:val="bottom"/>
            </w:pPr>
            <w:r>
              <w:rPr>
                <w:rFonts w:ascii="Times New Roman" w:eastAsia="宋体" w:hAnsi="Times New Roman"/>
                <w:color w:val="000000"/>
                <w:sz w:val="20"/>
                <w:szCs w:val="20"/>
              </w:rPr>
              <w:t>4.6 </w:t>
            </w:r>
          </w:p>
        </w:tc>
        <w:tc>
          <w:tcPr>
            <w:tcW w:w="0" w:type="auto"/>
            <w:shd w:val="clear" w:color="auto" w:fill="D7E4BC"/>
            <w:tcMar>
              <w:top w:w="40" w:type="dxa"/>
              <w:left w:w="0" w:type="dxa"/>
              <w:bottom w:w="40" w:type="dxa"/>
              <w:right w:w="20" w:type="dxa"/>
            </w:tcMar>
            <w:vAlign w:val="bottom"/>
          </w:tcPr>
          <w:p w14:paraId="00BAEFF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EFF2"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EFF3" w14:textId="77777777" w:rsidR="00871BDF" w:rsidRDefault="005C5088">
            <w:pPr>
              <w:jc w:val="center"/>
              <w:textAlignment w:val="bottom"/>
            </w:pPr>
            <w:r>
              <w:rPr>
                <w:rFonts w:ascii="Times New Roman" w:eastAsia="宋体" w:hAnsi="Times New Roman"/>
                <w:color w:val="000000"/>
                <w:sz w:val="20"/>
                <w:szCs w:val="20"/>
              </w:rPr>
              <w:t>36</w:t>
            </w:r>
          </w:p>
        </w:tc>
      </w:tr>
      <w:tr w:rsidR="00871BDF" w14:paraId="00BAF003" w14:textId="77777777">
        <w:tc>
          <w:tcPr>
            <w:tcW w:w="0" w:type="auto"/>
            <w:gridSpan w:val="3"/>
            <w:shd w:val="clear" w:color="auto" w:fill="FFFFFF"/>
            <w:tcMar>
              <w:top w:w="40" w:type="dxa"/>
              <w:left w:w="155" w:type="dxa"/>
              <w:bottom w:w="40" w:type="dxa"/>
              <w:right w:w="20" w:type="dxa"/>
            </w:tcMar>
          </w:tcPr>
          <w:p w14:paraId="00BAEFF5" w14:textId="77777777" w:rsidR="00871BDF" w:rsidRDefault="005C5088">
            <w:pPr>
              <w:textAlignment w:val="top"/>
            </w:pPr>
            <w:r>
              <w:rPr>
                <w:rFonts w:ascii="Times New Roman" w:eastAsia="宋体" w:hAnsi="Times New Roman"/>
                <w:color w:val="000000"/>
                <w:sz w:val="20"/>
                <w:szCs w:val="20"/>
              </w:rPr>
              <w:t>Interest rates</w:t>
            </w:r>
          </w:p>
        </w:tc>
        <w:tc>
          <w:tcPr>
            <w:tcW w:w="0" w:type="auto"/>
            <w:gridSpan w:val="2"/>
            <w:shd w:val="clear" w:color="auto" w:fill="FFFFFF"/>
            <w:tcMar>
              <w:top w:w="40" w:type="dxa"/>
              <w:left w:w="20" w:type="dxa"/>
              <w:bottom w:w="40" w:type="dxa"/>
              <w:right w:w="0" w:type="dxa"/>
            </w:tcMar>
            <w:vAlign w:val="bottom"/>
          </w:tcPr>
          <w:p w14:paraId="00BAEFF6" w14:textId="77777777" w:rsidR="00871BDF" w:rsidRDefault="005C5088">
            <w:pPr>
              <w:jc w:val="right"/>
              <w:textAlignment w:val="bottom"/>
            </w:pPr>
            <w:r>
              <w:rPr>
                <w:rFonts w:ascii="Times New Roman" w:eastAsia="宋体" w:hAnsi="Times New Roman"/>
                <w:color w:val="000000"/>
                <w:sz w:val="20"/>
                <w:szCs w:val="20"/>
              </w:rPr>
              <w:t>(90.6)</w:t>
            </w:r>
          </w:p>
        </w:tc>
        <w:tc>
          <w:tcPr>
            <w:tcW w:w="0" w:type="auto"/>
            <w:shd w:val="clear" w:color="auto" w:fill="FFFFFF"/>
            <w:tcMar>
              <w:top w:w="40" w:type="dxa"/>
              <w:left w:w="0" w:type="dxa"/>
              <w:bottom w:w="40" w:type="dxa"/>
              <w:right w:w="20" w:type="dxa"/>
            </w:tcMar>
            <w:vAlign w:val="bottom"/>
          </w:tcPr>
          <w:p w14:paraId="00BAEFF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FF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center"/>
          </w:tcPr>
          <w:p w14:paraId="00BAEFF9" w14:textId="77777777" w:rsidR="00871BDF" w:rsidRDefault="005C5088">
            <w:pPr>
              <w:jc w:val="right"/>
              <w:textAlignment w:val="center"/>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center"/>
          </w:tcPr>
          <w:p w14:paraId="00BAEFF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FF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center"/>
          </w:tcPr>
          <w:p w14:paraId="00BAEFFC" w14:textId="77777777" w:rsidR="00871BDF" w:rsidRDefault="005C5088">
            <w:pPr>
              <w:jc w:val="right"/>
              <w:textAlignment w:val="center"/>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center"/>
          </w:tcPr>
          <w:p w14:paraId="00BAEFF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EFF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EFFF" w14:textId="77777777" w:rsidR="00871BDF" w:rsidRDefault="005C5088">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00BAF00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0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AF002" w14:textId="77777777" w:rsidR="00871BDF" w:rsidRDefault="005C5088">
            <w:pPr>
              <w:jc w:val="center"/>
              <w:textAlignment w:val="bottom"/>
            </w:pPr>
            <w:r>
              <w:rPr>
                <w:rFonts w:ascii="Times New Roman" w:eastAsia="宋体" w:hAnsi="Times New Roman"/>
                <w:color w:val="000000"/>
                <w:sz w:val="20"/>
                <w:szCs w:val="20"/>
              </w:rPr>
              <w:t>145</w:t>
            </w:r>
          </w:p>
        </w:tc>
      </w:tr>
      <w:tr w:rsidR="00871BDF" w14:paraId="00BAF00E" w14:textId="77777777">
        <w:tc>
          <w:tcPr>
            <w:tcW w:w="0" w:type="auto"/>
            <w:gridSpan w:val="3"/>
            <w:shd w:val="clear" w:color="auto" w:fill="D7E4BC"/>
            <w:tcMar>
              <w:top w:w="40" w:type="dxa"/>
              <w:left w:w="20" w:type="dxa"/>
              <w:bottom w:w="40" w:type="dxa"/>
              <w:right w:w="20" w:type="dxa"/>
            </w:tcMar>
          </w:tcPr>
          <w:p w14:paraId="00BAF004" w14:textId="77777777" w:rsidR="00871BDF" w:rsidRDefault="005C5088">
            <w:pPr>
              <w:textAlignment w:val="top"/>
            </w:pPr>
            <w:r>
              <w:rPr>
                <w:rFonts w:ascii="Times New Roman" w:eastAsia="宋体" w:hAnsi="Times New Roman"/>
                <w:color w:val="000000"/>
                <w:sz w:val="20"/>
                <w:szCs w:val="20"/>
              </w:rPr>
              <w:t>Net Investment Hedges:</w:t>
            </w:r>
          </w:p>
        </w:tc>
        <w:tc>
          <w:tcPr>
            <w:tcW w:w="0" w:type="auto"/>
            <w:gridSpan w:val="3"/>
            <w:shd w:val="clear" w:color="auto" w:fill="D7E4BC"/>
            <w:tcMar>
              <w:top w:w="0" w:type="dxa"/>
              <w:left w:w="20" w:type="dxa"/>
              <w:bottom w:w="0" w:type="dxa"/>
              <w:right w:w="20" w:type="dxa"/>
            </w:tcMar>
          </w:tcPr>
          <w:p w14:paraId="00BAF00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00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00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00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00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00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00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00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00D" w14:textId="77777777" w:rsidR="00871BDF" w:rsidRDefault="00871BDF">
            <w:pPr>
              <w:rPr>
                <w:rFonts w:ascii="宋体"/>
              </w:rPr>
            </w:pPr>
          </w:p>
        </w:tc>
      </w:tr>
      <w:tr w:rsidR="00871BDF" w14:paraId="00BAF01D" w14:textId="77777777">
        <w:tc>
          <w:tcPr>
            <w:tcW w:w="0" w:type="auto"/>
            <w:gridSpan w:val="3"/>
            <w:shd w:val="clear" w:color="auto" w:fill="FFFFFF"/>
            <w:tcMar>
              <w:top w:w="40" w:type="dxa"/>
              <w:left w:w="155" w:type="dxa"/>
              <w:bottom w:w="40" w:type="dxa"/>
              <w:right w:w="20" w:type="dxa"/>
            </w:tcMar>
          </w:tcPr>
          <w:p w14:paraId="00BAF00F" w14:textId="77777777" w:rsidR="00871BDF" w:rsidRDefault="005C5088">
            <w:pPr>
              <w:textAlignment w:val="top"/>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00BAF010" w14:textId="77777777" w:rsidR="00871BDF" w:rsidRDefault="005C5088">
            <w:pPr>
              <w:jc w:val="right"/>
              <w:textAlignment w:val="bottom"/>
            </w:pPr>
            <w:r>
              <w:rPr>
                <w:rFonts w:ascii="Times New Roman" w:eastAsia="宋体" w:hAnsi="Times New Roman"/>
                <w:color w:val="000000"/>
                <w:sz w:val="20"/>
                <w:szCs w:val="20"/>
              </w:rPr>
              <w:t>32.6 </w:t>
            </w:r>
          </w:p>
        </w:tc>
        <w:tc>
          <w:tcPr>
            <w:tcW w:w="0" w:type="auto"/>
            <w:shd w:val="clear" w:color="auto" w:fill="FFFFFF"/>
            <w:tcMar>
              <w:top w:w="40" w:type="dxa"/>
              <w:left w:w="0" w:type="dxa"/>
              <w:bottom w:w="40" w:type="dxa"/>
              <w:right w:w="20" w:type="dxa"/>
            </w:tcMar>
            <w:vAlign w:val="bottom"/>
          </w:tcPr>
          <w:p w14:paraId="00BAF01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1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center"/>
          </w:tcPr>
          <w:p w14:paraId="00BAF013" w14:textId="77777777" w:rsidR="00871BDF" w:rsidRDefault="005C5088">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0BAF01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1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center"/>
          </w:tcPr>
          <w:p w14:paraId="00BAF016" w14:textId="77777777" w:rsidR="00871BDF" w:rsidRDefault="005C5088">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0BAF01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1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019"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01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1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AF01C" w14:textId="77777777" w:rsidR="00871BDF" w:rsidRDefault="005C5088">
            <w:pPr>
              <w:jc w:val="center"/>
              <w:textAlignment w:val="bottom"/>
            </w:pPr>
            <w:r>
              <w:rPr>
                <w:rFonts w:ascii="Times New Roman" w:eastAsia="宋体" w:hAnsi="Times New Roman"/>
                <w:color w:val="000000"/>
                <w:sz w:val="20"/>
                <w:szCs w:val="20"/>
              </w:rPr>
              <w:t>108</w:t>
            </w:r>
          </w:p>
        </w:tc>
      </w:tr>
      <w:tr w:rsidR="00871BDF" w14:paraId="00BAF02C" w14:textId="77777777">
        <w:tc>
          <w:tcPr>
            <w:tcW w:w="0" w:type="auto"/>
            <w:gridSpan w:val="3"/>
            <w:shd w:val="clear" w:color="auto" w:fill="D7E4BC"/>
            <w:tcMar>
              <w:top w:w="40" w:type="dxa"/>
              <w:left w:w="155" w:type="dxa"/>
              <w:bottom w:w="40" w:type="dxa"/>
              <w:right w:w="20" w:type="dxa"/>
            </w:tcMar>
          </w:tcPr>
          <w:p w14:paraId="00BAF01E" w14:textId="77777777" w:rsidR="00871BDF" w:rsidRDefault="005C5088">
            <w:pPr>
              <w:textAlignment w:val="top"/>
            </w:pPr>
            <w:r>
              <w:rPr>
                <w:rFonts w:ascii="Times New Roman" w:eastAsia="宋体" w:hAnsi="Times New Roman"/>
                <w:color w:val="000000"/>
                <w:sz w:val="20"/>
                <w:szCs w:val="20"/>
              </w:rPr>
              <w:t>Foreign currency</w:t>
            </w:r>
          </w:p>
        </w:tc>
        <w:tc>
          <w:tcPr>
            <w:tcW w:w="0" w:type="auto"/>
            <w:gridSpan w:val="2"/>
            <w:shd w:val="clear" w:color="auto" w:fill="D7E4BC"/>
            <w:tcMar>
              <w:top w:w="40" w:type="dxa"/>
              <w:left w:w="20" w:type="dxa"/>
              <w:bottom w:w="40" w:type="dxa"/>
              <w:right w:w="0" w:type="dxa"/>
            </w:tcMar>
            <w:vAlign w:val="bottom"/>
          </w:tcPr>
          <w:p w14:paraId="00BAF01F" w14:textId="77777777" w:rsidR="00871BDF" w:rsidRDefault="005C5088">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00BAF02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02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022" w14:textId="77777777" w:rsidR="00871BDF" w:rsidRDefault="005C5088">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00BAF02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02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025" w14:textId="77777777" w:rsidR="00871BDF" w:rsidRDefault="005C5088">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00BAF02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02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02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02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02A"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F02B" w14:textId="77777777" w:rsidR="00871BDF" w:rsidRDefault="005C5088">
            <w:pPr>
              <w:jc w:val="center"/>
              <w:textAlignment w:val="bottom"/>
            </w:pPr>
            <w:r>
              <w:rPr>
                <w:rFonts w:ascii="Times New Roman" w:eastAsia="宋体" w:hAnsi="Times New Roman"/>
                <w:color w:val="000000"/>
                <w:sz w:val="20"/>
                <w:szCs w:val="20"/>
              </w:rPr>
              <w:t>0</w:t>
            </w:r>
          </w:p>
        </w:tc>
      </w:tr>
      <w:tr w:rsidR="00871BDF" w14:paraId="00BAF03B" w14:textId="77777777">
        <w:tc>
          <w:tcPr>
            <w:tcW w:w="0" w:type="auto"/>
            <w:gridSpan w:val="3"/>
            <w:shd w:val="clear" w:color="auto" w:fill="FFFFFF"/>
            <w:tcMar>
              <w:top w:w="40" w:type="dxa"/>
              <w:left w:w="155" w:type="dxa"/>
              <w:bottom w:w="40" w:type="dxa"/>
              <w:right w:w="20" w:type="dxa"/>
            </w:tcMar>
          </w:tcPr>
          <w:p w14:paraId="00BAF02D" w14:textId="77777777" w:rsidR="00871BDF" w:rsidRDefault="005C5088">
            <w:pPr>
              <w:textAlignment w:val="top"/>
            </w:pPr>
            <w:r>
              <w:rPr>
                <w:rFonts w:ascii="Times New Roman" w:eastAsia="宋体" w:hAnsi="Times New Roman"/>
                <w:color w:val="000000"/>
                <w:sz w:val="20"/>
                <w:szCs w:val="20"/>
              </w:rPr>
              <w:t>Foreign currency debt</w:t>
            </w:r>
          </w:p>
        </w:tc>
        <w:tc>
          <w:tcPr>
            <w:tcW w:w="0" w:type="auto"/>
            <w:gridSpan w:val="2"/>
            <w:shd w:val="clear" w:color="auto" w:fill="FFFFFF"/>
            <w:tcMar>
              <w:top w:w="40" w:type="dxa"/>
              <w:left w:w="20" w:type="dxa"/>
              <w:bottom w:w="40" w:type="dxa"/>
              <w:right w:w="0" w:type="dxa"/>
            </w:tcMar>
            <w:vAlign w:val="bottom"/>
          </w:tcPr>
          <w:p w14:paraId="00BAF02E" w14:textId="77777777" w:rsidR="00871BDF" w:rsidRDefault="005C5088">
            <w:pPr>
              <w:jc w:val="right"/>
              <w:textAlignment w:val="bottom"/>
            </w:pPr>
            <w:r>
              <w:rPr>
                <w:rFonts w:ascii="Times New Roman" w:eastAsia="宋体" w:hAnsi="Times New Roman"/>
                <w:color w:val="000000"/>
                <w:sz w:val="20"/>
                <w:szCs w:val="20"/>
              </w:rPr>
              <w:t>(37.1)</w:t>
            </w:r>
          </w:p>
        </w:tc>
        <w:tc>
          <w:tcPr>
            <w:tcW w:w="0" w:type="auto"/>
            <w:shd w:val="clear" w:color="auto" w:fill="FFFFFF"/>
            <w:tcMar>
              <w:top w:w="40" w:type="dxa"/>
              <w:left w:w="0" w:type="dxa"/>
              <w:bottom w:w="40" w:type="dxa"/>
              <w:right w:w="20" w:type="dxa"/>
            </w:tcMar>
            <w:vAlign w:val="bottom"/>
          </w:tcPr>
          <w:p w14:paraId="00BAF02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3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center"/>
          </w:tcPr>
          <w:p w14:paraId="00BAF031" w14:textId="77777777" w:rsidR="00871BDF" w:rsidRDefault="005C5088">
            <w:pPr>
              <w:jc w:val="right"/>
              <w:textAlignment w:val="center"/>
            </w:pPr>
            <w:r>
              <w:rPr>
                <w:rFonts w:ascii="Times New Roman" w:eastAsia="宋体" w:hAnsi="Times New Roman"/>
                <w:color w:val="000000"/>
                <w:sz w:val="20"/>
                <w:szCs w:val="20"/>
              </w:rPr>
              <w:t>(26.1)</w:t>
            </w:r>
          </w:p>
        </w:tc>
        <w:tc>
          <w:tcPr>
            <w:tcW w:w="0" w:type="auto"/>
            <w:shd w:val="clear" w:color="auto" w:fill="FFFFFF"/>
            <w:tcMar>
              <w:top w:w="40" w:type="dxa"/>
              <w:left w:w="0" w:type="dxa"/>
              <w:bottom w:w="40" w:type="dxa"/>
              <w:right w:w="20" w:type="dxa"/>
            </w:tcMar>
            <w:vAlign w:val="center"/>
          </w:tcPr>
          <w:p w14:paraId="00BAF03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3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center"/>
          </w:tcPr>
          <w:p w14:paraId="00BAF034" w14:textId="77777777" w:rsidR="00871BDF" w:rsidRDefault="005C5088">
            <w:pPr>
              <w:jc w:val="right"/>
              <w:textAlignment w:val="center"/>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center"/>
          </w:tcPr>
          <w:p w14:paraId="00BAF03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3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03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03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3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AF03A" w14:textId="77777777" w:rsidR="00871BDF" w:rsidRDefault="005C5088">
            <w:pPr>
              <w:jc w:val="center"/>
              <w:textAlignment w:val="bottom"/>
            </w:pPr>
            <w:r>
              <w:rPr>
                <w:rFonts w:ascii="Times New Roman" w:eastAsia="宋体" w:hAnsi="Times New Roman"/>
                <w:color w:val="000000"/>
                <w:sz w:val="20"/>
                <w:szCs w:val="20"/>
              </w:rPr>
              <w:t>42</w:t>
            </w:r>
          </w:p>
        </w:tc>
      </w:tr>
    </w:tbl>
    <w:p w14:paraId="00BAF03C" w14:textId="77777777" w:rsidR="00871BDF" w:rsidRDefault="005C5088">
      <w:pPr>
        <w:jc w:val="center"/>
      </w:pPr>
      <w:r>
        <w:rPr>
          <w:rFonts w:ascii="Times New Roman" w:eastAsia="宋体" w:hAnsi="Times New Roman"/>
          <w:color w:val="000000"/>
          <w:sz w:val="20"/>
          <w:szCs w:val="20"/>
        </w:rPr>
        <w:t>66</w:t>
      </w:r>
    </w:p>
    <w:p w14:paraId="00BAF03D" w14:textId="77777777" w:rsidR="00871BDF" w:rsidRDefault="005C5088">
      <w:r>
        <w:pict w14:anchorId="00BB14A7">
          <v:rect id="_x0000_i1093" style="width:415.3pt;height:1.5pt" o:hralign="center" o:hrstd="t" o:hr="t" fillcolor="#a0a0a0" stroked="f"/>
        </w:pict>
      </w:r>
    </w:p>
    <w:p w14:paraId="00BAF03E" w14:textId="77777777" w:rsidR="00871BDF" w:rsidRDefault="005C5088">
      <w:hyperlink r:id="rId199" w:anchor="i54ccc64cb5384be5a4849ef1cdef4dde_7" w:history="1">
        <w:r>
          <w:rPr>
            <w:rStyle w:val="a5"/>
            <w:rFonts w:ascii="Times New Roman" w:eastAsia="宋体" w:hAnsi="Times New Roman"/>
            <w:sz w:val="20"/>
            <w:szCs w:val="20"/>
          </w:rPr>
          <w:t>Table of Contents</w:t>
        </w:r>
      </w:hyperlink>
    </w:p>
    <w:p w14:paraId="00BAF03F" w14:textId="77777777" w:rsidR="00871BDF" w:rsidRDefault="005C5088">
      <w:pPr>
        <w:spacing w:before="180"/>
      </w:pPr>
      <w:r>
        <w:rPr>
          <w:rFonts w:ascii="Times New Roman" w:eastAsia="宋体" w:hAnsi="Times New Roman"/>
          <w:color w:val="000000"/>
          <w:sz w:val="20"/>
          <w:szCs w:val="20"/>
        </w:rPr>
        <w:t xml:space="preserve">Pre-tax </w:t>
      </w:r>
      <w:r>
        <w:rPr>
          <w:rFonts w:ascii="Times New Roman" w:eastAsia="宋体" w:hAnsi="Times New Roman"/>
          <w:color w:val="000000"/>
          <w:sz w:val="20"/>
          <w:szCs w:val="20"/>
        </w:rPr>
        <w:t>gains and losses on derivative contracts and foreign currency-denominated long-term debt designated as hedging instruments recognized in OCI and reclassifications from AOCI to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8"/>
        <w:gridCol w:w="1312"/>
        <w:gridCol w:w="36"/>
        <w:gridCol w:w="45"/>
        <w:gridCol w:w="36"/>
        <w:gridCol w:w="35"/>
        <w:gridCol w:w="35"/>
        <w:gridCol w:w="35"/>
        <w:gridCol w:w="36"/>
        <w:gridCol w:w="353"/>
        <w:gridCol w:w="119"/>
        <w:gridCol w:w="512"/>
        <w:gridCol w:w="36"/>
        <w:gridCol w:w="50"/>
        <w:gridCol w:w="256"/>
        <w:gridCol w:w="50"/>
        <w:gridCol w:w="119"/>
        <w:gridCol w:w="378"/>
        <w:gridCol w:w="36"/>
        <w:gridCol w:w="50"/>
        <w:gridCol w:w="256"/>
        <w:gridCol w:w="50"/>
        <w:gridCol w:w="119"/>
        <w:gridCol w:w="378"/>
        <w:gridCol w:w="36"/>
        <w:gridCol w:w="50"/>
        <w:gridCol w:w="256"/>
        <w:gridCol w:w="50"/>
        <w:gridCol w:w="119"/>
        <w:gridCol w:w="295"/>
        <w:gridCol w:w="36"/>
        <w:gridCol w:w="50"/>
        <w:gridCol w:w="256"/>
        <w:gridCol w:w="50"/>
        <w:gridCol w:w="119"/>
        <w:gridCol w:w="378"/>
        <w:gridCol w:w="36"/>
        <w:gridCol w:w="50"/>
        <w:gridCol w:w="256"/>
        <w:gridCol w:w="50"/>
        <w:gridCol w:w="120"/>
        <w:gridCol w:w="615"/>
        <w:gridCol w:w="36"/>
        <w:gridCol w:w="36"/>
        <w:gridCol w:w="36"/>
        <w:gridCol w:w="36"/>
        <w:gridCol w:w="38"/>
        <w:gridCol w:w="906"/>
        <w:gridCol w:w="36"/>
      </w:tblGrid>
      <w:tr w:rsidR="00871BDF" w14:paraId="00BAF071" w14:textId="77777777">
        <w:tc>
          <w:tcPr>
            <w:tcW w:w="50" w:type="pct"/>
            <w:shd w:val="clear" w:color="auto" w:fill="auto"/>
          </w:tcPr>
          <w:p w14:paraId="00BAF040" w14:textId="77777777" w:rsidR="00871BDF" w:rsidRDefault="00871BDF">
            <w:pPr>
              <w:rPr>
                <w:rFonts w:ascii="宋体"/>
              </w:rPr>
            </w:pPr>
          </w:p>
        </w:tc>
        <w:tc>
          <w:tcPr>
            <w:tcW w:w="1196" w:type="pct"/>
            <w:shd w:val="clear" w:color="auto" w:fill="auto"/>
          </w:tcPr>
          <w:p w14:paraId="00BAF041" w14:textId="77777777" w:rsidR="00871BDF" w:rsidRDefault="00871BDF">
            <w:pPr>
              <w:rPr>
                <w:rFonts w:ascii="宋体"/>
              </w:rPr>
            </w:pPr>
          </w:p>
        </w:tc>
        <w:tc>
          <w:tcPr>
            <w:tcW w:w="5" w:type="pct"/>
            <w:shd w:val="clear" w:color="auto" w:fill="auto"/>
          </w:tcPr>
          <w:p w14:paraId="00BAF042" w14:textId="77777777" w:rsidR="00871BDF" w:rsidRDefault="00871BDF">
            <w:pPr>
              <w:rPr>
                <w:rFonts w:ascii="宋体"/>
              </w:rPr>
            </w:pPr>
          </w:p>
        </w:tc>
        <w:tc>
          <w:tcPr>
            <w:tcW w:w="0" w:type="auto"/>
            <w:shd w:val="clear" w:color="auto" w:fill="auto"/>
          </w:tcPr>
          <w:p w14:paraId="00BAF043" w14:textId="77777777" w:rsidR="00871BDF" w:rsidRDefault="00871BDF">
            <w:pPr>
              <w:rPr>
                <w:rFonts w:ascii="宋体"/>
                <w:vanish/>
              </w:rPr>
            </w:pPr>
          </w:p>
        </w:tc>
        <w:tc>
          <w:tcPr>
            <w:tcW w:w="5" w:type="pct"/>
            <w:shd w:val="clear" w:color="auto" w:fill="auto"/>
          </w:tcPr>
          <w:p w14:paraId="00BAF044" w14:textId="77777777" w:rsidR="00871BDF" w:rsidRDefault="00871BDF">
            <w:pPr>
              <w:rPr>
                <w:rFonts w:ascii="宋体"/>
              </w:rPr>
            </w:pPr>
          </w:p>
        </w:tc>
        <w:tc>
          <w:tcPr>
            <w:tcW w:w="19" w:type="pct"/>
            <w:shd w:val="clear" w:color="auto" w:fill="auto"/>
          </w:tcPr>
          <w:p w14:paraId="00BAF045" w14:textId="77777777" w:rsidR="00871BDF" w:rsidRDefault="00871BDF">
            <w:pPr>
              <w:rPr>
                <w:rFonts w:ascii="宋体"/>
              </w:rPr>
            </w:pPr>
          </w:p>
        </w:tc>
        <w:tc>
          <w:tcPr>
            <w:tcW w:w="5" w:type="pct"/>
            <w:shd w:val="clear" w:color="auto" w:fill="auto"/>
          </w:tcPr>
          <w:p w14:paraId="00BAF046" w14:textId="77777777" w:rsidR="00871BDF" w:rsidRDefault="00871BDF">
            <w:pPr>
              <w:rPr>
                <w:rFonts w:ascii="宋体"/>
              </w:rPr>
            </w:pPr>
          </w:p>
        </w:tc>
        <w:tc>
          <w:tcPr>
            <w:tcW w:w="0" w:type="auto"/>
            <w:shd w:val="clear" w:color="auto" w:fill="auto"/>
          </w:tcPr>
          <w:p w14:paraId="00BAF047" w14:textId="77777777" w:rsidR="00871BDF" w:rsidRDefault="00871BDF">
            <w:pPr>
              <w:rPr>
                <w:rFonts w:ascii="宋体"/>
                <w:vanish/>
              </w:rPr>
            </w:pPr>
          </w:p>
        </w:tc>
        <w:tc>
          <w:tcPr>
            <w:tcW w:w="0" w:type="auto"/>
            <w:shd w:val="clear" w:color="auto" w:fill="auto"/>
          </w:tcPr>
          <w:p w14:paraId="00BAF048" w14:textId="77777777" w:rsidR="00871BDF" w:rsidRDefault="00871BDF">
            <w:pPr>
              <w:rPr>
                <w:rFonts w:ascii="宋体"/>
                <w:vanish/>
              </w:rPr>
            </w:pPr>
          </w:p>
        </w:tc>
        <w:tc>
          <w:tcPr>
            <w:tcW w:w="0" w:type="auto"/>
            <w:shd w:val="clear" w:color="auto" w:fill="auto"/>
          </w:tcPr>
          <w:p w14:paraId="00BAF049" w14:textId="77777777" w:rsidR="00871BDF" w:rsidRDefault="00871BDF">
            <w:pPr>
              <w:rPr>
                <w:rFonts w:ascii="宋体"/>
                <w:vanish/>
              </w:rPr>
            </w:pPr>
          </w:p>
        </w:tc>
        <w:tc>
          <w:tcPr>
            <w:tcW w:w="50" w:type="pct"/>
            <w:shd w:val="clear" w:color="auto" w:fill="auto"/>
          </w:tcPr>
          <w:p w14:paraId="00BAF04A" w14:textId="77777777" w:rsidR="00871BDF" w:rsidRDefault="00871BDF">
            <w:pPr>
              <w:rPr>
                <w:rFonts w:ascii="宋体"/>
              </w:rPr>
            </w:pPr>
          </w:p>
        </w:tc>
        <w:tc>
          <w:tcPr>
            <w:tcW w:w="316" w:type="pct"/>
            <w:shd w:val="clear" w:color="auto" w:fill="auto"/>
          </w:tcPr>
          <w:p w14:paraId="00BAF04B" w14:textId="77777777" w:rsidR="00871BDF" w:rsidRDefault="00871BDF">
            <w:pPr>
              <w:rPr>
                <w:rFonts w:ascii="宋体"/>
              </w:rPr>
            </w:pPr>
          </w:p>
        </w:tc>
        <w:tc>
          <w:tcPr>
            <w:tcW w:w="5" w:type="pct"/>
            <w:shd w:val="clear" w:color="auto" w:fill="auto"/>
          </w:tcPr>
          <w:p w14:paraId="00BAF04C" w14:textId="77777777" w:rsidR="00871BDF" w:rsidRDefault="00871BDF">
            <w:pPr>
              <w:rPr>
                <w:rFonts w:ascii="宋体"/>
              </w:rPr>
            </w:pPr>
          </w:p>
        </w:tc>
        <w:tc>
          <w:tcPr>
            <w:tcW w:w="5" w:type="pct"/>
            <w:shd w:val="clear" w:color="auto" w:fill="auto"/>
          </w:tcPr>
          <w:p w14:paraId="00BAF04D" w14:textId="77777777" w:rsidR="00871BDF" w:rsidRDefault="00871BDF">
            <w:pPr>
              <w:rPr>
                <w:rFonts w:ascii="宋体"/>
              </w:rPr>
            </w:pPr>
          </w:p>
        </w:tc>
        <w:tc>
          <w:tcPr>
            <w:tcW w:w="26" w:type="pct"/>
            <w:shd w:val="clear" w:color="auto" w:fill="auto"/>
          </w:tcPr>
          <w:p w14:paraId="00BAF04E" w14:textId="77777777" w:rsidR="00871BDF" w:rsidRDefault="00871BDF">
            <w:pPr>
              <w:rPr>
                <w:rFonts w:ascii="宋体"/>
              </w:rPr>
            </w:pPr>
          </w:p>
        </w:tc>
        <w:tc>
          <w:tcPr>
            <w:tcW w:w="5" w:type="pct"/>
            <w:shd w:val="clear" w:color="auto" w:fill="auto"/>
          </w:tcPr>
          <w:p w14:paraId="00BAF04F" w14:textId="77777777" w:rsidR="00871BDF" w:rsidRDefault="00871BDF">
            <w:pPr>
              <w:rPr>
                <w:rFonts w:ascii="宋体"/>
              </w:rPr>
            </w:pPr>
          </w:p>
        </w:tc>
        <w:tc>
          <w:tcPr>
            <w:tcW w:w="50" w:type="pct"/>
            <w:shd w:val="clear" w:color="auto" w:fill="auto"/>
          </w:tcPr>
          <w:p w14:paraId="00BAF050" w14:textId="77777777" w:rsidR="00871BDF" w:rsidRDefault="00871BDF">
            <w:pPr>
              <w:rPr>
                <w:rFonts w:ascii="宋体"/>
              </w:rPr>
            </w:pPr>
          </w:p>
        </w:tc>
        <w:tc>
          <w:tcPr>
            <w:tcW w:w="316" w:type="pct"/>
            <w:shd w:val="clear" w:color="auto" w:fill="auto"/>
          </w:tcPr>
          <w:p w14:paraId="00BAF051" w14:textId="77777777" w:rsidR="00871BDF" w:rsidRDefault="00871BDF">
            <w:pPr>
              <w:rPr>
                <w:rFonts w:ascii="宋体"/>
              </w:rPr>
            </w:pPr>
          </w:p>
        </w:tc>
        <w:tc>
          <w:tcPr>
            <w:tcW w:w="5" w:type="pct"/>
            <w:shd w:val="clear" w:color="auto" w:fill="auto"/>
          </w:tcPr>
          <w:p w14:paraId="00BAF052" w14:textId="77777777" w:rsidR="00871BDF" w:rsidRDefault="00871BDF">
            <w:pPr>
              <w:rPr>
                <w:rFonts w:ascii="宋体"/>
              </w:rPr>
            </w:pPr>
          </w:p>
        </w:tc>
        <w:tc>
          <w:tcPr>
            <w:tcW w:w="5" w:type="pct"/>
            <w:shd w:val="clear" w:color="auto" w:fill="auto"/>
          </w:tcPr>
          <w:p w14:paraId="00BAF053" w14:textId="77777777" w:rsidR="00871BDF" w:rsidRDefault="00871BDF">
            <w:pPr>
              <w:rPr>
                <w:rFonts w:ascii="宋体"/>
              </w:rPr>
            </w:pPr>
          </w:p>
        </w:tc>
        <w:tc>
          <w:tcPr>
            <w:tcW w:w="26" w:type="pct"/>
            <w:shd w:val="clear" w:color="auto" w:fill="auto"/>
          </w:tcPr>
          <w:p w14:paraId="00BAF054" w14:textId="77777777" w:rsidR="00871BDF" w:rsidRDefault="00871BDF">
            <w:pPr>
              <w:rPr>
                <w:rFonts w:ascii="宋体"/>
              </w:rPr>
            </w:pPr>
          </w:p>
        </w:tc>
        <w:tc>
          <w:tcPr>
            <w:tcW w:w="5" w:type="pct"/>
            <w:shd w:val="clear" w:color="auto" w:fill="auto"/>
          </w:tcPr>
          <w:p w14:paraId="00BAF055" w14:textId="77777777" w:rsidR="00871BDF" w:rsidRDefault="00871BDF">
            <w:pPr>
              <w:rPr>
                <w:rFonts w:ascii="宋体"/>
              </w:rPr>
            </w:pPr>
          </w:p>
        </w:tc>
        <w:tc>
          <w:tcPr>
            <w:tcW w:w="50" w:type="pct"/>
            <w:shd w:val="clear" w:color="auto" w:fill="auto"/>
          </w:tcPr>
          <w:p w14:paraId="00BAF056" w14:textId="77777777" w:rsidR="00871BDF" w:rsidRDefault="00871BDF">
            <w:pPr>
              <w:rPr>
                <w:rFonts w:ascii="宋体"/>
              </w:rPr>
            </w:pPr>
          </w:p>
        </w:tc>
        <w:tc>
          <w:tcPr>
            <w:tcW w:w="316" w:type="pct"/>
            <w:shd w:val="clear" w:color="auto" w:fill="auto"/>
          </w:tcPr>
          <w:p w14:paraId="00BAF057" w14:textId="77777777" w:rsidR="00871BDF" w:rsidRDefault="00871BDF">
            <w:pPr>
              <w:rPr>
                <w:rFonts w:ascii="宋体"/>
              </w:rPr>
            </w:pPr>
          </w:p>
        </w:tc>
        <w:tc>
          <w:tcPr>
            <w:tcW w:w="5" w:type="pct"/>
            <w:shd w:val="clear" w:color="auto" w:fill="auto"/>
          </w:tcPr>
          <w:p w14:paraId="00BAF058" w14:textId="77777777" w:rsidR="00871BDF" w:rsidRDefault="00871BDF">
            <w:pPr>
              <w:rPr>
                <w:rFonts w:ascii="宋体"/>
              </w:rPr>
            </w:pPr>
          </w:p>
        </w:tc>
        <w:tc>
          <w:tcPr>
            <w:tcW w:w="5" w:type="pct"/>
            <w:shd w:val="clear" w:color="auto" w:fill="auto"/>
          </w:tcPr>
          <w:p w14:paraId="00BAF059" w14:textId="77777777" w:rsidR="00871BDF" w:rsidRDefault="00871BDF">
            <w:pPr>
              <w:rPr>
                <w:rFonts w:ascii="宋体"/>
              </w:rPr>
            </w:pPr>
          </w:p>
        </w:tc>
        <w:tc>
          <w:tcPr>
            <w:tcW w:w="26" w:type="pct"/>
            <w:shd w:val="clear" w:color="auto" w:fill="auto"/>
          </w:tcPr>
          <w:p w14:paraId="00BAF05A" w14:textId="77777777" w:rsidR="00871BDF" w:rsidRDefault="00871BDF">
            <w:pPr>
              <w:rPr>
                <w:rFonts w:ascii="宋体"/>
              </w:rPr>
            </w:pPr>
          </w:p>
        </w:tc>
        <w:tc>
          <w:tcPr>
            <w:tcW w:w="5" w:type="pct"/>
            <w:shd w:val="clear" w:color="auto" w:fill="auto"/>
          </w:tcPr>
          <w:p w14:paraId="00BAF05B" w14:textId="77777777" w:rsidR="00871BDF" w:rsidRDefault="00871BDF">
            <w:pPr>
              <w:rPr>
                <w:rFonts w:ascii="宋体"/>
              </w:rPr>
            </w:pPr>
          </w:p>
        </w:tc>
        <w:tc>
          <w:tcPr>
            <w:tcW w:w="50" w:type="pct"/>
            <w:shd w:val="clear" w:color="auto" w:fill="auto"/>
          </w:tcPr>
          <w:p w14:paraId="00BAF05C" w14:textId="77777777" w:rsidR="00871BDF" w:rsidRDefault="00871BDF">
            <w:pPr>
              <w:rPr>
                <w:rFonts w:ascii="宋体"/>
              </w:rPr>
            </w:pPr>
          </w:p>
        </w:tc>
        <w:tc>
          <w:tcPr>
            <w:tcW w:w="316" w:type="pct"/>
            <w:shd w:val="clear" w:color="auto" w:fill="auto"/>
          </w:tcPr>
          <w:p w14:paraId="00BAF05D" w14:textId="77777777" w:rsidR="00871BDF" w:rsidRDefault="00871BDF">
            <w:pPr>
              <w:rPr>
                <w:rFonts w:ascii="宋体"/>
              </w:rPr>
            </w:pPr>
          </w:p>
        </w:tc>
        <w:tc>
          <w:tcPr>
            <w:tcW w:w="5" w:type="pct"/>
            <w:shd w:val="clear" w:color="auto" w:fill="auto"/>
          </w:tcPr>
          <w:p w14:paraId="00BAF05E" w14:textId="77777777" w:rsidR="00871BDF" w:rsidRDefault="00871BDF">
            <w:pPr>
              <w:rPr>
                <w:rFonts w:ascii="宋体"/>
              </w:rPr>
            </w:pPr>
          </w:p>
        </w:tc>
        <w:tc>
          <w:tcPr>
            <w:tcW w:w="5" w:type="pct"/>
            <w:shd w:val="clear" w:color="auto" w:fill="auto"/>
          </w:tcPr>
          <w:p w14:paraId="00BAF05F" w14:textId="77777777" w:rsidR="00871BDF" w:rsidRDefault="00871BDF">
            <w:pPr>
              <w:rPr>
                <w:rFonts w:ascii="宋体"/>
              </w:rPr>
            </w:pPr>
          </w:p>
        </w:tc>
        <w:tc>
          <w:tcPr>
            <w:tcW w:w="26" w:type="pct"/>
            <w:shd w:val="clear" w:color="auto" w:fill="auto"/>
          </w:tcPr>
          <w:p w14:paraId="00BAF060" w14:textId="77777777" w:rsidR="00871BDF" w:rsidRDefault="00871BDF">
            <w:pPr>
              <w:rPr>
                <w:rFonts w:ascii="宋体"/>
              </w:rPr>
            </w:pPr>
          </w:p>
        </w:tc>
        <w:tc>
          <w:tcPr>
            <w:tcW w:w="5" w:type="pct"/>
            <w:shd w:val="clear" w:color="auto" w:fill="auto"/>
          </w:tcPr>
          <w:p w14:paraId="00BAF061" w14:textId="77777777" w:rsidR="00871BDF" w:rsidRDefault="00871BDF">
            <w:pPr>
              <w:rPr>
                <w:rFonts w:ascii="宋体"/>
              </w:rPr>
            </w:pPr>
          </w:p>
        </w:tc>
        <w:tc>
          <w:tcPr>
            <w:tcW w:w="50" w:type="pct"/>
            <w:shd w:val="clear" w:color="auto" w:fill="auto"/>
          </w:tcPr>
          <w:p w14:paraId="00BAF062" w14:textId="77777777" w:rsidR="00871BDF" w:rsidRDefault="00871BDF">
            <w:pPr>
              <w:rPr>
                <w:rFonts w:ascii="宋体"/>
              </w:rPr>
            </w:pPr>
          </w:p>
        </w:tc>
        <w:tc>
          <w:tcPr>
            <w:tcW w:w="316" w:type="pct"/>
            <w:shd w:val="clear" w:color="auto" w:fill="auto"/>
          </w:tcPr>
          <w:p w14:paraId="00BAF063" w14:textId="77777777" w:rsidR="00871BDF" w:rsidRDefault="00871BDF">
            <w:pPr>
              <w:rPr>
                <w:rFonts w:ascii="宋体"/>
              </w:rPr>
            </w:pPr>
          </w:p>
        </w:tc>
        <w:tc>
          <w:tcPr>
            <w:tcW w:w="5" w:type="pct"/>
            <w:shd w:val="clear" w:color="auto" w:fill="auto"/>
          </w:tcPr>
          <w:p w14:paraId="00BAF064" w14:textId="77777777" w:rsidR="00871BDF" w:rsidRDefault="00871BDF">
            <w:pPr>
              <w:rPr>
                <w:rFonts w:ascii="宋体"/>
              </w:rPr>
            </w:pPr>
          </w:p>
        </w:tc>
        <w:tc>
          <w:tcPr>
            <w:tcW w:w="5" w:type="pct"/>
            <w:shd w:val="clear" w:color="auto" w:fill="auto"/>
          </w:tcPr>
          <w:p w14:paraId="00BAF065" w14:textId="77777777" w:rsidR="00871BDF" w:rsidRDefault="00871BDF">
            <w:pPr>
              <w:rPr>
                <w:rFonts w:ascii="宋体"/>
              </w:rPr>
            </w:pPr>
          </w:p>
        </w:tc>
        <w:tc>
          <w:tcPr>
            <w:tcW w:w="26" w:type="pct"/>
            <w:shd w:val="clear" w:color="auto" w:fill="auto"/>
          </w:tcPr>
          <w:p w14:paraId="00BAF066" w14:textId="77777777" w:rsidR="00871BDF" w:rsidRDefault="00871BDF">
            <w:pPr>
              <w:rPr>
                <w:rFonts w:ascii="宋体"/>
              </w:rPr>
            </w:pPr>
          </w:p>
        </w:tc>
        <w:tc>
          <w:tcPr>
            <w:tcW w:w="5" w:type="pct"/>
            <w:shd w:val="clear" w:color="auto" w:fill="auto"/>
          </w:tcPr>
          <w:p w14:paraId="00BAF067" w14:textId="77777777" w:rsidR="00871BDF" w:rsidRDefault="00871BDF">
            <w:pPr>
              <w:rPr>
                <w:rFonts w:ascii="宋体"/>
              </w:rPr>
            </w:pPr>
          </w:p>
        </w:tc>
        <w:tc>
          <w:tcPr>
            <w:tcW w:w="50" w:type="pct"/>
            <w:shd w:val="clear" w:color="auto" w:fill="auto"/>
          </w:tcPr>
          <w:p w14:paraId="00BAF068" w14:textId="77777777" w:rsidR="00871BDF" w:rsidRDefault="00871BDF">
            <w:pPr>
              <w:rPr>
                <w:rFonts w:ascii="宋体"/>
              </w:rPr>
            </w:pPr>
          </w:p>
        </w:tc>
        <w:tc>
          <w:tcPr>
            <w:tcW w:w="316" w:type="pct"/>
            <w:shd w:val="clear" w:color="auto" w:fill="auto"/>
          </w:tcPr>
          <w:p w14:paraId="00BAF069" w14:textId="77777777" w:rsidR="00871BDF" w:rsidRDefault="00871BDF">
            <w:pPr>
              <w:rPr>
                <w:rFonts w:ascii="宋体"/>
              </w:rPr>
            </w:pPr>
          </w:p>
        </w:tc>
        <w:tc>
          <w:tcPr>
            <w:tcW w:w="5" w:type="pct"/>
            <w:shd w:val="clear" w:color="auto" w:fill="auto"/>
          </w:tcPr>
          <w:p w14:paraId="00BAF06A" w14:textId="77777777" w:rsidR="00871BDF" w:rsidRDefault="00871BDF">
            <w:pPr>
              <w:rPr>
                <w:rFonts w:ascii="宋体"/>
              </w:rPr>
            </w:pPr>
          </w:p>
        </w:tc>
        <w:tc>
          <w:tcPr>
            <w:tcW w:w="5" w:type="pct"/>
            <w:shd w:val="clear" w:color="auto" w:fill="auto"/>
          </w:tcPr>
          <w:p w14:paraId="00BAF06B" w14:textId="77777777" w:rsidR="00871BDF" w:rsidRDefault="00871BDF">
            <w:pPr>
              <w:rPr>
                <w:rFonts w:ascii="宋体"/>
              </w:rPr>
            </w:pPr>
          </w:p>
        </w:tc>
        <w:tc>
          <w:tcPr>
            <w:tcW w:w="19" w:type="pct"/>
            <w:shd w:val="clear" w:color="auto" w:fill="auto"/>
          </w:tcPr>
          <w:p w14:paraId="00BAF06C" w14:textId="77777777" w:rsidR="00871BDF" w:rsidRDefault="00871BDF">
            <w:pPr>
              <w:rPr>
                <w:rFonts w:ascii="宋体"/>
              </w:rPr>
            </w:pPr>
          </w:p>
        </w:tc>
        <w:tc>
          <w:tcPr>
            <w:tcW w:w="5" w:type="pct"/>
            <w:shd w:val="clear" w:color="auto" w:fill="auto"/>
          </w:tcPr>
          <w:p w14:paraId="00BAF06D" w14:textId="77777777" w:rsidR="00871BDF" w:rsidRDefault="00871BDF">
            <w:pPr>
              <w:rPr>
                <w:rFonts w:ascii="宋体"/>
              </w:rPr>
            </w:pPr>
          </w:p>
        </w:tc>
        <w:tc>
          <w:tcPr>
            <w:tcW w:w="50" w:type="pct"/>
            <w:shd w:val="clear" w:color="auto" w:fill="auto"/>
          </w:tcPr>
          <w:p w14:paraId="00BAF06E" w14:textId="77777777" w:rsidR="00871BDF" w:rsidRDefault="00871BDF">
            <w:pPr>
              <w:rPr>
                <w:rFonts w:ascii="宋体"/>
              </w:rPr>
            </w:pPr>
          </w:p>
        </w:tc>
        <w:tc>
          <w:tcPr>
            <w:tcW w:w="1226" w:type="pct"/>
            <w:shd w:val="clear" w:color="auto" w:fill="auto"/>
          </w:tcPr>
          <w:p w14:paraId="00BAF06F" w14:textId="77777777" w:rsidR="00871BDF" w:rsidRDefault="00871BDF">
            <w:pPr>
              <w:rPr>
                <w:rFonts w:ascii="宋体"/>
              </w:rPr>
            </w:pPr>
          </w:p>
        </w:tc>
        <w:tc>
          <w:tcPr>
            <w:tcW w:w="5" w:type="pct"/>
            <w:shd w:val="clear" w:color="auto" w:fill="auto"/>
          </w:tcPr>
          <w:p w14:paraId="00BAF070" w14:textId="77777777" w:rsidR="00871BDF" w:rsidRDefault="00871BDF">
            <w:pPr>
              <w:rPr>
                <w:rFonts w:ascii="宋体"/>
              </w:rPr>
            </w:pPr>
          </w:p>
        </w:tc>
      </w:tr>
      <w:tr w:rsidR="00871BDF" w14:paraId="00BAF07B" w14:textId="77777777">
        <w:tc>
          <w:tcPr>
            <w:tcW w:w="0" w:type="auto"/>
            <w:gridSpan w:val="3"/>
            <w:shd w:val="clear" w:color="auto" w:fill="auto"/>
            <w:tcMar>
              <w:top w:w="0" w:type="dxa"/>
              <w:left w:w="20" w:type="dxa"/>
              <w:bottom w:w="0" w:type="dxa"/>
              <w:right w:w="20" w:type="dxa"/>
            </w:tcMar>
          </w:tcPr>
          <w:p w14:paraId="00BAF072" w14:textId="77777777" w:rsidR="00871BDF" w:rsidRDefault="00871BDF">
            <w:pPr>
              <w:rPr>
                <w:rFonts w:ascii="宋体"/>
              </w:rPr>
            </w:pPr>
          </w:p>
        </w:tc>
        <w:tc>
          <w:tcPr>
            <w:tcW w:w="0" w:type="auto"/>
            <w:shd w:val="clear" w:color="auto" w:fill="auto"/>
          </w:tcPr>
          <w:p w14:paraId="00BAF073" w14:textId="77777777" w:rsidR="00871BDF" w:rsidRDefault="00871BDF">
            <w:pPr>
              <w:rPr>
                <w:rFonts w:ascii="宋体"/>
                <w:vanish/>
              </w:rPr>
            </w:pPr>
          </w:p>
        </w:tc>
        <w:tc>
          <w:tcPr>
            <w:tcW w:w="0" w:type="auto"/>
            <w:gridSpan w:val="3"/>
            <w:shd w:val="clear" w:color="auto" w:fill="auto"/>
            <w:tcMar>
              <w:top w:w="0" w:type="dxa"/>
              <w:left w:w="20" w:type="dxa"/>
              <w:bottom w:w="0" w:type="dxa"/>
              <w:right w:w="20" w:type="dxa"/>
            </w:tcMar>
          </w:tcPr>
          <w:p w14:paraId="00BAF074" w14:textId="77777777" w:rsidR="00871BDF" w:rsidRDefault="00871BDF">
            <w:pPr>
              <w:rPr>
                <w:rFonts w:ascii="宋体"/>
              </w:rPr>
            </w:pPr>
          </w:p>
        </w:tc>
        <w:tc>
          <w:tcPr>
            <w:tcW w:w="0" w:type="auto"/>
            <w:shd w:val="clear" w:color="auto" w:fill="auto"/>
          </w:tcPr>
          <w:p w14:paraId="00BAF075" w14:textId="77777777" w:rsidR="00871BDF" w:rsidRDefault="00871BDF">
            <w:pPr>
              <w:rPr>
                <w:rFonts w:ascii="宋体"/>
                <w:vanish/>
              </w:rPr>
            </w:pPr>
          </w:p>
        </w:tc>
        <w:tc>
          <w:tcPr>
            <w:tcW w:w="0" w:type="auto"/>
            <w:shd w:val="clear" w:color="auto" w:fill="auto"/>
          </w:tcPr>
          <w:p w14:paraId="00BAF076" w14:textId="77777777" w:rsidR="00871BDF" w:rsidRDefault="00871BDF">
            <w:pPr>
              <w:rPr>
                <w:rFonts w:ascii="宋体"/>
                <w:vanish/>
              </w:rPr>
            </w:pPr>
          </w:p>
        </w:tc>
        <w:tc>
          <w:tcPr>
            <w:tcW w:w="0" w:type="auto"/>
            <w:shd w:val="clear" w:color="auto" w:fill="auto"/>
          </w:tcPr>
          <w:p w14:paraId="00BAF077" w14:textId="77777777" w:rsidR="00871BDF" w:rsidRDefault="00871BDF">
            <w:pPr>
              <w:rPr>
                <w:rFonts w:ascii="宋体"/>
                <w:vanish/>
              </w:rPr>
            </w:pPr>
          </w:p>
        </w:tc>
        <w:tc>
          <w:tcPr>
            <w:tcW w:w="0" w:type="auto"/>
            <w:gridSpan w:val="33"/>
            <w:tcBorders>
              <w:bottom w:val="single" w:sz="8" w:space="0" w:color="000000"/>
            </w:tcBorders>
            <w:shd w:val="clear" w:color="auto" w:fill="00704A"/>
            <w:tcMar>
              <w:top w:w="40" w:type="dxa"/>
              <w:left w:w="20" w:type="dxa"/>
              <w:bottom w:w="40" w:type="dxa"/>
              <w:right w:w="20" w:type="dxa"/>
            </w:tcMar>
            <w:vAlign w:val="bottom"/>
          </w:tcPr>
          <w:p w14:paraId="00BAF078" w14:textId="77777777" w:rsidR="00871BDF" w:rsidRDefault="005C5088">
            <w:pPr>
              <w:jc w:val="center"/>
              <w:textAlignment w:val="bottom"/>
            </w:pPr>
            <w:r>
              <w:rPr>
                <w:rFonts w:ascii="Times New Roman" w:eastAsia="宋体" w:hAnsi="Times New Roman"/>
                <w:b/>
                <w:bCs/>
                <w:color w:val="FFFFFF"/>
                <w:sz w:val="16"/>
                <w:szCs w:val="16"/>
              </w:rPr>
              <w:t>Year Ended</w:t>
            </w:r>
          </w:p>
        </w:tc>
        <w:tc>
          <w:tcPr>
            <w:tcW w:w="0" w:type="auto"/>
            <w:gridSpan w:val="3"/>
            <w:shd w:val="clear" w:color="auto" w:fill="FFFFFF"/>
            <w:tcMar>
              <w:top w:w="0" w:type="dxa"/>
              <w:left w:w="20" w:type="dxa"/>
              <w:bottom w:w="0" w:type="dxa"/>
              <w:right w:w="20" w:type="dxa"/>
            </w:tcMar>
          </w:tcPr>
          <w:p w14:paraId="00BAF079"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F07A" w14:textId="77777777" w:rsidR="00871BDF" w:rsidRDefault="00871BDF">
            <w:pPr>
              <w:rPr>
                <w:rFonts w:ascii="宋体"/>
              </w:rPr>
            </w:pPr>
          </w:p>
        </w:tc>
      </w:tr>
      <w:tr w:rsidR="00871BDF" w14:paraId="00BAF08D" w14:textId="77777777">
        <w:trPr>
          <w:trHeight w:val="720"/>
        </w:trPr>
        <w:tc>
          <w:tcPr>
            <w:tcW w:w="0" w:type="auto"/>
            <w:gridSpan w:val="3"/>
            <w:shd w:val="clear" w:color="auto" w:fill="auto"/>
            <w:tcMar>
              <w:top w:w="0" w:type="dxa"/>
              <w:left w:w="20" w:type="dxa"/>
              <w:bottom w:w="0" w:type="dxa"/>
              <w:right w:w="20" w:type="dxa"/>
            </w:tcMar>
          </w:tcPr>
          <w:p w14:paraId="00BAF07C" w14:textId="77777777" w:rsidR="00871BDF" w:rsidRDefault="00871BDF">
            <w:pPr>
              <w:rPr>
                <w:rFonts w:ascii="宋体"/>
              </w:rPr>
            </w:pPr>
          </w:p>
        </w:tc>
        <w:tc>
          <w:tcPr>
            <w:tcW w:w="0" w:type="auto"/>
            <w:shd w:val="clear" w:color="auto" w:fill="auto"/>
          </w:tcPr>
          <w:p w14:paraId="00BAF07D" w14:textId="77777777" w:rsidR="00871BDF" w:rsidRDefault="00871BDF">
            <w:pPr>
              <w:rPr>
                <w:rFonts w:ascii="宋体"/>
                <w:vanish/>
              </w:rPr>
            </w:pPr>
          </w:p>
        </w:tc>
        <w:tc>
          <w:tcPr>
            <w:tcW w:w="0" w:type="auto"/>
            <w:gridSpan w:val="3"/>
            <w:shd w:val="clear" w:color="auto" w:fill="auto"/>
            <w:tcMar>
              <w:top w:w="0" w:type="dxa"/>
              <w:left w:w="20" w:type="dxa"/>
              <w:bottom w:w="0" w:type="dxa"/>
              <w:right w:w="20" w:type="dxa"/>
            </w:tcMar>
          </w:tcPr>
          <w:p w14:paraId="00BAF07E" w14:textId="77777777" w:rsidR="00871BDF" w:rsidRDefault="00871BDF">
            <w:pPr>
              <w:rPr>
                <w:rFonts w:ascii="宋体"/>
              </w:rPr>
            </w:pPr>
          </w:p>
        </w:tc>
        <w:tc>
          <w:tcPr>
            <w:tcW w:w="0" w:type="auto"/>
            <w:shd w:val="clear" w:color="auto" w:fill="auto"/>
          </w:tcPr>
          <w:p w14:paraId="00BAF07F" w14:textId="77777777" w:rsidR="00871BDF" w:rsidRDefault="00871BDF">
            <w:pPr>
              <w:rPr>
                <w:rFonts w:ascii="宋体"/>
                <w:vanish/>
              </w:rPr>
            </w:pPr>
          </w:p>
        </w:tc>
        <w:tc>
          <w:tcPr>
            <w:tcW w:w="0" w:type="auto"/>
            <w:gridSpan w:val="11"/>
            <w:tcBorders>
              <w:top w:val="single" w:sz="8" w:space="0" w:color="000000"/>
            </w:tcBorders>
            <w:shd w:val="clear" w:color="auto" w:fill="00704A"/>
            <w:tcMar>
              <w:top w:w="40" w:type="dxa"/>
              <w:left w:w="20" w:type="dxa"/>
              <w:bottom w:w="40" w:type="dxa"/>
              <w:right w:w="20" w:type="dxa"/>
            </w:tcMar>
            <w:vAlign w:val="bottom"/>
          </w:tcPr>
          <w:p w14:paraId="00BAF080" w14:textId="77777777" w:rsidR="00871BDF" w:rsidRDefault="005C5088">
            <w:pPr>
              <w:jc w:val="center"/>
              <w:textAlignment w:val="bottom"/>
            </w:pPr>
            <w:r>
              <w:rPr>
                <w:rFonts w:ascii="Times New Roman" w:eastAsia="宋体" w:hAnsi="Times New Roman"/>
                <w:b/>
                <w:bCs/>
                <w:color w:val="FFFFFF"/>
                <w:sz w:val="16"/>
                <w:szCs w:val="16"/>
              </w:rPr>
              <w:t xml:space="preserve">Gains/(Losses) </w:t>
            </w:r>
          </w:p>
          <w:p w14:paraId="00BAF081" w14:textId="77777777" w:rsidR="00871BDF" w:rsidRDefault="005C5088">
            <w:pPr>
              <w:jc w:val="center"/>
              <w:textAlignment w:val="bottom"/>
            </w:pPr>
            <w:r>
              <w:rPr>
                <w:rFonts w:ascii="Times New Roman" w:eastAsia="宋体" w:hAnsi="Times New Roman"/>
                <w:b/>
                <w:bCs/>
                <w:color w:val="FFFFFF"/>
                <w:sz w:val="16"/>
                <w:szCs w:val="16"/>
              </w:rPr>
              <w:t>Recognized in</w:t>
            </w:r>
          </w:p>
          <w:p w14:paraId="00BAF082" w14:textId="77777777" w:rsidR="00871BDF" w:rsidRDefault="005C5088">
            <w:pPr>
              <w:jc w:val="center"/>
              <w:textAlignment w:val="bottom"/>
            </w:pPr>
            <w:r>
              <w:rPr>
                <w:rFonts w:ascii="Times New Roman" w:eastAsia="宋体" w:hAnsi="Times New Roman"/>
                <w:b/>
                <w:bCs/>
                <w:color w:val="FFFFFF"/>
                <w:sz w:val="16"/>
                <w:szCs w:val="16"/>
              </w:rPr>
              <w:t>OCI Before Reclassifications</w:t>
            </w:r>
          </w:p>
        </w:tc>
        <w:tc>
          <w:tcPr>
            <w:tcW w:w="0" w:type="auto"/>
            <w:gridSpan w:val="3"/>
            <w:tcBorders>
              <w:top w:val="single" w:sz="8" w:space="0" w:color="000000"/>
            </w:tcBorders>
            <w:shd w:val="clear" w:color="auto" w:fill="auto"/>
            <w:tcMar>
              <w:top w:w="0" w:type="dxa"/>
              <w:left w:w="20" w:type="dxa"/>
              <w:bottom w:w="0" w:type="dxa"/>
              <w:right w:w="20" w:type="dxa"/>
            </w:tcMar>
          </w:tcPr>
          <w:p w14:paraId="00BAF083" w14:textId="77777777" w:rsidR="00871BDF" w:rsidRDefault="00871BDF">
            <w:pPr>
              <w:rPr>
                <w:rFonts w:ascii="宋体"/>
              </w:rPr>
            </w:pPr>
          </w:p>
        </w:tc>
        <w:tc>
          <w:tcPr>
            <w:tcW w:w="0" w:type="auto"/>
            <w:gridSpan w:val="15"/>
            <w:tcBorders>
              <w:top w:val="single" w:sz="8" w:space="0" w:color="000000"/>
            </w:tcBorders>
            <w:shd w:val="clear" w:color="auto" w:fill="00704A"/>
            <w:tcMar>
              <w:top w:w="40" w:type="dxa"/>
              <w:left w:w="20" w:type="dxa"/>
              <w:bottom w:w="40" w:type="dxa"/>
              <w:right w:w="20" w:type="dxa"/>
            </w:tcMar>
            <w:vAlign w:val="bottom"/>
          </w:tcPr>
          <w:p w14:paraId="00BAF084" w14:textId="77777777" w:rsidR="00871BDF" w:rsidRDefault="005C5088">
            <w:pPr>
              <w:jc w:val="center"/>
              <w:textAlignment w:val="bottom"/>
            </w:pPr>
            <w:r>
              <w:rPr>
                <w:rFonts w:ascii="Times New Roman" w:eastAsia="宋体" w:hAnsi="Times New Roman"/>
                <w:b/>
                <w:bCs/>
                <w:color w:val="FFFFFF"/>
                <w:sz w:val="16"/>
                <w:szCs w:val="16"/>
              </w:rPr>
              <w:t xml:space="preserve">Gains/(Losses) Reclassified from </w:t>
            </w:r>
            <w:r>
              <w:rPr>
                <w:rFonts w:ascii="Times New Roman" w:eastAsia="宋体" w:hAnsi="Times New Roman"/>
                <w:b/>
                <w:bCs/>
                <w:color w:val="FFFFFF"/>
                <w:sz w:val="16"/>
                <w:szCs w:val="16"/>
              </w:rPr>
              <w:br/>
              <w:t>AOCI to Earnings</w:t>
            </w:r>
          </w:p>
        </w:tc>
        <w:tc>
          <w:tcPr>
            <w:tcW w:w="0" w:type="auto"/>
            <w:gridSpan w:val="3"/>
            <w:shd w:val="clear" w:color="auto" w:fill="FFFFFF"/>
            <w:tcMar>
              <w:top w:w="0" w:type="dxa"/>
              <w:left w:w="20" w:type="dxa"/>
              <w:bottom w:w="0" w:type="dxa"/>
              <w:right w:w="20" w:type="dxa"/>
            </w:tcMar>
          </w:tcPr>
          <w:p w14:paraId="00BAF085" w14:textId="77777777" w:rsidR="00871BDF" w:rsidRDefault="00871BDF">
            <w:pPr>
              <w:rPr>
                <w:rFonts w:ascii="宋体"/>
              </w:rPr>
            </w:pP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00BAF086" w14:textId="77777777" w:rsidR="00871BDF" w:rsidRDefault="005C5088">
            <w:pPr>
              <w:jc w:val="center"/>
              <w:textAlignment w:val="bottom"/>
            </w:pPr>
            <w:r>
              <w:rPr>
                <w:rFonts w:ascii="Times New Roman" w:eastAsia="宋体" w:hAnsi="Times New Roman"/>
                <w:b/>
                <w:bCs/>
                <w:color w:val="FFFFFF"/>
                <w:sz w:val="16"/>
                <w:szCs w:val="16"/>
              </w:rPr>
              <w:t xml:space="preserve">Location of gain/(loss) </w:t>
            </w:r>
          </w:p>
        </w:tc>
        <w:tc>
          <w:tcPr>
            <w:tcW w:w="0" w:type="auto"/>
            <w:shd w:val="clear" w:color="auto" w:fill="auto"/>
          </w:tcPr>
          <w:p w14:paraId="00BAF087" w14:textId="77777777" w:rsidR="00871BDF" w:rsidRDefault="00871BDF">
            <w:pPr>
              <w:rPr>
                <w:rFonts w:ascii="宋体"/>
              </w:rPr>
            </w:pPr>
          </w:p>
        </w:tc>
        <w:tc>
          <w:tcPr>
            <w:tcW w:w="0" w:type="auto"/>
            <w:shd w:val="clear" w:color="auto" w:fill="auto"/>
          </w:tcPr>
          <w:p w14:paraId="00BAF088" w14:textId="77777777" w:rsidR="00871BDF" w:rsidRDefault="00871BDF">
            <w:pPr>
              <w:rPr>
                <w:rFonts w:ascii="宋体"/>
              </w:rPr>
            </w:pPr>
          </w:p>
        </w:tc>
        <w:tc>
          <w:tcPr>
            <w:tcW w:w="0" w:type="auto"/>
            <w:shd w:val="clear" w:color="auto" w:fill="auto"/>
          </w:tcPr>
          <w:p w14:paraId="00BAF089" w14:textId="77777777" w:rsidR="00871BDF" w:rsidRDefault="00871BDF">
            <w:pPr>
              <w:rPr>
                <w:rFonts w:ascii="宋体"/>
              </w:rPr>
            </w:pPr>
          </w:p>
        </w:tc>
        <w:tc>
          <w:tcPr>
            <w:tcW w:w="0" w:type="auto"/>
            <w:shd w:val="clear" w:color="auto" w:fill="auto"/>
          </w:tcPr>
          <w:p w14:paraId="00BAF08A" w14:textId="77777777" w:rsidR="00871BDF" w:rsidRDefault="00871BDF">
            <w:pPr>
              <w:rPr>
                <w:rFonts w:ascii="宋体"/>
              </w:rPr>
            </w:pPr>
          </w:p>
        </w:tc>
        <w:tc>
          <w:tcPr>
            <w:tcW w:w="0" w:type="auto"/>
            <w:shd w:val="clear" w:color="auto" w:fill="auto"/>
          </w:tcPr>
          <w:p w14:paraId="00BAF08B" w14:textId="77777777" w:rsidR="00871BDF" w:rsidRDefault="00871BDF">
            <w:pPr>
              <w:rPr>
                <w:rFonts w:ascii="宋体"/>
              </w:rPr>
            </w:pPr>
          </w:p>
        </w:tc>
        <w:tc>
          <w:tcPr>
            <w:tcW w:w="0" w:type="auto"/>
            <w:shd w:val="clear" w:color="auto" w:fill="auto"/>
          </w:tcPr>
          <w:p w14:paraId="00BAF08C" w14:textId="77777777" w:rsidR="00871BDF" w:rsidRDefault="00871BDF">
            <w:pPr>
              <w:rPr>
                <w:rFonts w:ascii="宋体"/>
              </w:rPr>
            </w:pPr>
          </w:p>
        </w:tc>
      </w:tr>
      <w:tr w:rsidR="00871BDF" w14:paraId="00BAF0A3" w14:textId="77777777">
        <w:trPr>
          <w:trHeight w:val="420"/>
        </w:trPr>
        <w:tc>
          <w:tcPr>
            <w:tcW w:w="0" w:type="auto"/>
            <w:gridSpan w:val="3"/>
            <w:shd w:val="clear" w:color="auto" w:fill="auto"/>
            <w:tcMar>
              <w:top w:w="0" w:type="dxa"/>
              <w:left w:w="20" w:type="dxa"/>
              <w:bottom w:w="0" w:type="dxa"/>
              <w:right w:w="20" w:type="dxa"/>
            </w:tcMar>
          </w:tcPr>
          <w:p w14:paraId="00BAF08E" w14:textId="77777777" w:rsidR="00871BDF" w:rsidRDefault="00871BDF">
            <w:pPr>
              <w:rPr>
                <w:rFonts w:ascii="宋体"/>
              </w:rPr>
            </w:pPr>
          </w:p>
        </w:tc>
        <w:tc>
          <w:tcPr>
            <w:tcW w:w="0" w:type="auto"/>
            <w:shd w:val="clear" w:color="auto" w:fill="auto"/>
            <w:tcMar>
              <w:top w:w="0" w:type="dxa"/>
              <w:left w:w="20" w:type="dxa"/>
              <w:bottom w:w="0" w:type="dxa"/>
              <w:right w:w="20" w:type="dxa"/>
            </w:tcMar>
          </w:tcPr>
          <w:p w14:paraId="00BAF08F" w14:textId="77777777" w:rsidR="00871BDF" w:rsidRDefault="00871BDF">
            <w:pPr>
              <w:rPr>
                <w:rFonts w:ascii="宋体"/>
              </w:rPr>
            </w:pPr>
          </w:p>
        </w:tc>
        <w:tc>
          <w:tcPr>
            <w:tcW w:w="0" w:type="auto"/>
            <w:gridSpan w:val="3"/>
            <w:shd w:val="clear" w:color="auto" w:fill="auto"/>
          </w:tcPr>
          <w:p w14:paraId="00BAF090" w14:textId="77777777" w:rsidR="00871BDF" w:rsidRDefault="00871BDF">
            <w:pPr>
              <w:rPr>
                <w:rFonts w:ascii="宋体"/>
                <w:vanish/>
              </w:rPr>
            </w:pPr>
          </w:p>
        </w:tc>
        <w:tc>
          <w:tcPr>
            <w:tcW w:w="0" w:type="auto"/>
            <w:shd w:val="clear" w:color="auto" w:fill="auto"/>
          </w:tcPr>
          <w:p w14:paraId="00BAF091" w14:textId="77777777" w:rsidR="00871BDF" w:rsidRDefault="00871BDF">
            <w:pPr>
              <w:rPr>
                <w:rFonts w:ascii="宋体"/>
                <w:vanish/>
              </w:rPr>
            </w:pPr>
          </w:p>
        </w:tc>
        <w:tc>
          <w:tcPr>
            <w:tcW w:w="0" w:type="auto"/>
            <w:shd w:val="clear" w:color="auto" w:fill="auto"/>
          </w:tcPr>
          <w:p w14:paraId="00BAF092" w14:textId="77777777" w:rsidR="00871BDF" w:rsidRDefault="00871BDF">
            <w:pPr>
              <w:rPr>
                <w:rFonts w:ascii="宋体"/>
                <w:vanish/>
              </w:rPr>
            </w:pPr>
          </w:p>
        </w:tc>
        <w:tc>
          <w:tcPr>
            <w:tcW w:w="0" w:type="auto"/>
            <w:tcBorders>
              <w:top w:val="single" w:sz="8" w:space="0" w:color="000000"/>
            </w:tcBorders>
            <w:shd w:val="clear" w:color="auto" w:fill="00704A"/>
            <w:tcMar>
              <w:top w:w="40" w:type="dxa"/>
              <w:left w:w="20" w:type="dxa"/>
              <w:bottom w:w="40" w:type="dxa"/>
              <w:right w:w="20" w:type="dxa"/>
            </w:tcMar>
            <w:vAlign w:val="bottom"/>
          </w:tcPr>
          <w:p w14:paraId="00BAF093"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00BAF094"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095"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r>
            <w:r>
              <w:rPr>
                <w:rFonts w:ascii="Times New Roman" w:eastAsia="宋体" w:hAnsi="Times New Roman"/>
                <w:b/>
                <w:bCs/>
                <w:color w:val="FFFFFF"/>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0BAF096"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097"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c>
          <w:tcPr>
            <w:tcW w:w="0" w:type="auto"/>
            <w:gridSpan w:val="3"/>
            <w:shd w:val="clear" w:color="auto" w:fill="auto"/>
            <w:tcMar>
              <w:top w:w="0" w:type="dxa"/>
              <w:left w:w="20" w:type="dxa"/>
              <w:bottom w:w="0" w:type="dxa"/>
              <w:right w:w="20" w:type="dxa"/>
            </w:tcMar>
          </w:tcPr>
          <w:p w14:paraId="00BAF098"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099" w14:textId="77777777" w:rsidR="00871BDF" w:rsidRDefault="005C5088">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c>
          <w:tcPr>
            <w:tcW w:w="0" w:type="auto"/>
            <w:gridSpan w:val="3"/>
            <w:tcBorders>
              <w:top w:val="single" w:sz="8" w:space="0" w:color="000000"/>
            </w:tcBorders>
            <w:shd w:val="clear" w:color="auto" w:fill="auto"/>
            <w:tcMar>
              <w:top w:w="0" w:type="dxa"/>
              <w:left w:w="20" w:type="dxa"/>
              <w:bottom w:w="0" w:type="dxa"/>
              <w:right w:w="20" w:type="dxa"/>
            </w:tcMar>
          </w:tcPr>
          <w:p w14:paraId="00BAF09A"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09B" w14:textId="77777777" w:rsidR="00871BDF" w:rsidRDefault="005C5088">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00BAF09C"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09D" w14:textId="77777777" w:rsidR="00871BDF" w:rsidRDefault="005C5088">
            <w:pPr>
              <w:jc w:val="center"/>
              <w:textAlignment w:val="bottom"/>
            </w:pPr>
            <w:r>
              <w:rPr>
                <w:rFonts w:ascii="Times New Roman" w:eastAsia="宋体" w:hAnsi="Times New Roman"/>
                <w:b/>
                <w:bCs/>
                <w:color w:val="FFFFFF"/>
                <w:sz w:val="16"/>
                <w:szCs w:val="16"/>
              </w:rPr>
              <w:t>Sep 30,</w:t>
            </w:r>
            <w:r>
              <w:rPr>
                <w:rFonts w:ascii="Times New Roman" w:eastAsia="宋体" w:hAnsi="Times New Roman"/>
                <w:b/>
                <w:bCs/>
                <w:color w:val="FFFFFF"/>
                <w:sz w:val="16"/>
                <w:szCs w:val="16"/>
              </w:rPr>
              <w:br/>
              <w:t>2018</w:t>
            </w: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00BAF09E" w14:textId="77777777" w:rsidR="00871BDF" w:rsidRDefault="00871BDF">
            <w:pPr>
              <w:jc w:val="center"/>
              <w:rPr>
                <w:rFonts w:ascii="宋体"/>
              </w:rPr>
            </w:pPr>
          </w:p>
        </w:tc>
        <w:tc>
          <w:tcPr>
            <w:tcW w:w="0" w:type="auto"/>
            <w:gridSpan w:val="3"/>
            <w:shd w:val="clear" w:color="auto" w:fill="FFFFFF"/>
            <w:tcMar>
              <w:top w:w="0" w:type="dxa"/>
              <w:left w:w="20" w:type="dxa"/>
              <w:bottom w:w="0" w:type="dxa"/>
              <w:right w:w="20" w:type="dxa"/>
            </w:tcMar>
          </w:tcPr>
          <w:p w14:paraId="00BAF09F" w14:textId="77777777" w:rsidR="00871BDF" w:rsidRDefault="00871BDF">
            <w:pPr>
              <w:rPr>
                <w:rFonts w:ascii="宋体"/>
              </w:rPr>
            </w:pPr>
          </w:p>
        </w:tc>
        <w:tc>
          <w:tcPr>
            <w:tcW w:w="0" w:type="auto"/>
            <w:shd w:val="clear" w:color="auto" w:fill="auto"/>
          </w:tcPr>
          <w:p w14:paraId="00BAF0A0" w14:textId="77777777" w:rsidR="00871BDF" w:rsidRDefault="00871BDF">
            <w:pPr>
              <w:rPr>
                <w:rFonts w:ascii="宋体"/>
              </w:rPr>
            </w:pPr>
          </w:p>
        </w:tc>
        <w:tc>
          <w:tcPr>
            <w:tcW w:w="0" w:type="auto"/>
            <w:shd w:val="clear" w:color="auto" w:fill="auto"/>
          </w:tcPr>
          <w:p w14:paraId="00BAF0A1" w14:textId="77777777" w:rsidR="00871BDF" w:rsidRDefault="00871BDF">
            <w:pPr>
              <w:rPr>
                <w:rFonts w:ascii="宋体"/>
              </w:rPr>
            </w:pPr>
          </w:p>
        </w:tc>
        <w:tc>
          <w:tcPr>
            <w:tcW w:w="0" w:type="auto"/>
            <w:shd w:val="clear" w:color="auto" w:fill="auto"/>
          </w:tcPr>
          <w:p w14:paraId="00BAF0A2" w14:textId="77777777" w:rsidR="00871BDF" w:rsidRDefault="00871BDF">
            <w:pPr>
              <w:rPr>
                <w:rFonts w:ascii="宋体"/>
              </w:rPr>
            </w:pPr>
          </w:p>
        </w:tc>
      </w:tr>
      <w:tr w:rsidR="00871BDF" w14:paraId="00BAF0B7" w14:textId="77777777">
        <w:tc>
          <w:tcPr>
            <w:tcW w:w="0" w:type="auto"/>
            <w:gridSpan w:val="3"/>
            <w:shd w:val="clear" w:color="auto" w:fill="D7E4BC"/>
            <w:tcMar>
              <w:top w:w="40" w:type="dxa"/>
              <w:left w:w="20" w:type="dxa"/>
              <w:bottom w:w="40" w:type="dxa"/>
              <w:right w:w="20" w:type="dxa"/>
            </w:tcMar>
          </w:tcPr>
          <w:p w14:paraId="00BAF0A4" w14:textId="77777777" w:rsidR="00871BDF" w:rsidRDefault="005C5088">
            <w:pPr>
              <w:textAlignment w:val="top"/>
            </w:pPr>
            <w:r>
              <w:rPr>
                <w:rFonts w:ascii="Times New Roman" w:eastAsia="宋体" w:hAnsi="Times New Roman"/>
                <w:color w:val="000000"/>
                <w:sz w:val="20"/>
                <w:szCs w:val="20"/>
              </w:rPr>
              <w:t>Cash Flow Hedges:</w:t>
            </w:r>
          </w:p>
        </w:tc>
        <w:tc>
          <w:tcPr>
            <w:tcW w:w="0" w:type="auto"/>
            <w:shd w:val="clear" w:color="auto" w:fill="auto"/>
          </w:tcPr>
          <w:p w14:paraId="00BAF0A5" w14:textId="77777777" w:rsidR="00871BDF" w:rsidRDefault="00871BDF">
            <w:pPr>
              <w:rPr>
                <w:rFonts w:ascii="宋体"/>
                <w:vanish/>
              </w:rPr>
            </w:pPr>
          </w:p>
        </w:tc>
        <w:tc>
          <w:tcPr>
            <w:tcW w:w="0" w:type="auto"/>
            <w:gridSpan w:val="3"/>
            <w:shd w:val="clear" w:color="auto" w:fill="D7E4BC"/>
            <w:tcMar>
              <w:top w:w="0" w:type="dxa"/>
              <w:left w:w="20" w:type="dxa"/>
              <w:bottom w:w="0" w:type="dxa"/>
              <w:right w:w="20" w:type="dxa"/>
            </w:tcMar>
          </w:tcPr>
          <w:p w14:paraId="00BAF0A6" w14:textId="77777777" w:rsidR="00871BDF" w:rsidRDefault="00871BDF">
            <w:pPr>
              <w:rPr>
                <w:rFonts w:ascii="宋体"/>
              </w:rPr>
            </w:pPr>
          </w:p>
        </w:tc>
        <w:tc>
          <w:tcPr>
            <w:tcW w:w="0" w:type="auto"/>
            <w:shd w:val="clear" w:color="auto" w:fill="auto"/>
          </w:tcPr>
          <w:p w14:paraId="00BAF0A7" w14:textId="77777777" w:rsidR="00871BDF" w:rsidRDefault="00871BDF">
            <w:pPr>
              <w:rPr>
                <w:rFonts w:ascii="宋体"/>
                <w:vanish/>
              </w:rPr>
            </w:pPr>
          </w:p>
        </w:tc>
        <w:tc>
          <w:tcPr>
            <w:tcW w:w="0" w:type="auto"/>
            <w:shd w:val="clear" w:color="auto" w:fill="auto"/>
          </w:tcPr>
          <w:p w14:paraId="00BAF0A8" w14:textId="77777777" w:rsidR="00871BDF" w:rsidRDefault="00871BDF">
            <w:pPr>
              <w:rPr>
                <w:rFonts w:ascii="宋体"/>
                <w:vanish/>
              </w:rPr>
            </w:pPr>
          </w:p>
        </w:tc>
        <w:tc>
          <w:tcPr>
            <w:tcW w:w="0" w:type="auto"/>
            <w:shd w:val="clear" w:color="auto" w:fill="auto"/>
          </w:tcPr>
          <w:p w14:paraId="00BAF0A9" w14:textId="77777777" w:rsidR="00871BDF" w:rsidRDefault="00871BDF">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0A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0AB"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0A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0AD"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0A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0AF"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0B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0B1"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0B2"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0B3"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0B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0B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0B6" w14:textId="77777777" w:rsidR="00871BDF" w:rsidRDefault="00871BDF">
            <w:pPr>
              <w:rPr>
                <w:rFonts w:ascii="宋体"/>
              </w:rPr>
            </w:pPr>
          </w:p>
        </w:tc>
      </w:tr>
      <w:tr w:rsidR="00871BDF" w14:paraId="00BAF0D7" w14:textId="77777777">
        <w:tc>
          <w:tcPr>
            <w:tcW w:w="0" w:type="auto"/>
            <w:gridSpan w:val="3"/>
            <w:shd w:val="clear" w:color="auto" w:fill="FFFFFF"/>
            <w:tcMar>
              <w:top w:w="40" w:type="dxa"/>
              <w:left w:w="155" w:type="dxa"/>
              <w:bottom w:w="40" w:type="dxa"/>
              <w:right w:w="20" w:type="dxa"/>
            </w:tcMar>
          </w:tcPr>
          <w:p w14:paraId="00BAF0B8" w14:textId="77777777" w:rsidR="00871BDF" w:rsidRDefault="005C5088">
            <w:pPr>
              <w:textAlignment w:val="top"/>
            </w:pPr>
            <w:r>
              <w:rPr>
                <w:rFonts w:ascii="Times New Roman" w:eastAsia="宋体" w:hAnsi="Times New Roman"/>
                <w:color w:val="000000"/>
                <w:sz w:val="20"/>
                <w:szCs w:val="20"/>
              </w:rPr>
              <w:t>Coff</w:t>
            </w:r>
            <w:r>
              <w:rPr>
                <w:rFonts w:ascii="Times New Roman" w:eastAsia="宋体" w:hAnsi="Times New Roman"/>
                <w:color w:val="000000"/>
                <w:sz w:val="20"/>
                <w:szCs w:val="20"/>
              </w:rPr>
              <w:t>ee</w:t>
            </w:r>
          </w:p>
        </w:tc>
        <w:tc>
          <w:tcPr>
            <w:tcW w:w="0" w:type="auto"/>
            <w:shd w:val="clear" w:color="auto" w:fill="auto"/>
          </w:tcPr>
          <w:p w14:paraId="00BAF0B9" w14:textId="77777777" w:rsidR="00871BDF" w:rsidRDefault="00871BDF">
            <w:pPr>
              <w:rPr>
                <w:rFonts w:ascii="宋体"/>
                <w:vanish/>
              </w:rPr>
            </w:pPr>
          </w:p>
        </w:tc>
        <w:tc>
          <w:tcPr>
            <w:tcW w:w="0" w:type="auto"/>
            <w:gridSpan w:val="3"/>
            <w:shd w:val="clear" w:color="auto" w:fill="FFFFFF"/>
            <w:tcMar>
              <w:top w:w="0" w:type="dxa"/>
              <w:left w:w="20" w:type="dxa"/>
              <w:bottom w:w="0" w:type="dxa"/>
              <w:right w:w="20" w:type="dxa"/>
            </w:tcMar>
          </w:tcPr>
          <w:p w14:paraId="00BAF0BA" w14:textId="77777777" w:rsidR="00871BDF" w:rsidRDefault="00871BDF">
            <w:pPr>
              <w:rPr>
                <w:rFonts w:ascii="宋体"/>
              </w:rPr>
            </w:pPr>
          </w:p>
        </w:tc>
        <w:tc>
          <w:tcPr>
            <w:tcW w:w="0" w:type="auto"/>
            <w:shd w:val="clear" w:color="auto" w:fill="auto"/>
          </w:tcPr>
          <w:p w14:paraId="00BAF0BB" w14:textId="77777777" w:rsidR="00871BDF" w:rsidRDefault="00871BDF">
            <w:pPr>
              <w:rPr>
                <w:rFonts w:ascii="宋体"/>
                <w:vanish/>
              </w:rPr>
            </w:pPr>
          </w:p>
        </w:tc>
        <w:tc>
          <w:tcPr>
            <w:tcW w:w="0" w:type="auto"/>
            <w:shd w:val="clear" w:color="auto" w:fill="auto"/>
          </w:tcPr>
          <w:p w14:paraId="00BAF0BC" w14:textId="77777777" w:rsidR="00871BDF" w:rsidRDefault="00871BDF">
            <w:pPr>
              <w:rPr>
                <w:rFonts w:ascii="宋体"/>
                <w:vanish/>
              </w:rPr>
            </w:pPr>
          </w:p>
        </w:tc>
        <w:tc>
          <w:tcPr>
            <w:tcW w:w="0" w:type="auto"/>
            <w:shd w:val="clear" w:color="auto" w:fill="auto"/>
          </w:tcPr>
          <w:p w14:paraId="00BAF0BD" w14:textId="77777777" w:rsidR="00871BDF" w:rsidRDefault="00871BDF">
            <w:pPr>
              <w:rPr>
                <w:rFonts w:ascii="宋体"/>
                <w:vanish/>
              </w:rPr>
            </w:pPr>
          </w:p>
        </w:tc>
        <w:tc>
          <w:tcPr>
            <w:tcW w:w="0" w:type="auto"/>
            <w:shd w:val="clear" w:color="auto" w:fill="FFFFFF"/>
            <w:tcMar>
              <w:top w:w="40" w:type="dxa"/>
              <w:left w:w="20" w:type="dxa"/>
              <w:bottom w:w="40" w:type="dxa"/>
              <w:right w:w="0" w:type="dxa"/>
            </w:tcMar>
            <w:vAlign w:val="bottom"/>
          </w:tcPr>
          <w:p w14:paraId="00BAF0BE"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0BF" w14:textId="77777777" w:rsidR="00871BDF" w:rsidRDefault="005C5088">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00BAF0C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C1"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0C2"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0C3" w14:textId="77777777" w:rsidR="00871BDF" w:rsidRDefault="005C5088">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00BAF0C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C5"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0C6"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0C7" w14:textId="77777777" w:rsidR="00871BDF" w:rsidRDefault="005C5088">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00BAF0C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C9"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0CA"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0CB" w14:textId="77777777" w:rsidR="00871BDF" w:rsidRDefault="005C5088">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00BAF0C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CD"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0CE"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0CF" w14:textId="77777777" w:rsidR="00871BDF" w:rsidRDefault="005C5088">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00BAF0D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D1"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0D2"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0D3" w14:textId="77777777" w:rsidR="00871BDF" w:rsidRDefault="005C5088">
            <w:pPr>
              <w:jc w:val="right"/>
              <w:textAlignment w:val="bottom"/>
            </w:pPr>
            <w:r>
              <w:rPr>
                <w:rFonts w:ascii="Times New Roman" w:eastAsia="宋体" w:hAnsi="Times New Roman"/>
                <w:color w:val="000000"/>
                <w:sz w:val="20"/>
                <w:szCs w:val="20"/>
              </w:rPr>
              <w:t>(7.4)</w:t>
            </w:r>
          </w:p>
        </w:tc>
        <w:tc>
          <w:tcPr>
            <w:tcW w:w="0" w:type="auto"/>
            <w:shd w:val="clear" w:color="auto" w:fill="FFFFFF"/>
            <w:tcMar>
              <w:top w:w="40" w:type="dxa"/>
              <w:left w:w="0" w:type="dxa"/>
              <w:bottom w:w="40" w:type="dxa"/>
              <w:right w:w="20" w:type="dxa"/>
            </w:tcMar>
            <w:vAlign w:val="bottom"/>
          </w:tcPr>
          <w:p w14:paraId="00BAF0D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0D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AF0D6" w14:textId="77777777" w:rsidR="00871BDF" w:rsidRDefault="005C5088">
            <w:pPr>
              <w:textAlignment w:val="bottom"/>
            </w:pPr>
            <w:r>
              <w:rPr>
                <w:rFonts w:ascii="Times New Roman" w:eastAsia="宋体" w:hAnsi="Times New Roman"/>
                <w:color w:val="000000"/>
                <w:sz w:val="20"/>
                <w:szCs w:val="20"/>
              </w:rPr>
              <w:t>Product and distribution costs</w:t>
            </w:r>
          </w:p>
        </w:tc>
      </w:tr>
      <w:tr w:rsidR="00871BDF" w14:paraId="00BAF0F1" w14:textId="77777777">
        <w:trPr>
          <w:trHeight w:val="300"/>
        </w:trPr>
        <w:tc>
          <w:tcPr>
            <w:tcW w:w="0" w:type="auto"/>
            <w:gridSpan w:val="3"/>
            <w:vMerge w:val="restart"/>
            <w:shd w:val="clear" w:color="auto" w:fill="D7E4BC"/>
            <w:tcMar>
              <w:top w:w="40" w:type="dxa"/>
              <w:left w:w="155" w:type="dxa"/>
              <w:bottom w:w="40" w:type="dxa"/>
              <w:right w:w="20" w:type="dxa"/>
            </w:tcMar>
          </w:tcPr>
          <w:p w14:paraId="00BAF0D8" w14:textId="77777777" w:rsidR="00871BDF" w:rsidRDefault="005C5088">
            <w:pPr>
              <w:textAlignment w:val="top"/>
            </w:pPr>
            <w:r>
              <w:rPr>
                <w:rFonts w:ascii="Times New Roman" w:eastAsia="宋体" w:hAnsi="Times New Roman"/>
                <w:color w:val="000000"/>
                <w:sz w:val="20"/>
                <w:szCs w:val="20"/>
              </w:rPr>
              <w:t>Cross-currency swaps</w:t>
            </w:r>
          </w:p>
        </w:tc>
        <w:tc>
          <w:tcPr>
            <w:tcW w:w="0" w:type="auto"/>
            <w:shd w:val="clear" w:color="auto" w:fill="auto"/>
          </w:tcPr>
          <w:p w14:paraId="00BAF0D9" w14:textId="77777777" w:rsidR="00871BDF" w:rsidRDefault="00871BDF">
            <w:pPr>
              <w:rPr>
                <w:rFonts w:ascii="宋体"/>
                <w:vanish/>
              </w:rPr>
            </w:pPr>
          </w:p>
        </w:tc>
        <w:tc>
          <w:tcPr>
            <w:tcW w:w="0" w:type="auto"/>
            <w:gridSpan w:val="3"/>
            <w:shd w:val="clear" w:color="auto" w:fill="D7E4BC"/>
            <w:tcMar>
              <w:top w:w="0" w:type="dxa"/>
              <w:left w:w="20" w:type="dxa"/>
              <w:bottom w:w="0" w:type="dxa"/>
              <w:right w:w="20" w:type="dxa"/>
            </w:tcMar>
          </w:tcPr>
          <w:p w14:paraId="00BAF0DA" w14:textId="77777777" w:rsidR="00871BDF" w:rsidRDefault="00871BDF">
            <w:pPr>
              <w:rPr>
                <w:rFonts w:ascii="宋体"/>
              </w:rPr>
            </w:pPr>
          </w:p>
        </w:tc>
        <w:tc>
          <w:tcPr>
            <w:tcW w:w="0" w:type="auto"/>
            <w:shd w:val="clear" w:color="auto" w:fill="auto"/>
          </w:tcPr>
          <w:p w14:paraId="00BAF0DB" w14:textId="77777777" w:rsidR="00871BDF" w:rsidRDefault="00871BDF">
            <w:pPr>
              <w:rPr>
                <w:rFonts w:ascii="宋体"/>
                <w:vanish/>
              </w:rPr>
            </w:pPr>
          </w:p>
        </w:tc>
        <w:tc>
          <w:tcPr>
            <w:tcW w:w="0" w:type="auto"/>
            <w:shd w:val="clear" w:color="auto" w:fill="auto"/>
          </w:tcPr>
          <w:p w14:paraId="00BAF0DC" w14:textId="77777777" w:rsidR="00871BDF" w:rsidRDefault="00871BDF">
            <w:pPr>
              <w:rPr>
                <w:rFonts w:ascii="宋体"/>
                <w:vanish/>
              </w:rPr>
            </w:pPr>
          </w:p>
        </w:tc>
        <w:tc>
          <w:tcPr>
            <w:tcW w:w="0" w:type="auto"/>
            <w:shd w:val="clear" w:color="auto" w:fill="auto"/>
          </w:tcPr>
          <w:p w14:paraId="00BAF0DD" w14:textId="77777777" w:rsidR="00871BDF" w:rsidRDefault="00871BDF">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00BAF0DE" w14:textId="77777777" w:rsidR="00871BDF" w:rsidRDefault="005C5088">
            <w:pPr>
              <w:jc w:val="right"/>
              <w:textAlignment w:val="center"/>
            </w:pPr>
            <w:r>
              <w:rPr>
                <w:rFonts w:ascii="Times New Roman" w:eastAsia="宋体" w:hAnsi="Times New Roman"/>
                <w:color w:val="000000"/>
                <w:sz w:val="20"/>
                <w:szCs w:val="20"/>
              </w:rPr>
              <w:t>4.4 </w:t>
            </w:r>
          </w:p>
        </w:tc>
        <w:tc>
          <w:tcPr>
            <w:tcW w:w="0" w:type="auto"/>
            <w:vMerge w:val="restart"/>
            <w:shd w:val="clear" w:color="auto" w:fill="D7E4BC"/>
            <w:tcMar>
              <w:top w:w="40" w:type="dxa"/>
              <w:left w:w="0" w:type="dxa"/>
              <w:bottom w:w="40" w:type="dxa"/>
              <w:right w:w="20" w:type="dxa"/>
            </w:tcMar>
            <w:vAlign w:val="center"/>
          </w:tcPr>
          <w:p w14:paraId="00BAF0D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0E0" w14:textId="77777777" w:rsidR="00871BDF" w:rsidRDefault="00871BDF">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00BAF0E1" w14:textId="77777777" w:rsidR="00871BDF" w:rsidRDefault="005C5088">
            <w:pPr>
              <w:jc w:val="right"/>
              <w:textAlignment w:val="center"/>
            </w:pPr>
            <w:r>
              <w:rPr>
                <w:rFonts w:ascii="Times New Roman" w:eastAsia="宋体" w:hAnsi="Times New Roman"/>
                <w:color w:val="000000"/>
                <w:sz w:val="20"/>
                <w:szCs w:val="20"/>
              </w:rPr>
              <w:t>(5.9)</w:t>
            </w:r>
          </w:p>
        </w:tc>
        <w:tc>
          <w:tcPr>
            <w:tcW w:w="0" w:type="auto"/>
            <w:vMerge w:val="restart"/>
            <w:shd w:val="clear" w:color="auto" w:fill="D7E4BC"/>
            <w:tcMar>
              <w:top w:w="40" w:type="dxa"/>
              <w:left w:w="0" w:type="dxa"/>
              <w:bottom w:w="40" w:type="dxa"/>
              <w:right w:w="20" w:type="dxa"/>
            </w:tcMar>
            <w:vAlign w:val="center"/>
          </w:tcPr>
          <w:p w14:paraId="00BAF0E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0E3" w14:textId="77777777" w:rsidR="00871BDF" w:rsidRDefault="00871BDF">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00BAF0E4" w14:textId="77777777" w:rsidR="00871BDF" w:rsidRDefault="005C5088">
            <w:pPr>
              <w:jc w:val="right"/>
              <w:textAlignment w:val="center"/>
            </w:pPr>
            <w:r>
              <w:rPr>
                <w:rFonts w:ascii="Times New Roman" w:eastAsia="宋体" w:hAnsi="Times New Roman"/>
                <w:color w:val="000000"/>
                <w:sz w:val="20"/>
                <w:szCs w:val="20"/>
              </w:rPr>
              <w:t>(6.1)</w:t>
            </w:r>
          </w:p>
        </w:tc>
        <w:tc>
          <w:tcPr>
            <w:tcW w:w="0" w:type="auto"/>
            <w:vMerge w:val="restart"/>
            <w:shd w:val="clear" w:color="auto" w:fill="D7E4BC"/>
            <w:tcMar>
              <w:top w:w="40" w:type="dxa"/>
              <w:left w:w="0" w:type="dxa"/>
              <w:bottom w:w="40" w:type="dxa"/>
              <w:right w:w="20" w:type="dxa"/>
            </w:tcMar>
            <w:vAlign w:val="center"/>
          </w:tcPr>
          <w:p w14:paraId="00BAF0E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0E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0E7" w14:textId="77777777" w:rsidR="00871BDF" w:rsidRDefault="005C5088">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00BAF0E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0E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0EA" w14:textId="77777777" w:rsidR="00871BDF" w:rsidRDefault="005C5088">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00BAF0E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0E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0ED" w14:textId="77777777" w:rsidR="00871BDF" w:rsidRDefault="005C5088">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00BAF0E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0E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F0F0" w14:textId="77777777" w:rsidR="00871BDF" w:rsidRDefault="005C5088">
            <w:pPr>
              <w:textAlignment w:val="bottom"/>
            </w:pPr>
            <w:r>
              <w:rPr>
                <w:rFonts w:ascii="Times New Roman" w:eastAsia="宋体" w:hAnsi="Times New Roman"/>
                <w:color w:val="000000"/>
                <w:sz w:val="20"/>
                <w:szCs w:val="20"/>
              </w:rPr>
              <w:t>Interest expense</w:t>
            </w:r>
          </w:p>
        </w:tc>
      </w:tr>
      <w:tr w:rsidR="00871BDF" w14:paraId="00BAF10B" w14:textId="77777777">
        <w:trPr>
          <w:trHeight w:val="300"/>
        </w:trPr>
        <w:tc>
          <w:tcPr>
            <w:tcW w:w="0" w:type="auto"/>
            <w:gridSpan w:val="3"/>
            <w:vMerge/>
            <w:shd w:val="clear" w:color="auto" w:fill="D7E4BC"/>
            <w:tcMar>
              <w:top w:w="40" w:type="dxa"/>
              <w:left w:w="155" w:type="dxa"/>
              <w:bottom w:w="40" w:type="dxa"/>
              <w:right w:w="20" w:type="dxa"/>
            </w:tcMar>
          </w:tcPr>
          <w:p w14:paraId="00BAF0F2" w14:textId="77777777" w:rsidR="00871BDF" w:rsidRDefault="00871BDF">
            <w:pPr>
              <w:rPr>
                <w:rFonts w:ascii="宋体"/>
              </w:rPr>
            </w:pPr>
          </w:p>
        </w:tc>
        <w:tc>
          <w:tcPr>
            <w:tcW w:w="0" w:type="auto"/>
            <w:shd w:val="clear" w:color="auto" w:fill="auto"/>
          </w:tcPr>
          <w:p w14:paraId="00BAF0F3" w14:textId="77777777" w:rsidR="00871BDF" w:rsidRDefault="00871BDF">
            <w:pPr>
              <w:rPr>
                <w:rFonts w:ascii="宋体"/>
                <w:vanish/>
              </w:rPr>
            </w:pPr>
          </w:p>
        </w:tc>
        <w:tc>
          <w:tcPr>
            <w:tcW w:w="0" w:type="auto"/>
            <w:gridSpan w:val="3"/>
            <w:shd w:val="clear" w:color="auto" w:fill="D7E4BC"/>
            <w:tcMar>
              <w:top w:w="0" w:type="dxa"/>
              <w:left w:w="20" w:type="dxa"/>
              <w:bottom w:w="0" w:type="dxa"/>
              <w:right w:w="20" w:type="dxa"/>
            </w:tcMar>
          </w:tcPr>
          <w:p w14:paraId="00BAF0F4" w14:textId="77777777" w:rsidR="00871BDF" w:rsidRDefault="00871BDF">
            <w:pPr>
              <w:rPr>
                <w:rFonts w:ascii="宋体"/>
              </w:rPr>
            </w:pPr>
          </w:p>
        </w:tc>
        <w:tc>
          <w:tcPr>
            <w:tcW w:w="0" w:type="auto"/>
            <w:shd w:val="clear" w:color="auto" w:fill="auto"/>
          </w:tcPr>
          <w:p w14:paraId="00BAF0F5" w14:textId="77777777" w:rsidR="00871BDF" w:rsidRDefault="00871BDF">
            <w:pPr>
              <w:rPr>
                <w:rFonts w:ascii="宋体"/>
                <w:vanish/>
              </w:rPr>
            </w:pPr>
          </w:p>
        </w:tc>
        <w:tc>
          <w:tcPr>
            <w:tcW w:w="0" w:type="auto"/>
            <w:shd w:val="clear" w:color="auto" w:fill="auto"/>
          </w:tcPr>
          <w:p w14:paraId="00BAF0F6" w14:textId="77777777" w:rsidR="00871BDF" w:rsidRDefault="00871BDF">
            <w:pPr>
              <w:rPr>
                <w:rFonts w:ascii="宋体"/>
                <w:vanish/>
              </w:rPr>
            </w:pPr>
          </w:p>
        </w:tc>
        <w:tc>
          <w:tcPr>
            <w:tcW w:w="0" w:type="auto"/>
            <w:shd w:val="clear" w:color="auto" w:fill="auto"/>
          </w:tcPr>
          <w:p w14:paraId="00BAF0F7" w14:textId="77777777" w:rsidR="00871BDF" w:rsidRDefault="00871BDF">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00BAF0F8" w14:textId="77777777" w:rsidR="00871BDF" w:rsidRDefault="00871BDF">
            <w:pPr>
              <w:jc w:val="right"/>
              <w:rPr>
                <w:rFonts w:ascii="宋体"/>
              </w:rPr>
            </w:pPr>
          </w:p>
        </w:tc>
        <w:tc>
          <w:tcPr>
            <w:tcW w:w="0" w:type="auto"/>
            <w:vMerge/>
            <w:shd w:val="clear" w:color="auto" w:fill="D7E4BC"/>
            <w:tcMar>
              <w:top w:w="40" w:type="dxa"/>
              <w:left w:w="0" w:type="dxa"/>
              <w:bottom w:w="40" w:type="dxa"/>
              <w:right w:w="20" w:type="dxa"/>
            </w:tcMar>
            <w:vAlign w:val="center"/>
          </w:tcPr>
          <w:p w14:paraId="00BAF0F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0FA" w14:textId="77777777" w:rsidR="00871BDF" w:rsidRDefault="00871BDF">
            <w:pPr>
              <w:rPr>
                <w:rFonts w:ascii="宋体"/>
              </w:rPr>
            </w:pPr>
          </w:p>
        </w:tc>
        <w:tc>
          <w:tcPr>
            <w:tcW w:w="0" w:type="auto"/>
            <w:gridSpan w:val="2"/>
            <w:vMerge/>
            <w:shd w:val="clear" w:color="auto" w:fill="D7E4BC"/>
            <w:tcMar>
              <w:top w:w="40" w:type="dxa"/>
              <w:left w:w="20" w:type="dxa"/>
              <w:bottom w:w="40" w:type="dxa"/>
              <w:right w:w="0" w:type="dxa"/>
            </w:tcMar>
            <w:vAlign w:val="center"/>
          </w:tcPr>
          <w:p w14:paraId="00BAF0FB" w14:textId="77777777" w:rsidR="00871BDF" w:rsidRDefault="00871BDF">
            <w:pPr>
              <w:jc w:val="right"/>
              <w:rPr>
                <w:rFonts w:ascii="宋体"/>
              </w:rPr>
            </w:pPr>
          </w:p>
        </w:tc>
        <w:tc>
          <w:tcPr>
            <w:tcW w:w="0" w:type="auto"/>
            <w:vMerge/>
            <w:shd w:val="clear" w:color="auto" w:fill="D7E4BC"/>
            <w:tcMar>
              <w:top w:w="40" w:type="dxa"/>
              <w:left w:w="0" w:type="dxa"/>
              <w:bottom w:w="40" w:type="dxa"/>
              <w:right w:w="20" w:type="dxa"/>
            </w:tcMar>
            <w:vAlign w:val="center"/>
          </w:tcPr>
          <w:p w14:paraId="00BAF0F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0FD" w14:textId="77777777" w:rsidR="00871BDF" w:rsidRDefault="00871BDF">
            <w:pPr>
              <w:rPr>
                <w:rFonts w:ascii="宋体"/>
              </w:rPr>
            </w:pPr>
          </w:p>
        </w:tc>
        <w:tc>
          <w:tcPr>
            <w:tcW w:w="0" w:type="auto"/>
            <w:gridSpan w:val="2"/>
            <w:vMerge/>
            <w:shd w:val="clear" w:color="auto" w:fill="D7E4BC"/>
            <w:tcMar>
              <w:top w:w="40" w:type="dxa"/>
              <w:left w:w="20" w:type="dxa"/>
              <w:bottom w:w="40" w:type="dxa"/>
              <w:right w:w="0" w:type="dxa"/>
            </w:tcMar>
            <w:vAlign w:val="center"/>
          </w:tcPr>
          <w:p w14:paraId="00BAF0FE" w14:textId="77777777" w:rsidR="00871BDF" w:rsidRDefault="00871BDF">
            <w:pPr>
              <w:jc w:val="right"/>
              <w:rPr>
                <w:rFonts w:ascii="宋体"/>
              </w:rPr>
            </w:pPr>
          </w:p>
        </w:tc>
        <w:tc>
          <w:tcPr>
            <w:tcW w:w="0" w:type="auto"/>
            <w:vMerge/>
            <w:shd w:val="clear" w:color="auto" w:fill="D7E4BC"/>
            <w:tcMar>
              <w:top w:w="40" w:type="dxa"/>
              <w:left w:w="0" w:type="dxa"/>
              <w:bottom w:w="40" w:type="dxa"/>
              <w:right w:w="20" w:type="dxa"/>
            </w:tcMar>
            <w:vAlign w:val="center"/>
          </w:tcPr>
          <w:p w14:paraId="00BAF0F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0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01" w14:textId="77777777" w:rsidR="00871BDF" w:rsidRDefault="005C5088">
            <w:pPr>
              <w:jc w:val="right"/>
              <w:textAlignment w:val="bottom"/>
            </w:pPr>
            <w:r>
              <w:rPr>
                <w:rFonts w:ascii="Times New Roman" w:eastAsia="宋体" w:hAnsi="Times New Roman"/>
                <w:color w:val="000000"/>
                <w:sz w:val="20"/>
                <w:szCs w:val="20"/>
              </w:rPr>
              <w:t>(6.1)</w:t>
            </w:r>
          </w:p>
        </w:tc>
        <w:tc>
          <w:tcPr>
            <w:tcW w:w="0" w:type="auto"/>
            <w:shd w:val="clear" w:color="auto" w:fill="D7E4BC"/>
            <w:tcMar>
              <w:top w:w="40" w:type="dxa"/>
              <w:left w:w="0" w:type="dxa"/>
              <w:bottom w:w="40" w:type="dxa"/>
              <w:right w:w="20" w:type="dxa"/>
            </w:tcMar>
            <w:vAlign w:val="bottom"/>
          </w:tcPr>
          <w:p w14:paraId="00BAF10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0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04" w14:textId="77777777" w:rsidR="00871BDF" w:rsidRDefault="005C5088">
            <w:pPr>
              <w:jc w:val="right"/>
              <w:textAlignment w:val="bottom"/>
            </w:pPr>
            <w:r>
              <w:rPr>
                <w:rFonts w:ascii="Times New Roman" w:eastAsia="宋体" w:hAnsi="Times New Roman"/>
                <w:color w:val="000000"/>
                <w:sz w:val="20"/>
                <w:szCs w:val="20"/>
              </w:rPr>
              <w:t>(19.8)</w:t>
            </w:r>
          </w:p>
        </w:tc>
        <w:tc>
          <w:tcPr>
            <w:tcW w:w="0" w:type="auto"/>
            <w:shd w:val="clear" w:color="auto" w:fill="D7E4BC"/>
            <w:tcMar>
              <w:top w:w="40" w:type="dxa"/>
              <w:left w:w="0" w:type="dxa"/>
              <w:bottom w:w="40" w:type="dxa"/>
              <w:right w:w="20" w:type="dxa"/>
            </w:tcMar>
            <w:vAlign w:val="bottom"/>
          </w:tcPr>
          <w:p w14:paraId="00BAF10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0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07" w14:textId="77777777" w:rsidR="00871BDF" w:rsidRDefault="005C5088">
            <w:pPr>
              <w:jc w:val="right"/>
              <w:textAlignment w:val="bottom"/>
            </w:pPr>
            <w:r>
              <w:rPr>
                <w:rFonts w:ascii="Times New Roman" w:eastAsia="宋体" w:hAnsi="Times New Roman"/>
                <w:color w:val="000000"/>
                <w:sz w:val="20"/>
                <w:szCs w:val="20"/>
              </w:rPr>
              <w:t>1.9 </w:t>
            </w:r>
          </w:p>
        </w:tc>
        <w:tc>
          <w:tcPr>
            <w:tcW w:w="0" w:type="auto"/>
            <w:shd w:val="clear" w:color="auto" w:fill="D7E4BC"/>
            <w:tcMar>
              <w:top w:w="40" w:type="dxa"/>
              <w:left w:w="0" w:type="dxa"/>
              <w:bottom w:w="40" w:type="dxa"/>
              <w:right w:w="20" w:type="dxa"/>
            </w:tcMar>
            <w:vAlign w:val="bottom"/>
          </w:tcPr>
          <w:p w14:paraId="00BAF10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0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F10A" w14:textId="77777777" w:rsidR="00871BDF" w:rsidRDefault="005C5088">
            <w:pPr>
              <w:textAlignment w:val="bottom"/>
            </w:pPr>
            <w:r>
              <w:rPr>
                <w:rFonts w:ascii="Times New Roman" w:eastAsia="宋体" w:hAnsi="Times New Roman"/>
                <w:color w:val="000000"/>
                <w:sz w:val="20"/>
                <w:szCs w:val="20"/>
              </w:rPr>
              <w:t>Interest income and other, net</w:t>
            </w:r>
          </w:p>
        </w:tc>
      </w:tr>
      <w:tr w:rsidR="00871BDF" w14:paraId="00BAF125" w14:textId="77777777">
        <w:trPr>
          <w:trHeight w:val="300"/>
        </w:trPr>
        <w:tc>
          <w:tcPr>
            <w:tcW w:w="0" w:type="auto"/>
            <w:gridSpan w:val="3"/>
            <w:vMerge w:val="restart"/>
            <w:shd w:val="clear" w:color="auto" w:fill="auto"/>
            <w:tcMar>
              <w:top w:w="40" w:type="dxa"/>
              <w:left w:w="155" w:type="dxa"/>
              <w:bottom w:w="40" w:type="dxa"/>
              <w:right w:w="20" w:type="dxa"/>
            </w:tcMar>
          </w:tcPr>
          <w:p w14:paraId="00BAF10C" w14:textId="77777777" w:rsidR="00871BDF" w:rsidRDefault="005C5088">
            <w:pPr>
              <w:textAlignment w:val="top"/>
            </w:pPr>
            <w:r>
              <w:rPr>
                <w:rFonts w:ascii="Times New Roman" w:eastAsia="宋体" w:hAnsi="Times New Roman"/>
                <w:color w:val="000000"/>
                <w:sz w:val="20"/>
                <w:szCs w:val="20"/>
              </w:rPr>
              <w:t>Dairy</w:t>
            </w:r>
          </w:p>
        </w:tc>
        <w:tc>
          <w:tcPr>
            <w:tcW w:w="0" w:type="auto"/>
            <w:shd w:val="clear" w:color="auto" w:fill="auto"/>
          </w:tcPr>
          <w:p w14:paraId="00BAF10D" w14:textId="77777777" w:rsidR="00871BDF" w:rsidRDefault="00871BDF">
            <w:pPr>
              <w:rPr>
                <w:rFonts w:ascii="宋体"/>
                <w:vanish/>
              </w:rPr>
            </w:pPr>
          </w:p>
        </w:tc>
        <w:tc>
          <w:tcPr>
            <w:tcW w:w="0" w:type="auto"/>
            <w:gridSpan w:val="3"/>
            <w:shd w:val="clear" w:color="auto" w:fill="auto"/>
            <w:tcMar>
              <w:top w:w="0" w:type="dxa"/>
              <w:left w:w="20" w:type="dxa"/>
              <w:bottom w:w="0" w:type="dxa"/>
              <w:right w:w="20" w:type="dxa"/>
            </w:tcMar>
          </w:tcPr>
          <w:p w14:paraId="00BAF10E" w14:textId="77777777" w:rsidR="00871BDF" w:rsidRDefault="00871BDF">
            <w:pPr>
              <w:rPr>
                <w:rFonts w:ascii="宋体"/>
              </w:rPr>
            </w:pPr>
          </w:p>
        </w:tc>
        <w:tc>
          <w:tcPr>
            <w:tcW w:w="0" w:type="auto"/>
            <w:shd w:val="clear" w:color="auto" w:fill="auto"/>
          </w:tcPr>
          <w:p w14:paraId="00BAF10F" w14:textId="77777777" w:rsidR="00871BDF" w:rsidRDefault="00871BDF">
            <w:pPr>
              <w:rPr>
                <w:rFonts w:ascii="宋体"/>
                <w:vanish/>
              </w:rPr>
            </w:pPr>
          </w:p>
        </w:tc>
        <w:tc>
          <w:tcPr>
            <w:tcW w:w="0" w:type="auto"/>
            <w:shd w:val="clear" w:color="auto" w:fill="auto"/>
          </w:tcPr>
          <w:p w14:paraId="00BAF110" w14:textId="77777777" w:rsidR="00871BDF" w:rsidRDefault="00871BDF">
            <w:pPr>
              <w:rPr>
                <w:rFonts w:ascii="宋体"/>
                <w:vanish/>
              </w:rPr>
            </w:pPr>
          </w:p>
        </w:tc>
        <w:tc>
          <w:tcPr>
            <w:tcW w:w="0" w:type="auto"/>
            <w:shd w:val="clear" w:color="auto" w:fill="auto"/>
          </w:tcPr>
          <w:p w14:paraId="00BAF111" w14:textId="77777777" w:rsidR="00871BDF" w:rsidRDefault="00871BDF">
            <w:pPr>
              <w:rPr>
                <w:rFonts w:ascii="宋体"/>
                <w:vanish/>
              </w:rPr>
            </w:pPr>
          </w:p>
        </w:tc>
        <w:tc>
          <w:tcPr>
            <w:tcW w:w="0" w:type="auto"/>
            <w:gridSpan w:val="2"/>
            <w:vMerge w:val="restart"/>
            <w:shd w:val="clear" w:color="auto" w:fill="auto"/>
            <w:tcMar>
              <w:top w:w="40" w:type="dxa"/>
              <w:left w:w="20" w:type="dxa"/>
              <w:bottom w:w="40" w:type="dxa"/>
              <w:right w:w="0" w:type="dxa"/>
            </w:tcMar>
            <w:vAlign w:val="center"/>
          </w:tcPr>
          <w:p w14:paraId="00BAF112" w14:textId="77777777" w:rsidR="00871BDF" w:rsidRDefault="005C5088">
            <w:pPr>
              <w:jc w:val="right"/>
              <w:textAlignment w:val="center"/>
            </w:pPr>
            <w:r>
              <w:rPr>
                <w:rFonts w:ascii="Times New Roman" w:eastAsia="宋体" w:hAnsi="Times New Roman"/>
                <w:color w:val="000000"/>
                <w:sz w:val="20"/>
                <w:szCs w:val="20"/>
              </w:rPr>
              <w:t>3.0 </w:t>
            </w:r>
          </w:p>
        </w:tc>
        <w:tc>
          <w:tcPr>
            <w:tcW w:w="0" w:type="auto"/>
            <w:vMerge w:val="restart"/>
            <w:shd w:val="clear" w:color="auto" w:fill="auto"/>
            <w:tcMar>
              <w:top w:w="40" w:type="dxa"/>
              <w:left w:w="0" w:type="dxa"/>
              <w:bottom w:w="40" w:type="dxa"/>
              <w:right w:w="20" w:type="dxa"/>
            </w:tcMar>
            <w:vAlign w:val="center"/>
          </w:tcPr>
          <w:p w14:paraId="00BAF113"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14" w14:textId="77777777" w:rsidR="00871BDF" w:rsidRDefault="00871BDF">
            <w:pPr>
              <w:rPr>
                <w:rFonts w:ascii="宋体"/>
              </w:rPr>
            </w:pPr>
          </w:p>
        </w:tc>
        <w:tc>
          <w:tcPr>
            <w:tcW w:w="0" w:type="auto"/>
            <w:gridSpan w:val="2"/>
            <w:vMerge w:val="restart"/>
            <w:shd w:val="clear" w:color="auto" w:fill="auto"/>
            <w:tcMar>
              <w:top w:w="40" w:type="dxa"/>
              <w:left w:w="20" w:type="dxa"/>
              <w:bottom w:w="40" w:type="dxa"/>
              <w:right w:w="0" w:type="dxa"/>
            </w:tcMar>
            <w:vAlign w:val="center"/>
          </w:tcPr>
          <w:p w14:paraId="00BAF115" w14:textId="77777777" w:rsidR="00871BDF" w:rsidRDefault="005C5088">
            <w:pPr>
              <w:jc w:val="right"/>
              <w:textAlignment w:val="center"/>
            </w:pPr>
            <w:r>
              <w:rPr>
                <w:rFonts w:ascii="Times New Roman" w:eastAsia="宋体" w:hAnsi="Times New Roman"/>
                <w:color w:val="000000"/>
                <w:sz w:val="20"/>
                <w:szCs w:val="20"/>
              </w:rPr>
              <w:t>— </w:t>
            </w:r>
          </w:p>
        </w:tc>
        <w:tc>
          <w:tcPr>
            <w:tcW w:w="0" w:type="auto"/>
            <w:vMerge w:val="restart"/>
            <w:shd w:val="clear" w:color="auto" w:fill="auto"/>
            <w:tcMar>
              <w:top w:w="40" w:type="dxa"/>
              <w:left w:w="0" w:type="dxa"/>
              <w:bottom w:w="40" w:type="dxa"/>
              <w:right w:w="20" w:type="dxa"/>
            </w:tcMar>
            <w:vAlign w:val="center"/>
          </w:tcPr>
          <w:p w14:paraId="00BAF116"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17" w14:textId="77777777" w:rsidR="00871BDF" w:rsidRDefault="00871BDF">
            <w:pPr>
              <w:rPr>
                <w:rFonts w:ascii="宋体"/>
              </w:rPr>
            </w:pPr>
          </w:p>
        </w:tc>
        <w:tc>
          <w:tcPr>
            <w:tcW w:w="0" w:type="auto"/>
            <w:gridSpan w:val="2"/>
            <w:vMerge w:val="restart"/>
            <w:shd w:val="clear" w:color="auto" w:fill="auto"/>
            <w:tcMar>
              <w:top w:w="40" w:type="dxa"/>
              <w:left w:w="20" w:type="dxa"/>
              <w:bottom w:w="40" w:type="dxa"/>
              <w:right w:w="0" w:type="dxa"/>
            </w:tcMar>
            <w:vAlign w:val="center"/>
          </w:tcPr>
          <w:p w14:paraId="00BAF118" w14:textId="77777777" w:rsidR="00871BDF" w:rsidRDefault="005C5088">
            <w:pPr>
              <w:jc w:val="right"/>
              <w:textAlignment w:val="center"/>
            </w:pPr>
            <w:r>
              <w:rPr>
                <w:rFonts w:ascii="Times New Roman" w:eastAsia="宋体" w:hAnsi="Times New Roman"/>
                <w:color w:val="000000"/>
                <w:sz w:val="20"/>
                <w:szCs w:val="20"/>
              </w:rPr>
              <w:t>— </w:t>
            </w:r>
          </w:p>
        </w:tc>
        <w:tc>
          <w:tcPr>
            <w:tcW w:w="0" w:type="auto"/>
            <w:vMerge w:val="restart"/>
            <w:shd w:val="clear" w:color="auto" w:fill="auto"/>
            <w:tcMar>
              <w:top w:w="40" w:type="dxa"/>
              <w:left w:w="0" w:type="dxa"/>
              <w:bottom w:w="40" w:type="dxa"/>
              <w:right w:w="20" w:type="dxa"/>
            </w:tcMar>
            <w:vAlign w:val="center"/>
          </w:tcPr>
          <w:p w14:paraId="00BAF119"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1A"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1B" w14:textId="77777777" w:rsidR="00871BDF" w:rsidRDefault="005C5088">
            <w:pPr>
              <w:jc w:val="right"/>
              <w:textAlignment w:val="bottom"/>
            </w:pPr>
            <w:r>
              <w:rPr>
                <w:rFonts w:ascii="Times New Roman" w:eastAsia="宋体" w:hAnsi="Times New Roman"/>
                <w:color w:val="000000"/>
                <w:sz w:val="20"/>
                <w:szCs w:val="20"/>
              </w:rPr>
              <w:t>4.0 </w:t>
            </w:r>
          </w:p>
        </w:tc>
        <w:tc>
          <w:tcPr>
            <w:tcW w:w="0" w:type="auto"/>
            <w:shd w:val="clear" w:color="auto" w:fill="auto"/>
            <w:tcMar>
              <w:top w:w="40" w:type="dxa"/>
              <w:left w:w="0" w:type="dxa"/>
              <w:bottom w:w="40" w:type="dxa"/>
              <w:right w:w="20" w:type="dxa"/>
            </w:tcMar>
            <w:vAlign w:val="bottom"/>
          </w:tcPr>
          <w:p w14:paraId="00BAF11C"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1D"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1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0BAF11F"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20"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2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0BAF122"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23"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AF124" w14:textId="77777777" w:rsidR="00871BDF" w:rsidRDefault="005C5088">
            <w:pPr>
              <w:textAlignment w:val="bottom"/>
            </w:pPr>
            <w:r>
              <w:rPr>
                <w:rFonts w:ascii="Times New Roman" w:eastAsia="宋体" w:hAnsi="Times New Roman"/>
                <w:color w:val="000000"/>
                <w:sz w:val="20"/>
                <w:szCs w:val="20"/>
              </w:rPr>
              <w:t>Product and distribution costs</w:t>
            </w:r>
          </w:p>
        </w:tc>
      </w:tr>
      <w:tr w:rsidR="00871BDF" w14:paraId="00BAF13F" w14:textId="77777777">
        <w:trPr>
          <w:trHeight w:val="300"/>
        </w:trPr>
        <w:tc>
          <w:tcPr>
            <w:tcW w:w="0" w:type="auto"/>
            <w:gridSpan w:val="3"/>
            <w:vMerge/>
            <w:shd w:val="clear" w:color="auto" w:fill="auto"/>
            <w:tcMar>
              <w:top w:w="40" w:type="dxa"/>
              <w:left w:w="155" w:type="dxa"/>
              <w:bottom w:w="40" w:type="dxa"/>
              <w:right w:w="20" w:type="dxa"/>
            </w:tcMar>
          </w:tcPr>
          <w:p w14:paraId="00BAF126" w14:textId="77777777" w:rsidR="00871BDF" w:rsidRDefault="00871BDF">
            <w:pPr>
              <w:rPr>
                <w:rFonts w:ascii="宋体"/>
              </w:rPr>
            </w:pPr>
          </w:p>
        </w:tc>
        <w:tc>
          <w:tcPr>
            <w:tcW w:w="0" w:type="auto"/>
            <w:shd w:val="clear" w:color="auto" w:fill="auto"/>
          </w:tcPr>
          <w:p w14:paraId="00BAF127" w14:textId="77777777" w:rsidR="00871BDF" w:rsidRDefault="00871BDF">
            <w:pPr>
              <w:rPr>
                <w:rFonts w:ascii="宋体"/>
                <w:vanish/>
              </w:rPr>
            </w:pPr>
          </w:p>
        </w:tc>
        <w:tc>
          <w:tcPr>
            <w:tcW w:w="0" w:type="auto"/>
            <w:gridSpan w:val="3"/>
            <w:shd w:val="clear" w:color="auto" w:fill="auto"/>
            <w:tcMar>
              <w:top w:w="0" w:type="dxa"/>
              <w:left w:w="20" w:type="dxa"/>
              <w:bottom w:w="0" w:type="dxa"/>
              <w:right w:w="20" w:type="dxa"/>
            </w:tcMar>
          </w:tcPr>
          <w:p w14:paraId="00BAF128" w14:textId="77777777" w:rsidR="00871BDF" w:rsidRDefault="00871BDF">
            <w:pPr>
              <w:rPr>
                <w:rFonts w:ascii="宋体"/>
              </w:rPr>
            </w:pPr>
          </w:p>
        </w:tc>
        <w:tc>
          <w:tcPr>
            <w:tcW w:w="0" w:type="auto"/>
            <w:shd w:val="clear" w:color="auto" w:fill="auto"/>
          </w:tcPr>
          <w:p w14:paraId="00BAF129" w14:textId="77777777" w:rsidR="00871BDF" w:rsidRDefault="00871BDF">
            <w:pPr>
              <w:rPr>
                <w:rFonts w:ascii="宋体"/>
                <w:vanish/>
              </w:rPr>
            </w:pPr>
          </w:p>
        </w:tc>
        <w:tc>
          <w:tcPr>
            <w:tcW w:w="0" w:type="auto"/>
            <w:shd w:val="clear" w:color="auto" w:fill="auto"/>
          </w:tcPr>
          <w:p w14:paraId="00BAF12A" w14:textId="77777777" w:rsidR="00871BDF" w:rsidRDefault="00871BDF">
            <w:pPr>
              <w:rPr>
                <w:rFonts w:ascii="宋体"/>
                <w:vanish/>
              </w:rPr>
            </w:pPr>
          </w:p>
        </w:tc>
        <w:tc>
          <w:tcPr>
            <w:tcW w:w="0" w:type="auto"/>
            <w:shd w:val="clear" w:color="auto" w:fill="auto"/>
          </w:tcPr>
          <w:p w14:paraId="00BAF12B" w14:textId="77777777" w:rsidR="00871BDF" w:rsidRDefault="00871BDF">
            <w:pPr>
              <w:rPr>
                <w:rFonts w:ascii="宋体"/>
                <w:vanish/>
              </w:rPr>
            </w:pPr>
          </w:p>
        </w:tc>
        <w:tc>
          <w:tcPr>
            <w:tcW w:w="0" w:type="auto"/>
            <w:gridSpan w:val="2"/>
            <w:vMerge/>
            <w:shd w:val="clear" w:color="auto" w:fill="auto"/>
            <w:tcMar>
              <w:top w:w="40" w:type="dxa"/>
              <w:left w:w="20" w:type="dxa"/>
              <w:bottom w:w="40" w:type="dxa"/>
              <w:right w:w="0" w:type="dxa"/>
            </w:tcMar>
            <w:vAlign w:val="center"/>
          </w:tcPr>
          <w:p w14:paraId="00BAF12C" w14:textId="77777777" w:rsidR="00871BDF" w:rsidRDefault="00871BDF">
            <w:pPr>
              <w:jc w:val="right"/>
              <w:rPr>
                <w:rFonts w:ascii="宋体"/>
              </w:rPr>
            </w:pPr>
          </w:p>
        </w:tc>
        <w:tc>
          <w:tcPr>
            <w:tcW w:w="0" w:type="auto"/>
            <w:vMerge/>
            <w:shd w:val="clear" w:color="auto" w:fill="auto"/>
            <w:tcMar>
              <w:top w:w="40" w:type="dxa"/>
              <w:left w:w="0" w:type="dxa"/>
              <w:bottom w:w="40" w:type="dxa"/>
              <w:right w:w="20" w:type="dxa"/>
            </w:tcMar>
            <w:vAlign w:val="center"/>
          </w:tcPr>
          <w:p w14:paraId="00BAF12D"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2E" w14:textId="77777777" w:rsidR="00871BDF" w:rsidRDefault="00871BDF">
            <w:pPr>
              <w:rPr>
                <w:rFonts w:ascii="宋体"/>
              </w:rPr>
            </w:pPr>
          </w:p>
        </w:tc>
        <w:tc>
          <w:tcPr>
            <w:tcW w:w="0" w:type="auto"/>
            <w:gridSpan w:val="2"/>
            <w:vMerge/>
            <w:shd w:val="clear" w:color="auto" w:fill="auto"/>
            <w:tcMar>
              <w:top w:w="40" w:type="dxa"/>
              <w:left w:w="20" w:type="dxa"/>
              <w:bottom w:w="40" w:type="dxa"/>
              <w:right w:w="0" w:type="dxa"/>
            </w:tcMar>
            <w:vAlign w:val="center"/>
          </w:tcPr>
          <w:p w14:paraId="00BAF12F" w14:textId="77777777" w:rsidR="00871BDF" w:rsidRDefault="00871BDF">
            <w:pPr>
              <w:jc w:val="right"/>
              <w:rPr>
                <w:rFonts w:ascii="宋体"/>
              </w:rPr>
            </w:pPr>
          </w:p>
        </w:tc>
        <w:tc>
          <w:tcPr>
            <w:tcW w:w="0" w:type="auto"/>
            <w:vMerge/>
            <w:shd w:val="clear" w:color="auto" w:fill="auto"/>
            <w:tcMar>
              <w:top w:w="40" w:type="dxa"/>
              <w:left w:w="0" w:type="dxa"/>
              <w:bottom w:w="40" w:type="dxa"/>
              <w:right w:w="20" w:type="dxa"/>
            </w:tcMar>
            <w:vAlign w:val="center"/>
          </w:tcPr>
          <w:p w14:paraId="00BAF130"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31" w14:textId="77777777" w:rsidR="00871BDF" w:rsidRDefault="00871BDF">
            <w:pPr>
              <w:rPr>
                <w:rFonts w:ascii="宋体"/>
              </w:rPr>
            </w:pPr>
          </w:p>
        </w:tc>
        <w:tc>
          <w:tcPr>
            <w:tcW w:w="0" w:type="auto"/>
            <w:gridSpan w:val="2"/>
            <w:vMerge/>
            <w:shd w:val="clear" w:color="auto" w:fill="auto"/>
            <w:tcMar>
              <w:top w:w="40" w:type="dxa"/>
              <w:left w:w="20" w:type="dxa"/>
              <w:bottom w:w="40" w:type="dxa"/>
              <w:right w:w="0" w:type="dxa"/>
            </w:tcMar>
            <w:vAlign w:val="center"/>
          </w:tcPr>
          <w:p w14:paraId="00BAF132" w14:textId="77777777" w:rsidR="00871BDF" w:rsidRDefault="00871BDF">
            <w:pPr>
              <w:jc w:val="right"/>
              <w:rPr>
                <w:rFonts w:ascii="宋体"/>
              </w:rPr>
            </w:pPr>
          </w:p>
        </w:tc>
        <w:tc>
          <w:tcPr>
            <w:tcW w:w="0" w:type="auto"/>
            <w:vMerge/>
            <w:shd w:val="clear" w:color="auto" w:fill="auto"/>
            <w:tcMar>
              <w:top w:w="40" w:type="dxa"/>
              <w:left w:w="0" w:type="dxa"/>
              <w:bottom w:w="40" w:type="dxa"/>
              <w:right w:w="20" w:type="dxa"/>
            </w:tcMar>
            <w:vAlign w:val="center"/>
          </w:tcPr>
          <w:p w14:paraId="00BAF133"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34"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35" w14:textId="77777777" w:rsidR="00871BDF" w:rsidRDefault="005C5088">
            <w:pPr>
              <w:jc w:val="right"/>
              <w:textAlignment w:val="bottom"/>
            </w:pPr>
            <w:r>
              <w:rPr>
                <w:rFonts w:ascii="Times New Roman" w:eastAsia="宋体" w:hAnsi="Times New Roman"/>
                <w:color w:val="000000"/>
                <w:sz w:val="20"/>
                <w:szCs w:val="20"/>
              </w:rPr>
              <w:t>(1.7)</w:t>
            </w:r>
          </w:p>
        </w:tc>
        <w:tc>
          <w:tcPr>
            <w:tcW w:w="0" w:type="auto"/>
            <w:shd w:val="clear" w:color="auto" w:fill="auto"/>
            <w:tcMar>
              <w:top w:w="40" w:type="dxa"/>
              <w:left w:w="0" w:type="dxa"/>
              <w:bottom w:w="40" w:type="dxa"/>
              <w:right w:w="20" w:type="dxa"/>
            </w:tcMar>
            <w:vAlign w:val="bottom"/>
          </w:tcPr>
          <w:p w14:paraId="00BAF136"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37"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3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0BAF139"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3A"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3B"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0BAF13C"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3D"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AF13E" w14:textId="77777777" w:rsidR="00871BDF" w:rsidRDefault="005C5088">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871BDF" w14:paraId="00BAF159" w14:textId="77777777">
        <w:trPr>
          <w:trHeight w:val="300"/>
        </w:trPr>
        <w:tc>
          <w:tcPr>
            <w:tcW w:w="0" w:type="auto"/>
            <w:gridSpan w:val="3"/>
            <w:vMerge w:val="restart"/>
            <w:shd w:val="clear" w:color="auto" w:fill="D7E4BC"/>
            <w:tcMar>
              <w:top w:w="40" w:type="dxa"/>
              <w:left w:w="155" w:type="dxa"/>
              <w:bottom w:w="40" w:type="dxa"/>
              <w:right w:w="20" w:type="dxa"/>
            </w:tcMar>
          </w:tcPr>
          <w:p w14:paraId="00BAF140" w14:textId="77777777" w:rsidR="00871BDF" w:rsidRDefault="005C5088">
            <w:pPr>
              <w:textAlignment w:val="top"/>
            </w:pPr>
            <w:r>
              <w:rPr>
                <w:rFonts w:ascii="Times New Roman" w:eastAsia="宋体" w:hAnsi="Times New Roman"/>
                <w:color w:val="000000"/>
                <w:sz w:val="20"/>
                <w:szCs w:val="20"/>
              </w:rPr>
              <w:t>Foreign currency - other</w:t>
            </w:r>
          </w:p>
        </w:tc>
        <w:tc>
          <w:tcPr>
            <w:tcW w:w="0" w:type="auto"/>
            <w:shd w:val="clear" w:color="auto" w:fill="auto"/>
          </w:tcPr>
          <w:p w14:paraId="00BAF141" w14:textId="77777777" w:rsidR="00871BDF" w:rsidRDefault="00871BDF">
            <w:pPr>
              <w:rPr>
                <w:rFonts w:ascii="宋体"/>
                <w:vanish/>
              </w:rPr>
            </w:pPr>
          </w:p>
        </w:tc>
        <w:tc>
          <w:tcPr>
            <w:tcW w:w="0" w:type="auto"/>
            <w:gridSpan w:val="3"/>
            <w:shd w:val="clear" w:color="auto" w:fill="D7E4BC"/>
            <w:tcMar>
              <w:top w:w="0" w:type="dxa"/>
              <w:left w:w="20" w:type="dxa"/>
              <w:bottom w:w="0" w:type="dxa"/>
              <w:right w:w="20" w:type="dxa"/>
            </w:tcMar>
          </w:tcPr>
          <w:p w14:paraId="00BAF142" w14:textId="77777777" w:rsidR="00871BDF" w:rsidRDefault="00871BDF">
            <w:pPr>
              <w:rPr>
                <w:rFonts w:ascii="宋体"/>
              </w:rPr>
            </w:pPr>
          </w:p>
        </w:tc>
        <w:tc>
          <w:tcPr>
            <w:tcW w:w="0" w:type="auto"/>
            <w:shd w:val="clear" w:color="auto" w:fill="auto"/>
          </w:tcPr>
          <w:p w14:paraId="00BAF143" w14:textId="77777777" w:rsidR="00871BDF" w:rsidRDefault="00871BDF">
            <w:pPr>
              <w:rPr>
                <w:rFonts w:ascii="宋体"/>
                <w:vanish/>
              </w:rPr>
            </w:pPr>
          </w:p>
        </w:tc>
        <w:tc>
          <w:tcPr>
            <w:tcW w:w="0" w:type="auto"/>
            <w:shd w:val="clear" w:color="auto" w:fill="auto"/>
          </w:tcPr>
          <w:p w14:paraId="00BAF144" w14:textId="77777777" w:rsidR="00871BDF" w:rsidRDefault="00871BDF">
            <w:pPr>
              <w:rPr>
                <w:rFonts w:ascii="宋体"/>
                <w:vanish/>
              </w:rPr>
            </w:pPr>
          </w:p>
        </w:tc>
        <w:tc>
          <w:tcPr>
            <w:tcW w:w="0" w:type="auto"/>
            <w:shd w:val="clear" w:color="auto" w:fill="auto"/>
          </w:tcPr>
          <w:p w14:paraId="00BAF145" w14:textId="77777777" w:rsidR="00871BDF" w:rsidRDefault="00871BDF">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00BAF146" w14:textId="77777777" w:rsidR="00871BDF" w:rsidRDefault="005C5088">
            <w:pPr>
              <w:jc w:val="right"/>
              <w:textAlignment w:val="center"/>
            </w:pPr>
            <w:r>
              <w:rPr>
                <w:rFonts w:ascii="Times New Roman" w:eastAsia="宋体" w:hAnsi="Times New Roman"/>
                <w:color w:val="000000"/>
                <w:sz w:val="20"/>
                <w:szCs w:val="20"/>
              </w:rPr>
              <w:t>(6.4)</w:t>
            </w:r>
          </w:p>
        </w:tc>
        <w:tc>
          <w:tcPr>
            <w:tcW w:w="0" w:type="auto"/>
            <w:vMerge w:val="restart"/>
            <w:shd w:val="clear" w:color="auto" w:fill="D7E4BC"/>
            <w:tcMar>
              <w:top w:w="40" w:type="dxa"/>
              <w:left w:w="0" w:type="dxa"/>
              <w:bottom w:w="40" w:type="dxa"/>
              <w:right w:w="20" w:type="dxa"/>
            </w:tcMar>
            <w:vAlign w:val="center"/>
          </w:tcPr>
          <w:p w14:paraId="00BAF14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48" w14:textId="77777777" w:rsidR="00871BDF" w:rsidRDefault="00871BDF">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00BAF149" w14:textId="77777777" w:rsidR="00871BDF" w:rsidRDefault="005C5088">
            <w:pPr>
              <w:jc w:val="right"/>
              <w:textAlignment w:val="center"/>
            </w:pPr>
            <w:r>
              <w:rPr>
                <w:rFonts w:ascii="Times New Roman" w:eastAsia="宋体" w:hAnsi="Times New Roman"/>
                <w:color w:val="000000"/>
                <w:sz w:val="20"/>
                <w:szCs w:val="20"/>
              </w:rPr>
              <w:t>20.8 </w:t>
            </w:r>
          </w:p>
        </w:tc>
        <w:tc>
          <w:tcPr>
            <w:tcW w:w="0" w:type="auto"/>
            <w:vMerge w:val="restart"/>
            <w:shd w:val="clear" w:color="auto" w:fill="D7E4BC"/>
            <w:tcMar>
              <w:top w:w="40" w:type="dxa"/>
              <w:left w:w="0" w:type="dxa"/>
              <w:bottom w:w="40" w:type="dxa"/>
              <w:right w:w="20" w:type="dxa"/>
            </w:tcMar>
            <w:vAlign w:val="center"/>
          </w:tcPr>
          <w:p w14:paraId="00BAF14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4B" w14:textId="77777777" w:rsidR="00871BDF" w:rsidRDefault="00871BDF">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00BAF14C" w14:textId="77777777" w:rsidR="00871BDF" w:rsidRDefault="005C5088">
            <w:pPr>
              <w:jc w:val="right"/>
              <w:textAlignment w:val="center"/>
            </w:pPr>
            <w:r>
              <w:rPr>
                <w:rFonts w:ascii="Times New Roman" w:eastAsia="宋体" w:hAnsi="Times New Roman"/>
                <w:color w:val="000000"/>
                <w:sz w:val="20"/>
                <w:szCs w:val="20"/>
              </w:rPr>
              <w:t>16.7 </w:t>
            </w:r>
          </w:p>
        </w:tc>
        <w:tc>
          <w:tcPr>
            <w:tcW w:w="0" w:type="auto"/>
            <w:vMerge w:val="restart"/>
            <w:shd w:val="clear" w:color="auto" w:fill="D7E4BC"/>
            <w:tcMar>
              <w:top w:w="40" w:type="dxa"/>
              <w:left w:w="0" w:type="dxa"/>
              <w:bottom w:w="40" w:type="dxa"/>
              <w:right w:w="20" w:type="dxa"/>
            </w:tcMar>
            <w:vAlign w:val="center"/>
          </w:tcPr>
          <w:p w14:paraId="00BAF14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4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4F" w14:textId="77777777" w:rsidR="00871BDF" w:rsidRDefault="005C5088">
            <w:pPr>
              <w:jc w:val="right"/>
              <w:textAlignment w:val="bottom"/>
            </w:pPr>
            <w:r>
              <w:rPr>
                <w:rFonts w:ascii="Times New Roman" w:eastAsia="宋体" w:hAnsi="Times New Roman"/>
                <w:color w:val="000000"/>
                <w:sz w:val="20"/>
                <w:szCs w:val="20"/>
              </w:rPr>
              <w:t>5.5 </w:t>
            </w:r>
          </w:p>
        </w:tc>
        <w:tc>
          <w:tcPr>
            <w:tcW w:w="0" w:type="auto"/>
            <w:shd w:val="clear" w:color="auto" w:fill="D7E4BC"/>
            <w:tcMar>
              <w:top w:w="40" w:type="dxa"/>
              <w:left w:w="0" w:type="dxa"/>
              <w:bottom w:w="40" w:type="dxa"/>
              <w:right w:w="20" w:type="dxa"/>
            </w:tcMar>
            <w:vAlign w:val="bottom"/>
          </w:tcPr>
          <w:p w14:paraId="00BAF15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5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52" w14:textId="77777777" w:rsidR="00871BDF" w:rsidRDefault="005C5088">
            <w:pPr>
              <w:jc w:val="right"/>
              <w:textAlignment w:val="bottom"/>
            </w:pPr>
            <w:r>
              <w:rPr>
                <w:rFonts w:ascii="Times New Roman" w:eastAsia="宋体" w:hAnsi="Times New Roman"/>
                <w:color w:val="000000"/>
                <w:sz w:val="20"/>
                <w:szCs w:val="20"/>
              </w:rPr>
              <w:t>7.0 </w:t>
            </w:r>
          </w:p>
        </w:tc>
        <w:tc>
          <w:tcPr>
            <w:tcW w:w="0" w:type="auto"/>
            <w:shd w:val="clear" w:color="auto" w:fill="D7E4BC"/>
            <w:tcMar>
              <w:top w:w="40" w:type="dxa"/>
              <w:left w:w="0" w:type="dxa"/>
              <w:bottom w:w="40" w:type="dxa"/>
              <w:right w:w="20" w:type="dxa"/>
            </w:tcMar>
            <w:vAlign w:val="bottom"/>
          </w:tcPr>
          <w:p w14:paraId="00BAF15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5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55" w14:textId="77777777" w:rsidR="00871BDF" w:rsidRDefault="005C5088">
            <w:pPr>
              <w:jc w:val="right"/>
              <w:textAlignment w:val="bottom"/>
            </w:pPr>
            <w:r>
              <w:rPr>
                <w:rFonts w:ascii="Times New Roman" w:eastAsia="宋体" w:hAnsi="Times New Roman"/>
                <w:color w:val="000000"/>
                <w:sz w:val="20"/>
                <w:szCs w:val="20"/>
              </w:rPr>
              <w:t>(0.3)</w:t>
            </w:r>
          </w:p>
        </w:tc>
        <w:tc>
          <w:tcPr>
            <w:tcW w:w="0" w:type="auto"/>
            <w:shd w:val="clear" w:color="auto" w:fill="D7E4BC"/>
            <w:tcMar>
              <w:top w:w="40" w:type="dxa"/>
              <w:left w:w="0" w:type="dxa"/>
              <w:bottom w:w="40" w:type="dxa"/>
              <w:right w:w="20" w:type="dxa"/>
            </w:tcMar>
            <w:vAlign w:val="bottom"/>
          </w:tcPr>
          <w:p w14:paraId="00BAF15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5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F158" w14:textId="77777777" w:rsidR="00871BDF" w:rsidRDefault="005C5088">
            <w:pPr>
              <w:textAlignment w:val="bottom"/>
            </w:pPr>
            <w:r>
              <w:rPr>
                <w:rFonts w:ascii="Times New Roman" w:eastAsia="宋体" w:hAnsi="Times New Roman"/>
                <w:color w:val="000000"/>
                <w:sz w:val="20"/>
                <w:szCs w:val="20"/>
              </w:rPr>
              <w:t>Licensed stores revenues</w:t>
            </w:r>
          </w:p>
        </w:tc>
      </w:tr>
      <w:tr w:rsidR="00871BDF" w14:paraId="00BAF173" w14:textId="77777777">
        <w:trPr>
          <w:trHeight w:val="300"/>
        </w:trPr>
        <w:tc>
          <w:tcPr>
            <w:tcW w:w="0" w:type="auto"/>
            <w:gridSpan w:val="3"/>
            <w:vMerge/>
            <w:shd w:val="clear" w:color="auto" w:fill="D7E4BC"/>
            <w:tcMar>
              <w:top w:w="40" w:type="dxa"/>
              <w:left w:w="155" w:type="dxa"/>
              <w:bottom w:w="40" w:type="dxa"/>
              <w:right w:w="20" w:type="dxa"/>
            </w:tcMar>
          </w:tcPr>
          <w:p w14:paraId="00BAF15A" w14:textId="77777777" w:rsidR="00871BDF" w:rsidRDefault="00871BDF">
            <w:pPr>
              <w:rPr>
                <w:rFonts w:ascii="宋体"/>
              </w:rPr>
            </w:pPr>
          </w:p>
        </w:tc>
        <w:tc>
          <w:tcPr>
            <w:tcW w:w="0" w:type="auto"/>
            <w:shd w:val="clear" w:color="auto" w:fill="auto"/>
          </w:tcPr>
          <w:p w14:paraId="00BAF15B" w14:textId="77777777" w:rsidR="00871BDF" w:rsidRDefault="00871BDF">
            <w:pPr>
              <w:rPr>
                <w:rFonts w:ascii="宋体"/>
                <w:vanish/>
              </w:rPr>
            </w:pPr>
          </w:p>
        </w:tc>
        <w:tc>
          <w:tcPr>
            <w:tcW w:w="0" w:type="auto"/>
            <w:gridSpan w:val="3"/>
            <w:shd w:val="clear" w:color="auto" w:fill="D7E4BC"/>
            <w:tcMar>
              <w:top w:w="0" w:type="dxa"/>
              <w:left w:w="20" w:type="dxa"/>
              <w:bottom w:w="0" w:type="dxa"/>
              <w:right w:w="20" w:type="dxa"/>
            </w:tcMar>
          </w:tcPr>
          <w:p w14:paraId="00BAF15C" w14:textId="77777777" w:rsidR="00871BDF" w:rsidRDefault="00871BDF">
            <w:pPr>
              <w:rPr>
                <w:rFonts w:ascii="宋体"/>
              </w:rPr>
            </w:pPr>
          </w:p>
        </w:tc>
        <w:tc>
          <w:tcPr>
            <w:tcW w:w="0" w:type="auto"/>
            <w:shd w:val="clear" w:color="auto" w:fill="auto"/>
          </w:tcPr>
          <w:p w14:paraId="00BAF15D" w14:textId="77777777" w:rsidR="00871BDF" w:rsidRDefault="00871BDF">
            <w:pPr>
              <w:rPr>
                <w:rFonts w:ascii="宋体"/>
                <w:vanish/>
              </w:rPr>
            </w:pPr>
          </w:p>
        </w:tc>
        <w:tc>
          <w:tcPr>
            <w:tcW w:w="0" w:type="auto"/>
            <w:shd w:val="clear" w:color="auto" w:fill="auto"/>
          </w:tcPr>
          <w:p w14:paraId="00BAF15E" w14:textId="77777777" w:rsidR="00871BDF" w:rsidRDefault="00871BDF">
            <w:pPr>
              <w:rPr>
                <w:rFonts w:ascii="宋体"/>
                <w:vanish/>
              </w:rPr>
            </w:pPr>
          </w:p>
        </w:tc>
        <w:tc>
          <w:tcPr>
            <w:tcW w:w="0" w:type="auto"/>
            <w:shd w:val="clear" w:color="auto" w:fill="auto"/>
          </w:tcPr>
          <w:p w14:paraId="00BAF15F" w14:textId="77777777" w:rsidR="00871BDF" w:rsidRDefault="00871BDF">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00BAF160" w14:textId="77777777" w:rsidR="00871BDF" w:rsidRDefault="00871BDF">
            <w:pPr>
              <w:jc w:val="right"/>
              <w:rPr>
                <w:rFonts w:ascii="宋体"/>
              </w:rPr>
            </w:pPr>
          </w:p>
        </w:tc>
        <w:tc>
          <w:tcPr>
            <w:tcW w:w="0" w:type="auto"/>
            <w:vMerge/>
            <w:shd w:val="clear" w:color="auto" w:fill="D7E4BC"/>
            <w:tcMar>
              <w:top w:w="40" w:type="dxa"/>
              <w:left w:w="0" w:type="dxa"/>
              <w:bottom w:w="40" w:type="dxa"/>
              <w:right w:w="20" w:type="dxa"/>
            </w:tcMar>
            <w:vAlign w:val="center"/>
          </w:tcPr>
          <w:p w14:paraId="00BAF16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62" w14:textId="77777777" w:rsidR="00871BDF" w:rsidRDefault="00871BDF">
            <w:pPr>
              <w:rPr>
                <w:rFonts w:ascii="宋体"/>
              </w:rPr>
            </w:pPr>
          </w:p>
        </w:tc>
        <w:tc>
          <w:tcPr>
            <w:tcW w:w="0" w:type="auto"/>
            <w:gridSpan w:val="2"/>
            <w:vMerge/>
            <w:shd w:val="clear" w:color="auto" w:fill="D7E4BC"/>
            <w:tcMar>
              <w:top w:w="40" w:type="dxa"/>
              <w:left w:w="20" w:type="dxa"/>
              <w:bottom w:w="40" w:type="dxa"/>
              <w:right w:w="0" w:type="dxa"/>
            </w:tcMar>
            <w:vAlign w:val="center"/>
          </w:tcPr>
          <w:p w14:paraId="00BAF163" w14:textId="77777777" w:rsidR="00871BDF" w:rsidRDefault="00871BDF">
            <w:pPr>
              <w:jc w:val="right"/>
              <w:rPr>
                <w:rFonts w:ascii="宋体"/>
              </w:rPr>
            </w:pPr>
          </w:p>
        </w:tc>
        <w:tc>
          <w:tcPr>
            <w:tcW w:w="0" w:type="auto"/>
            <w:vMerge/>
            <w:shd w:val="clear" w:color="auto" w:fill="D7E4BC"/>
            <w:tcMar>
              <w:top w:w="40" w:type="dxa"/>
              <w:left w:w="0" w:type="dxa"/>
              <w:bottom w:w="40" w:type="dxa"/>
              <w:right w:w="20" w:type="dxa"/>
            </w:tcMar>
            <w:vAlign w:val="center"/>
          </w:tcPr>
          <w:p w14:paraId="00BAF16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65" w14:textId="77777777" w:rsidR="00871BDF" w:rsidRDefault="00871BDF">
            <w:pPr>
              <w:rPr>
                <w:rFonts w:ascii="宋体"/>
              </w:rPr>
            </w:pPr>
          </w:p>
        </w:tc>
        <w:tc>
          <w:tcPr>
            <w:tcW w:w="0" w:type="auto"/>
            <w:gridSpan w:val="2"/>
            <w:vMerge/>
            <w:shd w:val="clear" w:color="auto" w:fill="D7E4BC"/>
            <w:tcMar>
              <w:top w:w="40" w:type="dxa"/>
              <w:left w:w="20" w:type="dxa"/>
              <w:bottom w:w="40" w:type="dxa"/>
              <w:right w:w="0" w:type="dxa"/>
            </w:tcMar>
            <w:vAlign w:val="center"/>
          </w:tcPr>
          <w:p w14:paraId="00BAF166" w14:textId="77777777" w:rsidR="00871BDF" w:rsidRDefault="00871BDF">
            <w:pPr>
              <w:jc w:val="right"/>
              <w:rPr>
                <w:rFonts w:ascii="宋体"/>
              </w:rPr>
            </w:pPr>
          </w:p>
        </w:tc>
        <w:tc>
          <w:tcPr>
            <w:tcW w:w="0" w:type="auto"/>
            <w:vMerge/>
            <w:shd w:val="clear" w:color="auto" w:fill="D7E4BC"/>
            <w:tcMar>
              <w:top w:w="40" w:type="dxa"/>
              <w:left w:w="0" w:type="dxa"/>
              <w:bottom w:w="40" w:type="dxa"/>
              <w:right w:w="20" w:type="dxa"/>
            </w:tcMar>
            <w:vAlign w:val="center"/>
          </w:tcPr>
          <w:p w14:paraId="00BAF16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6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69" w14:textId="77777777" w:rsidR="00871BDF" w:rsidRDefault="005C5088">
            <w:pPr>
              <w:jc w:val="right"/>
              <w:textAlignment w:val="bottom"/>
            </w:pPr>
            <w:r>
              <w:rPr>
                <w:rFonts w:ascii="Times New Roman" w:eastAsia="宋体" w:hAnsi="Times New Roman"/>
                <w:color w:val="000000"/>
                <w:sz w:val="20"/>
                <w:szCs w:val="20"/>
              </w:rPr>
              <w:t>(8.7)</w:t>
            </w:r>
          </w:p>
        </w:tc>
        <w:tc>
          <w:tcPr>
            <w:tcW w:w="0" w:type="auto"/>
            <w:shd w:val="clear" w:color="auto" w:fill="D7E4BC"/>
            <w:tcMar>
              <w:top w:w="40" w:type="dxa"/>
              <w:left w:w="0" w:type="dxa"/>
              <w:bottom w:w="40" w:type="dxa"/>
              <w:right w:w="20" w:type="dxa"/>
            </w:tcMar>
            <w:vAlign w:val="bottom"/>
          </w:tcPr>
          <w:p w14:paraId="00BAF16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6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6C" w14:textId="77777777" w:rsidR="00871BDF" w:rsidRDefault="005C5088">
            <w:pPr>
              <w:jc w:val="right"/>
              <w:textAlignment w:val="bottom"/>
            </w:pPr>
            <w:r>
              <w:rPr>
                <w:rFonts w:ascii="Times New Roman" w:eastAsia="宋体" w:hAnsi="Times New Roman"/>
                <w:color w:val="000000"/>
                <w:sz w:val="20"/>
                <w:szCs w:val="20"/>
              </w:rPr>
              <w:t>4.4 </w:t>
            </w:r>
          </w:p>
        </w:tc>
        <w:tc>
          <w:tcPr>
            <w:tcW w:w="0" w:type="auto"/>
            <w:shd w:val="clear" w:color="auto" w:fill="D7E4BC"/>
            <w:tcMar>
              <w:top w:w="40" w:type="dxa"/>
              <w:left w:w="0" w:type="dxa"/>
              <w:bottom w:w="40" w:type="dxa"/>
              <w:right w:w="20" w:type="dxa"/>
            </w:tcMar>
            <w:vAlign w:val="bottom"/>
          </w:tcPr>
          <w:p w14:paraId="00BAF16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6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6F" w14:textId="77777777" w:rsidR="00871BDF" w:rsidRDefault="005C5088">
            <w:pPr>
              <w:jc w:val="right"/>
              <w:textAlignment w:val="bottom"/>
            </w:pPr>
            <w:r>
              <w:rPr>
                <w:rFonts w:ascii="Times New Roman" w:eastAsia="宋体" w:hAnsi="Times New Roman"/>
                <w:color w:val="000000"/>
                <w:sz w:val="20"/>
                <w:szCs w:val="20"/>
              </w:rPr>
              <w:t>(3.3)</w:t>
            </w:r>
          </w:p>
        </w:tc>
        <w:tc>
          <w:tcPr>
            <w:tcW w:w="0" w:type="auto"/>
            <w:shd w:val="clear" w:color="auto" w:fill="D7E4BC"/>
            <w:tcMar>
              <w:top w:w="40" w:type="dxa"/>
              <w:left w:w="0" w:type="dxa"/>
              <w:bottom w:w="40" w:type="dxa"/>
              <w:right w:w="20" w:type="dxa"/>
            </w:tcMar>
            <w:vAlign w:val="bottom"/>
          </w:tcPr>
          <w:p w14:paraId="00BAF17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7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F172" w14:textId="77777777" w:rsidR="00871BDF" w:rsidRDefault="005C5088">
            <w:pPr>
              <w:textAlignment w:val="bottom"/>
            </w:pPr>
            <w:r>
              <w:rPr>
                <w:rFonts w:ascii="Times New Roman" w:eastAsia="宋体" w:hAnsi="Times New Roman"/>
                <w:color w:val="000000"/>
                <w:sz w:val="20"/>
                <w:szCs w:val="20"/>
              </w:rPr>
              <w:t>Product and distribution costs</w:t>
            </w:r>
          </w:p>
        </w:tc>
      </w:tr>
      <w:tr w:rsidR="00871BDF" w14:paraId="00BAF18D" w14:textId="77777777">
        <w:trPr>
          <w:trHeight w:val="300"/>
        </w:trPr>
        <w:tc>
          <w:tcPr>
            <w:tcW w:w="0" w:type="auto"/>
            <w:gridSpan w:val="3"/>
            <w:vMerge/>
            <w:shd w:val="clear" w:color="auto" w:fill="D7E4BC"/>
            <w:tcMar>
              <w:top w:w="40" w:type="dxa"/>
              <w:left w:w="155" w:type="dxa"/>
              <w:bottom w:w="40" w:type="dxa"/>
              <w:right w:w="20" w:type="dxa"/>
            </w:tcMar>
          </w:tcPr>
          <w:p w14:paraId="00BAF174" w14:textId="77777777" w:rsidR="00871BDF" w:rsidRDefault="00871BDF">
            <w:pPr>
              <w:rPr>
                <w:rFonts w:ascii="宋体"/>
              </w:rPr>
            </w:pPr>
          </w:p>
        </w:tc>
        <w:tc>
          <w:tcPr>
            <w:tcW w:w="0" w:type="auto"/>
            <w:shd w:val="clear" w:color="auto" w:fill="auto"/>
          </w:tcPr>
          <w:p w14:paraId="00BAF175" w14:textId="77777777" w:rsidR="00871BDF" w:rsidRDefault="00871BDF">
            <w:pPr>
              <w:rPr>
                <w:rFonts w:ascii="宋体"/>
                <w:vanish/>
              </w:rPr>
            </w:pPr>
          </w:p>
        </w:tc>
        <w:tc>
          <w:tcPr>
            <w:tcW w:w="0" w:type="auto"/>
            <w:gridSpan w:val="3"/>
            <w:shd w:val="clear" w:color="auto" w:fill="D7E4BC"/>
            <w:tcMar>
              <w:top w:w="0" w:type="dxa"/>
              <w:left w:w="20" w:type="dxa"/>
              <w:bottom w:w="0" w:type="dxa"/>
              <w:right w:w="20" w:type="dxa"/>
            </w:tcMar>
          </w:tcPr>
          <w:p w14:paraId="00BAF176" w14:textId="77777777" w:rsidR="00871BDF" w:rsidRDefault="00871BDF">
            <w:pPr>
              <w:rPr>
                <w:rFonts w:ascii="宋体"/>
              </w:rPr>
            </w:pPr>
          </w:p>
        </w:tc>
        <w:tc>
          <w:tcPr>
            <w:tcW w:w="0" w:type="auto"/>
            <w:shd w:val="clear" w:color="auto" w:fill="auto"/>
          </w:tcPr>
          <w:p w14:paraId="00BAF177" w14:textId="77777777" w:rsidR="00871BDF" w:rsidRDefault="00871BDF">
            <w:pPr>
              <w:rPr>
                <w:rFonts w:ascii="宋体"/>
                <w:vanish/>
              </w:rPr>
            </w:pPr>
          </w:p>
        </w:tc>
        <w:tc>
          <w:tcPr>
            <w:tcW w:w="0" w:type="auto"/>
            <w:shd w:val="clear" w:color="auto" w:fill="auto"/>
          </w:tcPr>
          <w:p w14:paraId="00BAF178" w14:textId="77777777" w:rsidR="00871BDF" w:rsidRDefault="00871BDF">
            <w:pPr>
              <w:rPr>
                <w:rFonts w:ascii="宋体"/>
                <w:vanish/>
              </w:rPr>
            </w:pPr>
          </w:p>
        </w:tc>
        <w:tc>
          <w:tcPr>
            <w:tcW w:w="0" w:type="auto"/>
            <w:shd w:val="clear" w:color="auto" w:fill="auto"/>
          </w:tcPr>
          <w:p w14:paraId="00BAF179" w14:textId="77777777" w:rsidR="00871BDF" w:rsidRDefault="00871BDF">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00BAF17A" w14:textId="77777777" w:rsidR="00871BDF" w:rsidRDefault="00871BDF">
            <w:pPr>
              <w:jc w:val="right"/>
              <w:rPr>
                <w:rFonts w:ascii="宋体"/>
              </w:rPr>
            </w:pPr>
          </w:p>
        </w:tc>
        <w:tc>
          <w:tcPr>
            <w:tcW w:w="0" w:type="auto"/>
            <w:vMerge/>
            <w:shd w:val="clear" w:color="auto" w:fill="D7E4BC"/>
            <w:tcMar>
              <w:top w:w="40" w:type="dxa"/>
              <w:left w:w="0" w:type="dxa"/>
              <w:bottom w:w="40" w:type="dxa"/>
              <w:right w:w="20" w:type="dxa"/>
            </w:tcMar>
            <w:vAlign w:val="center"/>
          </w:tcPr>
          <w:p w14:paraId="00BAF17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7C" w14:textId="77777777" w:rsidR="00871BDF" w:rsidRDefault="00871BDF">
            <w:pPr>
              <w:rPr>
                <w:rFonts w:ascii="宋体"/>
              </w:rPr>
            </w:pPr>
          </w:p>
        </w:tc>
        <w:tc>
          <w:tcPr>
            <w:tcW w:w="0" w:type="auto"/>
            <w:gridSpan w:val="2"/>
            <w:vMerge/>
            <w:shd w:val="clear" w:color="auto" w:fill="D7E4BC"/>
            <w:tcMar>
              <w:top w:w="40" w:type="dxa"/>
              <w:left w:w="20" w:type="dxa"/>
              <w:bottom w:w="40" w:type="dxa"/>
              <w:right w:w="0" w:type="dxa"/>
            </w:tcMar>
            <w:vAlign w:val="center"/>
          </w:tcPr>
          <w:p w14:paraId="00BAF17D" w14:textId="77777777" w:rsidR="00871BDF" w:rsidRDefault="00871BDF">
            <w:pPr>
              <w:jc w:val="right"/>
              <w:rPr>
                <w:rFonts w:ascii="宋体"/>
              </w:rPr>
            </w:pPr>
          </w:p>
        </w:tc>
        <w:tc>
          <w:tcPr>
            <w:tcW w:w="0" w:type="auto"/>
            <w:vMerge/>
            <w:shd w:val="clear" w:color="auto" w:fill="D7E4BC"/>
            <w:tcMar>
              <w:top w:w="40" w:type="dxa"/>
              <w:left w:w="0" w:type="dxa"/>
              <w:bottom w:w="40" w:type="dxa"/>
              <w:right w:w="20" w:type="dxa"/>
            </w:tcMar>
            <w:vAlign w:val="center"/>
          </w:tcPr>
          <w:p w14:paraId="00BAF17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7F" w14:textId="77777777" w:rsidR="00871BDF" w:rsidRDefault="00871BDF">
            <w:pPr>
              <w:rPr>
                <w:rFonts w:ascii="宋体"/>
              </w:rPr>
            </w:pPr>
          </w:p>
        </w:tc>
        <w:tc>
          <w:tcPr>
            <w:tcW w:w="0" w:type="auto"/>
            <w:gridSpan w:val="2"/>
            <w:vMerge/>
            <w:shd w:val="clear" w:color="auto" w:fill="D7E4BC"/>
            <w:tcMar>
              <w:top w:w="40" w:type="dxa"/>
              <w:left w:w="20" w:type="dxa"/>
              <w:bottom w:w="40" w:type="dxa"/>
              <w:right w:w="0" w:type="dxa"/>
            </w:tcMar>
            <w:vAlign w:val="center"/>
          </w:tcPr>
          <w:p w14:paraId="00BAF180" w14:textId="77777777" w:rsidR="00871BDF" w:rsidRDefault="00871BDF">
            <w:pPr>
              <w:jc w:val="right"/>
              <w:rPr>
                <w:rFonts w:ascii="宋体"/>
              </w:rPr>
            </w:pPr>
          </w:p>
        </w:tc>
        <w:tc>
          <w:tcPr>
            <w:tcW w:w="0" w:type="auto"/>
            <w:vMerge/>
            <w:shd w:val="clear" w:color="auto" w:fill="D7E4BC"/>
            <w:tcMar>
              <w:top w:w="40" w:type="dxa"/>
              <w:left w:w="0" w:type="dxa"/>
              <w:bottom w:w="40" w:type="dxa"/>
              <w:right w:w="20" w:type="dxa"/>
            </w:tcMar>
            <w:vAlign w:val="center"/>
          </w:tcPr>
          <w:p w14:paraId="00BAF18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8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83" w14:textId="77777777" w:rsidR="00871BDF" w:rsidRDefault="005C5088">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00BAF18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8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86"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18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8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89"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18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8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F18C" w14:textId="77777777" w:rsidR="00871BDF" w:rsidRDefault="005C5088">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871BDF" w14:paraId="00BAF1A7" w14:textId="77777777">
        <w:tc>
          <w:tcPr>
            <w:tcW w:w="0" w:type="auto"/>
            <w:gridSpan w:val="3"/>
            <w:shd w:val="clear" w:color="auto" w:fill="auto"/>
            <w:tcMar>
              <w:top w:w="40" w:type="dxa"/>
              <w:left w:w="155" w:type="dxa"/>
              <w:bottom w:w="40" w:type="dxa"/>
              <w:right w:w="20" w:type="dxa"/>
            </w:tcMar>
          </w:tcPr>
          <w:p w14:paraId="00BAF18E" w14:textId="77777777" w:rsidR="00871BDF" w:rsidRDefault="005C5088">
            <w:pPr>
              <w:textAlignment w:val="top"/>
            </w:pPr>
            <w:r>
              <w:rPr>
                <w:rFonts w:ascii="Times New Roman" w:eastAsia="宋体" w:hAnsi="Times New Roman"/>
                <w:color w:val="000000"/>
                <w:sz w:val="20"/>
                <w:szCs w:val="20"/>
              </w:rPr>
              <w:t>Interest rates</w:t>
            </w:r>
          </w:p>
        </w:tc>
        <w:tc>
          <w:tcPr>
            <w:tcW w:w="0" w:type="auto"/>
            <w:shd w:val="clear" w:color="auto" w:fill="auto"/>
          </w:tcPr>
          <w:p w14:paraId="00BAF18F" w14:textId="77777777" w:rsidR="00871BDF" w:rsidRDefault="00871BDF">
            <w:pPr>
              <w:rPr>
                <w:rFonts w:ascii="宋体"/>
                <w:vanish/>
              </w:rPr>
            </w:pPr>
          </w:p>
        </w:tc>
        <w:tc>
          <w:tcPr>
            <w:tcW w:w="0" w:type="auto"/>
            <w:gridSpan w:val="3"/>
            <w:shd w:val="clear" w:color="auto" w:fill="auto"/>
            <w:tcMar>
              <w:top w:w="0" w:type="dxa"/>
              <w:left w:w="20" w:type="dxa"/>
              <w:bottom w:w="0" w:type="dxa"/>
              <w:right w:w="20" w:type="dxa"/>
            </w:tcMar>
          </w:tcPr>
          <w:p w14:paraId="00BAF190" w14:textId="77777777" w:rsidR="00871BDF" w:rsidRDefault="00871BDF">
            <w:pPr>
              <w:rPr>
                <w:rFonts w:ascii="宋体"/>
              </w:rPr>
            </w:pPr>
          </w:p>
        </w:tc>
        <w:tc>
          <w:tcPr>
            <w:tcW w:w="0" w:type="auto"/>
            <w:shd w:val="clear" w:color="auto" w:fill="auto"/>
          </w:tcPr>
          <w:p w14:paraId="00BAF191" w14:textId="77777777" w:rsidR="00871BDF" w:rsidRDefault="00871BDF">
            <w:pPr>
              <w:rPr>
                <w:rFonts w:ascii="宋体"/>
                <w:vanish/>
              </w:rPr>
            </w:pPr>
          </w:p>
        </w:tc>
        <w:tc>
          <w:tcPr>
            <w:tcW w:w="0" w:type="auto"/>
            <w:shd w:val="clear" w:color="auto" w:fill="auto"/>
          </w:tcPr>
          <w:p w14:paraId="00BAF192" w14:textId="77777777" w:rsidR="00871BDF" w:rsidRDefault="00871BDF">
            <w:pPr>
              <w:rPr>
                <w:rFonts w:ascii="宋体"/>
                <w:vanish/>
              </w:rPr>
            </w:pPr>
          </w:p>
        </w:tc>
        <w:tc>
          <w:tcPr>
            <w:tcW w:w="0" w:type="auto"/>
            <w:shd w:val="clear" w:color="auto" w:fill="auto"/>
          </w:tcPr>
          <w:p w14:paraId="00BAF193" w14:textId="77777777" w:rsidR="00871BDF" w:rsidRDefault="00871BDF">
            <w:pPr>
              <w:rPr>
                <w:rFonts w:ascii="宋体"/>
                <w:vanish/>
              </w:rPr>
            </w:pPr>
          </w:p>
        </w:tc>
        <w:tc>
          <w:tcPr>
            <w:tcW w:w="0" w:type="auto"/>
            <w:gridSpan w:val="2"/>
            <w:shd w:val="clear" w:color="auto" w:fill="auto"/>
            <w:tcMar>
              <w:top w:w="40" w:type="dxa"/>
              <w:left w:w="20" w:type="dxa"/>
              <w:bottom w:w="40" w:type="dxa"/>
              <w:right w:w="0" w:type="dxa"/>
            </w:tcMar>
            <w:vAlign w:val="bottom"/>
          </w:tcPr>
          <w:p w14:paraId="00BAF194" w14:textId="77777777" w:rsidR="00871BDF" w:rsidRDefault="005C5088">
            <w:pPr>
              <w:jc w:val="right"/>
              <w:textAlignment w:val="bottom"/>
            </w:pPr>
            <w:r>
              <w:rPr>
                <w:rFonts w:ascii="Times New Roman" w:eastAsia="宋体" w:hAnsi="Times New Roman"/>
                <w:color w:val="000000"/>
                <w:sz w:val="20"/>
                <w:szCs w:val="20"/>
              </w:rPr>
              <w:t>(126.1)</w:t>
            </w:r>
          </w:p>
        </w:tc>
        <w:tc>
          <w:tcPr>
            <w:tcW w:w="0" w:type="auto"/>
            <w:shd w:val="clear" w:color="auto" w:fill="auto"/>
            <w:tcMar>
              <w:top w:w="40" w:type="dxa"/>
              <w:left w:w="0" w:type="dxa"/>
              <w:bottom w:w="40" w:type="dxa"/>
              <w:right w:w="20" w:type="dxa"/>
            </w:tcMar>
            <w:vAlign w:val="bottom"/>
          </w:tcPr>
          <w:p w14:paraId="00BAF195"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96"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97" w14:textId="77777777" w:rsidR="00871BDF" w:rsidRDefault="005C5088">
            <w:pPr>
              <w:jc w:val="right"/>
              <w:textAlignment w:val="bottom"/>
            </w:pPr>
            <w:r>
              <w:rPr>
                <w:rFonts w:ascii="Times New Roman" w:eastAsia="宋体" w:hAnsi="Times New Roman"/>
                <w:color w:val="000000"/>
                <w:sz w:val="20"/>
                <w:szCs w:val="20"/>
              </w:rPr>
              <w:t>(27.8)</w:t>
            </w:r>
          </w:p>
        </w:tc>
        <w:tc>
          <w:tcPr>
            <w:tcW w:w="0" w:type="auto"/>
            <w:shd w:val="clear" w:color="auto" w:fill="auto"/>
            <w:tcMar>
              <w:top w:w="40" w:type="dxa"/>
              <w:left w:w="0" w:type="dxa"/>
              <w:bottom w:w="40" w:type="dxa"/>
              <w:right w:w="20" w:type="dxa"/>
            </w:tcMar>
            <w:vAlign w:val="bottom"/>
          </w:tcPr>
          <w:p w14:paraId="00BAF198"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99"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9A" w14:textId="77777777" w:rsidR="00871BDF" w:rsidRDefault="005C5088">
            <w:pPr>
              <w:jc w:val="right"/>
              <w:textAlignment w:val="bottom"/>
            </w:pPr>
            <w:r>
              <w:rPr>
                <w:rFonts w:ascii="Times New Roman" w:eastAsia="宋体" w:hAnsi="Times New Roman"/>
                <w:color w:val="000000"/>
                <w:sz w:val="20"/>
                <w:szCs w:val="20"/>
              </w:rPr>
              <w:t>14.1 </w:t>
            </w:r>
          </w:p>
        </w:tc>
        <w:tc>
          <w:tcPr>
            <w:tcW w:w="0" w:type="auto"/>
            <w:shd w:val="clear" w:color="auto" w:fill="auto"/>
            <w:tcMar>
              <w:top w:w="40" w:type="dxa"/>
              <w:left w:w="0" w:type="dxa"/>
              <w:bottom w:w="40" w:type="dxa"/>
              <w:right w:w="20" w:type="dxa"/>
            </w:tcMar>
            <w:vAlign w:val="bottom"/>
          </w:tcPr>
          <w:p w14:paraId="00BAF19B"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9C"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9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0BAF19E"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9F"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A0" w14:textId="77777777" w:rsidR="00871BDF" w:rsidRDefault="005C5088">
            <w:pPr>
              <w:jc w:val="right"/>
              <w:textAlignment w:val="bottom"/>
            </w:pPr>
            <w:r>
              <w:rPr>
                <w:rFonts w:ascii="Times New Roman" w:eastAsia="宋体" w:hAnsi="Times New Roman"/>
                <w:color w:val="000000"/>
                <w:sz w:val="20"/>
                <w:szCs w:val="20"/>
              </w:rPr>
              <w:t>4.7 </w:t>
            </w:r>
          </w:p>
        </w:tc>
        <w:tc>
          <w:tcPr>
            <w:tcW w:w="0" w:type="auto"/>
            <w:shd w:val="clear" w:color="auto" w:fill="auto"/>
            <w:tcMar>
              <w:top w:w="40" w:type="dxa"/>
              <w:left w:w="0" w:type="dxa"/>
              <w:bottom w:w="40" w:type="dxa"/>
              <w:right w:w="20" w:type="dxa"/>
            </w:tcMar>
            <w:vAlign w:val="bottom"/>
          </w:tcPr>
          <w:p w14:paraId="00BAF1A1"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A2"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A3" w14:textId="77777777" w:rsidR="00871BDF" w:rsidRDefault="005C5088">
            <w:pPr>
              <w:jc w:val="right"/>
              <w:textAlignment w:val="bottom"/>
            </w:pPr>
            <w:r>
              <w:rPr>
                <w:rFonts w:ascii="Times New Roman" w:eastAsia="宋体" w:hAnsi="Times New Roman"/>
                <w:color w:val="000000"/>
                <w:sz w:val="20"/>
                <w:szCs w:val="20"/>
              </w:rPr>
              <w:t>4.9 </w:t>
            </w:r>
          </w:p>
        </w:tc>
        <w:tc>
          <w:tcPr>
            <w:tcW w:w="0" w:type="auto"/>
            <w:shd w:val="clear" w:color="auto" w:fill="auto"/>
            <w:tcMar>
              <w:top w:w="40" w:type="dxa"/>
              <w:left w:w="0" w:type="dxa"/>
              <w:bottom w:w="40" w:type="dxa"/>
              <w:right w:w="20" w:type="dxa"/>
            </w:tcMar>
            <w:vAlign w:val="bottom"/>
          </w:tcPr>
          <w:p w14:paraId="00BAF1A4"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A5"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AF1A6" w14:textId="77777777" w:rsidR="00871BDF" w:rsidRDefault="005C5088">
            <w:pPr>
              <w:textAlignment w:val="bottom"/>
            </w:pPr>
            <w:r>
              <w:rPr>
                <w:rFonts w:ascii="Times New Roman" w:eastAsia="宋体" w:hAnsi="Times New Roman"/>
                <w:color w:val="000000"/>
                <w:sz w:val="20"/>
                <w:szCs w:val="20"/>
              </w:rPr>
              <w:t>Interest expense</w:t>
            </w:r>
          </w:p>
        </w:tc>
      </w:tr>
      <w:tr w:rsidR="00871BDF" w14:paraId="00BAF1BB" w14:textId="77777777">
        <w:tc>
          <w:tcPr>
            <w:tcW w:w="0" w:type="auto"/>
            <w:gridSpan w:val="3"/>
            <w:shd w:val="clear" w:color="auto" w:fill="D7E4BC"/>
            <w:tcMar>
              <w:top w:w="40" w:type="dxa"/>
              <w:left w:w="20" w:type="dxa"/>
              <w:bottom w:w="40" w:type="dxa"/>
              <w:right w:w="20" w:type="dxa"/>
            </w:tcMar>
          </w:tcPr>
          <w:p w14:paraId="00BAF1A8" w14:textId="77777777" w:rsidR="00871BDF" w:rsidRDefault="005C5088">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Investment Hedges:</w:t>
            </w:r>
          </w:p>
        </w:tc>
        <w:tc>
          <w:tcPr>
            <w:tcW w:w="0" w:type="auto"/>
            <w:shd w:val="clear" w:color="auto" w:fill="auto"/>
          </w:tcPr>
          <w:p w14:paraId="00BAF1A9" w14:textId="77777777" w:rsidR="00871BDF" w:rsidRDefault="00871BDF">
            <w:pPr>
              <w:rPr>
                <w:rFonts w:ascii="宋体"/>
                <w:vanish/>
              </w:rPr>
            </w:pPr>
          </w:p>
        </w:tc>
        <w:tc>
          <w:tcPr>
            <w:tcW w:w="0" w:type="auto"/>
            <w:gridSpan w:val="3"/>
            <w:shd w:val="clear" w:color="auto" w:fill="D7E4BC"/>
            <w:tcMar>
              <w:top w:w="0" w:type="dxa"/>
              <w:left w:w="20" w:type="dxa"/>
              <w:bottom w:w="0" w:type="dxa"/>
              <w:right w:w="20" w:type="dxa"/>
            </w:tcMar>
          </w:tcPr>
          <w:p w14:paraId="00BAF1AA" w14:textId="77777777" w:rsidR="00871BDF" w:rsidRDefault="00871BDF">
            <w:pPr>
              <w:rPr>
                <w:rFonts w:ascii="宋体"/>
              </w:rPr>
            </w:pPr>
          </w:p>
        </w:tc>
        <w:tc>
          <w:tcPr>
            <w:tcW w:w="0" w:type="auto"/>
            <w:shd w:val="clear" w:color="auto" w:fill="auto"/>
          </w:tcPr>
          <w:p w14:paraId="00BAF1AB" w14:textId="77777777" w:rsidR="00871BDF" w:rsidRDefault="00871BDF">
            <w:pPr>
              <w:rPr>
                <w:rFonts w:ascii="宋体"/>
                <w:vanish/>
              </w:rPr>
            </w:pPr>
          </w:p>
        </w:tc>
        <w:tc>
          <w:tcPr>
            <w:tcW w:w="0" w:type="auto"/>
            <w:shd w:val="clear" w:color="auto" w:fill="auto"/>
          </w:tcPr>
          <w:p w14:paraId="00BAF1AC" w14:textId="77777777" w:rsidR="00871BDF" w:rsidRDefault="00871BDF">
            <w:pPr>
              <w:rPr>
                <w:rFonts w:ascii="宋体"/>
                <w:vanish/>
              </w:rPr>
            </w:pPr>
          </w:p>
        </w:tc>
        <w:tc>
          <w:tcPr>
            <w:tcW w:w="0" w:type="auto"/>
            <w:shd w:val="clear" w:color="auto" w:fill="auto"/>
          </w:tcPr>
          <w:p w14:paraId="00BAF1AD" w14:textId="77777777" w:rsidR="00871BDF" w:rsidRDefault="00871BDF">
            <w:pPr>
              <w:rPr>
                <w:rFonts w:ascii="宋体"/>
                <w:vanish/>
              </w:rPr>
            </w:pPr>
          </w:p>
        </w:tc>
        <w:tc>
          <w:tcPr>
            <w:tcW w:w="0" w:type="auto"/>
            <w:gridSpan w:val="3"/>
            <w:shd w:val="clear" w:color="auto" w:fill="D7E4BC"/>
            <w:tcMar>
              <w:top w:w="0" w:type="dxa"/>
              <w:left w:w="20" w:type="dxa"/>
              <w:bottom w:w="0" w:type="dxa"/>
              <w:right w:w="20" w:type="dxa"/>
            </w:tcMar>
          </w:tcPr>
          <w:p w14:paraId="00BAF1A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1A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1B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1B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1B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1B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1B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1B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1B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1B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1B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1B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1BA" w14:textId="77777777" w:rsidR="00871BDF" w:rsidRDefault="00871BDF">
            <w:pPr>
              <w:rPr>
                <w:rFonts w:ascii="宋体"/>
              </w:rPr>
            </w:pPr>
          </w:p>
        </w:tc>
      </w:tr>
      <w:tr w:rsidR="00871BDF" w14:paraId="00BAF1D5" w14:textId="77777777">
        <w:tc>
          <w:tcPr>
            <w:tcW w:w="0" w:type="auto"/>
            <w:gridSpan w:val="3"/>
            <w:shd w:val="clear" w:color="auto" w:fill="auto"/>
            <w:tcMar>
              <w:top w:w="40" w:type="dxa"/>
              <w:left w:w="155" w:type="dxa"/>
              <w:bottom w:w="40" w:type="dxa"/>
              <w:right w:w="20" w:type="dxa"/>
            </w:tcMar>
          </w:tcPr>
          <w:p w14:paraId="00BAF1BC" w14:textId="77777777" w:rsidR="00871BDF" w:rsidRDefault="005C5088">
            <w:pPr>
              <w:textAlignment w:val="top"/>
            </w:pPr>
            <w:r>
              <w:rPr>
                <w:rFonts w:ascii="Times New Roman" w:eastAsia="宋体" w:hAnsi="Times New Roman"/>
                <w:color w:val="000000"/>
                <w:sz w:val="20"/>
                <w:szCs w:val="20"/>
              </w:rPr>
              <w:t>Cross-currency swaps</w:t>
            </w:r>
          </w:p>
        </w:tc>
        <w:tc>
          <w:tcPr>
            <w:tcW w:w="0" w:type="auto"/>
            <w:shd w:val="clear" w:color="auto" w:fill="auto"/>
          </w:tcPr>
          <w:p w14:paraId="00BAF1BD" w14:textId="77777777" w:rsidR="00871BDF" w:rsidRDefault="00871BDF">
            <w:pPr>
              <w:rPr>
                <w:rFonts w:ascii="宋体"/>
                <w:vanish/>
              </w:rPr>
            </w:pPr>
          </w:p>
        </w:tc>
        <w:tc>
          <w:tcPr>
            <w:tcW w:w="0" w:type="auto"/>
            <w:gridSpan w:val="3"/>
            <w:shd w:val="clear" w:color="auto" w:fill="auto"/>
            <w:tcMar>
              <w:top w:w="0" w:type="dxa"/>
              <w:left w:w="20" w:type="dxa"/>
              <w:bottom w:w="0" w:type="dxa"/>
              <w:right w:w="20" w:type="dxa"/>
            </w:tcMar>
          </w:tcPr>
          <w:p w14:paraId="00BAF1BE" w14:textId="77777777" w:rsidR="00871BDF" w:rsidRDefault="00871BDF">
            <w:pPr>
              <w:rPr>
                <w:rFonts w:ascii="宋体"/>
              </w:rPr>
            </w:pPr>
          </w:p>
        </w:tc>
        <w:tc>
          <w:tcPr>
            <w:tcW w:w="0" w:type="auto"/>
            <w:shd w:val="clear" w:color="auto" w:fill="auto"/>
          </w:tcPr>
          <w:p w14:paraId="00BAF1BF" w14:textId="77777777" w:rsidR="00871BDF" w:rsidRDefault="00871BDF">
            <w:pPr>
              <w:rPr>
                <w:rFonts w:ascii="宋体"/>
                <w:vanish/>
              </w:rPr>
            </w:pPr>
          </w:p>
        </w:tc>
        <w:tc>
          <w:tcPr>
            <w:tcW w:w="0" w:type="auto"/>
            <w:shd w:val="clear" w:color="auto" w:fill="auto"/>
          </w:tcPr>
          <w:p w14:paraId="00BAF1C0" w14:textId="77777777" w:rsidR="00871BDF" w:rsidRDefault="00871BDF">
            <w:pPr>
              <w:rPr>
                <w:rFonts w:ascii="宋体"/>
                <w:vanish/>
              </w:rPr>
            </w:pPr>
          </w:p>
        </w:tc>
        <w:tc>
          <w:tcPr>
            <w:tcW w:w="0" w:type="auto"/>
            <w:shd w:val="clear" w:color="auto" w:fill="auto"/>
          </w:tcPr>
          <w:p w14:paraId="00BAF1C1" w14:textId="77777777" w:rsidR="00871BDF" w:rsidRDefault="00871BDF">
            <w:pPr>
              <w:rPr>
                <w:rFonts w:ascii="宋体"/>
                <w:vanish/>
              </w:rPr>
            </w:pPr>
          </w:p>
        </w:tc>
        <w:tc>
          <w:tcPr>
            <w:tcW w:w="0" w:type="auto"/>
            <w:gridSpan w:val="2"/>
            <w:shd w:val="clear" w:color="auto" w:fill="auto"/>
            <w:tcMar>
              <w:top w:w="40" w:type="dxa"/>
              <w:left w:w="20" w:type="dxa"/>
              <w:bottom w:w="40" w:type="dxa"/>
              <w:right w:w="0" w:type="dxa"/>
            </w:tcMar>
            <w:vAlign w:val="bottom"/>
          </w:tcPr>
          <w:p w14:paraId="00BAF1C2" w14:textId="77777777" w:rsidR="00871BDF" w:rsidRDefault="005C5088">
            <w:pPr>
              <w:jc w:val="right"/>
              <w:textAlignment w:val="bottom"/>
            </w:pPr>
            <w:r>
              <w:rPr>
                <w:rFonts w:ascii="Times New Roman" w:eastAsia="宋体" w:hAnsi="Times New Roman"/>
                <w:color w:val="000000"/>
                <w:sz w:val="20"/>
                <w:szCs w:val="20"/>
              </w:rPr>
              <w:t>56.8 </w:t>
            </w:r>
          </w:p>
        </w:tc>
        <w:tc>
          <w:tcPr>
            <w:tcW w:w="0" w:type="auto"/>
            <w:shd w:val="clear" w:color="auto" w:fill="auto"/>
            <w:tcMar>
              <w:top w:w="40" w:type="dxa"/>
              <w:left w:w="0" w:type="dxa"/>
              <w:bottom w:w="40" w:type="dxa"/>
              <w:right w:w="20" w:type="dxa"/>
            </w:tcMar>
            <w:vAlign w:val="bottom"/>
          </w:tcPr>
          <w:p w14:paraId="00BAF1C3"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C4"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C5"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0BAF1C6"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C7"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C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0BAF1C9"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CA"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CB" w14:textId="77777777" w:rsidR="00871BDF" w:rsidRDefault="005C5088">
            <w:pPr>
              <w:jc w:val="right"/>
              <w:textAlignment w:val="bottom"/>
            </w:pPr>
            <w:r>
              <w:rPr>
                <w:rFonts w:ascii="Times New Roman" w:eastAsia="宋体" w:hAnsi="Times New Roman"/>
                <w:color w:val="000000"/>
                <w:sz w:val="20"/>
                <w:szCs w:val="20"/>
              </w:rPr>
              <w:t>13.3 </w:t>
            </w:r>
          </w:p>
        </w:tc>
        <w:tc>
          <w:tcPr>
            <w:tcW w:w="0" w:type="auto"/>
            <w:shd w:val="clear" w:color="auto" w:fill="auto"/>
            <w:tcMar>
              <w:top w:w="40" w:type="dxa"/>
              <w:left w:w="0" w:type="dxa"/>
              <w:bottom w:w="40" w:type="dxa"/>
              <w:right w:w="20" w:type="dxa"/>
            </w:tcMar>
            <w:vAlign w:val="bottom"/>
          </w:tcPr>
          <w:p w14:paraId="00BAF1CC"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CD"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C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0BAF1CF"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D0"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D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0BAF1D2"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D3"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AF1D4" w14:textId="77777777" w:rsidR="00871BDF" w:rsidRDefault="005C5088">
            <w:pPr>
              <w:textAlignment w:val="bottom"/>
            </w:pPr>
            <w:r>
              <w:rPr>
                <w:rFonts w:ascii="Times New Roman" w:eastAsia="宋体" w:hAnsi="Times New Roman"/>
                <w:color w:val="000000"/>
                <w:sz w:val="20"/>
                <w:szCs w:val="20"/>
              </w:rPr>
              <w:t>Interest expense</w:t>
            </w:r>
          </w:p>
        </w:tc>
      </w:tr>
      <w:tr w:rsidR="00871BDF" w14:paraId="00BAF1EF" w14:textId="77777777">
        <w:tc>
          <w:tcPr>
            <w:tcW w:w="0" w:type="auto"/>
            <w:gridSpan w:val="3"/>
            <w:shd w:val="clear" w:color="auto" w:fill="D7E4BC"/>
            <w:tcMar>
              <w:top w:w="40" w:type="dxa"/>
              <w:left w:w="155" w:type="dxa"/>
              <w:bottom w:w="40" w:type="dxa"/>
              <w:right w:w="20" w:type="dxa"/>
            </w:tcMar>
          </w:tcPr>
          <w:p w14:paraId="00BAF1D6" w14:textId="77777777" w:rsidR="00871BDF" w:rsidRDefault="005C5088">
            <w:pPr>
              <w:textAlignment w:val="top"/>
            </w:pPr>
            <w:r>
              <w:rPr>
                <w:rFonts w:ascii="Times New Roman" w:eastAsia="宋体" w:hAnsi="Times New Roman"/>
                <w:color w:val="000000"/>
                <w:sz w:val="20"/>
                <w:szCs w:val="20"/>
              </w:rPr>
              <w:t>Foreign cur</w:t>
            </w:r>
            <w:r>
              <w:rPr>
                <w:rFonts w:ascii="Times New Roman" w:eastAsia="宋体" w:hAnsi="Times New Roman"/>
                <w:color w:val="000000"/>
                <w:sz w:val="20"/>
                <w:szCs w:val="20"/>
              </w:rPr>
              <w:t>rency</w:t>
            </w:r>
          </w:p>
        </w:tc>
        <w:tc>
          <w:tcPr>
            <w:tcW w:w="0" w:type="auto"/>
            <w:shd w:val="clear" w:color="auto" w:fill="auto"/>
          </w:tcPr>
          <w:p w14:paraId="00BAF1D7" w14:textId="77777777" w:rsidR="00871BDF" w:rsidRDefault="00871BDF">
            <w:pPr>
              <w:rPr>
                <w:rFonts w:ascii="宋体"/>
                <w:vanish/>
              </w:rPr>
            </w:pPr>
          </w:p>
        </w:tc>
        <w:tc>
          <w:tcPr>
            <w:tcW w:w="0" w:type="auto"/>
            <w:gridSpan w:val="3"/>
            <w:shd w:val="clear" w:color="auto" w:fill="D7E4BC"/>
            <w:tcMar>
              <w:top w:w="0" w:type="dxa"/>
              <w:left w:w="20" w:type="dxa"/>
              <w:bottom w:w="0" w:type="dxa"/>
              <w:right w:w="20" w:type="dxa"/>
            </w:tcMar>
          </w:tcPr>
          <w:p w14:paraId="00BAF1D8" w14:textId="77777777" w:rsidR="00871BDF" w:rsidRDefault="00871BDF">
            <w:pPr>
              <w:rPr>
                <w:rFonts w:ascii="宋体"/>
              </w:rPr>
            </w:pPr>
          </w:p>
        </w:tc>
        <w:tc>
          <w:tcPr>
            <w:tcW w:w="0" w:type="auto"/>
            <w:shd w:val="clear" w:color="auto" w:fill="auto"/>
          </w:tcPr>
          <w:p w14:paraId="00BAF1D9" w14:textId="77777777" w:rsidR="00871BDF" w:rsidRDefault="00871BDF">
            <w:pPr>
              <w:rPr>
                <w:rFonts w:ascii="宋体"/>
                <w:vanish/>
              </w:rPr>
            </w:pPr>
          </w:p>
        </w:tc>
        <w:tc>
          <w:tcPr>
            <w:tcW w:w="0" w:type="auto"/>
            <w:shd w:val="clear" w:color="auto" w:fill="auto"/>
          </w:tcPr>
          <w:p w14:paraId="00BAF1DA" w14:textId="77777777" w:rsidR="00871BDF" w:rsidRDefault="00871BDF">
            <w:pPr>
              <w:rPr>
                <w:rFonts w:ascii="宋体"/>
                <w:vanish/>
              </w:rPr>
            </w:pPr>
          </w:p>
        </w:tc>
        <w:tc>
          <w:tcPr>
            <w:tcW w:w="0" w:type="auto"/>
            <w:shd w:val="clear" w:color="auto" w:fill="auto"/>
          </w:tcPr>
          <w:p w14:paraId="00BAF1DB" w14:textId="77777777" w:rsidR="00871BDF" w:rsidRDefault="00871BDF">
            <w:pPr>
              <w:rPr>
                <w:rFonts w:ascii="宋体"/>
                <w:vanish/>
              </w:rPr>
            </w:pPr>
          </w:p>
        </w:tc>
        <w:tc>
          <w:tcPr>
            <w:tcW w:w="0" w:type="auto"/>
            <w:gridSpan w:val="2"/>
            <w:shd w:val="clear" w:color="auto" w:fill="D7E4BC"/>
            <w:tcMar>
              <w:top w:w="40" w:type="dxa"/>
              <w:left w:w="20" w:type="dxa"/>
              <w:bottom w:w="40" w:type="dxa"/>
              <w:right w:w="0" w:type="dxa"/>
            </w:tcMar>
            <w:vAlign w:val="bottom"/>
          </w:tcPr>
          <w:p w14:paraId="00BAF1DC"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1D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D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DF"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1E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E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E2" w14:textId="77777777" w:rsidR="00871BDF" w:rsidRDefault="005C5088">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bottom"/>
          </w:tcPr>
          <w:p w14:paraId="00BAF1E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E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E5"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1E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E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E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1E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E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1EB"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1E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1E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1EE" w14:textId="77777777" w:rsidR="00871BDF" w:rsidRDefault="00871BDF">
            <w:pPr>
              <w:rPr>
                <w:rFonts w:ascii="宋体"/>
              </w:rPr>
            </w:pPr>
          </w:p>
        </w:tc>
      </w:tr>
      <w:tr w:rsidR="00871BDF" w14:paraId="00BAF209" w14:textId="77777777">
        <w:tc>
          <w:tcPr>
            <w:tcW w:w="0" w:type="auto"/>
            <w:gridSpan w:val="3"/>
            <w:shd w:val="clear" w:color="auto" w:fill="auto"/>
            <w:tcMar>
              <w:top w:w="40" w:type="dxa"/>
              <w:left w:w="155" w:type="dxa"/>
              <w:bottom w:w="40" w:type="dxa"/>
              <w:right w:w="20" w:type="dxa"/>
            </w:tcMar>
          </w:tcPr>
          <w:p w14:paraId="00BAF1F0" w14:textId="77777777" w:rsidR="00871BDF" w:rsidRDefault="005C5088">
            <w:pPr>
              <w:textAlignment w:val="top"/>
            </w:pPr>
            <w:r>
              <w:rPr>
                <w:rFonts w:ascii="Times New Roman" w:eastAsia="宋体" w:hAnsi="Times New Roman"/>
                <w:color w:val="000000"/>
                <w:sz w:val="20"/>
                <w:szCs w:val="20"/>
              </w:rPr>
              <w:t>Foreign currency debt</w:t>
            </w:r>
          </w:p>
        </w:tc>
        <w:tc>
          <w:tcPr>
            <w:tcW w:w="0" w:type="auto"/>
            <w:shd w:val="clear" w:color="auto" w:fill="auto"/>
          </w:tcPr>
          <w:p w14:paraId="00BAF1F1" w14:textId="77777777" w:rsidR="00871BDF" w:rsidRDefault="00871BDF">
            <w:pPr>
              <w:rPr>
                <w:rFonts w:ascii="宋体"/>
                <w:vanish/>
              </w:rPr>
            </w:pPr>
          </w:p>
        </w:tc>
        <w:tc>
          <w:tcPr>
            <w:tcW w:w="0" w:type="auto"/>
            <w:gridSpan w:val="3"/>
            <w:shd w:val="clear" w:color="auto" w:fill="auto"/>
            <w:tcMar>
              <w:top w:w="0" w:type="dxa"/>
              <w:left w:w="20" w:type="dxa"/>
              <w:bottom w:w="0" w:type="dxa"/>
              <w:right w:w="20" w:type="dxa"/>
            </w:tcMar>
          </w:tcPr>
          <w:p w14:paraId="00BAF1F2" w14:textId="77777777" w:rsidR="00871BDF" w:rsidRDefault="00871BDF">
            <w:pPr>
              <w:rPr>
                <w:rFonts w:ascii="宋体"/>
              </w:rPr>
            </w:pPr>
          </w:p>
        </w:tc>
        <w:tc>
          <w:tcPr>
            <w:tcW w:w="0" w:type="auto"/>
            <w:shd w:val="clear" w:color="auto" w:fill="auto"/>
          </w:tcPr>
          <w:p w14:paraId="00BAF1F3" w14:textId="77777777" w:rsidR="00871BDF" w:rsidRDefault="00871BDF">
            <w:pPr>
              <w:rPr>
                <w:rFonts w:ascii="宋体"/>
                <w:vanish/>
              </w:rPr>
            </w:pPr>
          </w:p>
        </w:tc>
        <w:tc>
          <w:tcPr>
            <w:tcW w:w="0" w:type="auto"/>
            <w:shd w:val="clear" w:color="auto" w:fill="auto"/>
          </w:tcPr>
          <w:p w14:paraId="00BAF1F4" w14:textId="77777777" w:rsidR="00871BDF" w:rsidRDefault="00871BDF">
            <w:pPr>
              <w:rPr>
                <w:rFonts w:ascii="宋体"/>
                <w:vanish/>
              </w:rPr>
            </w:pPr>
          </w:p>
        </w:tc>
        <w:tc>
          <w:tcPr>
            <w:tcW w:w="0" w:type="auto"/>
            <w:shd w:val="clear" w:color="auto" w:fill="auto"/>
          </w:tcPr>
          <w:p w14:paraId="00BAF1F5" w14:textId="77777777" w:rsidR="00871BDF" w:rsidRDefault="00871BDF">
            <w:pPr>
              <w:rPr>
                <w:rFonts w:ascii="宋体"/>
                <w:vanish/>
              </w:rPr>
            </w:pPr>
          </w:p>
        </w:tc>
        <w:tc>
          <w:tcPr>
            <w:tcW w:w="0" w:type="auto"/>
            <w:gridSpan w:val="2"/>
            <w:shd w:val="clear" w:color="auto" w:fill="auto"/>
            <w:tcMar>
              <w:top w:w="40" w:type="dxa"/>
              <w:left w:w="20" w:type="dxa"/>
              <w:bottom w:w="40" w:type="dxa"/>
              <w:right w:w="0" w:type="dxa"/>
            </w:tcMar>
            <w:vAlign w:val="bottom"/>
          </w:tcPr>
          <w:p w14:paraId="00BAF1F6" w14:textId="77777777" w:rsidR="00871BDF" w:rsidRDefault="005C5088">
            <w:pPr>
              <w:jc w:val="right"/>
              <w:textAlignment w:val="bottom"/>
            </w:pPr>
            <w:r>
              <w:rPr>
                <w:rFonts w:ascii="Times New Roman" w:eastAsia="宋体" w:hAnsi="Times New Roman"/>
                <w:color w:val="000000"/>
                <w:sz w:val="20"/>
                <w:szCs w:val="20"/>
              </w:rPr>
              <w:t>(18.1)</w:t>
            </w:r>
          </w:p>
        </w:tc>
        <w:tc>
          <w:tcPr>
            <w:tcW w:w="0" w:type="auto"/>
            <w:shd w:val="clear" w:color="auto" w:fill="auto"/>
            <w:tcMar>
              <w:top w:w="40" w:type="dxa"/>
              <w:left w:w="0" w:type="dxa"/>
              <w:bottom w:w="40" w:type="dxa"/>
              <w:right w:w="20" w:type="dxa"/>
            </w:tcMar>
            <w:vAlign w:val="bottom"/>
          </w:tcPr>
          <w:p w14:paraId="00BAF1F7"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F8"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F9" w14:textId="77777777" w:rsidR="00871BDF" w:rsidRDefault="005C5088">
            <w:pPr>
              <w:jc w:val="right"/>
              <w:textAlignment w:val="bottom"/>
            </w:pPr>
            <w:r>
              <w:rPr>
                <w:rFonts w:ascii="Times New Roman" w:eastAsia="宋体" w:hAnsi="Times New Roman"/>
                <w:color w:val="000000"/>
                <w:sz w:val="20"/>
                <w:szCs w:val="20"/>
              </w:rPr>
              <w:t>(39.8)</w:t>
            </w:r>
          </w:p>
        </w:tc>
        <w:tc>
          <w:tcPr>
            <w:tcW w:w="0" w:type="auto"/>
            <w:shd w:val="clear" w:color="auto" w:fill="auto"/>
            <w:tcMar>
              <w:top w:w="40" w:type="dxa"/>
              <w:left w:w="0" w:type="dxa"/>
              <w:bottom w:w="40" w:type="dxa"/>
              <w:right w:w="20" w:type="dxa"/>
            </w:tcMar>
            <w:vAlign w:val="bottom"/>
          </w:tcPr>
          <w:p w14:paraId="00BAF1FA"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FB"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FC" w14:textId="77777777" w:rsidR="00871BDF" w:rsidRDefault="005C5088">
            <w:pPr>
              <w:jc w:val="right"/>
              <w:textAlignment w:val="bottom"/>
            </w:pPr>
            <w:r>
              <w:rPr>
                <w:rFonts w:ascii="Times New Roman" w:eastAsia="宋体" w:hAnsi="Times New Roman"/>
                <w:color w:val="000000"/>
                <w:sz w:val="20"/>
                <w:szCs w:val="20"/>
              </w:rPr>
              <w:t>7.9 </w:t>
            </w:r>
          </w:p>
        </w:tc>
        <w:tc>
          <w:tcPr>
            <w:tcW w:w="0" w:type="auto"/>
            <w:shd w:val="clear" w:color="auto" w:fill="auto"/>
            <w:tcMar>
              <w:top w:w="40" w:type="dxa"/>
              <w:left w:w="0" w:type="dxa"/>
              <w:bottom w:w="40" w:type="dxa"/>
              <w:right w:w="20" w:type="dxa"/>
            </w:tcMar>
            <w:vAlign w:val="bottom"/>
          </w:tcPr>
          <w:p w14:paraId="00BAF1FD"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1FE"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1FF"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0BAF200"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201"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202"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0BAF203"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204" w14:textId="77777777" w:rsidR="00871BDF" w:rsidRDefault="00871BDF">
            <w:pPr>
              <w:rPr>
                <w:rFonts w:ascii="宋体"/>
              </w:rPr>
            </w:pPr>
          </w:p>
        </w:tc>
        <w:tc>
          <w:tcPr>
            <w:tcW w:w="0" w:type="auto"/>
            <w:gridSpan w:val="2"/>
            <w:shd w:val="clear" w:color="auto" w:fill="auto"/>
            <w:tcMar>
              <w:top w:w="40" w:type="dxa"/>
              <w:left w:w="20" w:type="dxa"/>
              <w:bottom w:w="40" w:type="dxa"/>
              <w:right w:w="0" w:type="dxa"/>
            </w:tcMar>
            <w:vAlign w:val="bottom"/>
          </w:tcPr>
          <w:p w14:paraId="00BAF205"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0BAF206" w14:textId="77777777" w:rsidR="00871BDF" w:rsidRDefault="00871BDF">
            <w:pPr>
              <w:jc w:val="right"/>
              <w:rPr>
                <w:rFonts w:ascii="宋体"/>
              </w:rPr>
            </w:pPr>
          </w:p>
        </w:tc>
        <w:tc>
          <w:tcPr>
            <w:tcW w:w="0" w:type="auto"/>
            <w:gridSpan w:val="3"/>
            <w:shd w:val="clear" w:color="auto" w:fill="auto"/>
            <w:tcMar>
              <w:top w:w="0" w:type="dxa"/>
              <w:left w:w="20" w:type="dxa"/>
              <w:bottom w:w="0" w:type="dxa"/>
              <w:right w:w="20" w:type="dxa"/>
            </w:tcMar>
          </w:tcPr>
          <w:p w14:paraId="00BAF207"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F208" w14:textId="77777777" w:rsidR="00871BDF" w:rsidRDefault="00871BDF">
            <w:pPr>
              <w:rPr>
                <w:rFonts w:ascii="宋体"/>
              </w:rPr>
            </w:pPr>
          </w:p>
        </w:tc>
      </w:tr>
    </w:tbl>
    <w:p w14:paraId="00BAF20A" w14:textId="77777777" w:rsidR="00871BDF" w:rsidRDefault="005C5088">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As a result of </w:t>
      </w:r>
      <w:r>
        <w:rPr>
          <w:rFonts w:ascii="Times New Roman" w:eastAsia="宋体" w:hAnsi="Times New Roman"/>
          <w:color w:val="000000"/>
          <w:sz w:val="20"/>
          <w:szCs w:val="20"/>
        </w:rPr>
        <w:t>the global COVID-19 impacts, we discontinued cash flow hedges during the year ended September 27, 2020.</w:t>
      </w:r>
    </w:p>
    <w:p w14:paraId="00BAF20B" w14:textId="77777777" w:rsidR="00871BDF" w:rsidRDefault="005C5088">
      <w:pPr>
        <w:spacing w:before="120"/>
      </w:pPr>
      <w:r>
        <w:rPr>
          <w:rFonts w:ascii="Times New Roman" w:eastAsia="宋体" w:hAnsi="Times New Roman"/>
          <w:color w:val="000000"/>
          <w:sz w:val="20"/>
          <w:szCs w:val="20"/>
        </w:rPr>
        <w:t>Pre-tax gains and losses on non-designated derivatives and designated fair value hedging instruments and the related fair value hedged item recognized i</w:t>
      </w:r>
      <w:r>
        <w:rPr>
          <w:rFonts w:ascii="Times New Roman" w:eastAsia="宋体" w:hAnsi="Times New Roman"/>
          <w:color w:val="000000"/>
          <w:sz w:val="20"/>
          <w:szCs w:val="20"/>
        </w:rPr>
        <w:t>n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47"/>
        <w:gridCol w:w="2255"/>
        <w:gridCol w:w="36"/>
        <w:gridCol w:w="38"/>
        <w:gridCol w:w="1893"/>
        <w:gridCol w:w="36"/>
        <w:gridCol w:w="36"/>
        <w:gridCol w:w="36"/>
        <w:gridCol w:w="36"/>
        <w:gridCol w:w="36"/>
        <w:gridCol w:w="36"/>
        <w:gridCol w:w="36"/>
        <w:gridCol w:w="36"/>
        <w:gridCol w:w="122"/>
        <w:gridCol w:w="1018"/>
        <w:gridCol w:w="36"/>
        <w:gridCol w:w="36"/>
        <w:gridCol w:w="36"/>
        <w:gridCol w:w="36"/>
        <w:gridCol w:w="120"/>
        <w:gridCol w:w="1018"/>
        <w:gridCol w:w="36"/>
        <w:gridCol w:w="36"/>
        <w:gridCol w:w="36"/>
        <w:gridCol w:w="36"/>
        <w:gridCol w:w="120"/>
        <w:gridCol w:w="1020"/>
        <w:gridCol w:w="36"/>
      </w:tblGrid>
      <w:tr w:rsidR="00871BDF" w14:paraId="00BAF228" w14:textId="77777777">
        <w:trPr>
          <w:jc w:val="center"/>
        </w:trPr>
        <w:tc>
          <w:tcPr>
            <w:tcW w:w="50" w:type="pct"/>
            <w:shd w:val="clear" w:color="auto" w:fill="auto"/>
          </w:tcPr>
          <w:p w14:paraId="00BAF20C" w14:textId="77777777" w:rsidR="00871BDF" w:rsidRDefault="00871BDF">
            <w:pPr>
              <w:rPr>
                <w:rFonts w:ascii="宋体"/>
              </w:rPr>
            </w:pPr>
          </w:p>
        </w:tc>
        <w:tc>
          <w:tcPr>
            <w:tcW w:w="1413" w:type="pct"/>
            <w:shd w:val="clear" w:color="auto" w:fill="auto"/>
          </w:tcPr>
          <w:p w14:paraId="00BAF20D" w14:textId="77777777" w:rsidR="00871BDF" w:rsidRDefault="00871BDF">
            <w:pPr>
              <w:rPr>
                <w:rFonts w:ascii="宋体"/>
              </w:rPr>
            </w:pPr>
          </w:p>
        </w:tc>
        <w:tc>
          <w:tcPr>
            <w:tcW w:w="5" w:type="pct"/>
            <w:shd w:val="clear" w:color="auto" w:fill="auto"/>
          </w:tcPr>
          <w:p w14:paraId="00BAF20E" w14:textId="77777777" w:rsidR="00871BDF" w:rsidRDefault="00871BDF">
            <w:pPr>
              <w:rPr>
                <w:rFonts w:ascii="宋体"/>
              </w:rPr>
            </w:pPr>
          </w:p>
        </w:tc>
        <w:tc>
          <w:tcPr>
            <w:tcW w:w="50" w:type="pct"/>
            <w:shd w:val="clear" w:color="auto" w:fill="auto"/>
          </w:tcPr>
          <w:p w14:paraId="00BAF20F" w14:textId="77777777" w:rsidR="00871BDF" w:rsidRDefault="00871BDF">
            <w:pPr>
              <w:rPr>
                <w:rFonts w:ascii="宋体"/>
              </w:rPr>
            </w:pPr>
          </w:p>
        </w:tc>
        <w:tc>
          <w:tcPr>
            <w:tcW w:w="1185" w:type="pct"/>
            <w:shd w:val="clear" w:color="auto" w:fill="auto"/>
          </w:tcPr>
          <w:p w14:paraId="00BAF210" w14:textId="77777777" w:rsidR="00871BDF" w:rsidRDefault="00871BDF">
            <w:pPr>
              <w:rPr>
                <w:rFonts w:ascii="宋体"/>
              </w:rPr>
            </w:pPr>
          </w:p>
        </w:tc>
        <w:tc>
          <w:tcPr>
            <w:tcW w:w="5" w:type="pct"/>
            <w:shd w:val="clear" w:color="auto" w:fill="auto"/>
          </w:tcPr>
          <w:p w14:paraId="00BAF211" w14:textId="77777777" w:rsidR="00871BDF" w:rsidRDefault="00871BDF">
            <w:pPr>
              <w:rPr>
                <w:rFonts w:ascii="宋体"/>
              </w:rPr>
            </w:pPr>
          </w:p>
        </w:tc>
        <w:tc>
          <w:tcPr>
            <w:tcW w:w="5" w:type="pct"/>
            <w:shd w:val="clear" w:color="auto" w:fill="auto"/>
          </w:tcPr>
          <w:p w14:paraId="00BAF212" w14:textId="77777777" w:rsidR="00871BDF" w:rsidRDefault="00871BDF">
            <w:pPr>
              <w:rPr>
                <w:rFonts w:ascii="宋体"/>
              </w:rPr>
            </w:pPr>
          </w:p>
        </w:tc>
        <w:tc>
          <w:tcPr>
            <w:tcW w:w="26" w:type="pct"/>
            <w:shd w:val="clear" w:color="auto" w:fill="auto"/>
          </w:tcPr>
          <w:p w14:paraId="00BAF213" w14:textId="77777777" w:rsidR="00871BDF" w:rsidRDefault="00871BDF">
            <w:pPr>
              <w:rPr>
                <w:rFonts w:ascii="宋体"/>
              </w:rPr>
            </w:pPr>
          </w:p>
        </w:tc>
        <w:tc>
          <w:tcPr>
            <w:tcW w:w="5" w:type="pct"/>
            <w:shd w:val="clear" w:color="auto" w:fill="auto"/>
          </w:tcPr>
          <w:p w14:paraId="00BAF214" w14:textId="77777777" w:rsidR="00871BDF" w:rsidRDefault="00871BDF">
            <w:pPr>
              <w:rPr>
                <w:rFonts w:ascii="宋体"/>
              </w:rPr>
            </w:pPr>
          </w:p>
        </w:tc>
        <w:tc>
          <w:tcPr>
            <w:tcW w:w="0" w:type="auto"/>
            <w:shd w:val="clear" w:color="auto" w:fill="auto"/>
          </w:tcPr>
          <w:p w14:paraId="00BAF215" w14:textId="77777777" w:rsidR="00871BDF" w:rsidRDefault="00871BDF">
            <w:pPr>
              <w:rPr>
                <w:rFonts w:ascii="宋体"/>
                <w:vanish/>
              </w:rPr>
            </w:pPr>
          </w:p>
        </w:tc>
        <w:tc>
          <w:tcPr>
            <w:tcW w:w="0" w:type="auto"/>
            <w:shd w:val="clear" w:color="auto" w:fill="auto"/>
          </w:tcPr>
          <w:p w14:paraId="00BAF216" w14:textId="77777777" w:rsidR="00871BDF" w:rsidRDefault="00871BDF">
            <w:pPr>
              <w:rPr>
                <w:rFonts w:ascii="宋体"/>
                <w:vanish/>
              </w:rPr>
            </w:pPr>
          </w:p>
        </w:tc>
        <w:tc>
          <w:tcPr>
            <w:tcW w:w="0" w:type="auto"/>
            <w:shd w:val="clear" w:color="auto" w:fill="auto"/>
          </w:tcPr>
          <w:p w14:paraId="00BAF217" w14:textId="77777777" w:rsidR="00871BDF" w:rsidRDefault="00871BDF">
            <w:pPr>
              <w:rPr>
                <w:rFonts w:ascii="宋体"/>
                <w:vanish/>
              </w:rPr>
            </w:pPr>
          </w:p>
        </w:tc>
        <w:tc>
          <w:tcPr>
            <w:tcW w:w="0" w:type="auto"/>
            <w:shd w:val="clear" w:color="auto" w:fill="auto"/>
          </w:tcPr>
          <w:p w14:paraId="00BAF218" w14:textId="77777777" w:rsidR="00871BDF" w:rsidRDefault="00871BDF">
            <w:pPr>
              <w:rPr>
                <w:rFonts w:ascii="宋体"/>
                <w:vanish/>
              </w:rPr>
            </w:pPr>
          </w:p>
        </w:tc>
        <w:tc>
          <w:tcPr>
            <w:tcW w:w="50" w:type="pct"/>
            <w:shd w:val="clear" w:color="auto" w:fill="auto"/>
          </w:tcPr>
          <w:p w14:paraId="00BAF219" w14:textId="77777777" w:rsidR="00871BDF" w:rsidRDefault="00871BDF">
            <w:pPr>
              <w:rPr>
                <w:rFonts w:ascii="宋体"/>
              </w:rPr>
            </w:pPr>
          </w:p>
        </w:tc>
        <w:tc>
          <w:tcPr>
            <w:tcW w:w="671" w:type="pct"/>
            <w:shd w:val="clear" w:color="auto" w:fill="auto"/>
          </w:tcPr>
          <w:p w14:paraId="00BAF21A" w14:textId="77777777" w:rsidR="00871BDF" w:rsidRDefault="00871BDF">
            <w:pPr>
              <w:rPr>
                <w:rFonts w:ascii="宋体"/>
              </w:rPr>
            </w:pPr>
          </w:p>
        </w:tc>
        <w:tc>
          <w:tcPr>
            <w:tcW w:w="5" w:type="pct"/>
            <w:shd w:val="clear" w:color="auto" w:fill="auto"/>
          </w:tcPr>
          <w:p w14:paraId="00BAF21B" w14:textId="77777777" w:rsidR="00871BDF" w:rsidRDefault="00871BDF">
            <w:pPr>
              <w:rPr>
                <w:rFonts w:ascii="宋体"/>
              </w:rPr>
            </w:pPr>
          </w:p>
        </w:tc>
        <w:tc>
          <w:tcPr>
            <w:tcW w:w="5" w:type="pct"/>
            <w:shd w:val="clear" w:color="auto" w:fill="auto"/>
          </w:tcPr>
          <w:p w14:paraId="00BAF21C" w14:textId="77777777" w:rsidR="00871BDF" w:rsidRDefault="00871BDF">
            <w:pPr>
              <w:rPr>
                <w:rFonts w:ascii="宋体"/>
              </w:rPr>
            </w:pPr>
          </w:p>
        </w:tc>
        <w:tc>
          <w:tcPr>
            <w:tcW w:w="26" w:type="pct"/>
            <w:shd w:val="clear" w:color="auto" w:fill="auto"/>
          </w:tcPr>
          <w:p w14:paraId="00BAF21D" w14:textId="77777777" w:rsidR="00871BDF" w:rsidRDefault="00871BDF">
            <w:pPr>
              <w:rPr>
                <w:rFonts w:ascii="宋体"/>
              </w:rPr>
            </w:pPr>
          </w:p>
        </w:tc>
        <w:tc>
          <w:tcPr>
            <w:tcW w:w="5" w:type="pct"/>
            <w:shd w:val="clear" w:color="auto" w:fill="auto"/>
          </w:tcPr>
          <w:p w14:paraId="00BAF21E" w14:textId="77777777" w:rsidR="00871BDF" w:rsidRDefault="00871BDF">
            <w:pPr>
              <w:rPr>
                <w:rFonts w:ascii="宋体"/>
              </w:rPr>
            </w:pPr>
          </w:p>
        </w:tc>
        <w:tc>
          <w:tcPr>
            <w:tcW w:w="50" w:type="pct"/>
            <w:shd w:val="clear" w:color="auto" w:fill="auto"/>
          </w:tcPr>
          <w:p w14:paraId="00BAF21F" w14:textId="77777777" w:rsidR="00871BDF" w:rsidRDefault="00871BDF">
            <w:pPr>
              <w:rPr>
                <w:rFonts w:ascii="宋体"/>
              </w:rPr>
            </w:pPr>
          </w:p>
        </w:tc>
        <w:tc>
          <w:tcPr>
            <w:tcW w:w="671" w:type="pct"/>
            <w:shd w:val="clear" w:color="auto" w:fill="auto"/>
          </w:tcPr>
          <w:p w14:paraId="00BAF220" w14:textId="77777777" w:rsidR="00871BDF" w:rsidRDefault="00871BDF">
            <w:pPr>
              <w:rPr>
                <w:rFonts w:ascii="宋体"/>
              </w:rPr>
            </w:pPr>
          </w:p>
        </w:tc>
        <w:tc>
          <w:tcPr>
            <w:tcW w:w="5" w:type="pct"/>
            <w:shd w:val="clear" w:color="auto" w:fill="auto"/>
          </w:tcPr>
          <w:p w14:paraId="00BAF221" w14:textId="77777777" w:rsidR="00871BDF" w:rsidRDefault="00871BDF">
            <w:pPr>
              <w:rPr>
                <w:rFonts w:ascii="宋体"/>
              </w:rPr>
            </w:pPr>
          </w:p>
        </w:tc>
        <w:tc>
          <w:tcPr>
            <w:tcW w:w="5" w:type="pct"/>
            <w:shd w:val="clear" w:color="auto" w:fill="auto"/>
          </w:tcPr>
          <w:p w14:paraId="00BAF222" w14:textId="77777777" w:rsidR="00871BDF" w:rsidRDefault="00871BDF">
            <w:pPr>
              <w:rPr>
                <w:rFonts w:ascii="宋体"/>
              </w:rPr>
            </w:pPr>
          </w:p>
        </w:tc>
        <w:tc>
          <w:tcPr>
            <w:tcW w:w="26" w:type="pct"/>
            <w:shd w:val="clear" w:color="auto" w:fill="auto"/>
          </w:tcPr>
          <w:p w14:paraId="00BAF223" w14:textId="77777777" w:rsidR="00871BDF" w:rsidRDefault="00871BDF">
            <w:pPr>
              <w:rPr>
                <w:rFonts w:ascii="宋体"/>
              </w:rPr>
            </w:pPr>
          </w:p>
        </w:tc>
        <w:tc>
          <w:tcPr>
            <w:tcW w:w="5" w:type="pct"/>
            <w:shd w:val="clear" w:color="auto" w:fill="auto"/>
          </w:tcPr>
          <w:p w14:paraId="00BAF224" w14:textId="77777777" w:rsidR="00871BDF" w:rsidRDefault="00871BDF">
            <w:pPr>
              <w:rPr>
                <w:rFonts w:ascii="宋体"/>
              </w:rPr>
            </w:pPr>
          </w:p>
        </w:tc>
        <w:tc>
          <w:tcPr>
            <w:tcW w:w="50" w:type="pct"/>
            <w:shd w:val="clear" w:color="auto" w:fill="auto"/>
          </w:tcPr>
          <w:p w14:paraId="00BAF225" w14:textId="77777777" w:rsidR="00871BDF" w:rsidRDefault="00871BDF">
            <w:pPr>
              <w:rPr>
                <w:rFonts w:ascii="宋体"/>
              </w:rPr>
            </w:pPr>
          </w:p>
        </w:tc>
        <w:tc>
          <w:tcPr>
            <w:tcW w:w="672" w:type="pct"/>
            <w:shd w:val="clear" w:color="auto" w:fill="auto"/>
          </w:tcPr>
          <w:p w14:paraId="00BAF226" w14:textId="77777777" w:rsidR="00871BDF" w:rsidRDefault="00871BDF">
            <w:pPr>
              <w:rPr>
                <w:rFonts w:ascii="宋体"/>
              </w:rPr>
            </w:pPr>
          </w:p>
        </w:tc>
        <w:tc>
          <w:tcPr>
            <w:tcW w:w="5" w:type="pct"/>
            <w:shd w:val="clear" w:color="auto" w:fill="auto"/>
          </w:tcPr>
          <w:p w14:paraId="00BAF227" w14:textId="77777777" w:rsidR="00871BDF" w:rsidRDefault="00871BDF">
            <w:pPr>
              <w:rPr>
                <w:rFonts w:ascii="宋体"/>
              </w:rPr>
            </w:pPr>
          </w:p>
        </w:tc>
      </w:tr>
      <w:tr w:rsidR="00871BDF" w14:paraId="00BAF231" w14:textId="77777777">
        <w:trPr>
          <w:jc w:val="center"/>
        </w:trPr>
        <w:tc>
          <w:tcPr>
            <w:tcW w:w="0" w:type="auto"/>
            <w:gridSpan w:val="3"/>
            <w:shd w:val="clear" w:color="auto" w:fill="auto"/>
            <w:tcMar>
              <w:top w:w="0" w:type="dxa"/>
              <w:left w:w="20" w:type="dxa"/>
              <w:bottom w:w="0" w:type="dxa"/>
              <w:right w:w="20" w:type="dxa"/>
            </w:tcMar>
          </w:tcPr>
          <w:p w14:paraId="00BAF229"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F22A"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F22B" w14:textId="77777777" w:rsidR="00871BDF" w:rsidRDefault="00871BDF">
            <w:pPr>
              <w:rPr>
                <w:rFonts w:ascii="宋体"/>
              </w:rPr>
            </w:pPr>
          </w:p>
        </w:tc>
        <w:tc>
          <w:tcPr>
            <w:tcW w:w="0" w:type="auto"/>
            <w:shd w:val="clear" w:color="auto" w:fill="auto"/>
          </w:tcPr>
          <w:p w14:paraId="00BAF22C" w14:textId="77777777" w:rsidR="00871BDF" w:rsidRDefault="00871BDF">
            <w:pPr>
              <w:rPr>
                <w:rFonts w:ascii="宋体"/>
                <w:vanish/>
              </w:rPr>
            </w:pPr>
          </w:p>
        </w:tc>
        <w:tc>
          <w:tcPr>
            <w:tcW w:w="0" w:type="auto"/>
            <w:shd w:val="clear" w:color="auto" w:fill="auto"/>
          </w:tcPr>
          <w:p w14:paraId="00BAF22D" w14:textId="77777777" w:rsidR="00871BDF" w:rsidRDefault="00871BDF">
            <w:pPr>
              <w:rPr>
                <w:rFonts w:ascii="宋体"/>
                <w:vanish/>
              </w:rPr>
            </w:pPr>
          </w:p>
        </w:tc>
        <w:tc>
          <w:tcPr>
            <w:tcW w:w="0" w:type="auto"/>
            <w:shd w:val="clear" w:color="auto" w:fill="auto"/>
          </w:tcPr>
          <w:p w14:paraId="00BAF22E" w14:textId="77777777" w:rsidR="00871BDF" w:rsidRDefault="00871BDF">
            <w:pPr>
              <w:rPr>
                <w:rFonts w:ascii="宋体"/>
                <w:vanish/>
              </w:rPr>
            </w:pPr>
          </w:p>
        </w:tc>
        <w:tc>
          <w:tcPr>
            <w:tcW w:w="0" w:type="auto"/>
            <w:shd w:val="clear" w:color="auto" w:fill="auto"/>
          </w:tcPr>
          <w:p w14:paraId="00BAF22F" w14:textId="77777777" w:rsidR="00871BDF" w:rsidRDefault="00871BDF">
            <w:pPr>
              <w:rPr>
                <w:rFonts w:ascii="宋体"/>
                <w:vanish/>
              </w:rPr>
            </w:pPr>
          </w:p>
        </w:tc>
        <w:tc>
          <w:tcPr>
            <w:tcW w:w="0" w:type="auto"/>
            <w:gridSpan w:val="15"/>
            <w:tcBorders>
              <w:bottom w:val="single" w:sz="8" w:space="0" w:color="000000"/>
            </w:tcBorders>
            <w:shd w:val="clear" w:color="auto" w:fill="00704A"/>
            <w:tcMar>
              <w:top w:w="40" w:type="dxa"/>
              <w:left w:w="20" w:type="dxa"/>
              <w:bottom w:w="40" w:type="dxa"/>
              <w:right w:w="20" w:type="dxa"/>
            </w:tcMar>
            <w:vAlign w:val="bottom"/>
          </w:tcPr>
          <w:p w14:paraId="00BAF230" w14:textId="77777777" w:rsidR="00871BDF" w:rsidRDefault="005C5088">
            <w:pPr>
              <w:jc w:val="center"/>
              <w:textAlignment w:val="bottom"/>
            </w:pPr>
            <w:r>
              <w:rPr>
                <w:rFonts w:ascii="Times New Roman" w:eastAsia="宋体" w:hAnsi="Times New Roman"/>
                <w:b/>
                <w:bCs/>
                <w:color w:val="FFFFFF"/>
                <w:sz w:val="16"/>
                <w:szCs w:val="16"/>
              </w:rPr>
              <w:t>Gains/(Losses) Recognized in Earnings</w:t>
            </w:r>
          </w:p>
        </w:tc>
      </w:tr>
      <w:tr w:rsidR="00871BDF" w14:paraId="00BAF23E" w14:textId="77777777">
        <w:trPr>
          <w:trHeight w:val="300"/>
          <w:jc w:val="center"/>
        </w:trPr>
        <w:tc>
          <w:tcPr>
            <w:tcW w:w="0" w:type="auto"/>
            <w:gridSpan w:val="3"/>
            <w:shd w:val="clear" w:color="auto" w:fill="auto"/>
            <w:tcMar>
              <w:top w:w="40" w:type="dxa"/>
              <w:left w:w="20" w:type="dxa"/>
              <w:bottom w:w="40" w:type="dxa"/>
              <w:right w:w="20" w:type="dxa"/>
            </w:tcMar>
            <w:vAlign w:val="bottom"/>
          </w:tcPr>
          <w:p w14:paraId="00BAF232" w14:textId="77777777" w:rsidR="00871BDF" w:rsidRDefault="005C5088">
            <w:pPr>
              <w:textAlignment w:val="bottom"/>
            </w:pPr>
            <w:r>
              <w:rPr>
                <w:rFonts w:ascii="Times New Roman" w:eastAsia="宋体" w:hAnsi="Times New Roman"/>
                <w:color w:val="000000"/>
                <w:sz w:val="20"/>
                <w:szCs w:val="20"/>
              </w:rPr>
              <w:t> </w:t>
            </w: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00BAF233" w14:textId="77777777" w:rsidR="00871BDF" w:rsidRDefault="005C5088">
            <w:pPr>
              <w:jc w:val="center"/>
              <w:textAlignment w:val="bottom"/>
            </w:pPr>
            <w:r>
              <w:rPr>
                <w:rFonts w:ascii="Times New Roman" w:eastAsia="宋体" w:hAnsi="Times New Roman"/>
                <w:b/>
                <w:bCs/>
                <w:color w:val="FFFFFF"/>
                <w:sz w:val="16"/>
                <w:szCs w:val="16"/>
              </w:rPr>
              <w:t xml:space="preserve">Location of gain/(loss) recognized in earnings </w:t>
            </w:r>
          </w:p>
        </w:tc>
        <w:tc>
          <w:tcPr>
            <w:tcW w:w="0" w:type="auto"/>
            <w:gridSpan w:val="3"/>
            <w:shd w:val="clear" w:color="auto" w:fill="auto"/>
            <w:tcMar>
              <w:top w:w="0" w:type="dxa"/>
              <w:left w:w="20" w:type="dxa"/>
              <w:bottom w:w="0" w:type="dxa"/>
              <w:right w:w="20" w:type="dxa"/>
            </w:tcMar>
          </w:tcPr>
          <w:p w14:paraId="00BAF234" w14:textId="77777777" w:rsidR="00871BDF" w:rsidRDefault="00871BDF">
            <w:pPr>
              <w:rPr>
                <w:rFonts w:ascii="宋体"/>
              </w:rPr>
            </w:pPr>
          </w:p>
        </w:tc>
        <w:tc>
          <w:tcPr>
            <w:tcW w:w="0" w:type="auto"/>
            <w:shd w:val="clear" w:color="auto" w:fill="auto"/>
          </w:tcPr>
          <w:p w14:paraId="00BAF235" w14:textId="77777777" w:rsidR="00871BDF" w:rsidRDefault="00871BDF">
            <w:pPr>
              <w:rPr>
                <w:rFonts w:ascii="宋体"/>
                <w:vanish/>
              </w:rPr>
            </w:pPr>
          </w:p>
        </w:tc>
        <w:tc>
          <w:tcPr>
            <w:tcW w:w="0" w:type="auto"/>
            <w:shd w:val="clear" w:color="auto" w:fill="auto"/>
          </w:tcPr>
          <w:p w14:paraId="00BAF236" w14:textId="77777777" w:rsidR="00871BDF" w:rsidRDefault="00871BDF">
            <w:pPr>
              <w:rPr>
                <w:rFonts w:ascii="宋体"/>
                <w:vanish/>
              </w:rPr>
            </w:pPr>
          </w:p>
        </w:tc>
        <w:tc>
          <w:tcPr>
            <w:tcW w:w="0" w:type="auto"/>
            <w:gridSpan w:val="11"/>
            <w:tcBorders>
              <w:top w:val="single" w:sz="8" w:space="0" w:color="000000"/>
            </w:tcBorders>
            <w:shd w:val="clear" w:color="auto" w:fill="00704A"/>
            <w:tcMar>
              <w:top w:w="40" w:type="dxa"/>
              <w:left w:w="20" w:type="dxa"/>
              <w:bottom w:w="40" w:type="dxa"/>
              <w:right w:w="20" w:type="dxa"/>
            </w:tcMar>
            <w:vAlign w:val="bottom"/>
          </w:tcPr>
          <w:p w14:paraId="00BAF237" w14:textId="77777777" w:rsidR="00871BDF" w:rsidRDefault="005C5088">
            <w:pPr>
              <w:jc w:val="center"/>
              <w:textAlignment w:val="bottom"/>
            </w:pPr>
            <w:r>
              <w:rPr>
                <w:rFonts w:ascii="Times New Roman" w:eastAsia="宋体" w:hAnsi="Times New Roman"/>
                <w:b/>
                <w:bCs/>
                <w:color w:val="FFFFFF"/>
                <w:sz w:val="16"/>
                <w:szCs w:val="16"/>
              </w:rPr>
              <w:t>Year Ended</w:t>
            </w:r>
          </w:p>
        </w:tc>
        <w:tc>
          <w:tcPr>
            <w:tcW w:w="0" w:type="auto"/>
            <w:shd w:val="clear" w:color="auto" w:fill="auto"/>
          </w:tcPr>
          <w:p w14:paraId="00BAF238" w14:textId="77777777" w:rsidR="00871BDF" w:rsidRDefault="00871BDF">
            <w:pPr>
              <w:rPr>
                <w:rFonts w:ascii="宋体"/>
              </w:rPr>
            </w:pPr>
          </w:p>
        </w:tc>
        <w:tc>
          <w:tcPr>
            <w:tcW w:w="0" w:type="auto"/>
            <w:shd w:val="clear" w:color="auto" w:fill="auto"/>
          </w:tcPr>
          <w:p w14:paraId="00BAF239" w14:textId="77777777" w:rsidR="00871BDF" w:rsidRDefault="00871BDF">
            <w:pPr>
              <w:rPr>
                <w:rFonts w:ascii="宋体"/>
              </w:rPr>
            </w:pPr>
          </w:p>
        </w:tc>
        <w:tc>
          <w:tcPr>
            <w:tcW w:w="0" w:type="auto"/>
            <w:shd w:val="clear" w:color="auto" w:fill="auto"/>
          </w:tcPr>
          <w:p w14:paraId="00BAF23A" w14:textId="77777777" w:rsidR="00871BDF" w:rsidRDefault="00871BDF">
            <w:pPr>
              <w:rPr>
                <w:rFonts w:ascii="宋体"/>
              </w:rPr>
            </w:pPr>
          </w:p>
        </w:tc>
        <w:tc>
          <w:tcPr>
            <w:tcW w:w="0" w:type="auto"/>
            <w:shd w:val="clear" w:color="auto" w:fill="auto"/>
          </w:tcPr>
          <w:p w14:paraId="00BAF23B" w14:textId="77777777" w:rsidR="00871BDF" w:rsidRDefault="00871BDF">
            <w:pPr>
              <w:rPr>
                <w:rFonts w:ascii="宋体"/>
              </w:rPr>
            </w:pPr>
          </w:p>
        </w:tc>
        <w:tc>
          <w:tcPr>
            <w:tcW w:w="0" w:type="auto"/>
            <w:shd w:val="clear" w:color="auto" w:fill="auto"/>
          </w:tcPr>
          <w:p w14:paraId="00BAF23C" w14:textId="77777777" w:rsidR="00871BDF" w:rsidRDefault="00871BDF">
            <w:pPr>
              <w:rPr>
                <w:rFonts w:ascii="宋体"/>
              </w:rPr>
            </w:pPr>
          </w:p>
        </w:tc>
        <w:tc>
          <w:tcPr>
            <w:tcW w:w="0" w:type="auto"/>
            <w:shd w:val="clear" w:color="auto" w:fill="auto"/>
          </w:tcPr>
          <w:p w14:paraId="00BAF23D" w14:textId="77777777" w:rsidR="00871BDF" w:rsidRDefault="00871BDF">
            <w:pPr>
              <w:rPr>
                <w:rFonts w:ascii="宋体"/>
              </w:rPr>
            </w:pPr>
          </w:p>
        </w:tc>
      </w:tr>
      <w:tr w:rsidR="00871BDF" w14:paraId="00BAF24B" w14:textId="77777777">
        <w:trPr>
          <w:trHeight w:val="420"/>
          <w:jc w:val="center"/>
        </w:trPr>
        <w:tc>
          <w:tcPr>
            <w:tcW w:w="0" w:type="auto"/>
            <w:gridSpan w:val="3"/>
            <w:shd w:val="clear" w:color="auto" w:fill="auto"/>
            <w:tcMar>
              <w:top w:w="40" w:type="dxa"/>
              <w:left w:w="20" w:type="dxa"/>
              <w:bottom w:w="40" w:type="dxa"/>
              <w:right w:w="20" w:type="dxa"/>
            </w:tcMar>
            <w:vAlign w:val="bottom"/>
          </w:tcPr>
          <w:p w14:paraId="00BAF23F" w14:textId="77777777" w:rsidR="00871BDF" w:rsidRDefault="005C5088">
            <w:pPr>
              <w:textAlignment w:val="bottom"/>
            </w:pPr>
            <w:r>
              <w:rPr>
                <w:rFonts w:ascii="Times New Roman" w:eastAsia="宋体" w:hAnsi="Times New Roman"/>
                <w:color w:val="000000"/>
                <w:sz w:val="20"/>
                <w:szCs w:val="20"/>
              </w:rPr>
              <w:t> </w:t>
            </w: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00BAF240" w14:textId="77777777" w:rsidR="00871BDF" w:rsidRDefault="00871BDF">
            <w:pPr>
              <w:jc w:val="center"/>
              <w:rPr>
                <w:rFonts w:ascii="宋体"/>
              </w:rPr>
            </w:pPr>
          </w:p>
        </w:tc>
        <w:tc>
          <w:tcPr>
            <w:tcW w:w="0" w:type="auto"/>
            <w:gridSpan w:val="3"/>
            <w:shd w:val="clear" w:color="auto" w:fill="auto"/>
            <w:tcMar>
              <w:top w:w="0" w:type="dxa"/>
              <w:left w:w="20" w:type="dxa"/>
              <w:bottom w:w="0" w:type="dxa"/>
              <w:right w:w="20" w:type="dxa"/>
            </w:tcMar>
          </w:tcPr>
          <w:p w14:paraId="00BAF241" w14:textId="77777777" w:rsidR="00871BDF" w:rsidRDefault="00871BDF">
            <w:pPr>
              <w:rPr>
                <w:rFonts w:ascii="宋体"/>
              </w:rPr>
            </w:pPr>
          </w:p>
        </w:tc>
        <w:tc>
          <w:tcPr>
            <w:tcW w:w="0" w:type="auto"/>
            <w:shd w:val="clear" w:color="auto" w:fill="auto"/>
          </w:tcPr>
          <w:p w14:paraId="00BAF242" w14:textId="77777777" w:rsidR="00871BDF" w:rsidRDefault="00871BDF">
            <w:pPr>
              <w:rPr>
                <w:rFonts w:ascii="宋体"/>
                <w:vanish/>
              </w:rPr>
            </w:pPr>
          </w:p>
        </w:tc>
        <w:tc>
          <w:tcPr>
            <w:tcW w:w="0" w:type="auto"/>
            <w:shd w:val="clear" w:color="auto" w:fill="auto"/>
          </w:tcPr>
          <w:p w14:paraId="00BAF243" w14:textId="77777777" w:rsidR="00871BDF" w:rsidRDefault="00871BDF">
            <w:pPr>
              <w:rPr>
                <w:rFonts w:ascii="宋体"/>
                <w:vanish/>
              </w:rPr>
            </w:pPr>
          </w:p>
        </w:tc>
        <w:tc>
          <w:tcPr>
            <w:tcW w:w="0" w:type="auto"/>
            <w:shd w:val="clear" w:color="auto" w:fill="auto"/>
          </w:tcPr>
          <w:p w14:paraId="00BAF244" w14:textId="77777777" w:rsidR="00871BDF" w:rsidRDefault="00871BDF">
            <w:pPr>
              <w:rPr>
                <w:rFonts w:ascii="宋体"/>
                <w:vanish/>
              </w:rPr>
            </w:pPr>
          </w:p>
        </w:tc>
        <w:tc>
          <w:tcPr>
            <w:tcW w:w="0" w:type="auto"/>
            <w:shd w:val="clear" w:color="auto" w:fill="auto"/>
          </w:tcPr>
          <w:p w14:paraId="00BAF245" w14:textId="77777777" w:rsidR="00871BDF" w:rsidRDefault="00871BDF">
            <w:pPr>
              <w:rPr>
                <w:rFonts w:ascii="宋体"/>
                <w:vanish/>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246"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tcBorders>
              <w:top w:val="single" w:sz="8" w:space="0" w:color="000000"/>
            </w:tcBorders>
            <w:shd w:val="clear" w:color="auto" w:fill="auto"/>
            <w:tcMar>
              <w:top w:w="0" w:type="dxa"/>
              <w:left w:w="20" w:type="dxa"/>
              <w:bottom w:w="0" w:type="dxa"/>
              <w:right w:w="20" w:type="dxa"/>
            </w:tcMar>
          </w:tcPr>
          <w:p w14:paraId="00BAF247"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248" w14:textId="77777777" w:rsidR="00871BDF" w:rsidRDefault="005C5088">
            <w:pPr>
              <w:jc w:val="center"/>
              <w:textAlignment w:val="bottom"/>
            </w:pPr>
            <w:r>
              <w:rPr>
                <w:rFonts w:ascii="Times New Roman" w:eastAsia="宋体" w:hAnsi="Times New Roman"/>
                <w:b/>
                <w:bCs/>
                <w:color w:val="FFFFFF"/>
                <w:sz w:val="16"/>
                <w:szCs w:val="16"/>
              </w:rPr>
              <w:t>Sep 29, 2019</w:t>
            </w:r>
          </w:p>
        </w:tc>
        <w:tc>
          <w:tcPr>
            <w:tcW w:w="0" w:type="auto"/>
            <w:gridSpan w:val="3"/>
            <w:tcBorders>
              <w:top w:val="single" w:sz="8" w:space="0" w:color="000000"/>
            </w:tcBorders>
            <w:shd w:val="clear" w:color="auto" w:fill="auto"/>
            <w:tcMar>
              <w:top w:w="0" w:type="dxa"/>
              <w:left w:w="20" w:type="dxa"/>
              <w:bottom w:w="0" w:type="dxa"/>
              <w:right w:w="20" w:type="dxa"/>
            </w:tcMar>
          </w:tcPr>
          <w:p w14:paraId="00BAF249"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24A" w14:textId="77777777" w:rsidR="00871BDF" w:rsidRDefault="005C5088">
            <w:pPr>
              <w:jc w:val="center"/>
              <w:textAlignment w:val="bottom"/>
            </w:pPr>
            <w:r>
              <w:rPr>
                <w:rFonts w:ascii="Times New Roman" w:eastAsia="宋体" w:hAnsi="Times New Roman"/>
                <w:b/>
                <w:bCs/>
                <w:color w:val="FFFFFF"/>
                <w:sz w:val="16"/>
                <w:szCs w:val="16"/>
              </w:rPr>
              <w:t>Sep 30, 2018</w:t>
            </w:r>
          </w:p>
        </w:tc>
      </w:tr>
      <w:tr w:rsidR="00871BDF" w14:paraId="00BAF258" w14:textId="77777777">
        <w:trPr>
          <w:jc w:val="center"/>
        </w:trPr>
        <w:tc>
          <w:tcPr>
            <w:tcW w:w="0" w:type="auto"/>
            <w:gridSpan w:val="3"/>
            <w:shd w:val="clear" w:color="auto" w:fill="D7E4BC"/>
            <w:tcMar>
              <w:top w:w="40" w:type="dxa"/>
              <w:left w:w="20" w:type="dxa"/>
              <w:bottom w:w="40" w:type="dxa"/>
              <w:right w:w="20" w:type="dxa"/>
            </w:tcMar>
            <w:vAlign w:val="bottom"/>
          </w:tcPr>
          <w:p w14:paraId="00BAF24C" w14:textId="77777777" w:rsidR="00871BDF" w:rsidRDefault="005C5088">
            <w:pPr>
              <w:textAlignment w:val="bottom"/>
            </w:pPr>
            <w:r>
              <w:rPr>
                <w:rFonts w:ascii="Times New Roman" w:eastAsia="宋体" w:hAnsi="Times New Roman"/>
                <w:color w:val="000000"/>
                <w:sz w:val="20"/>
                <w:szCs w:val="20"/>
              </w:rPr>
              <w:t xml:space="preserve">Non-Designated </w:t>
            </w:r>
            <w:r>
              <w:rPr>
                <w:rFonts w:ascii="Times New Roman" w:eastAsia="宋体" w:hAnsi="Times New Roman"/>
                <w:color w:val="000000"/>
                <w:sz w:val="20"/>
                <w:szCs w:val="20"/>
              </w:rPr>
              <w:t>Derivatives:</w:t>
            </w:r>
          </w:p>
        </w:tc>
        <w:tc>
          <w:tcPr>
            <w:tcW w:w="0" w:type="auto"/>
            <w:gridSpan w:val="3"/>
            <w:tcBorders>
              <w:top w:val="single" w:sz="8" w:space="0" w:color="000000"/>
            </w:tcBorders>
            <w:shd w:val="clear" w:color="auto" w:fill="D7E4BC"/>
            <w:tcMar>
              <w:top w:w="0" w:type="dxa"/>
              <w:left w:w="20" w:type="dxa"/>
              <w:bottom w:w="0" w:type="dxa"/>
              <w:right w:w="20" w:type="dxa"/>
            </w:tcMar>
          </w:tcPr>
          <w:p w14:paraId="00BAF24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24E" w14:textId="77777777" w:rsidR="00871BDF" w:rsidRDefault="00871BDF">
            <w:pPr>
              <w:rPr>
                <w:rFonts w:ascii="宋体"/>
              </w:rPr>
            </w:pPr>
          </w:p>
        </w:tc>
        <w:tc>
          <w:tcPr>
            <w:tcW w:w="0" w:type="auto"/>
            <w:shd w:val="clear" w:color="auto" w:fill="auto"/>
          </w:tcPr>
          <w:p w14:paraId="00BAF24F" w14:textId="77777777" w:rsidR="00871BDF" w:rsidRDefault="00871BDF">
            <w:pPr>
              <w:rPr>
                <w:rFonts w:ascii="宋体"/>
                <w:vanish/>
              </w:rPr>
            </w:pPr>
          </w:p>
        </w:tc>
        <w:tc>
          <w:tcPr>
            <w:tcW w:w="0" w:type="auto"/>
            <w:shd w:val="clear" w:color="auto" w:fill="auto"/>
          </w:tcPr>
          <w:p w14:paraId="00BAF250" w14:textId="77777777" w:rsidR="00871BDF" w:rsidRDefault="00871BDF">
            <w:pPr>
              <w:rPr>
                <w:rFonts w:ascii="宋体"/>
                <w:vanish/>
              </w:rPr>
            </w:pPr>
          </w:p>
        </w:tc>
        <w:tc>
          <w:tcPr>
            <w:tcW w:w="0" w:type="auto"/>
            <w:shd w:val="clear" w:color="auto" w:fill="auto"/>
          </w:tcPr>
          <w:p w14:paraId="00BAF251" w14:textId="77777777" w:rsidR="00871BDF" w:rsidRDefault="00871BDF">
            <w:pPr>
              <w:rPr>
                <w:rFonts w:ascii="宋体"/>
                <w:vanish/>
              </w:rPr>
            </w:pPr>
          </w:p>
        </w:tc>
        <w:tc>
          <w:tcPr>
            <w:tcW w:w="0" w:type="auto"/>
            <w:shd w:val="clear" w:color="auto" w:fill="auto"/>
          </w:tcPr>
          <w:p w14:paraId="00BAF252" w14:textId="77777777" w:rsidR="00871BDF" w:rsidRDefault="00871BDF">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25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254"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25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256"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257" w14:textId="77777777" w:rsidR="00871BDF" w:rsidRDefault="00871BDF">
            <w:pPr>
              <w:rPr>
                <w:rFonts w:ascii="宋体"/>
              </w:rPr>
            </w:pPr>
          </w:p>
        </w:tc>
      </w:tr>
      <w:tr w:rsidR="00871BDF" w14:paraId="00BAF26B" w14:textId="77777777">
        <w:trPr>
          <w:jc w:val="center"/>
        </w:trPr>
        <w:tc>
          <w:tcPr>
            <w:tcW w:w="0" w:type="auto"/>
            <w:gridSpan w:val="3"/>
            <w:shd w:val="clear" w:color="auto" w:fill="FFFFFF"/>
            <w:tcMar>
              <w:top w:w="40" w:type="dxa"/>
              <w:left w:w="155" w:type="dxa"/>
              <w:bottom w:w="40" w:type="dxa"/>
              <w:right w:w="20" w:type="dxa"/>
            </w:tcMar>
            <w:vAlign w:val="bottom"/>
          </w:tcPr>
          <w:p w14:paraId="00BAF259" w14:textId="77777777" w:rsidR="00871BDF" w:rsidRDefault="005C5088">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center"/>
          </w:tcPr>
          <w:p w14:paraId="00BAF25A" w14:textId="77777777" w:rsidR="00871BDF" w:rsidRDefault="005C5088">
            <w:pPr>
              <w:textAlignment w:val="center"/>
            </w:pPr>
            <w:r>
              <w:rPr>
                <w:rFonts w:ascii="Times New Roman" w:eastAsia="宋体" w:hAnsi="Times New Roman"/>
                <w:color w:val="000000"/>
                <w:sz w:val="20"/>
                <w:szCs w:val="20"/>
              </w:rPr>
              <w:t>Interest income and other, net</w:t>
            </w:r>
          </w:p>
        </w:tc>
        <w:tc>
          <w:tcPr>
            <w:tcW w:w="0" w:type="auto"/>
            <w:gridSpan w:val="3"/>
            <w:shd w:val="clear" w:color="auto" w:fill="FFFFFF"/>
            <w:tcMar>
              <w:top w:w="0" w:type="dxa"/>
              <w:left w:w="20" w:type="dxa"/>
              <w:bottom w:w="0" w:type="dxa"/>
              <w:right w:w="20" w:type="dxa"/>
            </w:tcMar>
          </w:tcPr>
          <w:p w14:paraId="00BAF25B" w14:textId="77777777" w:rsidR="00871BDF" w:rsidRDefault="00871BDF">
            <w:pPr>
              <w:rPr>
                <w:rFonts w:ascii="宋体"/>
              </w:rPr>
            </w:pPr>
          </w:p>
        </w:tc>
        <w:tc>
          <w:tcPr>
            <w:tcW w:w="0" w:type="auto"/>
            <w:shd w:val="clear" w:color="auto" w:fill="auto"/>
          </w:tcPr>
          <w:p w14:paraId="00BAF25C" w14:textId="77777777" w:rsidR="00871BDF" w:rsidRDefault="00871BDF">
            <w:pPr>
              <w:rPr>
                <w:rFonts w:ascii="宋体"/>
                <w:vanish/>
              </w:rPr>
            </w:pPr>
          </w:p>
        </w:tc>
        <w:tc>
          <w:tcPr>
            <w:tcW w:w="0" w:type="auto"/>
            <w:shd w:val="clear" w:color="auto" w:fill="auto"/>
          </w:tcPr>
          <w:p w14:paraId="00BAF25D" w14:textId="77777777" w:rsidR="00871BDF" w:rsidRDefault="00871BDF">
            <w:pPr>
              <w:rPr>
                <w:rFonts w:ascii="宋体"/>
                <w:vanish/>
              </w:rPr>
            </w:pPr>
          </w:p>
        </w:tc>
        <w:tc>
          <w:tcPr>
            <w:tcW w:w="0" w:type="auto"/>
            <w:shd w:val="clear" w:color="auto" w:fill="auto"/>
          </w:tcPr>
          <w:p w14:paraId="00BAF25E" w14:textId="77777777" w:rsidR="00871BDF" w:rsidRDefault="00871BDF">
            <w:pPr>
              <w:rPr>
                <w:rFonts w:ascii="宋体"/>
                <w:vanish/>
              </w:rPr>
            </w:pPr>
          </w:p>
        </w:tc>
        <w:tc>
          <w:tcPr>
            <w:tcW w:w="0" w:type="auto"/>
            <w:shd w:val="clear" w:color="auto" w:fill="auto"/>
          </w:tcPr>
          <w:p w14:paraId="00BAF25F" w14:textId="77777777" w:rsidR="00871BDF" w:rsidRDefault="00871BDF">
            <w:pPr>
              <w:rPr>
                <w:rFonts w:ascii="宋体"/>
                <w:vanish/>
              </w:rPr>
            </w:pPr>
          </w:p>
        </w:tc>
        <w:tc>
          <w:tcPr>
            <w:tcW w:w="0" w:type="auto"/>
            <w:shd w:val="clear" w:color="auto" w:fill="FFFFFF"/>
            <w:tcMar>
              <w:top w:w="40" w:type="dxa"/>
              <w:left w:w="20" w:type="dxa"/>
              <w:bottom w:w="40" w:type="dxa"/>
              <w:right w:w="0" w:type="dxa"/>
            </w:tcMar>
            <w:vAlign w:val="center"/>
          </w:tcPr>
          <w:p w14:paraId="00BAF260" w14:textId="77777777" w:rsidR="00871BDF" w:rsidRDefault="005C5088">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0BAF261" w14:textId="77777777" w:rsidR="00871BDF" w:rsidRDefault="005C5088">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0BAF26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263" w14:textId="77777777" w:rsidR="00871BDF" w:rsidRDefault="00871BDF">
            <w:pPr>
              <w:rPr>
                <w:rFonts w:ascii="宋体"/>
              </w:rPr>
            </w:pPr>
          </w:p>
        </w:tc>
        <w:tc>
          <w:tcPr>
            <w:tcW w:w="0" w:type="auto"/>
            <w:shd w:val="clear" w:color="auto" w:fill="FFFFFF"/>
            <w:tcMar>
              <w:top w:w="40" w:type="dxa"/>
              <w:left w:w="20" w:type="dxa"/>
              <w:bottom w:w="40" w:type="dxa"/>
              <w:right w:w="0" w:type="dxa"/>
            </w:tcMar>
            <w:vAlign w:val="center"/>
          </w:tcPr>
          <w:p w14:paraId="00BAF264" w14:textId="77777777" w:rsidR="00871BDF" w:rsidRDefault="005C5088">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0BAF265" w14:textId="77777777" w:rsidR="00871BDF" w:rsidRDefault="005C5088">
            <w:pPr>
              <w:jc w:val="right"/>
              <w:textAlignment w:val="center"/>
            </w:pPr>
            <w:r>
              <w:rPr>
                <w:rFonts w:ascii="Times New Roman" w:eastAsia="宋体" w:hAnsi="Times New Roman"/>
                <w:color w:val="000000"/>
                <w:sz w:val="20"/>
                <w:szCs w:val="20"/>
              </w:rPr>
              <w:t>(1.9)</w:t>
            </w:r>
          </w:p>
        </w:tc>
        <w:tc>
          <w:tcPr>
            <w:tcW w:w="0" w:type="auto"/>
            <w:shd w:val="clear" w:color="auto" w:fill="FFFFFF"/>
            <w:tcMar>
              <w:top w:w="40" w:type="dxa"/>
              <w:left w:w="0" w:type="dxa"/>
              <w:bottom w:w="40" w:type="dxa"/>
              <w:right w:w="20" w:type="dxa"/>
            </w:tcMar>
            <w:vAlign w:val="center"/>
          </w:tcPr>
          <w:p w14:paraId="00BAF26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267" w14:textId="77777777" w:rsidR="00871BDF" w:rsidRDefault="00871BDF">
            <w:pPr>
              <w:rPr>
                <w:rFonts w:ascii="宋体"/>
              </w:rPr>
            </w:pPr>
          </w:p>
        </w:tc>
        <w:tc>
          <w:tcPr>
            <w:tcW w:w="0" w:type="auto"/>
            <w:shd w:val="clear" w:color="auto" w:fill="FFFFFF"/>
            <w:tcMar>
              <w:top w:w="40" w:type="dxa"/>
              <w:left w:w="20" w:type="dxa"/>
              <w:bottom w:w="40" w:type="dxa"/>
              <w:right w:w="0" w:type="dxa"/>
            </w:tcMar>
            <w:vAlign w:val="center"/>
          </w:tcPr>
          <w:p w14:paraId="00BAF268" w14:textId="77777777" w:rsidR="00871BDF" w:rsidRDefault="005C5088">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0BAF269" w14:textId="77777777" w:rsidR="00871BDF" w:rsidRDefault="005C5088">
            <w:pPr>
              <w:jc w:val="right"/>
              <w:textAlignment w:val="center"/>
            </w:pPr>
            <w:r>
              <w:rPr>
                <w:rFonts w:ascii="Times New Roman" w:eastAsia="宋体" w:hAnsi="Times New Roman"/>
                <w:color w:val="000000"/>
                <w:sz w:val="20"/>
                <w:szCs w:val="20"/>
              </w:rPr>
              <w:t>(2.4)</w:t>
            </w:r>
          </w:p>
        </w:tc>
        <w:tc>
          <w:tcPr>
            <w:tcW w:w="0" w:type="auto"/>
            <w:shd w:val="clear" w:color="auto" w:fill="FFFFFF"/>
            <w:tcMar>
              <w:top w:w="40" w:type="dxa"/>
              <w:left w:w="0" w:type="dxa"/>
              <w:bottom w:w="40" w:type="dxa"/>
              <w:right w:w="20" w:type="dxa"/>
            </w:tcMar>
            <w:vAlign w:val="center"/>
          </w:tcPr>
          <w:p w14:paraId="00BAF26A" w14:textId="77777777" w:rsidR="00871BDF" w:rsidRDefault="00871BDF">
            <w:pPr>
              <w:jc w:val="right"/>
              <w:rPr>
                <w:rFonts w:ascii="宋体"/>
              </w:rPr>
            </w:pPr>
          </w:p>
        </w:tc>
      </w:tr>
      <w:tr w:rsidR="00871BDF" w14:paraId="00BAF27B" w14:textId="77777777">
        <w:trPr>
          <w:jc w:val="center"/>
        </w:trPr>
        <w:tc>
          <w:tcPr>
            <w:tcW w:w="0" w:type="auto"/>
            <w:gridSpan w:val="3"/>
            <w:shd w:val="clear" w:color="auto" w:fill="D7E4BC"/>
            <w:tcMar>
              <w:top w:w="40" w:type="dxa"/>
              <w:left w:w="155" w:type="dxa"/>
              <w:bottom w:w="40" w:type="dxa"/>
              <w:right w:w="20" w:type="dxa"/>
            </w:tcMar>
            <w:vAlign w:val="bottom"/>
          </w:tcPr>
          <w:p w14:paraId="00BAF26C" w14:textId="77777777" w:rsidR="00871BDF" w:rsidRDefault="005C5088">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D7E4BC"/>
            <w:tcMar>
              <w:top w:w="40" w:type="dxa"/>
              <w:left w:w="20" w:type="dxa"/>
              <w:bottom w:w="40" w:type="dxa"/>
              <w:right w:w="20" w:type="dxa"/>
            </w:tcMar>
            <w:vAlign w:val="bottom"/>
          </w:tcPr>
          <w:p w14:paraId="00BAF26D" w14:textId="77777777" w:rsidR="00871BDF" w:rsidRDefault="005C5088">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D7E4BC"/>
            <w:tcMar>
              <w:top w:w="0" w:type="dxa"/>
              <w:left w:w="20" w:type="dxa"/>
              <w:bottom w:w="0" w:type="dxa"/>
              <w:right w:w="20" w:type="dxa"/>
            </w:tcMar>
          </w:tcPr>
          <w:p w14:paraId="00BAF26E" w14:textId="77777777" w:rsidR="00871BDF" w:rsidRDefault="00871BDF">
            <w:pPr>
              <w:rPr>
                <w:rFonts w:ascii="宋体"/>
              </w:rPr>
            </w:pPr>
          </w:p>
        </w:tc>
        <w:tc>
          <w:tcPr>
            <w:tcW w:w="0" w:type="auto"/>
            <w:shd w:val="clear" w:color="auto" w:fill="auto"/>
          </w:tcPr>
          <w:p w14:paraId="00BAF26F" w14:textId="77777777" w:rsidR="00871BDF" w:rsidRDefault="00871BDF">
            <w:pPr>
              <w:rPr>
                <w:rFonts w:ascii="宋体"/>
                <w:vanish/>
              </w:rPr>
            </w:pPr>
          </w:p>
        </w:tc>
        <w:tc>
          <w:tcPr>
            <w:tcW w:w="0" w:type="auto"/>
            <w:shd w:val="clear" w:color="auto" w:fill="auto"/>
          </w:tcPr>
          <w:p w14:paraId="00BAF270" w14:textId="77777777" w:rsidR="00871BDF" w:rsidRDefault="00871BDF">
            <w:pPr>
              <w:rPr>
                <w:rFonts w:ascii="宋体"/>
                <w:vanish/>
              </w:rPr>
            </w:pPr>
          </w:p>
        </w:tc>
        <w:tc>
          <w:tcPr>
            <w:tcW w:w="0" w:type="auto"/>
            <w:shd w:val="clear" w:color="auto" w:fill="auto"/>
          </w:tcPr>
          <w:p w14:paraId="00BAF271" w14:textId="77777777" w:rsidR="00871BDF" w:rsidRDefault="00871BDF">
            <w:pPr>
              <w:rPr>
                <w:rFonts w:ascii="宋体"/>
                <w:vanish/>
              </w:rPr>
            </w:pPr>
          </w:p>
        </w:tc>
        <w:tc>
          <w:tcPr>
            <w:tcW w:w="0" w:type="auto"/>
            <w:shd w:val="clear" w:color="auto" w:fill="auto"/>
          </w:tcPr>
          <w:p w14:paraId="00BAF272" w14:textId="77777777" w:rsidR="00871BDF" w:rsidRDefault="00871BDF">
            <w:pPr>
              <w:rPr>
                <w:rFonts w:ascii="宋体"/>
                <w:vanish/>
              </w:rPr>
            </w:pPr>
          </w:p>
        </w:tc>
        <w:tc>
          <w:tcPr>
            <w:tcW w:w="0" w:type="auto"/>
            <w:gridSpan w:val="2"/>
            <w:shd w:val="clear" w:color="auto" w:fill="D7E4BC"/>
            <w:tcMar>
              <w:top w:w="40" w:type="dxa"/>
              <w:left w:w="20" w:type="dxa"/>
              <w:bottom w:w="40" w:type="dxa"/>
              <w:right w:w="0" w:type="dxa"/>
            </w:tcMar>
            <w:vAlign w:val="bottom"/>
          </w:tcPr>
          <w:p w14:paraId="00BAF273" w14:textId="77777777" w:rsidR="00871BDF" w:rsidRDefault="005C5088">
            <w:pPr>
              <w:jc w:val="right"/>
              <w:textAlignment w:val="bottom"/>
            </w:pPr>
            <w:r>
              <w:rPr>
                <w:rFonts w:ascii="Times New Roman" w:eastAsia="宋体" w:hAnsi="Times New Roman"/>
                <w:color w:val="000000"/>
                <w:sz w:val="20"/>
                <w:szCs w:val="20"/>
              </w:rPr>
              <w:t>(8.8)</w:t>
            </w:r>
          </w:p>
        </w:tc>
        <w:tc>
          <w:tcPr>
            <w:tcW w:w="0" w:type="auto"/>
            <w:shd w:val="clear" w:color="auto" w:fill="D7E4BC"/>
            <w:tcMar>
              <w:top w:w="40" w:type="dxa"/>
              <w:left w:w="0" w:type="dxa"/>
              <w:bottom w:w="40" w:type="dxa"/>
              <w:right w:w="20" w:type="dxa"/>
            </w:tcMar>
            <w:vAlign w:val="bottom"/>
          </w:tcPr>
          <w:p w14:paraId="00BAF27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27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276" w14:textId="77777777" w:rsidR="00871BDF" w:rsidRDefault="005C5088">
            <w:pPr>
              <w:jc w:val="right"/>
              <w:textAlignment w:val="bottom"/>
            </w:pPr>
            <w:r>
              <w:rPr>
                <w:rFonts w:ascii="Times New Roman" w:eastAsia="宋体" w:hAnsi="Times New Roman"/>
                <w:color w:val="000000"/>
                <w:sz w:val="20"/>
                <w:szCs w:val="20"/>
              </w:rPr>
              <w:t>(5.9)</w:t>
            </w:r>
          </w:p>
        </w:tc>
        <w:tc>
          <w:tcPr>
            <w:tcW w:w="0" w:type="auto"/>
            <w:shd w:val="clear" w:color="auto" w:fill="D7E4BC"/>
            <w:tcMar>
              <w:top w:w="40" w:type="dxa"/>
              <w:left w:w="0" w:type="dxa"/>
              <w:bottom w:w="40" w:type="dxa"/>
              <w:right w:w="20" w:type="dxa"/>
            </w:tcMar>
            <w:vAlign w:val="bottom"/>
          </w:tcPr>
          <w:p w14:paraId="00BAF27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27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279" w14:textId="77777777" w:rsidR="00871BDF" w:rsidRDefault="005C5088">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left w:w="0" w:type="dxa"/>
              <w:bottom w:w="40" w:type="dxa"/>
              <w:right w:w="20" w:type="dxa"/>
            </w:tcMar>
            <w:vAlign w:val="bottom"/>
          </w:tcPr>
          <w:p w14:paraId="00BAF27A" w14:textId="77777777" w:rsidR="00871BDF" w:rsidRDefault="00871BDF">
            <w:pPr>
              <w:jc w:val="right"/>
              <w:rPr>
                <w:rFonts w:ascii="宋体"/>
              </w:rPr>
            </w:pPr>
          </w:p>
        </w:tc>
      </w:tr>
      <w:tr w:rsidR="00871BDF" w14:paraId="00BAF288" w14:textId="77777777">
        <w:trPr>
          <w:jc w:val="center"/>
          <w:hidden/>
        </w:trPr>
        <w:tc>
          <w:tcPr>
            <w:tcW w:w="0" w:type="auto"/>
            <w:gridSpan w:val="3"/>
            <w:shd w:val="clear" w:color="auto" w:fill="auto"/>
          </w:tcPr>
          <w:p w14:paraId="00BAF27C" w14:textId="77777777" w:rsidR="00871BDF" w:rsidRDefault="00871BDF">
            <w:pPr>
              <w:rPr>
                <w:rFonts w:ascii="宋体"/>
                <w:vanish/>
              </w:rPr>
            </w:pPr>
          </w:p>
        </w:tc>
        <w:tc>
          <w:tcPr>
            <w:tcW w:w="0" w:type="auto"/>
            <w:gridSpan w:val="3"/>
            <w:shd w:val="clear" w:color="auto" w:fill="auto"/>
          </w:tcPr>
          <w:p w14:paraId="00BAF27D" w14:textId="77777777" w:rsidR="00871BDF" w:rsidRDefault="00871BDF">
            <w:pPr>
              <w:rPr>
                <w:rFonts w:ascii="宋体"/>
                <w:vanish/>
              </w:rPr>
            </w:pPr>
          </w:p>
        </w:tc>
        <w:tc>
          <w:tcPr>
            <w:tcW w:w="0" w:type="auto"/>
            <w:gridSpan w:val="3"/>
            <w:shd w:val="clear" w:color="auto" w:fill="auto"/>
          </w:tcPr>
          <w:p w14:paraId="00BAF27E" w14:textId="77777777" w:rsidR="00871BDF" w:rsidRDefault="00871BDF">
            <w:pPr>
              <w:rPr>
                <w:rFonts w:ascii="宋体"/>
                <w:vanish/>
              </w:rPr>
            </w:pPr>
          </w:p>
        </w:tc>
        <w:tc>
          <w:tcPr>
            <w:tcW w:w="0" w:type="auto"/>
            <w:shd w:val="clear" w:color="auto" w:fill="auto"/>
          </w:tcPr>
          <w:p w14:paraId="00BAF27F" w14:textId="77777777" w:rsidR="00871BDF" w:rsidRDefault="00871BDF">
            <w:pPr>
              <w:rPr>
                <w:rFonts w:ascii="宋体"/>
                <w:vanish/>
              </w:rPr>
            </w:pPr>
          </w:p>
        </w:tc>
        <w:tc>
          <w:tcPr>
            <w:tcW w:w="0" w:type="auto"/>
            <w:shd w:val="clear" w:color="auto" w:fill="auto"/>
          </w:tcPr>
          <w:p w14:paraId="00BAF280" w14:textId="77777777" w:rsidR="00871BDF" w:rsidRDefault="00871BDF">
            <w:pPr>
              <w:rPr>
                <w:rFonts w:ascii="宋体"/>
                <w:vanish/>
              </w:rPr>
            </w:pPr>
          </w:p>
        </w:tc>
        <w:tc>
          <w:tcPr>
            <w:tcW w:w="0" w:type="auto"/>
            <w:shd w:val="clear" w:color="auto" w:fill="auto"/>
          </w:tcPr>
          <w:p w14:paraId="00BAF281" w14:textId="77777777" w:rsidR="00871BDF" w:rsidRDefault="00871BDF">
            <w:pPr>
              <w:rPr>
                <w:rFonts w:ascii="宋体"/>
                <w:vanish/>
              </w:rPr>
            </w:pPr>
          </w:p>
        </w:tc>
        <w:tc>
          <w:tcPr>
            <w:tcW w:w="0" w:type="auto"/>
            <w:shd w:val="clear" w:color="auto" w:fill="auto"/>
          </w:tcPr>
          <w:p w14:paraId="00BAF282" w14:textId="77777777" w:rsidR="00871BDF" w:rsidRDefault="00871BDF">
            <w:pPr>
              <w:rPr>
                <w:rFonts w:ascii="宋体"/>
                <w:vanish/>
              </w:rPr>
            </w:pPr>
          </w:p>
        </w:tc>
        <w:tc>
          <w:tcPr>
            <w:tcW w:w="0" w:type="auto"/>
            <w:gridSpan w:val="3"/>
            <w:shd w:val="clear" w:color="auto" w:fill="auto"/>
          </w:tcPr>
          <w:p w14:paraId="00BAF283" w14:textId="77777777" w:rsidR="00871BDF" w:rsidRDefault="00871BDF">
            <w:pPr>
              <w:rPr>
                <w:rFonts w:ascii="宋体"/>
                <w:vanish/>
              </w:rPr>
            </w:pPr>
          </w:p>
        </w:tc>
        <w:tc>
          <w:tcPr>
            <w:tcW w:w="0" w:type="auto"/>
            <w:gridSpan w:val="3"/>
            <w:shd w:val="clear" w:color="auto" w:fill="auto"/>
          </w:tcPr>
          <w:p w14:paraId="00BAF284" w14:textId="77777777" w:rsidR="00871BDF" w:rsidRDefault="00871BDF">
            <w:pPr>
              <w:rPr>
                <w:rFonts w:ascii="宋体"/>
                <w:vanish/>
              </w:rPr>
            </w:pPr>
          </w:p>
        </w:tc>
        <w:tc>
          <w:tcPr>
            <w:tcW w:w="0" w:type="auto"/>
            <w:gridSpan w:val="3"/>
            <w:shd w:val="clear" w:color="auto" w:fill="auto"/>
          </w:tcPr>
          <w:p w14:paraId="00BAF285" w14:textId="77777777" w:rsidR="00871BDF" w:rsidRDefault="00871BDF">
            <w:pPr>
              <w:rPr>
                <w:rFonts w:ascii="宋体"/>
                <w:vanish/>
              </w:rPr>
            </w:pPr>
          </w:p>
        </w:tc>
        <w:tc>
          <w:tcPr>
            <w:tcW w:w="0" w:type="auto"/>
            <w:gridSpan w:val="3"/>
            <w:shd w:val="clear" w:color="auto" w:fill="auto"/>
          </w:tcPr>
          <w:p w14:paraId="00BAF286" w14:textId="77777777" w:rsidR="00871BDF" w:rsidRDefault="00871BDF">
            <w:pPr>
              <w:rPr>
                <w:rFonts w:ascii="宋体"/>
                <w:vanish/>
              </w:rPr>
            </w:pPr>
          </w:p>
        </w:tc>
        <w:tc>
          <w:tcPr>
            <w:tcW w:w="0" w:type="auto"/>
            <w:gridSpan w:val="3"/>
            <w:shd w:val="clear" w:color="auto" w:fill="auto"/>
          </w:tcPr>
          <w:p w14:paraId="00BAF287" w14:textId="77777777" w:rsidR="00871BDF" w:rsidRDefault="00871BDF">
            <w:pPr>
              <w:rPr>
                <w:rFonts w:ascii="宋体"/>
                <w:vanish/>
              </w:rPr>
            </w:pPr>
          </w:p>
        </w:tc>
      </w:tr>
      <w:tr w:rsidR="00871BDF" w14:paraId="00BAF298" w14:textId="77777777">
        <w:trPr>
          <w:jc w:val="center"/>
        </w:trPr>
        <w:tc>
          <w:tcPr>
            <w:tcW w:w="0" w:type="auto"/>
            <w:gridSpan w:val="3"/>
            <w:shd w:val="clear" w:color="auto" w:fill="FFFFFF"/>
            <w:tcMar>
              <w:top w:w="40" w:type="dxa"/>
              <w:left w:w="155" w:type="dxa"/>
              <w:bottom w:w="40" w:type="dxa"/>
              <w:right w:w="20" w:type="dxa"/>
            </w:tcMar>
            <w:vAlign w:val="bottom"/>
          </w:tcPr>
          <w:p w14:paraId="00BAF289" w14:textId="77777777" w:rsidR="00871BDF" w:rsidRDefault="005C5088">
            <w:pPr>
              <w:textAlignment w:val="bottom"/>
            </w:pPr>
            <w:r>
              <w:rPr>
                <w:rFonts w:ascii="Times New Roman" w:eastAsia="宋体" w:hAnsi="Times New Roman"/>
                <w:color w:val="000000"/>
                <w:sz w:val="20"/>
                <w:szCs w:val="20"/>
              </w:rPr>
              <w:t>Foreign currency - other</w:t>
            </w:r>
          </w:p>
        </w:tc>
        <w:tc>
          <w:tcPr>
            <w:tcW w:w="0" w:type="auto"/>
            <w:gridSpan w:val="3"/>
            <w:shd w:val="clear" w:color="auto" w:fill="FFFFFF"/>
            <w:tcMar>
              <w:top w:w="40" w:type="dxa"/>
              <w:left w:w="20" w:type="dxa"/>
              <w:bottom w:w="40" w:type="dxa"/>
              <w:right w:w="20" w:type="dxa"/>
            </w:tcMar>
            <w:vAlign w:val="bottom"/>
          </w:tcPr>
          <w:p w14:paraId="00BAF28A" w14:textId="77777777" w:rsidR="00871BDF" w:rsidRDefault="005C5088">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FFFFFF"/>
            <w:tcMar>
              <w:top w:w="0" w:type="dxa"/>
              <w:left w:w="20" w:type="dxa"/>
              <w:bottom w:w="0" w:type="dxa"/>
              <w:right w:w="20" w:type="dxa"/>
            </w:tcMar>
          </w:tcPr>
          <w:p w14:paraId="00BAF28B" w14:textId="77777777" w:rsidR="00871BDF" w:rsidRDefault="00871BDF">
            <w:pPr>
              <w:rPr>
                <w:rFonts w:ascii="宋体"/>
              </w:rPr>
            </w:pPr>
          </w:p>
        </w:tc>
        <w:tc>
          <w:tcPr>
            <w:tcW w:w="0" w:type="auto"/>
            <w:shd w:val="clear" w:color="auto" w:fill="auto"/>
          </w:tcPr>
          <w:p w14:paraId="00BAF28C" w14:textId="77777777" w:rsidR="00871BDF" w:rsidRDefault="00871BDF">
            <w:pPr>
              <w:rPr>
                <w:rFonts w:ascii="宋体"/>
                <w:vanish/>
              </w:rPr>
            </w:pPr>
          </w:p>
        </w:tc>
        <w:tc>
          <w:tcPr>
            <w:tcW w:w="0" w:type="auto"/>
            <w:shd w:val="clear" w:color="auto" w:fill="auto"/>
          </w:tcPr>
          <w:p w14:paraId="00BAF28D" w14:textId="77777777" w:rsidR="00871BDF" w:rsidRDefault="00871BDF">
            <w:pPr>
              <w:rPr>
                <w:rFonts w:ascii="宋体"/>
                <w:vanish/>
              </w:rPr>
            </w:pPr>
          </w:p>
        </w:tc>
        <w:tc>
          <w:tcPr>
            <w:tcW w:w="0" w:type="auto"/>
            <w:shd w:val="clear" w:color="auto" w:fill="auto"/>
          </w:tcPr>
          <w:p w14:paraId="00BAF28E" w14:textId="77777777" w:rsidR="00871BDF" w:rsidRDefault="00871BDF">
            <w:pPr>
              <w:rPr>
                <w:rFonts w:ascii="宋体"/>
                <w:vanish/>
              </w:rPr>
            </w:pPr>
          </w:p>
        </w:tc>
        <w:tc>
          <w:tcPr>
            <w:tcW w:w="0" w:type="auto"/>
            <w:shd w:val="clear" w:color="auto" w:fill="auto"/>
          </w:tcPr>
          <w:p w14:paraId="00BAF28F" w14:textId="77777777" w:rsidR="00871BDF" w:rsidRDefault="00871BDF">
            <w:pPr>
              <w:rPr>
                <w:rFonts w:ascii="宋体"/>
                <w:vanish/>
              </w:rPr>
            </w:pPr>
          </w:p>
        </w:tc>
        <w:tc>
          <w:tcPr>
            <w:tcW w:w="0" w:type="auto"/>
            <w:gridSpan w:val="2"/>
            <w:shd w:val="clear" w:color="auto" w:fill="FFFFFF"/>
            <w:tcMar>
              <w:top w:w="40" w:type="dxa"/>
              <w:left w:w="20" w:type="dxa"/>
              <w:bottom w:w="40" w:type="dxa"/>
              <w:right w:w="0" w:type="dxa"/>
            </w:tcMar>
            <w:vAlign w:val="bottom"/>
          </w:tcPr>
          <w:p w14:paraId="00BAF290" w14:textId="77777777" w:rsidR="00871BDF" w:rsidRDefault="005C5088">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00BAF29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29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293" w14:textId="77777777" w:rsidR="00871BDF" w:rsidRDefault="005C5088">
            <w:pPr>
              <w:jc w:val="right"/>
              <w:textAlignment w:val="bottom"/>
            </w:pPr>
            <w:r>
              <w:rPr>
                <w:rFonts w:ascii="Times New Roman" w:eastAsia="宋体" w:hAnsi="Times New Roman"/>
                <w:color w:val="000000"/>
                <w:sz w:val="20"/>
                <w:szCs w:val="20"/>
              </w:rPr>
              <w:t>(8.1)</w:t>
            </w:r>
          </w:p>
        </w:tc>
        <w:tc>
          <w:tcPr>
            <w:tcW w:w="0" w:type="auto"/>
            <w:shd w:val="clear" w:color="auto" w:fill="FFFFFF"/>
            <w:tcMar>
              <w:top w:w="40" w:type="dxa"/>
              <w:left w:w="0" w:type="dxa"/>
              <w:bottom w:w="40" w:type="dxa"/>
              <w:right w:w="20" w:type="dxa"/>
            </w:tcMar>
            <w:vAlign w:val="bottom"/>
          </w:tcPr>
          <w:p w14:paraId="00BAF29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29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296" w14:textId="77777777" w:rsidR="00871BDF" w:rsidRDefault="005C5088">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bottom"/>
          </w:tcPr>
          <w:p w14:paraId="00BAF297" w14:textId="77777777" w:rsidR="00871BDF" w:rsidRDefault="00871BDF">
            <w:pPr>
              <w:jc w:val="right"/>
              <w:rPr>
                <w:rFonts w:ascii="宋体"/>
              </w:rPr>
            </w:pPr>
          </w:p>
        </w:tc>
      </w:tr>
      <w:tr w:rsidR="00871BDF" w14:paraId="00BAF2A5" w14:textId="77777777">
        <w:trPr>
          <w:jc w:val="center"/>
        </w:trPr>
        <w:tc>
          <w:tcPr>
            <w:tcW w:w="0" w:type="auto"/>
            <w:gridSpan w:val="3"/>
            <w:shd w:val="clear" w:color="auto" w:fill="D7E4BC"/>
            <w:tcMar>
              <w:top w:w="40" w:type="dxa"/>
              <w:left w:w="20" w:type="dxa"/>
              <w:bottom w:w="40" w:type="dxa"/>
              <w:right w:w="20" w:type="dxa"/>
            </w:tcMar>
            <w:vAlign w:val="bottom"/>
          </w:tcPr>
          <w:p w14:paraId="00BAF299" w14:textId="77777777" w:rsidR="00871BDF" w:rsidRDefault="005C5088">
            <w:pPr>
              <w:textAlignment w:val="bottom"/>
            </w:pPr>
            <w:r>
              <w:rPr>
                <w:rFonts w:ascii="Times New Roman" w:eastAsia="宋体" w:hAnsi="Times New Roman"/>
                <w:color w:val="000000"/>
                <w:sz w:val="20"/>
                <w:szCs w:val="20"/>
              </w:rPr>
              <w:t>Fair Value Hedges:</w:t>
            </w:r>
          </w:p>
        </w:tc>
        <w:tc>
          <w:tcPr>
            <w:tcW w:w="0" w:type="auto"/>
            <w:gridSpan w:val="3"/>
            <w:shd w:val="clear" w:color="auto" w:fill="D7E4BC"/>
            <w:tcMar>
              <w:top w:w="0" w:type="dxa"/>
              <w:left w:w="20" w:type="dxa"/>
              <w:bottom w:w="0" w:type="dxa"/>
              <w:right w:w="20" w:type="dxa"/>
            </w:tcMar>
          </w:tcPr>
          <w:p w14:paraId="00BAF29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29B" w14:textId="77777777" w:rsidR="00871BDF" w:rsidRDefault="00871BDF">
            <w:pPr>
              <w:rPr>
                <w:rFonts w:ascii="宋体"/>
              </w:rPr>
            </w:pPr>
          </w:p>
        </w:tc>
        <w:tc>
          <w:tcPr>
            <w:tcW w:w="0" w:type="auto"/>
            <w:shd w:val="clear" w:color="auto" w:fill="auto"/>
          </w:tcPr>
          <w:p w14:paraId="00BAF29C" w14:textId="77777777" w:rsidR="00871BDF" w:rsidRDefault="00871BDF">
            <w:pPr>
              <w:rPr>
                <w:rFonts w:ascii="宋体"/>
                <w:vanish/>
              </w:rPr>
            </w:pPr>
          </w:p>
        </w:tc>
        <w:tc>
          <w:tcPr>
            <w:tcW w:w="0" w:type="auto"/>
            <w:shd w:val="clear" w:color="auto" w:fill="auto"/>
          </w:tcPr>
          <w:p w14:paraId="00BAF29D" w14:textId="77777777" w:rsidR="00871BDF" w:rsidRDefault="00871BDF">
            <w:pPr>
              <w:rPr>
                <w:rFonts w:ascii="宋体"/>
                <w:vanish/>
              </w:rPr>
            </w:pPr>
          </w:p>
        </w:tc>
        <w:tc>
          <w:tcPr>
            <w:tcW w:w="0" w:type="auto"/>
            <w:shd w:val="clear" w:color="auto" w:fill="auto"/>
          </w:tcPr>
          <w:p w14:paraId="00BAF29E" w14:textId="77777777" w:rsidR="00871BDF" w:rsidRDefault="00871BDF">
            <w:pPr>
              <w:rPr>
                <w:rFonts w:ascii="宋体"/>
                <w:vanish/>
              </w:rPr>
            </w:pPr>
          </w:p>
        </w:tc>
        <w:tc>
          <w:tcPr>
            <w:tcW w:w="0" w:type="auto"/>
            <w:shd w:val="clear" w:color="auto" w:fill="auto"/>
          </w:tcPr>
          <w:p w14:paraId="00BAF29F" w14:textId="77777777" w:rsidR="00871BDF" w:rsidRDefault="00871BDF">
            <w:pPr>
              <w:rPr>
                <w:rFonts w:ascii="宋体"/>
                <w:vanish/>
              </w:rPr>
            </w:pPr>
          </w:p>
        </w:tc>
        <w:tc>
          <w:tcPr>
            <w:tcW w:w="0" w:type="auto"/>
            <w:gridSpan w:val="3"/>
            <w:shd w:val="clear" w:color="auto" w:fill="D7E4BC"/>
            <w:tcMar>
              <w:top w:w="0" w:type="dxa"/>
              <w:left w:w="20" w:type="dxa"/>
              <w:bottom w:w="0" w:type="dxa"/>
              <w:right w:w="20" w:type="dxa"/>
            </w:tcMar>
          </w:tcPr>
          <w:p w14:paraId="00BAF2A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2A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2A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2A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2A4" w14:textId="77777777" w:rsidR="00871BDF" w:rsidRDefault="00871BDF">
            <w:pPr>
              <w:rPr>
                <w:rFonts w:ascii="宋体"/>
              </w:rPr>
            </w:pPr>
          </w:p>
        </w:tc>
      </w:tr>
      <w:tr w:rsidR="00871BDF" w14:paraId="00BAF2B5" w14:textId="77777777">
        <w:trPr>
          <w:jc w:val="center"/>
        </w:trPr>
        <w:tc>
          <w:tcPr>
            <w:tcW w:w="0" w:type="auto"/>
            <w:gridSpan w:val="3"/>
            <w:shd w:val="clear" w:color="auto" w:fill="FFFFFF"/>
            <w:tcMar>
              <w:top w:w="40" w:type="dxa"/>
              <w:left w:w="155" w:type="dxa"/>
              <w:bottom w:w="40" w:type="dxa"/>
              <w:right w:w="20" w:type="dxa"/>
            </w:tcMar>
            <w:vAlign w:val="bottom"/>
          </w:tcPr>
          <w:p w14:paraId="00BAF2A6" w14:textId="77777777" w:rsidR="00871BDF" w:rsidRDefault="005C5088">
            <w:pPr>
              <w:textAlignment w:val="bottom"/>
            </w:pPr>
            <w:r>
              <w:rPr>
                <w:rFonts w:ascii="Times New Roman" w:eastAsia="宋体" w:hAnsi="Times New Roman"/>
                <w:color w:val="000000"/>
                <w:sz w:val="20"/>
                <w:szCs w:val="20"/>
              </w:rPr>
              <w:t>Interest rate swap</w:t>
            </w:r>
          </w:p>
        </w:tc>
        <w:tc>
          <w:tcPr>
            <w:tcW w:w="0" w:type="auto"/>
            <w:gridSpan w:val="3"/>
            <w:shd w:val="clear" w:color="auto" w:fill="FFFFFF"/>
            <w:tcMar>
              <w:top w:w="40" w:type="dxa"/>
              <w:left w:w="20" w:type="dxa"/>
              <w:bottom w:w="40" w:type="dxa"/>
              <w:right w:w="20" w:type="dxa"/>
            </w:tcMar>
            <w:vAlign w:val="bottom"/>
          </w:tcPr>
          <w:p w14:paraId="00BAF2A7" w14:textId="77777777" w:rsidR="00871BDF" w:rsidRDefault="005C5088">
            <w:pPr>
              <w:textAlignment w:val="bottom"/>
            </w:pPr>
            <w:r>
              <w:rPr>
                <w:rFonts w:ascii="Times New Roman" w:eastAsia="宋体" w:hAnsi="Times New Roman"/>
                <w:color w:val="000000"/>
                <w:sz w:val="20"/>
                <w:szCs w:val="20"/>
              </w:rPr>
              <w:t>Interest expense</w:t>
            </w:r>
          </w:p>
        </w:tc>
        <w:tc>
          <w:tcPr>
            <w:tcW w:w="0" w:type="auto"/>
            <w:gridSpan w:val="3"/>
            <w:shd w:val="clear" w:color="auto" w:fill="FFFFFF"/>
            <w:tcMar>
              <w:top w:w="0" w:type="dxa"/>
              <w:left w:w="20" w:type="dxa"/>
              <w:bottom w:w="0" w:type="dxa"/>
              <w:right w:w="20" w:type="dxa"/>
            </w:tcMar>
          </w:tcPr>
          <w:p w14:paraId="00BAF2A8" w14:textId="77777777" w:rsidR="00871BDF" w:rsidRDefault="00871BDF">
            <w:pPr>
              <w:rPr>
                <w:rFonts w:ascii="宋体"/>
              </w:rPr>
            </w:pPr>
          </w:p>
        </w:tc>
        <w:tc>
          <w:tcPr>
            <w:tcW w:w="0" w:type="auto"/>
            <w:shd w:val="clear" w:color="auto" w:fill="auto"/>
          </w:tcPr>
          <w:p w14:paraId="00BAF2A9" w14:textId="77777777" w:rsidR="00871BDF" w:rsidRDefault="00871BDF">
            <w:pPr>
              <w:rPr>
                <w:rFonts w:ascii="宋体"/>
                <w:vanish/>
              </w:rPr>
            </w:pPr>
          </w:p>
        </w:tc>
        <w:tc>
          <w:tcPr>
            <w:tcW w:w="0" w:type="auto"/>
            <w:shd w:val="clear" w:color="auto" w:fill="auto"/>
          </w:tcPr>
          <w:p w14:paraId="00BAF2AA" w14:textId="77777777" w:rsidR="00871BDF" w:rsidRDefault="00871BDF">
            <w:pPr>
              <w:rPr>
                <w:rFonts w:ascii="宋体"/>
                <w:vanish/>
              </w:rPr>
            </w:pPr>
          </w:p>
        </w:tc>
        <w:tc>
          <w:tcPr>
            <w:tcW w:w="0" w:type="auto"/>
            <w:shd w:val="clear" w:color="auto" w:fill="auto"/>
          </w:tcPr>
          <w:p w14:paraId="00BAF2AB" w14:textId="77777777" w:rsidR="00871BDF" w:rsidRDefault="00871BDF">
            <w:pPr>
              <w:rPr>
                <w:rFonts w:ascii="宋体"/>
                <w:vanish/>
              </w:rPr>
            </w:pPr>
          </w:p>
        </w:tc>
        <w:tc>
          <w:tcPr>
            <w:tcW w:w="0" w:type="auto"/>
            <w:shd w:val="clear" w:color="auto" w:fill="auto"/>
          </w:tcPr>
          <w:p w14:paraId="00BAF2AC" w14:textId="77777777" w:rsidR="00871BDF" w:rsidRDefault="00871BDF">
            <w:pPr>
              <w:rPr>
                <w:rFonts w:ascii="宋体"/>
                <w:vanish/>
              </w:rPr>
            </w:pPr>
          </w:p>
        </w:tc>
        <w:tc>
          <w:tcPr>
            <w:tcW w:w="0" w:type="auto"/>
            <w:gridSpan w:val="2"/>
            <w:shd w:val="clear" w:color="auto" w:fill="FFFFFF"/>
            <w:tcMar>
              <w:top w:w="40" w:type="dxa"/>
              <w:left w:w="20" w:type="dxa"/>
              <w:bottom w:w="40" w:type="dxa"/>
              <w:right w:w="0" w:type="dxa"/>
            </w:tcMar>
            <w:vAlign w:val="bottom"/>
          </w:tcPr>
          <w:p w14:paraId="00BAF2AD" w14:textId="77777777" w:rsidR="00871BDF" w:rsidRDefault="005C5088">
            <w:pPr>
              <w:jc w:val="right"/>
              <w:textAlignment w:val="bottom"/>
            </w:pPr>
            <w:r>
              <w:rPr>
                <w:rFonts w:ascii="Times New Roman" w:eastAsia="宋体" w:hAnsi="Times New Roman"/>
                <w:color w:val="000000"/>
                <w:sz w:val="20"/>
                <w:szCs w:val="20"/>
              </w:rPr>
              <w:t>28.7 </w:t>
            </w:r>
          </w:p>
        </w:tc>
        <w:tc>
          <w:tcPr>
            <w:tcW w:w="0" w:type="auto"/>
            <w:shd w:val="clear" w:color="auto" w:fill="FFFFFF"/>
            <w:tcMar>
              <w:top w:w="40" w:type="dxa"/>
              <w:left w:w="0" w:type="dxa"/>
              <w:bottom w:w="40" w:type="dxa"/>
              <w:right w:w="20" w:type="dxa"/>
            </w:tcMar>
            <w:vAlign w:val="bottom"/>
          </w:tcPr>
          <w:p w14:paraId="00BAF2A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2A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2B0" w14:textId="77777777" w:rsidR="00871BDF" w:rsidRDefault="005C5088">
            <w:pPr>
              <w:jc w:val="right"/>
              <w:textAlignment w:val="bottom"/>
            </w:pPr>
            <w:r>
              <w:rPr>
                <w:rFonts w:ascii="Times New Roman" w:eastAsia="宋体" w:hAnsi="Times New Roman"/>
                <w:color w:val="000000"/>
                <w:sz w:val="20"/>
                <w:szCs w:val="20"/>
              </w:rPr>
              <w:t>54.7 </w:t>
            </w:r>
          </w:p>
        </w:tc>
        <w:tc>
          <w:tcPr>
            <w:tcW w:w="0" w:type="auto"/>
            <w:shd w:val="clear" w:color="auto" w:fill="FFFFFF"/>
            <w:tcMar>
              <w:top w:w="40" w:type="dxa"/>
              <w:left w:w="0" w:type="dxa"/>
              <w:bottom w:w="40" w:type="dxa"/>
              <w:right w:w="20" w:type="dxa"/>
            </w:tcMar>
            <w:vAlign w:val="bottom"/>
          </w:tcPr>
          <w:p w14:paraId="00BAF2B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2B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2B3" w14:textId="77777777" w:rsidR="00871BDF" w:rsidRDefault="005C5088">
            <w:pPr>
              <w:jc w:val="right"/>
              <w:textAlignment w:val="bottom"/>
            </w:pPr>
            <w:r>
              <w:rPr>
                <w:rFonts w:ascii="Times New Roman" w:eastAsia="宋体" w:hAnsi="Times New Roman"/>
                <w:color w:val="000000"/>
                <w:sz w:val="20"/>
                <w:szCs w:val="20"/>
              </w:rPr>
              <w:t>(33.7)</w:t>
            </w:r>
          </w:p>
        </w:tc>
        <w:tc>
          <w:tcPr>
            <w:tcW w:w="0" w:type="auto"/>
            <w:shd w:val="clear" w:color="auto" w:fill="FFFFFF"/>
            <w:tcMar>
              <w:top w:w="40" w:type="dxa"/>
              <w:left w:w="0" w:type="dxa"/>
              <w:bottom w:w="40" w:type="dxa"/>
              <w:right w:w="20" w:type="dxa"/>
            </w:tcMar>
            <w:vAlign w:val="bottom"/>
          </w:tcPr>
          <w:p w14:paraId="00BAF2B4" w14:textId="77777777" w:rsidR="00871BDF" w:rsidRDefault="00871BDF">
            <w:pPr>
              <w:jc w:val="right"/>
              <w:rPr>
                <w:rFonts w:ascii="宋体"/>
              </w:rPr>
            </w:pPr>
          </w:p>
        </w:tc>
      </w:tr>
      <w:tr w:rsidR="00871BDF" w14:paraId="00BAF2C5" w14:textId="77777777">
        <w:trPr>
          <w:jc w:val="center"/>
        </w:trPr>
        <w:tc>
          <w:tcPr>
            <w:tcW w:w="0" w:type="auto"/>
            <w:gridSpan w:val="3"/>
            <w:shd w:val="clear" w:color="auto" w:fill="D7E4BC"/>
            <w:tcMar>
              <w:top w:w="40" w:type="dxa"/>
              <w:left w:w="155" w:type="dxa"/>
              <w:bottom w:w="40" w:type="dxa"/>
              <w:right w:w="20" w:type="dxa"/>
            </w:tcMar>
            <w:vAlign w:val="bottom"/>
          </w:tcPr>
          <w:p w14:paraId="00BAF2B6" w14:textId="77777777" w:rsidR="00871BDF" w:rsidRDefault="005C5088">
            <w:pPr>
              <w:textAlignment w:val="bottom"/>
            </w:pPr>
            <w:r>
              <w:rPr>
                <w:rFonts w:ascii="Times New Roman" w:eastAsia="宋体" w:hAnsi="Times New Roman"/>
                <w:color w:val="000000"/>
                <w:sz w:val="20"/>
                <w:szCs w:val="20"/>
              </w:rPr>
              <w:t>Long-term debt (hedged item)</w:t>
            </w:r>
          </w:p>
        </w:tc>
        <w:tc>
          <w:tcPr>
            <w:tcW w:w="0" w:type="auto"/>
            <w:gridSpan w:val="3"/>
            <w:shd w:val="clear" w:color="auto" w:fill="D7E4BC"/>
            <w:tcMar>
              <w:top w:w="40" w:type="dxa"/>
              <w:left w:w="20" w:type="dxa"/>
              <w:bottom w:w="40" w:type="dxa"/>
              <w:right w:w="20" w:type="dxa"/>
            </w:tcMar>
            <w:vAlign w:val="bottom"/>
          </w:tcPr>
          <w:p w14:paraId="00BAF2B7" w14:textId="77777777" w:rsidR="00871BDF" w:rsidRDefault="005C5088">
            <w:pPr>
              <w:textAlignment w:val="bottom"/>
            </w:pPr>
            <w:r>
              <w:rPr>
                <w:rFonts w:ascii="Times New Roman" w:eastAsia="宋体" w:hAnsi="Times New Roman"/>
                <w:color w:val="000000"/>
                <w:sz w:val="20"/>
                <w:szCs w:val="20"/>
              </w:rPr>
              <w:t>Interest expense</w:t>
            </w:r>
          </w:p>
        </w:tc>
        <w:tc>
          <w:tcPr>
            <w:tcW w:w="0" w:type="auto"/>
            <w:gridSpan w:val="3"/>
            <w:shd w:val="clear" w:color="auto" w:fill="D7E4BC"/>
            <w:tcMar>
              <w:top w:w="0" w:type="dxa"/>
              <w:left w:w="20" w:type="dxa"/>
              <w:bottom w:w="0" w:type="dxa"/>
              <w:right w:w="20" w:type="dxa"/>
            </w:tcMar>
          </w:tcPr>
          <w:p w14:paraId="00BAF2B8" w14:textId="77777777" w:rsidR="00871BDF" w:rsidRDefault="00871BDF">
            <w:pPr>
              <w:rPr>
                <w:rFonts w:ascii="宋体"/>
              </w:rPr>
            </w:pPr>
          </w:p>
        </w:tc>
        <w:tc>
          <w:tcPr>
            <w:tcW w:w="0" w:type="auto"/>
            <w:shd w:val="clear" w:color="auto" w:fill="auto"/>
          </w:tcPr>
          <w:p w14:paraId="00BAF2B9" w14:textId="77777777" w:rsidR="00871BDF" w:rsidRDefault="00871BDF">
            <w:pPr>
              <w:rPr>
                <w:rFonts w:ascii="宋体"/>
                <w:vanish/>
              </w:rPr>
            </w:pPr>
          </w:p>
        </w:tc>
        <w:tc>
          <w:tcPr>
            <w:tcW w:w="0" w:type="auto"/>
            <w:shd w:val="clear" w:color="auto" w:fill="auto"/>
          </w:tcPr>
          <w:p w14:paraId="00BAF2BA" w14:textId="77777777" w:rsidR="00871BDF" w:rsidRDefault="00871BDF">
            <w:pPr>
              <w:rPr>
                <w:rFonts w:ascii="宋体"/>
                <w:vanish/>
              </w:rPr>
            </w:pPr>
          </w:p>
        </w:tc>
        <w:tc>
          <w:tcPr>
            <w:tcW w:w="0" w:type="auto"/>
            <w:shd w:val="clear" w:color="auto" w:fill="auto"/>
          </w:tcPr>
          <w:p w14:paraId="00BAF2BB" w14:textId="77777777" w:rsidR="00871BDF" w:rsidRDefault="00871BDF">
            <w:pPr>
              <w:rPr>
                <w:rFonts w:ascii="宋体"/>
                <w:vanish/>
              </w:rPr>
            </w:pPr>
          </w:p>
        </w:tc>
        <w:tc>
          <w:tcPr>
            <w:tcW w:w="0" w:type="auto"/>
            <w:shd w:val="clear" w:color="auto" w:fill="auto"/>
          </w:tcPr>
          <w:p w14:paraId="00BAF2BC" w14:textId="77777777" w:rsidR="00871BDF" w:rsidRDefault="00871BDF">
            <w:pPr>
              <w:rPr>
                <w:rFonts w:ascii="宋体"/>
                <w:vanish/>
              </w:rPr>
            </w:pPr>
          </w:p>
        </w:tc>
        <w:tc>
          <w:tcPr>
            <w:tcW w:w="0" w:type="auto"/>
            <w:gridSpan w:val="2"/>
            <w:shd w:val="clear" w:color="auto" w:fill="D7E4BC"/>
            <w:tcMar>
              <w:top w:w="40" w:type="dxa"/>
              <w:left w:w="20" w:type="dxa"/>
              <w:bottom w:w="40" w:type="dxa"/>
              <w:right w:w="0" w:type="dxa"/>
            </w:tcMar>
            <w:vAlign w:val="bottom"/>
          </w:tcPr>
          <w:p w14:paraId="00BAF2BD" w14:textId="77777777" w:rsidR="00871BDF" w:rsidRDefault="005C5088">
            <w:pPr>
              <w:jc w:val="right"/>
              <w:textAlignment w:val="bottom"/>
            </w:pPr>
            <w:r>
              <w:rPr>
                <w:rFonts w:ascii="Times New Roman" w:eastAsia="宋体" w:hAnsi="Times New Roman"/>
                <w:color w:val="000000"/>
                <w:sz w:val="20"/>
                <w:szCs w:val="20"/>
              </w:rPr>
              <w:t>(23.8)</w:t>
            </w:r>
          </w:p>
        </w:tc>
        <w:tc>
          <w:tcPr>
            <w:tcW w:w="0" w:type="auto"/>
            <w:shd w:val="clear" w:color="auto" w:fill="D7E4BC"/>
            <w:tcMar>
              <w:top w:w="40" w:type="dxa"/>
              <w:left w:w="0" w:type="dxa"/>
              <w:bottom w:w="40" w:type="dxa"/>
              <w:right w:w="20" w:type="dxa"/>
            </w:tcMar>
            <w:vAlign w:val="bottom"/>
          </w:tcPr>
          <w:p w14:paraId="00BAF2B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2B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2C0" w14:textId="77777777" w:rsidR="00871BDF" w:rsidRDefault="005C5088">
            <w:pPr>
              <w:jc w:val="right"/>
              <w:textAlignment w:val="bottom"/>
            </w:pPr>
            <w:r>
              <w:rPr>
                <w:rFonts w:ascii="Times New Roman" w:eastAsia="宋体" w:hAnsi="Times New Roman"/>
                <w:color w:val="000000"/>
                <w:sz w:val="20"/>
                <w:szCs w:val="20"/>
              </w:rPr>
              <w:t>(50.7)</w:t>
            </w:r>
          </w:p>
        </w:tc>
        <w:tc>
          <w:tcPr>
            <w:tcW w:w="0" w:type="auto"/>
            <w:shd w:val="clear" w:color="auto" w:fill="D7E4BC"/>
            <w:tcMar>
              <w:top w:w="40" w:type="dxa"/>
              <w:left w:w="0" w:type="dxa"/>
              <w:bottom w:w="40" w:type="dxa"/>
              <w:right w:w="20" w:type="dxa"/>
            </w:tcMar>
            <w:vAlign w:val="bottom"/>
          </w:tcPr>
          <w:p w14:paraId="00BAF2C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2C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2C3" w14:textId="77777777" w:rsidR="00871BDF" w:rsidRDefault="005C5088">
            <w:pPr>
              <w:jc w:val="right"/>
              <w:textAlignment w:val="bottom"/>
            </w:pPr>
            <w:r>
              <w:rPr>
                <w:rFonts w:ascii="Times New Roman" w:eastAsia="宋体" w:hAnsi="Times New Roman"/>
                <w:color w:val="000000"/>
                <w:sz w:val="20"/>
                <w:szCs w:val="20"/>
              </w:rPr>
              <w:t>33.7 </w:t>
            </w:r>
          </w:p>
        </w:tc>
        <w:tc>
          <w:tcPr>
            <w:tcW w:w="0" w:type="auto"/>
            <w:shd w:val="clear" w:color="auto" w:fill="D7E4BC"/>
            <w:tcMar>
              <w:top w:w="40" w:type="dxa"/>
              <w:left w:w="0" w:type="dxa"/>
              <w:bottom w:w="40" w:type="dxa"/>
              <w:right w:w="20" w:type="dxa"/>
            </w:tcMar>
            <w:vAlign w:val="bottom"/>
          </w:tcPr>
          <w:p w14:paraId="00BAF2C4" w14:textId="77777777" w:rsidR="00871BDF" w:rsidRDefault="00871BDF">
            <w:pPr>
              <w:jc w:val="right"/>
              <w:rPr>
                <w:rFonts w:ascii="宋体"/>
              </w:rPr>
            </w:pPr>
          </w:p>
        </w:tc>
      </w:tr>
    </w:tbl>
    <w:p w14:paraId="00BAF2C6" w14:textId="77777777" w:rsidR="00871BDF" w:rsidRDefault="005C5088">
      <w:pPr>
        <w:spacing w:before="240"/>
      </w:pPr>
      <w:r>
        <w:rPr>
          <w:rFonts w:ascii="Times New Roman" w:eastAsia="宋体" w:hAnsi="Times New Roman"/>
          <w:color w:val="000000"/>
          <w:sz w:val="20"/>
          <w:szCs w:val="20"/>
        </w:rPr>
        <w:t xml:space="preserve">Notional amounts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619"/>
        <w:gridCol w:w="36"/>
        <w:gridCol w:w="121"/>
        <w:gridCol w:w="1121"/>
        <w:gridCol w:w="36"/>
        <w:gridCol w:w="36"/>
        <w:gridCol w:w="36"/>
        <w:gridCol w:w="36"/>
        <w:gridCol w:w="121"/>
        <w:gridCol w:w="1086"/>
        <w:gridCol w:w="36"/>
      </w:tblGrid>
      <w:tr w:rsidR="00871BDF" w14:paraId="00BAF2D3" w14:textId="77777777">
        <w:trPr>
          <w:jc w:val="center"/>
        </w:trPr>
        <w:tc>
          <w:tcPr>
            <w:tcW w:w="50" w:type="pct"/>
            <w:shd w:val="clear" w:color="auto" w:fill="auto"/>
          </w:tcPr>
          <w:p w14:paraId="00BAF2C7" w14:textId="77777777" w:rsidR="00871BDF" w:rsidRDefault="00871BDF">
            <w:pPr>
              <w:rPr>
                <w:rFonts w:ascii="宋体"/>
              </w:rPr>
            </w:pPr>
          </w:p>
        </w:tc>
        <w:tc>
          <w:tcPr>
            <w:tcW w:w="3400" w:type="pct"/>
            <w:shd w:val="clear" w:color="auto" w:fill="auto"/>
          </w:tcPr>
          <w:p w14:paraId="00BAF2C8" w14:textId="77777777" w:rsidR="00871BDF" w:rsidRDefault="00871BDF">
            <w:pPr>
              <w:rPr>
                <w:rFonts w:ascii="宋体"/>
              </w:rPr>
            </w:pPr>
          </w:p>
        </w:tc>
        <w:tc>
          <w:tcPr>
            <w:tcW w:w="5" w:type="pct"/>
            <w:shd w:val="clear" w:color="auto" w:fill="auto"/>
          </w:tcPr>
          <w:p w14:paraId="00BAF2C9" w14:textId="77777777" w:rsidR="00871BDF" w:rsidRDefault="00871BDF">
            <w:pPr>
              <w:rPr>
                <w:rFonts w:ascii="宋体"/>
              </w:rPr>
            </w:pPr>
          </w:p>
        </w:tc>
        <w:tc>
          <w:tcPr>
            <w:tcW w:w="50" w:type="pct"/>
            <w:shd w:val="clear" w:color="auto" w:fill="auto"/>
          </w:tcPr>
          <w:p w14:paraId="00BAF2CA" w14:textId="77777777" w:rsidR="00871BDF" w:rsidRDefault="00871BDF">
            <w:pPr>
              <w:rPr>
                <w:rFonts w:ascii="宋体"/>
              </w:rPr>
            </w:pPr>
          </w:p>
        </w:tc>
        <w:tc>
          <w:tcPr>
            <w:tcW w:w="699" w:type="pct"/>
            <w:shd w:val="clear" w:color="auto" w:fill="auto"/>
          </w:tcPr>
          <w:p w14:paraId="00BAF2CB" w14:textId="77777777" w:rsidR="00871BDF" w:rsidRDefault="00871BDF">
            <w:pPr>
              <w:rPr>
                <w:rFonts w:ascii="宋体"/>
              </w:rPr>
            </w:pPr>
          </w:p>
        </w:tc>
        <w:tc>
          <w:tcPr>
            <w:tcW w:w="5" w:type="pct"/>
            <w:shd w:val="clear" w:color="auto" w:fill="auto"/>
          </w:tcPr>
          <w:p w14:paraId="00BAF2CC" w14:textId="77777777" w:rsidR="00871BDF" w:rsidRDefault="00871BDF">
            <w:pPr>
              <w:rPr>
                <w:rFonts w:ascii="宋体"/>
              </w:rPr>
            </w:pPr>
          </w:p>
        </w:tc>
        <w:tc>
          <w:tcPr>
            <w:tcW w:w="5" w:type="pct"/>
            <w:shd w:val="clear" w:color="auto" w:fill="auto"/>
          </w:tcPr>
          <w:p w14:paraId="00BAF2CD" w14:textId="77777777" w:rsidR="00871BDF" w:rsidRDefault="00871BDF">
            <w:pPr>
              <w:rPr>
                <w:rFonts w:ascii="宋体"/>
              </w:rPr>
            </w:pPr>
          </w:p>
        </w:tc>
        <w:tc>
          <w:tcPr>
            <w:tcW w:w="26" w:type="pct"/>
            <w:shd w:val="clear" w:color="auto" w:fill="auto"/>
          </w:tcPr>
          <w:p w14:paraId="00BAF2CE" w14:textId="77777777" w:rsidR="00871BDF" w:rsidRDefault="00871BDF">
            <w:pPr>
              <w:rPr>
                <w:rFonts w:ascii="宋体"/>
              </w:rPr>
            </w:pPr>
          </w:p>
        </w:tc>
        <w:tc>
          <w:tcPr>
            <w:tcW w:w="5" w:type="pct"/>
            <w:shd w:val="clear" w:color="auto" w:fill="auto"/>
          </w:tcPr>
          <w:p w14:paraId="00BAF2CF" w14:textId="77777777" w:rsidR="00871BDF" w:rsidRDefault="00871BDF">
            <w:pPr>
              <w:rPr>
                <w:rFonts w:ascii="宋体"/>
              </w:rPr>
            </w:pPr>
          </w:p>
        </w:tc>
        <w:tc>
          <w:tcPr>
            <w:tcW w:w="50" w:type="pct"/>
            <w:shd w:val="clear" w:color="auto" w:fill="auto"/>
          </w:tcPr>
          <w:p w14:paraId="00BAF2D0" w14:textId="77777777" w:rsidR="00871BDF" w:rsidRDefault="00871BDF">
            <w:pPr>
              <w:rPr>
                <w:rFonts w:ascii="宋体"/>
              </w:rPr>
            </w:pPr>
          </w:p>
        </w:tc>
        <w:tc>
          <w:tcPr>
            <w:tcW w:w="699" w:type="pct"/>
            <w:shd w:val="clear" w:color="auto" w:fill="auto"/>
          </w:tcPr>
          <w:p w14:paraId="00BAF2D1" w14:textId="77777777" w:rsidR="00871BDF" w:rsidRDefault="00871BDF">
            <w:pPr>
              <w:rPr>
                <w:rFonts w:ascii="宋体"/>
              </w:rPr>
            </w:pPr>
          </w:p>
        </w:tc>
        <w:tc>
          <w:tcPr>
            <w:tcW w:w="5" w:type="pct"/>
            <w:shd w:val="clear" w:color="auto" w:fill="auto"/>
          </w:tcPr>
          <w:p w14:paraId="00BAF2D2" w14:textId="77777777" w:rsidR="00871BDF" w:rsidRDefault="00871BDF">
            <w:pPr>
              <w:rPr>
                <w:rFonts w:ascii="宋体"/>
              </w:rPr>
            </w:pPr>
          </w:p>
        </w:tc>
      </w:tr>
      <w:tr w:rsidR="00871BDF" w14:paraId="00BAF2D8" w14:textId="77777777">
        <w:trPr>
          <w:jc w:val="center"/>
        </w:trPr>
        <w:tc>
          <w:tcPr>
            <w:tcW w:w="0" w:type="auto"/>
            <w:gridSpan w:val="3"/>
            <w:shd w:val="clear" w:color="auto" w:fill="auto"/>
            <w:tcMar>
              <w:top w:w="0" w:type="dxa"/>
              <w:left w:w="20" w:type="dxa"/>
              <w:bottom w:w="0" w:type="dxa"/>
              <w:right w:w="20" w:type="dxa"/>
            </w:tcMar>
          </w:tcPr>
          <w:p w14:paraId="00BAF2D4"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2D5"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AF2D6"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2D7" w14:textId="77777777" w:rsidR="00871BDF" w:rsidRDefault="005C5088">
            <w:pPr>
              <w:jc w:val="center"/>
              <w:textAlignment w:val="bottom"/>
            </w:pPr>
            <w:r>
              <w:rPr>
                <w:rFonts w:ascii="Times New Roman" w:eastAsia="宋体" w:hAnsi="Times New Roman"/>
                <w:b/>
                <w:bCs/>
                <w:color w:val="FFFFFF"/>
                <w:sz w:val="16"/>
                <w:szCs w:val="16"/>
              </w:rPr>
              <w:t>Sep 29, 2019</w:t>
            </w:r>
          </w:p>
        </w:tc>
      </w:tr>
      <w:tr w:rsidR="00871BDF" w14:paraId="00BAF2E1" w14:textId="77777777">
        <w:trPr>
          <w:jc w:val="center"/>
        </w:trPr>
        <w:tc>
          <w:tcPr>
            <w:tcW w:w="0" w:type="auto"/>
            <w:gridSpan w:val="3"/>
            <w:shd w:val="clear" w:color="auto" w:fill="D7E4BC"/>
            <w:tcMar>
              <w:top w:w="40" w:type="dxa"/>
              <w:left w:w="20" w:type="dxa"/>
              <w:bottom w:w="40" w:type="dxa"/>
              <w:right w:w="20" w:type="dxa"/>
            </w:tcMar>
            <w:vAlign w:val="bottom"/>
          </w:tcPr>
          <w:p w14:paraId="00BAF2D9" w14:textId="77777777" w:rsidR="00871BDF" w:rsidRDefault="005C5088">
            <w:pPr>
              <w:textAlignment w:val="bottom"/>
            </w:pPr>
            <w:r>
              <w:rPr>
                <w:rFonts w:ascii="Times New Roman" w:eastAsia="宋体" w:hAnsi="Times New Roman"/>
                <w:color w:val="000000"/>
                <w:sz w:val="20"/>
                <w:szCs w:val="20"/>
              </w:rPr>
              <w:t>Coffee</w:t>
            </w:r>
          </w:p>
        </w:tc>
        <w:tc>
          <w:tcPr>
            <w:tcW w:w="0" w:type="auto"/>
            <w:shd w:val="clear" w:color="auto" w:fill="D7E4BC"/>
            <w:tcMar>
              <w:top w:w="40" w:type="dxa"/>
              <w:left w:w="20" w:type="dxa"/>
              <w:bottom w:w="40" w:type="dxa"/>
              <w:right w:w="0" w:type="dxa"/>
            </w:tcMar>
            <w:vAlign w:val="bottom"/>
          </w:tcPr>
          <w:p w14:paraId="00BAF2DA"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F2DB" w14:textId="77777777" w:rsidR="00871BDF" w:rsidRDefault="005C5088">
            <w:pPr>
              <w:jc w:val="right"/>
              <w:textAlignment w:val="bottom"/>
            </w:pPr>
            <w:r>
              <w:rPr>
                <w:rFonts w:ascii="Times New Roman" w:eastAsia="宋体" w:hAnsi="Times New Roman"/>
                <w:color w:val="000000"/>
                <w:sz w:val="20"/>
                <w:szCs w:val="20"/>
              </w:rPr>
              <w:t>63 </w:t>
            </w:r>
          </w:p>
        </w:tc>
        <w:tc>
          <w:tcPr>
            <w:tcW w:w="0" w:type="auto"/>
            <w:shd w:val="clear" w:color="auto" w:fill="D7E4BC"/>
            <w:tcMar>
              <w:top w:w="40" w:type="dxa"/>
              <w:left w:w="0" w:type="dxa"/>
              <w:bottom w:w="40" w:type="dxa"/>
              <w:right w:w="20" w:type="dxa"/>
            </w:tcMar>
            <w:vAlign w:val="bottom"/>
          </w:tcPr>
          <w:p w14:paraId="00BAF2D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2DD"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F2DE"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F2DF" w14:textId="77777777" w:rsidR="00871BDF" w:rsidRDefault="005C5088">
            <w:pPr>
              <w:jc w:val="right"/>
              <w:textAlignment w:val="bottom"/>
            </w:pPr>
            <w:r>
              <w:rPr>
                <w:rFonts w:ascii="Times New Roman" w:eastAsia="宋体" w:hAnsi="Times New Roman"/>
                <w:color w:val="000000"/>
                <w:sz w:val="20"/>
                <w:szCs w:val="20"/>
              </w:rPr>
              <w:t>52 </w:t>
            </w:r>
          </w:p>
        </w:tc>
        <w:tc>
          <w:tcPr>
            <w:tcW w:w="0" w:type="auto"/>
            <w:shd w:val="clear" w:color="auto" w:fill="D7E4BC"/>
            <w:tcMar>
              <w:top w:w="40" w:type="dxa"/>
              <w:left w:w="0" w:type="dxa"/>
              <w:bottom w:w="40" w:type="dxa"/>
              <w:right w:w="20" w:type="dxa"/>
            </w:tcMar>
            <w:vAlign w:val="bottom"/>
          </w:tcPr>
          <w:p w14:paraId="00BAF2E0" w14:textId="77777777" w:rsidR="00871BDF" w:rsidRDefault="00871BDF">
            <w:pPr>
              <w:jc w:val="right"/>
              <w:rPr>
                <w:rFonts w:ascii="宋体"/>
              </w:rPr>
            </w:pPr>
          </w:p>
        </w:tc>
      </w:tr>
      <w:tr w:rsidR="00871BDF" w14:paraId="00BAF2E8" w14:textId="77777777">
        <w:trPr>
          <w:jc w:val="center"/>
        </w:trPr>
        <w:tc>
          <w:tcPr>
            <w:tcW w:w="0" w:type="auto"/>
            <w:gridSpan w:val="3"/>
            <w:shd w:val="clear" w:color="auto" w:fill="FFFFFF"/>
            <w:tcMar>
              <w:top w:w="40" w:type="dxa"/>
              <w:left w:w="20" w:type="dxa"/>
              <w:bottom w:w="40" w:type="dxa"/>
              <w:right w:w="20" w:type="dxa"/>
            </w:tcMar>
            <w:vAlign w:val="bottom"/>
          </w:tcPr>
          <w:p w14:paraId="00BAF2E2" w14:textId="77777777" w:rsidR="00871BDF" w:rsidRDefault="005C5088">
            <w:pPr>
              <w:textAlignment w:val="bottom"/>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00BAF2E3" w14:textId="77777777" w:rsidR="00871BDF" w:rsidRDefault="005C5088">
            <w:pPr>
              <w:jc w:val="right"/>
              <w:textAlignment w:val="bottom"/>
            </w:pPr>
            <w:r>
              <w:rPr>
                <w:rFonts w:ascii="Times New Roman" w:eastAsia="宋体" w:hAnsi="Times New Roman"/>
                <w:color w:val="000000"/>
                <w:sz w:val="20"/>
                <w:szCs w:val="20"/>
              </w:rPr>
              <w:t>870 </w:t>
            </w:r>
          </w:p>
        </w:tc>
        <w:tc>
          <w:tcPr>
            <w:tcW w:w="0" w:type="auto"/>
            <w:shd w:val="clear" w:color="auto" w:fill="FFFFFF"/>
            <w:tcMar>
              <w:top w:w="40" w:type="dxa"/>
              <w:left w:w="0" w:type="dxa"/>
              <w:bottom w:w="40" w:type="dxa"/>
              <w:right w:w="20" w:type="dxa"/>
            </w:tcMar>
            <w:vAlign w:val="bottom"/>
          </w:tcPr>
          <w:p w14:paraId="00BAF2E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2E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2E6" w14:textId="77777777" w:rsidR="00871BDF" w:rsidRDefault="005C5088">
            <w:pPr>
              <w:jc w:val="right"/>
              <w:textAlignment w:val="bottom"/>
            </w:pPr>
            <w:r>
              <w:rPr>
                <w:rFonts w:ascii="Times New Roman" w:eastAsia="宋体" w:hAnsi="Times New Roman"/>
                <w:color w:val="000000"/>
                <w:sz w:val="20"/>
                <w:szCs w:val="20"/>
              </w:rPr>
              <w:t>341 </w:t>
            </w:r>
          </w:p>
        </w:tc>
        <w:tc>
          <w:tcPr>
            <w:tcW w:w="0" w:type="auto"/>
            <w:shd w:val="clear" w:color="auto" w:fill="FFFFFF"/>
            <w:tcMar>
              <w:top w:w="40" w:type="dxa"/>
              <w:left w:w="0" w:type="dxa"/>
              <w:bottom w:w="40" w:type="dxa"/>
              <w:right w:w="20" w:type="dxa"/>
            </w:tcMar>
            <w:vAlign w:val="bottom"/>
          </w:tcPr>
          <w:p w14:paraId="00BAF2E7" w14:textId="77777777" w:rsidR="00871BDF" w:rsidRDefault="00871BDF">
            <w:pPr>
              <w:jc w:val="right"/>
              <w:rPr>
                <w:rFonts w:ascii="宋体"/>
              </w:rPr>
            </w:pPr>
          </w:p>
        </w:tc>
      </w:tr>
      <w:tr w:rsidR="00871BDF" w14:paraId="00BAF2EF" w14:textId="77777777">
        <w:trPr>
          <w:jc w:val="center"/>
        </w:trPr>
        <w:tc>
          <w:tcPr>
            <w:tcW w:w="0" w:type="auto"/>
            <w:gridSpan w:val="3"/>
            <w:shd w:val="clear" w:color="auto" w:fill="D7E4BC"/>
            <w:tcMar>
              <w:top w:w="40" w:type="dxa"/>
              <w:left w:w="20" w:type="dxa"/>
              <w:bottom w:w="40" w:type="dxa"/>
              <w:right w:w="20" w:type="dxa"/>
            </w:tcMar>
            <w:vAlign w:val="bottom"/>
          </w:tcPr>
          <w:p w14:paraId="00BAF2E9" w14:textId="77777777" w:rsidR="00871BDF" w:rsidRDefault="005C5088">
            <w:pPr>
              <w:textAlignment w:val="bottom"/>
            </w:pPr>
            <w:r>
              <w:rPr>
                <w:rFonts w:ascii="Times New Roman" w:eastAsia="宋体" w:hAnsi="Times New Roman"/>
                <w:color w:val="000000"/>
                <w:sz w:val="20"/>
                <w:szCs w:val="20"/>
              </w:rPr>
              <w:t>Dairy</w:t>
            </w:r>
          </w:p>
        </w:tc>
        <w:tc>
          <w:tcPr>
            <w:tcW w:w="0" w:type="auto"/>
            <w:gridSpan w:val="2"/>
            <w:shd w:val="clear" w:color="auto" w:fill="D7E4BC"/>
            <w:tcMar>
              <w:top w:w="40" w:type="dxa"/>
              <w:left w:w="20" w:type="dxa"/>
              <w:bottom w:w="40" w:type="dxa"/>
              <w:right w:w="0" w:type="dxa"/>
            </w:tcMar>
            <w:vAlign w:val="bottom"/>
          </w:tcPr>
          <w:p w14:paraId="00BAF2EA" w14:textId="77777777" w:rsidR="00871BDF" w:rsidRDefault="005C5088">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00BAF2E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2E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2ED" w14:textId="77777777" w:rsidR="00871BDF" w:rsidRDefault="005C5088">
            <w:pPr>
              <w:jc w:val="right"/>
              <w:textAlignment w:val="bottom"/>
            </w:pPr>
            <w:r>
              <w:rPr>
                <w:rFonts w:ascii="Times New Roman" w:eastAsia="宋体" w:hAnsi="Times New Roman"/>
                <w:color w:val="000000"/>
                <w:sz w:val="20"/>
                <w:szCs w:val="20"/>
              </w:rPr>
              <w:t>1 </w:t>
            </w:r>
          </w:p>
        </w:tc>
        <w:tc>
          <w:tcPr>
            <w:tcW w:w="0" w:type="auto"/>
            <w:shd w:val="clear" w:color="auto" w:fill="D7E4BC"/>
            <w:tcMar>
              <w:top w:w="40" w:type="dxa"/>
              <w:left w:w="0" w:type="dxa"/>
              <w:bottom w:w="40" w:type="dxa"/>
              <w:right w:w="20" w:type="dxa"/>
            </w:tcMar>
            <w:vAlign w:val="bottom"/>
          </w:tcPr>
          <w:p w14:paraId="00BAF2EE" w14:textId="77777777" w:rsidR="00871BDF" w:rsidRDefault="00871BDF">
            <w:pPr>
              <w:jc w:val="right"/>
              <w:rPr>
                <w:rFonts w:ascii="宋体"/>
              </w:rPr>
            </w:pPr>
          </w:p>
        </w:tc>
      </w:tr>
      <w:tr w:rsidR="00871BDF" w14:paraId="00BAF2F6" w14:textId="77777777">
        <w:trPr>
          <w:jc w:val="center"/>
        </w:trPr>
        <w:tc>
          <w:tcPr>
            <w:tcW w:w="0" w:type="auto"/>
            <w:gridSpan w:val="3"/>
            <w:shd w:val="clear" w:color="auto" w:fill="FFFFFF"/>
            <w:tcMar>
              <w:top w:w="40" w:type="dxa"/>
              <w:left w:w="20" w:type="dxa"/>
              <w:bottom w:w="40" w:type="dxa"/>
              <w:right w:w="20" w:type="dxa"/>
            </w:tcMar>
            <w:vAlign w:val="bottom"/>
          </w:tcPr>
          <w:p w14:paraId="00BAF2F0" w14:textId="77777777" w:rsidR="00871BDF" w:rsidRDefault="005C5088">
            <w:pPr>
              <w:textAlignment w:val="bottom"/>
            </w:pPr>
            <w:r>
              <w:rPr>
                <w:rFonts w:ascii="Times New Roman" w:eastAsia="宋体" w:hAnsi="Times New Roman"/>
                <w:color w:val="000000"/>
                <w:sz w:val="20"/>
                <w:szCs w:val="20"/>
              </w:rPr>
              <w:t xml:space="preserve">Diesel fuel and other </w:t>
            </w:r>
            <w:r>
              <w:rPr>
                <w:rFonts w:ascii="Times New Roman" w:eastAsia="宋体" w:hAnsi="Times New Roman"/>
                <w:color w:val="000000"/>
                <w:sz w:val="20"/>
                <w:szCs w:val="20"/>
              </w:rPr>
              <w:t>commodities</w:t>
            </w:r>
          </w:p>
        </w:tc>
        <w:tc>
          <w:tcPr>
            <w:tcW w:w="0" w:type="auto"/>
            <w:gridSpan w:val="2"/>
            <w:shd w:val="clear" w:color="auto" w:fill="FFFFFF"/>
            <w:tcMar>
              <w:top w:w="40" w:type="dxa"/>
              <w:left w:w="20" w:type="dxa"/>
              <w:bottom w:w="40" w:type="dxa"/>
              <w:right w:w="0" w:type="dxa"/>
            </w:tcMar>
            <w:vAlign w:val="bottom"/>
          </w:tcPr>
          <w:p w14:paraId="00BAF2F1" w14:textId="77777777" w:rsidR="00871BDF" w:rsidRDefault="005C5088">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00BAF2F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2F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2F4" w14:textId="77777777" w:rsidR="00871BDF" w:rsidRDefault="005C5088">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00BAF2F5" w14:textId="77777777" w:rsidR="00871BDF" w:rsidRDefault="00871BDF">
            <w:pPr>
              <w:jc w:val="right"/>
              <w:rPr>
                <w:rFonts w:ascii="宋体"/>
              </w:rPr>
            </w:pPr>
          </w:p>
        </w:tc>
      </w:tr>
      <w:tr w:rsidR="00871BDF" w14:paraId="00BAF2FD" w14:textId="77777777">
        <w:trPr>
          <w:jc w:val="center"/>
        </w:trPr>
        <w:tc>
          <w:tcPr>
            <w:tcW w:w="0" w:type="auto"/>
            <w:gridSpan w:val="3"/>
            <w:shd w:val="clear" w:color="auto" w:fill="D7E4BC"/>
            <w:tcMar>
              <w:top w:w="40" w:type="dxa"/>
              <w:left w:w="20" w:type="dxa"/>
              <w:bottom w:w="40" w:type="dxa"/>
              <w:right w:w="20" w:type="dxa"/>
            </w:tcMar>
            <w:vAlign w:val="bottom"/>
          </w:tcPr>
          <w:p w14:paraId="00BAF2F7" w14:textId="77777777" w:rsidR="00871BDF" w:rsidRDefault="005C5088">
            <w:pPr>
              <w:textAlignment w:val="bottom"/>
            </w:pPr>
            <w:r>
              <w:rPr>
                <w:rFonts w:ascii="Times New Roman" w:eastAsia="宋体" w:hAnsi="Times New Roman"/>
                <w:color w:val="000000"/>
                <w:sz w:val="20"/>
                <w:szCs w:val="20"/>
              </w:rPr>
              <w:t>Foreign currency - other</w:t>
            </w:r>
          </w:p>
        </w:tc>
        <w:tc>
          <w:tcPr>
            <w:tcW w:w="0" w:type="auto"/>
            <w:gridSpan w:val="2"/>
            <w:shd w:val="clear" w:color="auto" w:fill="D7E4BC"/>
            <w:tcMar>
              <w:top w:w="40" w:type="dxa"/>
              <w:left w:w="20" w:type="dxa"/>
              <w:bottom w:w="40" w:type="dxa"/>
              <w:right w:w="0" w:type="dxa"/>
            </w:tcMar>
            <w:vAlign w:val="bottom"/>
          </w:tcPr>
          <w:p w14:paraId="00BAF2F8" w14:textId="77777777" w:rsidR="00871BDF" w:rsidRDefault="005C5088">
            <w:pPr>
              <w:jc w:val="right"/>
              <w:textAlignment w:val="bottom"/>
            </w:pPr>
            <w:r>
              <w:rPr>
                <w:rFonts w:ascii="Times New Roman" w:eastAsia="宋体" w:hAnsi="Times New Roman"/>
                <w:color w:val="000000"/>
                <w:sz w:val="20"/>
                <w:szCs w:val="20"/>
              </w:rPr>
              <w:t>1,140 </w:t>
            </w:r>
          </w:p>
        </w:tc>
        <w:tc>
          <w:tcPr>
            <w:tcW w:w="0" w:type="auto"/>
            <w:shd w:val="clear" w:color="auto" w:fill="D7E4BC"/>
            <w:tcMar>
              <w:top w:w="40" w:type="dxa"/>
              <w:left w:w="0" w:type="dxa"/>
              <w:bottom w:w="40" w:type="dxa"/>
              <w:right w:w="20" w:type="dxa"/>
            </w:tcMar>
            <w:vAlign w:val="bottom"/>
          </w:tcPr>
          <w:p w14:paraId="00BAF2F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2F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2FB" w14:textId="77777777" w:rsidR="00871BDF" w:rsidRDefault="005C5088">
            <w:pPr>
              <w:jc w:val="right"/>
              <w:textAlignment w:val="bottom"/>
            </w:pPr>
            <w:r>
              <w:rPr>
                <w:rFonts w:ascii="Times New Roman" w:eastAsia="宋体" w:hAnsi="Times New Roman"/>
                <w:color w:val="000000"/>
                <w:sz w:val="20"/>
                <w:szCs w:val="20"/>
              </w:rPr>
              <w:t>1,125 </w:t>
            </w:r>
          </w:p>
        </w:tc>
        <w:tc>
          <w:tcPr>
            <w:tcW w:w="0" w:type="auto"/>
            <w:shd w:val="clear" w:color="auto" w:fill="D7E4BC"/>
            <w:tcMar>
              <w:top w:w="40" w:type="dxa"/>
              <w:left w:w="0" w:type="dxa"/>
              <w:bottom w:w="40" w:type="dxa"/>
              <w:right w:w="20" w:type="dxa"/>
            </w:tcMar>
            <w:vAlign w:val="bottom"/>
          </w:tcPr>
          <w:p w14:paraId="00BAF2FC" w14:textId="77777777" w:rsidR="00871BDF" w:rsidRDefault="00871BDF">
            <w:pPr>
              <w:jc w:val="right"/>
              <w:rPr>
                <w:rFonts w:ascii="宋体"/>
              </w:rPr>
            </w:pPr>
          </w:p>
        </w:tc>
      </w:tr>
      <w:tr w:rsidR="00871BDF" w14:paraId="00BAF304" w14:textId="77777777">
        <w:trPr>
          <w:jc w:val="center"/>
        </w:trPr>
        <w:tc>
          <w:tcPr>
            <w:tcW w:w="0" w:type="auto"/>
            <w:gridSpan w:val="3"/>
            <w:shd w:val="clear" w:color="auto" w:fill="FFFFFF"/>
            <w:tcMar>
              <w:top w:w="40" w:type="dxa"/>
              <w:left w:w="20" w:type="dxa"/>
              <w:bottom w:w="40" w:type="dxa"/>
              <w:right w:w="20" w:type="dxa"/>
            </w:tcMar>
            <w:vAlign w:val="bottom"/>
          </w:tcPr>
          <w:p w14:paraId="00BAF2FE" w14:textId="77777777" w:rsidR="00871BDF" w:rsidRDefault="005C5088">
            <w:pPr>
              <w:textAlignment w:val="bottom"/>
            </w:pPr>
            <w:r>
              <w:rPr>
                <w:rFonts w:ascii="Times New Roman" w:eastAsia="宋体" w:hAnsi="Times New Roman"/>
                <w:color w:val="000000"/>
                <w:sz w:val="20"/>
                <w:szCs w:val="20"/>
              </w:rPr>
              <w:t>Interest rate swaps</w:t>
            </w:r>
          </w:p>
        </w:tc>
        <w:tc>
          <w:tcPr>
            <w:tcW w:w="0" w:type="auto"/>
            <w:gridSpan w:val="2"/>
            <w:shd w:val="clear" w:color="auto" w:fill="FFFFFF"/>
            <w:tcMar>
              <w:top w:w="40" w:type="dxa"/>
              <w:left w:w="20" w:type="dxa"/>
              <w:bottom w:w="40" w:type="dxa"/>
              <w:right w:w="0" w:type="dxa"/>
            </w:tcMar>
            <w:vAlign w:val="bottom"/>
          </w:tcPr>
          <w:p w14:paraId="00BAF2FF" w14:textId="77777777" w:rsidR="00871BDF" w:rsidRDefault="005C5088">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00BAF30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30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302" w14:textId="77777777" w:rsidR="00871BDF" w:rsidRDefault="005C5088">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00BAF303" w14:textId="77777777" w:rsidR="00871BDF" w:rsidRDefault="00871BDF">
            <w:pPr>
              <w:jc w:val="right"/>
              <w:rPr>
                <w:rFonts w:ascii="宋体"/>
              </w:rPr>
            </w:pPr>
          </w:p>
        </w:tc>
      </w:tr>
    </w:tbl>
    <w:p w14:paraId="00BAF305" w14:textId="77777777" w:rsidR="00871BDF" w:rsidRDefault="005C5088">
      <w:pPr>
        <w:jc w:val="center"/>
      </w:pPr>
      <w:r>
        <w:rPr>
          <w:rFonts w:ascii="Times New Roman" w:eastAsia="宋体" w:hAnsi="Times New Roman"/>
          <w:color w:val="000000"/>
          <w:sz w:val="20"/>
          <w:szCs w:val="20"/>
        </w:rPr>
        <w:t>67</w:t>
      </w:r>
    </w:p>
    <w:p w14:paraId="00BAF306" w14:textId="77777777" w:rsidR="00871BDF" w:rsidRDefault="005C5088">
      <w:r>
        <w:pict w14:anchorId="00BB14A8">
          <v:rect id="_x0000_i1094" style="width:415.3pt;height:1.5pt" o:hralign="center" o:hrstd="t" o:hr="t" fillcolor="#a0a0a0" stroked="f"/>
        </w:pict>
      </w:r>
    </w:p>
    <w:p w14:paraId="00BAF307" w14:textId="77777777" w:rsidR="00871BDF" w:rsidRDefault="005C5088">
      <w:hyperlink r:id="rId200" w:anchor="i54ccc64cb5384be5a4849ef1cdef4dde_7" w:history="1">
        <w:r>
          <w:rPr>
            <w:rStyle w:val="a5"/>
            <w:rFonts w:ascii="Times New Roman" w:eastAsia="宋体" w:hAnsi="Times New Roman"/>
            <w:sz w:val="20"/>
            <w:szCs w:val="20"/>
          </w:rPr>
          <w:t>Table of Contents</w:t>
        </w:r>
      </w:hyperlink>
    </w:p>
    <w:p w14:paraId="00BAF308" w14:textId="77777777" w:rsidR="00871BDF" w:rsidRDefault="005C5088">
      <w:pPr>
        <w:spacing w:before="240"/>
      </w:pPr>
      <w:r>
        <w:rPr>
          <w:rFonts w:ascii="Times New Roman" w:eastAsia="宋体" w:hAnsi="Times New Roman"/>
          <w:color w:val="000000"/>
          <w:sz w:val="20"/>
          <w:szCs w:val="20"/>
        </w:rPr>
        <w:t>Fair value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including the </w:t>
      </w:r>
      <w:r>
        <w:rPr>
          <w:rFonts w:ascii="Times New Roman" w:eastAsia="宋体" w:hAnsi="Times New Roman"/>
          <w:color w:val="000000"/>
          <w:sz w:val="20"/>
          <w:szCs w:val="20"/>
        </w:rPr>
        <w:t>location of the asset and/or liability on the consolidated balance sheets:</w:t>
      </w:r>
    </w:p>
    <w:tbl>
      <w:tblPr>
        <w:tblW w:w="4985" w:type="pct"/>
        <w:jc w:val="center"/>
        <w:tblCellMar>
          <w:top w:w="15" w:type="dxa"/>
          <w:left w:w="15" w:type="dxa"/>
          <w:bottom w:w="15" w:type="dxa"/>
          <w:right w:w="15" w:type="dxa"/>
        </w:tblCellMar>
        <w:tblLook w:val="04A0" w:firstRow="1" w:lastRow="0" w:firstColumn="1" w:lastColumn="0" w:noHBand="0" w:noVBand="1"/>
      </w:tblPr>
      <w:tblGrid>
        <w:gridCol w:w="46"/>
        <w:gridCol w:w="2699"/>
        <w:gridCol w:w="37"/>
        <w:gridCol w:w="46"/>
        <w:gridCol w:w="2797"/>
        <w:gridCol w:w="38"/>
        <w:gridCol w:w="36"/>
        <w:gridCol w:w="36"/>
        <w:gridCol w:w="36"/>
        <w:gridCol w:w="120"/>
        <w:gridCol w:w="1060"/>
        <w:gridCol w:w="36"/>
        <w:gridCol w:w="36"/>
        <w:gridCol w:w="36"/>
        <w:gridCol w:w="36"/>
        <w:gridCol w:w="120"/>
        <w:gridCol w:w="1060"/>
        <w:gridCol w:w="36"/>
      </w:tblGrid>
      <w:tr w:rsidR="00871BDF" w14:paraId="00BAF31B" w14:textId="77777777">
        <w:trPr>
          <w:jc w:val="center"/>
        </w:trPr>
        <w:tc>
          <w:tcPr>
            <w:tcW w:w="50" w:type="pct"/>
            <w:shd w:val="clear" w:color="auto" w:fill="auto"/>
          </w:tcPr>
          <w:p w14:paraId="00BAF309" w14:textId="77777777" w:rsidR="00871BDF" w:rsidRDefault="00871BDF">
            <w:pPr>
              <w:rPr>
                <w:rFonts w:ascii="宋体"/>
              </w:rPr>
            </w:pPr>
          </w:p>
        </w:tc>
        <w:tc>
          <w:tcPr>
            <w:tcW w:w="1645" w:type="pct"/>
            <w:shd w:val="clear" w:color="auto" w:fill="auto"/>
          </w:tcPr>
          <w:p w14:paraId="00BAF30A" w14:textId="77777777" w:rsidR="00871BDF" w:rsidRDefault="00871BDF">
            <w:pPr>
              <w:rPr>
                <w:rFonts w:ascii="宋体"/>
              </w:rPr>
            </w:pPr>
          </w:p>
        </w:tc>
        <w:tc>
          <w:tcPr>
            <w:tcW w:w="5" w:type="pct"/>
            <w:shd w:val="clear" w:color="auto" w:fill="auto"/>
          </w:tcPr>
          <w:p w14:paraId="00BAF30B" w14:textId="77777777" w:rsidR="00871BDF" w:rsidRDefault="00871BDF">
            <w:pPr>
              <w:rPr>
                <w:rFonts w:ascii="宋体"/>
              </w:rPr>
            </w:pPr>
          </w:p>
        </w:tc>
        <w:tc>
          <w:tcPr>
            <w:tcW w:w="50" w:type="pct"/>
            <w:shd w:val="clear" w:color="auto" w:fill="auto"/>
          </w:tcPr>
          <w:p w14:paraId="00BAF30C" w14:textId="77777777" w:rsidR="00871BDF" w:rsidRDefault="00871BDF">
            <w:pPr>
              <w:rPr>
                <w:rFonts w:ascii="宋体"/>
              </w:rPr>
            </w:pPr>
          </w:p>
        </w:tc>
        <w:tc>
          <w:tcPr>
            <w:tcW w:w="1704" w:type="pct"/>
            <w:shd w:val="clear" w:color="auto" w:fill="auto"/>
          </w:tcPr>
          <w:p w14:paraId="00BAF30D" w14:textId="77777777" w:rsidR="00871BDF" w:rsidRDefault="00871BDF">
            <w:pPr>
              <w:rPr>
                <w:rFonts w:ascii="宋体"/>
              </w:rPr>
            </w:pPr>
          </w:p>
        </w:tc>
        <w:tc>
          <w:tcPr>
            <w:tcW w:w="5" w:type="pct"/>
            <w:shd w:val="clear" w:color="auto" w:fill="auto"/>
          </w:tcPr>
          <w:p w14:paraId="00BAF30E" w14:textId="77777777" w:rsidR="00871BDF" w:rsidRDefault="00871BDF">
            <w:pPr>
              <w:rPr>
                <w:rFonts w:ascii="宋体"/>
              </w:rPr>
            </w:pPr>
          </w:p>
        </w:tc>
        <w:tc>
          <w:tcPr>
            <w:tcW w:w="5" w:type="pct"/>
            <w:shd w:val="clear" w:color="auto" w:fill="auto"/>
          </w:tcPr>
          <w:p w14:paraId="00BAF30F" w14:textId="77777777" w:rsidR="00871BDF" w:rsidRDefault="00871BDF">
            <w:pPr>
              <w:rPr>
                <w:rFonts w:ascii="宋体"/>
              </w:rPr>
            </w:pPr>
          </w:p>
        </w:tc>
        <w:tc>
          <w:tcPr>
            <w:tcW w:w="26" w:type="pct"/>
            <w:shd w:val="clear" w:color="auto" w:fill="auto"/>
          </w:tcPr>
          <w:p w14:paraId="00BAF310" w14:textId="77777777" w:rsidR="00871BDF" w:rsidRDefault="00871BDF">
            <w:pPr>
              <w:rPr>
                <w:rFonts w:ascii="宋体"/>
              </w:rPr>
            </w:pPr>
          </w:p>
        </w:tc>
        <w:tc>
          <w:tcPr>
            <w:tcW w:w="5" w:type="pct"/>
            <w:shd w:val="clear" w:color="auto" w:fill="auto"/>
          </w:tcPr>
          <w:p w14:paraId="00BAF311" w14:textId="77777777" w:rsidR="00871BDF" w:rsidRDefault="00871BDF">
            <w:pPr>
              <w:rPr>
                <w:rFonts w:ascii="宋体"/>
              </w:rPr>
            </w:pPr>
          </w:p>
        </w:tc>
        <w:tc>
          <w:tcPr>
            <w:tcW w:w="50" w:type="pct"/>
            <w:shd w:val="clear" w:color="auto" w:fill="auto"/>
          </w:tcPr>
          <w:p w14:paraId="00BAF312" w14:textId="77777777" w:rsidR="00871BDF" w:rsidRDefault="00871BDF">
            <w:pPr>
              <w:rPr>
                <w:rFonts w:ascii="宋体"/>
              </w:rPr>
            </w:pPr>
          </w:p>
        </w:tc>
        <w:tc>
          <w:tcPr>
            <w:tcW w:w="678" w:type="pct"/>
            <w:shd w:val="clear" w:color="auto" w:fill="auto"/>
          </w:tcPr>
          <w:p w14:paraId="00BAF313" w14:textId="77777777" w:rsidR="00871BDF" w:rsidRDefault="00871BDF">
            <w:pPr>
              <w:rPr>
                <w:rFonts w:ascii="宋体"/>
              </w:rPr>
            </w:pPr>
          </w:p>
        </w:tc>
        <w:tc>
          <w:tcPr>
            <w:tcW w:w="5" w:type="pct"/>
            <w:shd w:val="clear" w:color="auto" w:fill="auto"/>
          </w:tcPr>
          <w:p w14:paraId="00BAF314" w14:textId="77777777" w:rsidR="00871BDF" w:rsidRDefault="00871BDF">
            <w:pPr>
              <w:rPr>
                <w:rFonts w:ascii="宋体"/>
              </w:rPr>
            </w:pPr>
          </w:p>
        </w:tc>
        <w:tc>
          <w:tcPr>
            <w:tcW w:w="5" w:type="pct"/>
            <w:shd w:val="clear" w:color="auto" w:fill="auto"/>
          </w:tcPr>
          <w:p w14:paraId="00BAF315" w14:textId="77777777" w:rsidR="00871BDF" w:rsidRDefault="00871BDF">
            <w:pPr>
              <w:rPr>
                <w:rFonts w:ascii="宋体"/>
              </w:rPr>
            </w:pPr>
          </w:p>
        </w:tc>
        <w:tc>
          <w:tcPr>
            <w:tcW w:w="26" w:type="pct"/>
            <w:shd w:val="clear" w:color="auto" w:fill="auto"/>
          </w:tcPr>
          <w:p w14:paraId="00BAF316" w14:textId="77777777" w:rsidR="00871BDF" w:rsidRDefault="00871BDF">
            <w:pPr>
              <w:rPr>
                <w:rFonts w:ascii="宋体"/>
              </w:rPr>
            </w:pPr>
          </w:p>
        </w:tc>
        <w:tc>
          <w:tcPr>
            <w:tcW w:w="5" w:type="pct"/>
            <w:shd w:val="clear" w:color="auto" w:fill="auto"/>
          </w:tcPr>
          <w:p w14:paraId="00BAF317" w14:textId="77777777" w:rsidR="00871BDF" w:rsidRDefault="00871BDF">
            <w:pPr>
              <w:rPr>
                <w:rFonts w:ascii="宋体"/>
              </w:rPr>
            </w:pPr>
          </w:p>
        </w:tc>
        <w:tc>
          <w:tcPr>
            <w:tcW w:w="50" w:type="pct"/>
            <w:shd w:val="clear" w:color="auto" w:fill="auto"/>
          </w:tcPr>
          <w:p w14:paraId="00BAF318" w14:textId="77777777" w:rsidR="00871BDF" w:rsidRDefault="00871BDF">
            <w:pPr>
              <w:rPr>
                <w:rFonts w:ascii="宋体"/>
              </w:rPr>
            </w:pPr>
          </w:p>
        </w:tc>
        <w:tc>
          <w:tcPr>
            <w:tcW w:w="678" w:type="pct"/>
            <w:shd w:val="clear" w:color="auto" w:fill="auto"/>
          </w:tcPr>
          <w:p w14:paraId="00BAF319" w14:textId="77777777" w:rsidR="00871BDF" w:rsidRDefault="00871BDF">
            <w:pPr>
              <w:rPr>
                <w:rFonts w:ascii="宋体"/>
              </w:rPr>
            </w:pPr>
          </w:p>
        </w:tc>
        <w:tc>
          <w:tcPr>
            <w:tcW w:w="5" w:type="pct"/>
            <w:shd w:val="clear" w:color="auto" w:fill="auto"/>
          </w:tcPr>
          <w:p w14:paraId="00BAF31A" w14:textId="77777777" w:rsidR="00871BDF" w:rsidRDefault="00871BDF">
            <w:pPr>
              <w:rPr>
                <w:rFonts w:ascii="宋体"/>
              </w:rPr>
            </w:pPr>
          </w:p>
        </w:tc>
      </w:tr>
      <w:tr w:rsidR="00871BDF" w14:paraId="00BAF320" w14:textId="77777777">
        <w:trPr>
          <w:jc w:val="center"/>
        </w:trPr>
        <w:tc>
          <w:tcPr>
            <w:tcW w:w="0" w:type="auto"/>
            <w:gridSpan w:val="3"/>
            <w:shd w:val="clear" w:color="auto" w:fill="auto"/>
            <w:tcMar>
              <w:top w:w="0" w:type="dxa"/>
              <w:left w:w="20" w:type="dxa"/>
              <w:bottom w:w="0" w:type="dxa"/>
              <w:right w:w="20" w:type="dxa"/>
            </w:tcMar>
          </w:tcPr>
          <w:p w14:paraId="00BAF31C"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F31D"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F31E" w14:textId="77777777" w:rsidR="00871BDF" w:rsidRDefault="00871BDF">
            <w:pPr>
              <w:rPr>
                <w:rFonts w:ascii="宋体"/>
              </w:rPr>
            </w:pPr>
          </w:p>
        </w:tc>
        <w:tc>
          <w:tcPr>
            <w:tcW w:w="0" w:type="auto"/>
            <w:gridSpan w:val="9"/>
            <w:shd w:val="clear" w:color="auto" w:fill="00704A"/>
            <w:tcMar>
              <w:top w:w="40" w:type="dxa"/>
              <w:left w:w="20" w:type="dxa"/>
              <w:bottom w:w="40" w:type="dxa"/>
              <w:right w:w="20" w:type="dxa"/>
            </w:tcMar>
            <w:vAlign w:val="bottom"/>
          </w:tcPr>
          <w:p w14:paraId="00BAF31F" w14:textId="77777777" w:rsidR="00871BDF" w:rsidRDefault="005C5088">
            <w:pPr>
              <w:jc w:val="center"/>
              <w:textAlignment w:val="bottom"/>
            </w:pPr>
            <w:r>
              <w:rPr>
                <w:rFonts w:ascii="Times New Roman" w:eastAsia="宋体" w:hAnsi="Times New Roman"/>
                <w:b/>
                <w:bCs/>
                <w:color w:val="FFFFFF"/>
                <w:sz w:val="16"/>
                <w:szCs w:val="16"/>
              </w:rPr>
              <w:t>Derivative Assets</w:t>
            </w:r>
          </w:p>
        </w:tc>
      </w:tr>
      <w:tr w:rsidR="00871BDF" w14:paraId="00BAF327" w14:textId="77777777">
        <w:trPr>
          <w:jc w:val="center"/>
        </w:trPr>
        <w:tc>
          <w:tcPr>
            <w:tcW w:w="0" w:type="auto"/>
            <w:gridSpan w:val="3"/>
            <w:shd w:val="clear" w:color="auto" w:fill="auto"/>
            <w:tcMar>
              <w:top w:w="0" w:type="dxa"/>
              <w:left w:w="20" w:type="dxa"/>
              <w:bottom w:w="0" w:type="dxa"/>
              <w:right w:w="20" w:type="dxa"/>
            </w:tcMar>
          </w:tcPr>
          <w:p w14:paraId="00BAF321"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322" w14:textId="77777777" w:rsidR="00871BDF" w:rsidRDefault="005C5088">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top w:w="0" w:type="dxa"/>
              <w:left w:w="20" w:type="dxa"/>
              <w:bottom w:w="0" w:type="dxa"/>
              <w:right w:w="20" w:type="dxa"/>
            </w:tcMar>
          </w:tcPr>
          <w:p w14:paraId="00BAF323"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324"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tcBorders>
              <w:top w:val="single" w:sz="8" w:space="0" w:color="000000"/>
            </w:tcBorders>
            <w:shd w:val="clear" w:color="auto" w:fill="auto"/>
            <w:tcMar>
              <w:top w:w="0" w:type="dxa"/>
              <w:left w:w="20" w:type="dxa"/>
              <w:bottom w:w="0" w:type="dxa"/>
              <w:right w:w="20" w:type="dxa"/>
            </w:tcMar>
          </w:tcPr>
          <w:p w14:paraId="00BAF325"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326" w14:textId="77777777" w:rsidR="00871BDF" w:rsidRDefault="005C5088">
            <w:pPr>
              <w:jc w:val="center"/>
              <w:textAlignment w:val="bottom"/>
            </w:pPr>
            <w:r>
              <w:rPr>
                <w:rFonts w:ascii="Times New Roman" w:eastAsia="宋体" w:hAnsi="Times New Roman"/>
                <w:b/>
                <w:bCs/>
                <w:color w:val="FFFFFF"/>
                <w:sz w:val="16"/>
                <w:szCs w:val="16"/>
              </w:rPr>
              <w:t>Sep 29, 2019</w:t>
            </w:r>
          </w:p>
        </w:tc>
      </w:tr>
      <w:tr w:rsidR="00871BDF" w14:paraId="00BAF32E" w14:textId="77777777">
        <w:trPr>
          <w:jc w:val="center"/>
        </w:trPr>
        <w:tc>
          <w:tcPr>
            <w:tcW w:w="0" w:type="auto"/>
            <w:gridSpan w:val="3"/>
            <w:shd w:val="clear" w:color="auto" w:fill="D7E4BC"/>
            <w:tcMar>
              <w:top w:w="40" w:type="dxa"/>
              <w:left w:w="20" w:type="dxa"/>
              <w:bottom w:w="40" w:type="dxa"/>
              <w:right w:w="20" w:type="dxa"/>
            </w:tcMar>
            <w:vAlign w:val="bottom"/>
          </w:tcPr>
          <w:p w14:paraId="00BAF328" w14:textId="77777777" w:rsidR="00871BDF" w:rsidRDefault="005C5088">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tcPr>
          <w:p w14:paraId="00BAF32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32A"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32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32C"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32D" w14:textId="77777777" w:rsidR="00871BDF" w:rsidRDefault="00871BDF">
            <w:pPr>
              <w:rPr>
                <w:rFonts w:ascii="宋体"/>
              </w:rPr>
            </w:pPr>
          </w:p>
        </w:tc>
      </w:tr>
      <w:tr w:rsidR="00871BDF" w14:paraId="00BAF339" w14:textId="77777777">
        <w:trPr>
          <w:jc w:val="center"/>
        </w:trPr>
        <w:tc>
          <w:tcPr>
            <w:tcW w:w="0" w:type="auto"/>
            <w:gridSpan w:val="3"/>
            <w:shd w:val="clear" w:color="auto" w:fill="FFFFFF"/>
            <w:tcMar>
              <w:top w:w="40" w:type="dxa"/>
              <w:left w:w="155" w:type="dxa"/>
              <w:bottom w:w="40" w:type="dxa"/>
              <w:right w:w="20" w:type="dxa"/>
            </w:tcMar>
            <w:vAlign w:val="bottom"/>
          </w:tcPr>
          <w:p w14:paraId="00BAF32F" w14:textId="77777777" w:rsidR="00871BDF" w:rsidRDefault="005C5088">
            <w:pPr>
              <w:textAlignment w:val="bottom"/>
            </w:pPr>
            <w:r>
              <w:rPr>
                <w:rFonts w:ascii="Times New Roman" w:eastAsia="宋体" w:hAnsi="Times New Roman"/>
                <w:color w:val="000000"/>
                <w:sz w:val="20"/>
                <w:szCs w:val="20"/>
              </w:rPr>
              <w:t>Coffee</w:t>
            </w:r>
          </w:p>
        </w:tc>
        <w:tc>
          <w:tcPr>
            <w:tcW w:w="0" w:type="auto"/>
            <w:gridSpan w:val="3"/>
            <w:shd w:val="clear" w:color="auto" w:fill="auto"/>
            <w:tcMar>
              <w:top w:w="40" w:type="dxa"/>
              <w:left w:w="20" w:type="dxa"/>
              <w:bottom w:w="40" w:type="dxa"/>
              <w:right w:w="20" w:type="dxa"/>
            </w:tcMar>
            <w:vAlign w:val="bottom"/>
          </w:tcPr>
          <w:p w14:paraId="00BAF330" w14:textId="77777777" w:rsidR="00871BDF" w:rsidRDefault="005C5088">
            <w:pPr>
              <w:textAlignment w:val="bottom"/>
            </w:pPr>
            <w:r>
              <w:rPr>
                <w:rFonts w:ascii="Times New Roman" w:eastAsia="宋体" w:hAnsi="Times New Roman"/>
                <w:color w:val="000000"/>
                <w:sz w:val="20"/>
                <w:szCs w:val="20"/>
              </w:rPr>
              <w:t xml:space="preserve">Prepaid expenses and other </w:t>
            </w: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tcPr>
          <w:p w14:paraId="00BAF331"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332"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333" w14:textId="77777777" w:rsidR="00871BDF" w:rsidRDefault="005C5088">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00BAF33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335"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336"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33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338" w14:textId="77777777" w:rsidR="00871BDF" w:rsidRDefault="00871BDF">
            <w:pPr>
              <w:jc w:val="right"/>
              <w:rPr>
                <w:rFonts w:ascii="宋体"/>
              </w:rPr>
            </w:pPr>
          </w:p>
        </w:tc>
      </w:tr>
      <w:tr w:rsidR="00871BDF" w14:paraId="00BAF342" w14:textId="77777777">
        <w:trPr>
          <w:jc w:val="center"/>
        </w:trPr>
        <w:tc>
          <w:tcPr>
            <w:tcW w:w="0" w:type="auto"/>
            <w:gridSpan w:val="3"/>
            <w:shd w:val="clear" w:color="auto" w:fill="D7E4BC"/>
            <w:tcMar>
              <w:top w:w="40" w:type="dxa"/>
              <w:left w:w="155" w:type="dxa"/>
              <w:bottom w:w="40" w:type="dxa"/>
              <w:right w:w="20" w:type="dxa"/>
            </w:tcMar>
            <w:vAlign w:val="bottom"/>
          </w:tcPr>
          <w:p w14:paraId="00BAF33A" w14:textId="77777777" w:rsidR="00871BDF" w:rsidRDefault="005C5088">
            <w:pPr>
              <w:textAlignment w:val="bottom"/>
            </w:pPr>
            <w:r>
              <w:rPr>
                <w:rFonts w:ascii="Times New Roman" w:eastAsia="宋体" w:hAnsi="Times New Roman"/>
                <w:color w:val="000000"/>
                <w:sz w:val="20"/>
                <w:szCs w:val="20"/>
              </w:rPr>
              <w:t>Cross-currency swaps</w:t>
            </w:r>
          </w:p>
        </w:tc>
        <w:tc>
          <w:tcPr>
            <w:tcW w:w="0" w:type="auto"/>
            <w:gridSpan w:val="3"/>
            <w:shd w:val="clear" w:color="auto" w:fill="D7E4BC"/>
            <w:tcMar>
              <w:top w:w="40" w:type="dxa"/>
              <w:left w:w="20" w:type="dxa"/>
              <w:bottom w:w="40" w:type="dxa"/>
              <w:right w:w="20" w:type="dxa"/>
            </w:tcMar>
          </w:tcPr>
          <w:p w14:paraId="00BAF33B" w14:textId="77777777" w:rsidR="00871BDF" w:rsidRDefault="005C5088">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tcPr>
          <w:p w14:paraId="00BAF33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3D" w14:textId="77777777" w:rsidR="00871BDF" w:rsidRDefault="005C5088">
            <w:pPr>
              <w:jc w:val="right"/>
              <w:textAlignment w:val="bottom"/>
            </w:pPr>
            <w:r>
              <w:rPr>
                <w:rFonts w:ascii="Times New Roman" w:eastAsia="宋体" w:hAnsi="Times New Roman"/>
                <w:color w:val="000000"/>
                <w:sz w:val="20"/>
                <w:szCs w:val="20"/>
              </w:rPr>
              <w:t>37.7 </w:t>
            </w:r>
          </w:p>
        </w:tc>
        <w:tc>
          <w:tcPr>
            <w:tcW w:w="0" w:type="auto"/>
            <w:shd w:val="clear" w:color="auto" w:fill="D7E4BC"/>
            <w:tcMar>
              <w:top w:w="40" w:type="dxa"/>
              <w:left w:w="0" w:type="dxa"/>
              <w:bottom w:w="40" w:type="dxa"/>
              <w:right w:w="20" w:type="dxa"/>
            </w:tcMar>
            <w:vAlign w:val="bottom"/>
          </w:tcPr>
          <w:p w14:paraId="00BAF33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33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40" w14:textId="77777777" w:rsidR="00871BDF" w:rsidRDefault="005C5088">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00BAF341" w14:textId="77777777" w:rsidR="00871BDF" w:rsidRDefault="00871BDF">
            <w:pPr>
              <w:jc w:val="right"/>
              <w:rPr>
                <w:rFonts w:ascii="宋体"/>
              </w:rPr>
            </w:pPr>
          </w:p>
        </w:tc>
      </w:tr>
      <w:tr w:rsidR="00871BDF" w14:paraId="00BAF34B" w14:textId="77777777">
        <w:trPr>
          <w:jc w:val="center"/>
        </w:trPr>
        <w:tc>
          <w:tcPr>
            <w:tcW w:w="0" w:type="auto"/>
            <w:gridSpan w:val="3"/>
            <w:shd w:val="clear" w:color="auto" w:fill="FFFFFF"/>
            <w:tcMar>
              <w:top w:w="40" w:type="dxa"/>
              <w:left w:w="155" w:type="dxa"/>
              <w:bottom w:w="40" w:type="dxa"/>
              <w:right w:w="20" w:type="dxa"/>
            </w:tcMar>
            <w:vAlign w:val="bottom"/>
          </w:tcPr>
          <w:p w14:paraId="00BAF343" w14:textId="77777777" w:rsidR="00871BDF" w:rsidRDefault="005C5088">
            <w:pPr>
              <w:textAlignment w:val="bottom"/>
            </w:pPr>
            <w:r>
              <w:rPr>
                <w:rFonts w:ascii="Times New Roman" w:eastAsia="宋体" w:hAnsi="Times New Roman"/>
                <w:color w:val="000000"/>
                <w:sz w:val="20"/>
                <w:szCs w:val="20"/>
              </w:rPr>
              <w:t>Dairy</w:t>
            </w:r>
          </w:p>
        </w:tc>
        <w:tc>
          <w:tcPr>
            <w:tcW w:w="0" w:type="auto"/>
            <w:gridSpan w:val="3"/>
            <w:shd w:val="clear" w:color="auto" w:fill="auto"/>
            <w:tcMar>
              <w:top w:w="40" w:type="dxa"/>
              <w:left w:w="20" w:type="dxa"/>
              <w:bottom w:w="40" w:type="dxa"/>
              <w:right w:w="20" w:type="dxa"/>
            </w:tcMar>
            <w:vAlign w:val="bottom"/>
          </w:tcPr>
          <w:p w14:paraId="00BAF344" w14:textId="77777777" w:rsidR="00871BDF" w:rsidRDefault="005C5088">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tcPr>
          <w:p w14:paraId="00BAF34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346" w14:textId="77777777" w:rsidR="00871BDF" w:rsidRDefault="005C5088">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0BAF34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34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349"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34A" w14:textId="77777777" w:rsidR="00871BDF" w:rsidRDefault="00871BDF">
            <w:pPr>
              <w:jc w:val="right"/>
              <w:rPr>
                <w:rFonts w:ascii="宋体"/>
              </w:rPr>
            </w:pPr>
          </w:p>
        </w:tc>
      </w:tr>
      <w:tr w:rsidR="00871BDF" w14:paraId="00BAF354" w14:textId="77777777">
        <w:trPr>
          <w:trHeight w:val="300"/>
          <w:jc w:val="center"/>
        </w:trPr>
        <w:tc>
          <w:tcPr>
            <w:tcW w:w="0" w:type="auto"/>
            <w:gridSpan w:val="3"/>
            <w:vMerge w:val="restart"/>
            <w:shd w:val="clear" w:color="auto" w:fill="D7E4BC"/>
            <w:tcMar>
              <w:top w:w="40" w:type="dxa"/>
              <w:left w:w="155" w:type="dxa"/>
              <w:bottom w:w="40" w:type="dxa"/>
              <w:right w:w="20" w:type="dxa"/>
            </w:tcMar>
          </w:tcPr>
          <w:p w14:paraId="00BAF34C" w14:textId="77777777" w:rsidR="00871BDF" w:rsidRDefault="005C5088">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00BAF34D" w14:textId="77777777" w:rsidR="00871BDF" w:rsidRDefault="005C5088">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tcPr>
          <w:p w14:paraId="00BAF34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4F" w14:textId="77777777" w:rsidR="00871BDF" w:rsidRDefault="005C5088">
            <w:pPr>
              <w:jc w:val="right"/>
              <w:textAlignment w:val="bottom"/>
            </w:pPr>
            <w:r>
              <w:rPr>
                <w:rFonts w:ascii="Times New Roman" w:eastAsia="宋体" w:hAnsi="Times New Roman"/>
                <w:color w:val="000000"/>
                <w:sz w:val="20"/>
                <w:szCs w:val="20"/>
              </w:rPr>
              <w:t>8.6 </w:t>
            </w:r>
          </w:p>
        </w:tc>
        <w:tc>
          <w:tcPr>
            <w:tcW w:w="0" w:type="auto"/>
            <w:shd w:val="clear" w:color="auto" w:fill="D7E4BC"/>
            <w:tcMar>
              <w:top w:w="40" w:type="dxa"/>
              <w:left w:w="0" w:type="dxa"/>
              <w:bottom w:w="40" w:type="dxa"/>
              <w:right w:w="20" w:type="dxa"/>
            </w:tcMar>
            <w:vAlign w:val="bottom"/>
          </w:tcPr>
          <w:p w14:paraId="00BAF35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35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52" w14:textId="77777777" w:rsidR="00871BDF" w:rsidRDefault="005C5088">
            <w:pPr>
              <w:jc w:val="right"/>
              <w:textAlignment w:val="bottom"/>
            </w:pPr>
            <w:r>
              <w:rPr>
                <w:rFonts w:ascii="Times New Roman" w:eastAsia="宋体" w:hAnsi="Times New Roman"/>
                <w:color w:val="000000"/>
                <w:sz w:val="20"/>
                <w:szCs w:val="20"/>
              </w:rPr>
              <w:t>11.4 </w:t>
            </w:r>
          </w:p>
        </w:tc>
        <w:tc>
          <w:tcPr>
            <w:tcW w:w="0" w:type="auto"/>
            <w:shd w:val="clear" w:color="auto" w:fill="D7E4BC"/>
            <w:tcMar>
              <w:top w:w="40" w:type="dxa"/>
              <w:left w:w="0" w:type="dxa"/>
              <w:bottom w:w="40" w:type="dxa"/>
              <w:right w:w="20" w:type="dxa"/>
            </w:tcMar>
            <w:vAlign w:val="bottom"/>
          </w:tcPr>
          <w:p w14:paraId="00BAF353" w14:textId="77777777" w:rsidR="00871BDF" w:rsidRDefault="00871BDF">
            <w:pPr>
              <w:jc w:val="right"/>
              <w:rPr>
                <w:rFonts w:ascii="宋体"/>
              </w:rPr>
            </w:pPr>
          </w:p>
        </w:tc>
      </w:tr>
      <w:tr w:rsidR="00871BDF" w14:paraId="00BAF35D" w14:textId="77777777">
        <w:trPr>
          <w:trHeight w:val="300"/>
          <w:jc w:val="center"/>
        </w:trPr>
        <w:tc>
          <w:tcPr>
            <w:tcW w:w="0" w:type="auto"/>
            <w:gridSpan w:val="3"/>
            <w:vMerge/>
            <w:shd w:val="clear" w:color="auto" w:fill="D7E4BC"/>
            <w:tcMar>
              <w:top w:w="40" w:type="dxa"/>
              <w:left w:w="155" w:type="dxa"/>
              <w:bottom w:w="40" w:type="dxa"/>
              <w:right w:w="20" w:type="dxa"/>
            </w:tcMar>
          </w:tcPr>
          <w:p w14:paraId="00BAF35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F356" w14:textId="77777777" w:rsidR="00871BDF" w:rsidRDefault="005C5088">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long-term assets</w:t>
            </w:r>
          </w:p>
        </w:tc>
        <w:tc>
          <w:tcPr>
            <w:tcW w:w="0" w:type="auto"/>
            <w:gridSpan w:val="3"/>
            <w:shd w:val="clear" w:color="auto" w:fill="D7E4BC"/>
            <w:tcMar>
              <w:top w:w="0" w:type="dxa"/>
              <w:left w:w="20" w:type="dxa"/>
              <w:bottom w:w="0" w:type="dxa"/>
              <w:right w:w="20" w:type="dxa"/>
            </w:tcMar>
          </w:tcPr>
          <w:p w14:paraId="00BAF35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58" w14:textId="77777777" w:rsidR="00871BDF" w:rsidRDefault="005C5088">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00BAF35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35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5B" w14:textId="77777777" w:rsidR="00871BDF" w:rsidRDefault="005C5088">
            <w:pPr>
              <w:jc w:val="right"/>
              <w:textAlignment w:val="bottom"/>
            </w:pPr>
            <w:r>
              <w:rPr>
                <w:rFonts w:ascii="Times New Roman" w:eastAsia="宋体" w:hAnsi="Times New Roman"/>
                <w:color w:val="000000"/>
                <w:sz w:val="20"/>
                <w:szCs w:val="20"/>
              </w:rPr>
              <w:t>7.8 </w:t>
            </w:r>
          </w:p>
        </w:tc>
        <w:tc>
          <w:tcPr>
            <w:tcW w:w="0" w:type="auto"/>
            <w:shd w:val="clear" w:color="auto" w:fill="D7E4BC"/>
            <w:tcMar>
              <w:top w:w="40" w:type="dxa"/>
              <w:left w:w="0" w:type="dxa"/>
              <w:bottom w:w="40" w:type="dxa"/>
              <w:right w:w="20" w:type="dxa"/>
            </w:tcMar>
            <w:vAlign w:val="bottom"/>
          </w:tcPr>
          <w:p w14:paraId="00BAF35C" w14:textId="77777777" w:rsidR="00871BDF" w:rsidRDefault="00871BDF">
            <w:pPr>
              <w:jc w:val="right"/>
              <w:rPr>
                <w:rFonts w:ascii="宋体"/>
              </w:rPr>
            </w:pPr>
          </w:p>
        </w:tc>
      </w:tr>
      <w:tr w:rsidR="00871BDF" w14:paraId="00BAF366" w14:textId="77777777">
        <w:trPr>
          <w:jc w:val="center"/>
        </w:trPr>
        <w:tc>
          <w:tcPr>
            <w:tcW w:w="0" w:type="auto"/>
            <w:gridSpan w:val="3"/>
            <w:shd w:val="clear" w:color="auto" w:fill="FFFFFF"/>
            <w:tcMar>
              <w:top w:w="40" w:type="dxa"/>
              <w:left w:w="155" w:type="dxa"/>
              <w:bottom w:w="40" w:type="dxa"/>
              <w:right w:w="20" w:type="dxa"/>
            </w:tcMar>
            <w:vAlign w:val="bottom"/>
          </w:tcPr>
          <w:p w14:paraId="00BAF35E" w14:textId="77777777" w:rsidR="00871BDF" w:rsidRDefault="005C5088">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00BAF35F" w14:textId="77777777" w:rsidR="00871BDF" w:rsidRDefault="005C5088">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tcPr>
          <w:p w14:paraId="00BAF36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36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36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36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364" w14:textId="77777777" w:rsidR="00871BDF" w:rsidRDefault="005C5088">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0BAF365" w14:textId="77777777" w:rsidR="00871BDF" w:rsidRDefault="00871BDF">
            <w:pPr>
              <w:jc w:val="right"/>
              <w:rPr>
                <w:rFonts w:ascii="宋体"/>
              </w:rPr>
            </w:pPr>
          </w:p>
        </w:tc>
      </w:tr>
      <w:tr w:rsidR="00871BDF" w14:paraId="00BAF36F" w14:textId="77777777">
        <w:trPr>
          <w:jc w:val="center"/>
        </w:trPr>
        <w:tc>
          <w:tcPr>
            <w:tcW w:w="0" w:type="auto"/>
            <w:gridSpan w:val="3"/>
            <w:shd w:val="clear" w:color="auto" w:fill="D7E4BC"/>
            <w:tcMar>
              <w:top w:w="40" w:type="dxa"/>
              <w:left w:w="155" w:type="dxa"/>
              <w:bottom w:w="40" w:type="dxa"/>
              <w:right w:w="20" w:type="dxa"/>
            </w:tcMar>
            <w:vAlign w:val="bottom"/>
          </w:tcPr>
          <w:p w14:paraId="00BAF367" w14:textId="77777777" w:rsidR="00871BDF" w:rsidRDefault="005C5088">
            <w:pPr>
              <w:textAlignment w:val="bottom"/>
            </w:pPr>
            <w:r>
              <w:rPr>
                <w:rFonts w:ascii="Times New Roman" w:eastAsia="宋体" w:hAnsi="Times New Roman"/>
                <w:color w:val="000000"/>
                <w:sz w:val="20"/>
                <w:szCs w:val="20"/>
              </w:rPr>
              <w:t>Interest rate swap</w:t>
            </w:r>
          </w:p>
        </w:tc>
        <w:tc>
          <w:tcPr>
            <w:tcW w:w="0" w:type="auto"/>
            <w:gridSpan w:val="3"/>
            <w:shd w:val="clear" w:color="auto" w:fill="D7E4BC"/>
            <w:tcMar>
              <w:top w:w="40" w:type="dxa"/>
              <w:left w:w="20" w:type="dxa"/>
              <w:bottom w:w="40" w:type="dxa"/>
              <w:right w:w="20" w:type="dxa"/>
            </w:tcMar>
            <w:vAlign w:val="bottom"/>
          </w:tcPr>
          <w:p w14:paraId="00BAF368" w14:textId="77777777" w:rsidR="00871BDF" w:rsidRDefault="005C5088">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tcPr>
          <w:p w14:paraId="00BAF36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6A" w14:textId="77777777" w:rsidR="00871BDF" w:rsidRDefault="005C5088">
            <w:pPr>
              <w:jc w:val="right"/>
              <w:textAlignment w:val="bottom"/>
            </w:pPr>
            <w:r>
              <w:rPr>
                <w:rFonts w:ascii="Times New Roman" w:eastAsia="宋体" w:hAnsi="Times New Roman"/>
                <w:color w:val="000000"/>
                <w:sz w:val="20"/>
                <w:szCs w:val="20"/>
              </w:rPr>
              <w:t>45.8 </w:t>
            </w:r>
          </w:p>
        </w:tc>
        <w:tc>
          <w:tcPr>
            <w:tcW w:w="0" w:type="auto"/>
            <w:shd w:val="clear" w:color="auto" w:fill="D7E4BC"/>
            <w:tcMar>
              <w:top w:w="40" w:type="dxa"/>
              <w:left w:w="0" w:type="dxa"/>
              <w:bottom w:w="40" w:type="dxa"/>
              <w:right w:w="20" w:type="dxa"/>
            </w:tcMar>
            <w:vAlign w:val="bottom"/>
          </w:tcPr>
          <w:p w14:paraId="00BAF36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36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6D" w14:textId="77777777" w:rsidR="00871BDF" w:rsidRDefault="005C5088">
            <w:pPr>
              <w:jc w:val="right"/>
              <w:textAlignment w:val="bottom"/>
            </w:pPr>
            <w:r>
              <w:rPr>
                <w:rFonts w:ascii="Times New Roman" w:eastAsia="宋体" w:hAnsi="Times New Roman"/>
                <w:color w:val="000000"/>
                <w:sz w:val="20"/>
                <w:szCs w:val="20"/>
              </w:rPr>
              <w:t>18.2 </w:t>
            </w:r>
          </w:p>
        </w:tc>
        <w:tc>
          <w:tcPr>
            <w:tcW w:w="0" w:type="auto"/>
            <w:shd w:val="clear" w:color="auto" w:fill="D7E4BC"/>
            <w:tcMar>
              <w:top w:w="40" w:type="dxa"/>
              <w:left w:w="0" w:type="dxa"/>
              <w:bottom w:w="40" w:type="dxa"/>
              <w:right w:w="20" w:type="dxa"/>
            </w:tcMar>
            <w:vAlign w:val="bottom"/>
          </w:tcPr>
          <w:p w14:paraId="00BAF36E" w14:textId="77777777" w:rsidR="00871BDF" w:rsidRDefault="00871BDF">
            <w:pPr>
              <w:jc w:val="right"/>
              <w:rPr>
                <w:rFonts w:ascii="宋体"/>
              </w:rPr>
            </w:pPr>
          </w:p>
        </w:tc>
      </w:tr>
      <w:tr w:rsidR="00871BDF" w14:paraId="00BAF376" w14:textId="77777777">
        <w:trPr>
          <w:jc w:val="center"/>
        </w:trPr>
        <w:tc>
          <w:tcPr>
            <w:tcW w:w="0" w:type="auto"/>
            <w:gridSpan w:val="3"/>
            <w:shd w:val="clear" w:color="auto" w:fill="FFFFFF"/>
            <w:tcMar>
              <w:top w:w="40" w:type="dxa"/>
              <w:left w:w="20" w:type="dxa"/>
              <w:bottom w:w="40" w:type="dxa"/>
              <w:right w:w="20" w:type="dxa"/>
            </w:tcMar>
            <w:vAlign w:val="bottom"/>
          </w:tcPr>
          <w:p w14:paraId="00BAF370" w14:textId="77777777" w:rsidR="00871BDF" w:rsidRDefault="005C5088">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FFFFFF"/>
            <w:tcMar>
              <w:top w:w="0" w:type="dxa"/>
              <w:left w:w="20" w:type="dxa"/>
              <w:bottom w:w="0" w:type="dxa"/>
              <w:right w:w="20" w:type="dxa"/>
            </w:tcMar>
          </w:tcPr>
          <w:p w14:paraId="00BAF37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37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37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37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375" w14:textId="77777777" w:rsidR="00871BDF" w:rsidRDefault="00871BDF">
            <w:pPr>
              <w:rPr>
                <w:rFonts w:ascii="宋体"/>
              </w:rPr>
            </w:pPr>
          </w:p>
        </w:tc>
      </w:tr>
      <w:tr w:rsidR="00871BDF" w14:paraId="00BAF37D" w14:textId="77777777">
        <w:trPr>
          <w:jc w:val="center"/>
          <w:hidden/>
        </w:trPr>
        <w:tc>
          <w:tcPr>
            <w:tcW w:w="0" w:type="auto"/>
            <w:gridSpan w:val="3"/>
            <w:shd w:val="clear" w:color="auto" w:fill="auto"/>
          </w:tcPr>
          <w:p w14:paraId="00BAF377" w14:textId="77777777" w:rsidR="00871BDF" w:rsidRDefault="00871BDF">
            <w:pPr>
              <w:rPr>
                <w:rFonts w:ascii="宋体"/>
                <w:vanish/>
              </w:rPr>
            </w:pPr>
          </w:p>
        </w:tc>
        <w:tc>
          <w:tcPr>
            <w:tcW w:w="0" w:type="auto"/>
            <w:gridSpan w:val="3"/>
            <w:shd w:val="clear" w:color="auto" w:fill="auto"/>
          </w:tcPr>
          <w:p w14:paraId="00BAF378" w14:textId="77777777" w:rsidR="00871BDF" w:rsidRDefault="00871BDF">
            <w:pPr>
              <w:rPr>
                <w:rFonts w:ascii="宋体"/>
                <w:vanish/>
              </w:rPr>
            </w:pPr>
          </w:p>
        </w:tc>
        <w:tc>
          <w:tcPr>
            <w:tcW w:w="0" w:type="auto"/>
            <w:gridSpan w:val="3"/>
            <w:shd w:val="clear" w:color="auto" w:fill="auto"/>
          </w:tcPr>
          <w:p w14:paraId="00BAF379" w14:textId="77777777" w:rsidR="00871BDF" w:rsidRDefault="00871BDF">
            <w:pPr>
              <w:rPr>
                <w:rFonts w:ascii="宋体"/>
                <w:vanish/>
              </w:rPr>
            </w:pPr>
          </w:p>
        </w:tc>
        <w:tc>
          <w:tcPr>
            <w:tcW w:w="0" w:type="auto"/>
            <w:gridSpan w:val="3"/>
            <w:shd w:val="clear" w:color="auto" w:fill="auto"/>
          </w:tcPr>
          <w:p w14:paraId="00BAF37A" w14:textId="77777777" w:rsidR="00871BDF" w:rsidRDefault="00871BDF">
            <w:pPr>
              <w:rPr>
                <w:rFonts w:ascii="宋体"/>
                <w:vanish/>
              </w:rPr>
            </w:pPr>
          </w:p>
        </w:tc>
        <w:tc>
          <w:tcPr>
            <w:tcW w:w="0" w:type="auto"/>
            <w:gridSpan w:val="3"/>
            <w:shd w:val="clear" w:color="auto" w:fill="auto"/>
          </w:tcPr>
          <w:p w14:paraId="00BAF37B" w14:textId="77777777" w:rsidR="00871BDF" w:rsidRDefault="00871BDF">
            <w:pPr>
              <w:rPr>
                <w:rFonts w:ascii="宋体"/>
                <w:vanish/>
              </w:rPr>
            </w:pPr>
          </w:p>
        </w:tc>
        <w:tc>
          <w:tcPr>
            <w:tcW w:w="0" w:type="auto"/>
            <w:gridSpan w:val="3"/>
            <w:shd w:val="clear" w:color="auto" w:fill="auto"/>
          </w:tcPr>
          <w:p w14:paraId="00BAF37C" w14:textId="77777777" w:rsidR="00871BDF" w:rsidRDefault="00871BDF">
            <w:pPr>
              <w:rPr>
                <w:rFonts w:ascii="宋体"/>
                <w:vanish/>
              </w:rPr>
            </w:pPr>
          </w:p>
        </w:tc>
      </w:tr>
      <w:tr w:rsidR="00871BDF" w14:paraId="00BAF386" w14:textId="77777777">
        <w:trPr>
          <w:jc w:val="center"/>
        </w:trPr>
        <w:tc>
          <w:tcPr>
            <w:tcW w:w="0" w:type="auto"/>
            <w:gridSpan w:val="3"/>
            <w:shd w:val="clear" w:color="auto" w:fill="D7E4BC"/>
            <w:tcMar>
              <w:top w:w="40" w:type="dxa"/>
              <w:left w:w="155" w:type="dxa"/>
              <w:bottom w:w="40" w:type="dxa"/>
              <w:right w:w="20" w:type="dxa"/>
            </w:tcMar>
            <w:vAlign w:val="bottom"/>
          </w:tcPr>
          <w:p w14:paraId="00BAF37E" w14:textId="77777777" w:rsidR="00871BDF" w:rsidRDefault="005C5088">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D7E4BC"/>
            <w:tcMar>
              <w:top w:w="40" w:type="dxa"/>
              <w:left w:w="20" w:type="dxa"/>
              <w:bottom w:w="40" w:type="dxa"/>
              <w:right w:w="20" w:type="dxa"/>
            </w:tcMar>
            <w:vAlign w:val="bottom"/>
          </w:tcPr>
          <w:p w14:paraId="00BAF37F" w14:textId="77777777" w:rsidR="00871BDF" w:rsidRDefault="005C5088">
            <w:pPr>
              <w:textAlignment w:val="bottom"/>
            </w:pPr>
            <w:r>
              <w:rPr>
                <w:rFonts w:ascii="Times New Roman" w:eastAsia="宋体" w:hAnsi="Times New Roman"/>
                <w:color w:val="000000"/>
                <w:sz w:val="20"/>
                <w:szCs w:val="20"/>
              </w:rPr>
              <w:t xml:space="preserve">Prepaid expenses and </w:t>
            </w:r>
            <w:r>
              <w:rPr>
                <w:rFonts w:ascii="Times New Roman" w:eastAsia="宋体" w:hAnsi="Times New Roman"/>
                <w:color w:val="000000"/>
                <w:sz w:val="20"/>
                <w:szCs w:val="20"/>
              </w:rPr>
              <w:t>other current assets</w:t>
            </w:r>
          </w:p>
        </w:tc>
        <w:tc>
          <w:tcPr>
            <w:tcW w:w="0" w:type="auto"/>
            <w:gridSpan w:val="3"/>
            <w:shd w:val="clear" w:color="auto" w:fill="D7E4BC"/>
            <w:tcMar>
              <w:top w:w="0" w:type="dxa"/>
              <w:left w:w="20" w:type="dxa"/>
              <w:bottom w:w="0" w:type="dxa"/>
              <w:right w:w="20" w:type="dxa"/>
            </w:tcMar>
          </w:tcPr>
          <w:p w14:paraId="00BAF38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8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38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38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84" w14:textId="77777777" w:rsidR="00871BDF" w:rsidRDefault="005C5088">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00BAF385" w14:textId="77777777" w:rsidR="00871BDF" w:rsidRDefault="00871BDF">
            <w:pPr>
              <w:jc w:val="right"/>
              <w:rPr>
                <w:rFonts w:ascii="宋体"/>
              </w:rPr>
            </w:pPr>
          </w:p>
        </w:tc>
      </w:tr>
      <w:tr w:rsidR="00871BDF" w14:paraId="00BAF38F" w14:textId="77777777">
        <w:trPr>
          <w:jc w:val="center"/>
        </w:trPr>
        <w:tc>
          <w:tcPr>
            <w:tcW w:w="0" w:type="auto"/>
            <w:gridSpan w:val="3"/>
            <w:shd w:val="clear" w:color="auto" w:fill="FFFFFF"/>
            <w:tcMar>
              <w:top w:w="40" w:type="dxa"/>
              <w:left w:w="155" w:type="dxa"/>
              <w:bottom w:w="40" w:type="dxa"/>
              <w:right w:w="20" w:type="dxa"/>
            </w:tcMar>
            <w:vAlign w:val="bottom"/>
          </w:tcPr>
          <w:p w14:paraId="00BAF387" w14:textId="77777777" w:rsidR="00871BDF" w:rsidRDefault="005C5088">
            <w:pPr>
              <w:textAlignment w:val="bottom"/>
            </w:pPr>
            <w:r>
              <w:rPr>
                <w:rFonts w:ascii="Times New Roman" w:eastAsia="宋体" w:hAnsi="Times New Roman"/>
                <w:color w:val="000000"/>
                <w:sz w:val="20"/>
                <w:szCs w:val="20"/>
              </w:rPr>
              <w:t>Foreign currency</w:t>
            </w:r>
          </w:p>
        </w:tc>
        <w:tc>
          <w:tcPr>
            <w:tcW w:w="0" w:type="auto"/>
            <w:gridSpan w:val="3"/>
            <w:shd w:val="clear" w:color="auto" w:fill="FFFFFF"/>
            <w:tcMar>
              <w:top w:w="40" w:type="dxa"/>
              <w:left w:w="20" w:type="dxa"/>
              <w:bottom w:w="40" w:type="dxa"/>
              <w:right w:w="20" w:type="dxa"/>
            </w:tcMar>
            <w:vAlign w:val="bottom"/>
          </w:tcPr>
          <w:p w14:paraId="00BAF388" w14:textId="77777777" w:rsidR="00871BDF" w:rsidRDefault="005C5088">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tcPr>
          <w:p w14:paraId="00BAF38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38A" w14:textId="77777777" w:rsidR="00871BDF" w:rsidRDefault="005C5088">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00BAF38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38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38D" w14:textId="77777777" w:rsidR="00871BDF" w:rsidRDefault="005C5088">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00BAF38E" w14:textId="77777777" w:rsidR="00871BDF" w:rsidRDefault="00871BDF">
            <w:pPr>
              <w:jc w:val="right"/>
              <w:rPr>
                <w:rFonts w:ascii="宋体"/>
              </w:rPr>
            </w:pPr>
          </w:p>
        </w:tc>
      </w:tr>
      <w:tr w:rsidR="00871BDF" w14:paraId="00BAF396" w14:textId="77777777">
        <w:trPr>
          <w:trHeight w:val="60"/>
          <w:jc w:val="center"/>
        </w:trPr>
        <w:tc>
          <w:tcPr>
            <w:tcW w:w="0" w:type="auto"/>
            <w:gridSpan w:val="3"/>
            <w:shd w:val="clear" w:color="auto" w:fill="auto"/>
            <w:tcMar>
              <w:top w:w="0" w:type="dxa"/>
              <w:left w:w="20" w:type="dxa"/>
              <w:bottom w:w="0" w:type="dxa"/>
              <w:right w:w="20" w:type="dxa"/>
            </w:tcMar>
          </w:tcPr>
          <w:p w14:paraId="00BAF390"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F391"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F392"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F393" w14:textId="77777777" w:rsidR="00871BDF" w:rsidRDefault="00871BDF">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0BAF394" w14:textId="77777777" w:rsidR="00871BDF" w:rsidRDefault="00871BDF">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00BAF395" w14:textId="77777777" w:rsidR="00871BDF" w:rsidRDefault="00871BDF">
            <w:pPr>
              <w:rPr>
                <w:rFonts w:ascii="宋体"/>
              </w:rPr>
            </w:pPr>
          </w:p>
        </w:tc>
      </w:tr>
      <w:tr w:rsidR="00871BDF" w14:paraId="00BAF39B" w14:textId="77777777">
        <w:trPr>
          <w:jc w:val="center"/>
        </w:trPr>
        <w:tc>
          <w:tcPr>
            <w:tcW w:w="0" w:type="auto"/>
            <w:gridSpan w:val="3"/>
            <w:shd w:val="clear" w:color="auto" w:fill="auto"/>
            <w:tcMar>
              <w:top w:w="0" w:type="dxa"/>
              <w:left w:w="20" w:type="dxa"/>
              <w:bottom w:w="0" w:type="dxa"/>
              <w:right w:w="20" w:type="dxa"/>
            </w:tcMar>
          </w:tcPr>
          <w:p w14:paraId="00BAF397"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F398"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AF399" w14:textId="77777777" w:rsidR="00871BDF" w:rsidRDefault="00871BDF">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00BAF39A" w14:textId="77777777" w:rsidR="00871BDF" w:rsidRDefault="005C5088">
            <w:pPr>
              <w:jc w:val="center"/>
              <w:textAlignment w:val="bottom"/>
            </w:pPr>
            <w:r>
              <w:rPr>
                <w:rFonts w:ascii="Times New Roman" w:eastAsia="宋体" w:hAnsi="Times New Roman"/>
                <w:b/>
                <w:bCs/>
                <w:color w:val="FFFFFF"/>
                <w:sz w:val="16"/>
                <w:szCs w:val="16"/>
              </w:rPr>
              <w:t>Derivative Liabilities</w:t>
            </w:r>
          </w:p>
        </w:tc>
      </w:tr>
      <w:tr w:rsidR="00871BDF" w14:paraId="00BAF3A2" w14:textId="77777777">
        <w:trPr>
          <w:jc w:val="center"/>
        </w:trPr>
        <w:tc>
          <w:tcPr>
            <w:tcW w:w="0" w:type="auto"/>
            <w:gridSpan w:val="3"/>
            <w:shd w:val="clear" w:color="auto" w:fill="auto"/>
            <w:tcMar>
              <w:top w:w="0" w:type="dxa"/>
              <w:left w:w="20" w:type="dxa"/>
              <w:bottom w:w="0" w:type="dxa"/>
              <w:right w:w="20" w:type="dxa"/>
            </w:tcMar>
          </w:tcPr>
          <w:p w14:paraId="00BAF39C"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39D" w14:textId="77777777" w:rsidR="00871BDF" w:rsidRDefault="005C5088">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FFFFFF"/>
            <w:tcMar>
              <w:top w:w="0" w:type="dxa"/>
              <w:left w:w="20" w:type="dxa"/>
              <w:bottom w:w="0" w:type="dxa"/>
              <w:right w:w="20" w:type="dxa"/>
            </w:tcMar>
          </w:tcPr>
          <w:p w14:paraId="00BAF39E"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39F"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tcBorders>
              <w:top w:val="single" w:sz="8" w:space="0" w:color="000000"/>
            </w:tcBorders>
            <w:shd w:val="clear" w:color="auto" w:fill="auto"/>
            <w:tcMar>
              <w:top w:w="0" w:type="dxa"/>
              <w:left w:w="20" w:type="dxa"/>
              <w:bottom w:w="0" w:type="dxa"/>
              <w:right w:w="20" w:type="dxa"/>
            </w:tcMar>
          </w:tcPr>
          <w:p w14:paraId="00BAF3A0"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3A1" w14:textId="77777777" w:rsidR="00871BDF" w:rsidRDefault="005C5088">
            <w:pPr>
              <w:jc w:val="center"/>
              <w:textAlignment w:val="bottom"/>
            </w:pPr>
            <w:r>
              <w:rPr>
                <w:rFonts w:ascii="Times New Roman" w:eastAsia="宋体" w:hAnsi="Times New Roman"/>
                <w:b/>
                <w:bCs/>
                <w:color w:val="FFFFFF"/>
                <w:sz w:val="16"/>
                <w:szCs w:val="16"/>
              </w:rPr>
              <w:t>Sep 29, 2019</w:t>
            </w:r>
          </w:p>
        </w:tc>
      </w:tr>
      <w:tr w:rsidR="00871BDF" w14:paraId="00BAF3A9" w14:textId="77777777">
        <w:trPr>
          <w:jc w:val="center"/>
        </w:trPr>
        <w:tc>
          <w:tcPr>
            <w:tcW w:w="0" w:type="auto"/>
            <w:gridSpan w:val="3"/>
            <w:shd w:val="clear" w:color="auto" w:fill="D7E4BC"/>
            <w:tcMar>
              <w:top w:w="40" w:type="dxa"/>
              <w:left w:w="20" w:type="dxa"/>
              <w:bottom w:w="40" w:type="dxa"/>
              <w:right w:w="20" w:type="dxa"/>
            </w:tcMar>
            <w:vAlign w:val="bottom"/>
          </w:tcPr>
          <w:p w14:paraId="00BAF3A3" w14:textId="77777777" w:rsidR="00871BDF" w:rsidRDefault="005C5088">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tcPr>
          <w:p w14:paraId="00BAF3A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3A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3A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3A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3A8" w14:textId="77777777" w:rsidR="00871BDF" w:rsidRDefault="00871BDF">
            <w:pPr>
              <w:rPr>
                <w:rFonts w:ascii="宋体"/>
              </w:rPr>
            </w:pPr>
          </w:p>
        </w:tc>
      </w:tr>
      <w:tr w:rsidR="00871BDF" w14:paraId="00BAF3B4" w14:textId="77777777">
        <w:trPr>
          <w:trHeight w:val="300"/>
          <w:jc w:val="center"/>
        </w:trPr>
        <w:tc>
          <w:tcPr>
            <w:tcW w:w="0" w:type="auto"/>
            <w:gridSpan w:val="3"/>
            <w:vMerge w:val="restart"/>
            <w:shd w:val="clear" w:color="auto" w:fill="FFFFFF"/>
            <w:tcMar>
              <w:top w:w="40" w:type="dxa"/>
              <w:left w:w="155" w:type="dxa"/>
              <w:bottom w:w="40" w:type="dxa"/>
              <w:right w:w="20" w:type="dxa"/>
            </w:tcMar>
          </w:tcPr>
          <w:p w14:paraId="00BAF3AA" w14:textId="77777777" w:rsidR="00871BDF" w:rsidRDefault="005C5088">
            <w:pPr>
              <w:textAlignment w:val="top"/>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vAlign w:val="bottom"/>
          </w:tcPr>
          <w:p w14:paraId="00BAF3AB" w14:textId="77777777" w:rsidR="00871BDF" w:rsidRDefault="005C5088">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tcPr>
          <w:p w14:paraId="00BAF3AC"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3AD"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3AE" w14:textId="77777777" w:rsidR="00871BDF" w:rsidRDefault="005C5088">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00BAF3A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3B0"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3B1"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3B2" w14:textId="77777777" w:rsidR="00871BDF" w:rsidRDefault="005C5088">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00BAF3B3" w14:textId="77777777" w:rsidR="00871BDF" w:rsidRDefault="00871BDF">
            <w:pPr>
              <w:jc w:val="right"/>
              <w:rPr>
                <w:rFonts w:ascii="宋体"/>
              </w:rPr>
            </w:pPr>
          </w:p>
        </w:tc>
      </w:tr>
      <w:tr w:rsidR="00871BDF" w14:paraId="00BAF3BD" w14:textId="77777777">
        <w:trPr>
          <w:trHeight w:val="300"/>
          <w:jc w:val="center"/>
        </w:trPr>
        <w:tc>
          <w:tcPr>
            <w:tcW w:w="0" w:type="auto"/>
            <w:gridSpan w:val="3"/>
            <w:vMerge/>
            <w:shd w:val="clear" w:color="auto" w:fill="FFFFFF"/>
            <w:tcMar>
              <w:top w:w="40" w:type="dxa"/>
              <w:left w:w="155" w:type="dxa"/>
              <w:bottom w:w="40" w:type="dxa"/>
              <w:right w:w="20" w:type="dxa"/>
            </w:tcMar>
          </w:tcPr>
          <w:p w14:paraId="00BAF3B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AF3B6" w14:textId="77777777" w:rsidR="00871BDF" w:rsidRDefault="005C5088">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tcPr>
          <w:p w14:paraId="00BAF3B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3B8" w14:textId="77777777" w:rsidR="00871BDF" w:rsidRDefault="005C5088">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0BAF3B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3B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3BB" w14:textId="77777777" w:rsidR="00871BDF" w:rsidRDefault="005C5088">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0BAF3BC" w14:textId="77777777" w:rsidR="00871BDF" w:rsidRDefault="00871BDF">
            <w:pPr>
              <w:jc w:val="right"/>
              <w:rPr>
                <w:rFonts w:ascii="宋体"/>
              </w:rPr>
            </w:pPr>
          </w:p>
        </w:tc>
      </w:tr>
      <w:tr w:rsidR="00871BDF" w14:paraId="00BAF3C6" w14:textId="77777777">
        <w:trPr>
          <w:jc w:val="center"/>
        </w:trPr>
        <w:tc>
          <w:tcPr>
            <w:tcW w:w="0" w:type="auto"/>
            <w:gridSpan w:val="3"/>
            <w:shd w:val="clear" w:color="auto" w:fill="D7E4BC"/>
            <w:tcMar>
              <w:top w:w="40" w:type="dxa"/>
              <w:left w:w="155" w:type="dxa"/>
              <w:bottom w:w="40" w:type="dxa"/>
              <w:right w:w="20" w:type="dxa"/>
            </w:tcMar>
            <w:vAlign w:val="bottom"/>
          </w:tcPr>
          <w:p w14:paraId="00BAF3BE" w14:textId="77777777" w:rsidR="00871BDF" w:rsidRDefault="005C5088">
            <w:pPr>
              <w:textAlignment w:val="bottom"/>
            </w:pPr>
            <w:r>
              <w:rPr>
                <w:rFonts w:ascii="Times New Roman" w:eastAsia="宋体" w:hAnsi="Times New Roman"/>
                <w:color w:val="000000"/>
                <w:sz w:val="20"/>
                <w:szCs w:val="20"/>
              </w:rPr>
              <w:t>Cross-currency swaps</w:t>
            </w:r>
          </w:p>
        </w:tc>
        <w:tc>
          <w:tcPr>
            <w:tcW w:w="0" w:type="auto"/>
            <w:gridSpan w:val="3"/>
            <w:shd w:val="clear" w:color="auto" w:fill="D7E4BC"/>
            <w:tcMar>
              <w:top w:w="40" w:type="dxa"/>
              <w:left w:w="20" w:type="dxa"/>
              <w:bottom w:w="40" w:type="dxa"/>
              <w:right w:w="20" w:type="dxa"/>
            </w:tcMar>
          </w:tcPr>
          <w:p w14:paraId="00BAF3BF" w14:textId="77777777" w:rsidR="00871BDF" w:rsidRDefault="005C5088">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tcPr>
          <w:p w14:paraId="00BAF3C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C1" w14:textId="77777777" w:rsidR="00871BDF" w:rsidRDefault="005C5088">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left w:w="0" w:type="dxa"/>
              <w:bottom w:w="40" w:type="dxa"/>
              <w:right w:w="20" w:type="dxa"/>
            </w:tcMar>
            <w:vAlign w:val="bottom"/>
          </w:tcPr>
          <w:p w14:paraId="00BAF3C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3C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C4" w14:textId="77777777" w:rsidR="00871BDF" w:rsidRDefault="005C5088">
            <w:pPr>
              <w:jc w:val="right"/>
              <w:textAlignment w:val="bottom"/>
            </w:pPr>
            <w:r>
              <w:rPr>
                <w:rFonts w:ascii="Times New Roman" w:eastAsia="宋体" w:hAnsi="Times New Roman"/>
                <w:color w:val="000000"/>
                <w:sz w:val="20"/>
                <w:szCs w:val="20"/>
              </w:rPr>
              <w:t>9.7 </w:t>
            </w:r>
          </w:p>
        </w:tc>
        <w:tc>
          <w:tcPr>
            <w:tcW w:w="0" w:type="auto"/>
            <w:shd w:val="clear" w:color="auto" w:fill="D7E4BC"/>
            <w:tcMar>
              <w:top w:w="40" w:type="dxa"/>
              <w:left w:w="0" w:type="dxa"/>
              <w:bottom w:w="40" w:type="dxa"/>
              <w:right w:w="20" w:type="dxa"/>
            </w:tcMar>
            <w:vAlign w:val="bottom"/>
          </w:tcPr>
          <w:p w14:paraId="00BAF3C5" w14:textId="77777777" w:rsidR="00871BDF" w:rsidRDefault="00871BDF">
            <w:pPr>
              <w:jc w:val="right"/>
              <w:rPr>
                <w:rFonts w:ascii="宋体"/>
              </w:rPr>
            </w:pPr>
          </w:p>
        </w:tc>
      </w:tr>
      <w:tr w:rsidR="00871BDF" w14:paraId="00BAF3CF" w14:textId="77777777">
        <w:trPr>
          <w:jc w:val="center"/>
        </w:trPr>
        <w:tc>
          <w:tcPr>
            <w:tcW w:w="0" w:type="auto"/>
            <w:gridSpan w:val="3"/>
            <w:shd w:val="clear" w:color="auto" w:fill="FFFFFF"/>
            <w:tcMar>
              <w:top w:w="40" w:type="dxa"/>
              <w:left w:w="155" w:type="dxa"/>
              <w:bottom w:w="40" w:type="dxa"/>
              <w:right w:w="20" w:type="dxa"/>
            </w:tcMar>
            <w:vAlign w:val="bottom"/>
          </w:tcPr>
          <w:p w14:paraId="00BAF3C7" w14:textId="77777777" w:rsidR="00871BDF" w:rsidRDefault="005C5088">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00BAF3C8" w14:textId="77777777" w:rsidR="00871BDF" w:rsidRDefault="005C5088">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tcPr>
          <w:p w14:paraId="00BAF3C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3CA" w14:textId="77777777" w:rsidR="00871BDF" w:rsidRDefault="005C5088">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00BAF3C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3C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3C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3CE" w14:textId="77777777" w:rsidR="00871BDF" w:rsidRDefault="00871BDF">
            <w:pPr>
              <w:jc w:val="right"/>
              <w:rPr>
                <w:rFonts w:ascii="宋体"/>
              </w:rPr>
            </w:pPr>
          </w:p>
        </w:tc>
      </w:tr>
      <w:tr w:rsidR="00871BDF" w14:paraId="00BAF3D8" w14:textId="77777777">
        <w:trPr>
          <w:trHeight w:val="300"/>
          <w:jc w:val="center"/>
        </w:trPr>
        <w:tc>
          <w:tcPr>
            <w:tcW w:w="0" w:type="auto"/>
            <w:gridSpan w:val="3"/>
            <w:vMerge w:val="restart"/>
            <w:shd w:val="clear" w:color="auto" w:fill="D7E4BC"/>
            <w:tcMar>
              <w:top w:w="40" w:type="dxa"/>
              <w:left w:w="155" w:type="dxa"/>
              <w:bottom w:w="40" w:type="dxa"/>
              <w:right w:w="20" w:type="dxa"/>
            </w:tcMar>
          </w:tcPr>
          <w:p w14:paraId="00BAF3D0" w14:textId="77777777" w:rsidR="00871BDF" w:rsidRDefault="005C5088">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00BAF3D1" w14:textId="77777777" w:rsidR="00871BDF" w:rsidRDefault="005C5088">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tcPr>
          <w:p w14:paraId="00BAF3D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D3" w14:textId="77777777" w:rsidR="00871BDF" w:rsidRDefault="005C5088">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00BAF3D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3D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D6" w14:textId="77777777" w:rsidR="00871BDF" w:rsidRDefault="005C5088">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00BAF3D7" w14:textId="77777777" w:rsidR="00871BDF" w:rsidRDefault="00871BDF">
            <w:pPr>
              <w:jc w:val="right"/>
              <w:rPr>
                <w:rFonts w:ascii="宋体"/>
              </w:rPr>
            </w:pPr>
          </w:p>
        </w:tc>
      </w:tr>
      <w:tr w:rsidR="00871BDF" w14:paraId="00BAF3E1" w14:textId="77777777">
        <w:trPr>
          <w:trHeight w:val="300"/>
          <w:jc w:val="center"/>
        </w:trPr>
        <w:tc>
          <w:tcPr>
            <w:tcW w:w="0" w:type="auto"/>
            <w:gridSpan w:val="3"/>
            <w:vMerge/>
            <w:shd w:val="clear" w:color="auto" w:fill="D7E4BC"/>
            <w:tcMar>
              <w:top w:w="40" w:type="dxa"/>
              <w:left w:w="155" w:type="dxa"/>
              <w:bottom w:w="40" w:type="dxa"/>
              <w:right w:w="20" w:type="dxa"/>
            </w:tcMar>
          </w:tcPr>
          <w:p w14:paraId="00BAF3D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AF3DA" w14:textId="77777777" w:rsidR="00871BDF" w:rsidRDefault="005C5088">
            <w:pPr>
              <w:textAlignment w:val="bottom"/>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tcPr>
          <w:p w14:paraId="00BAF3D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DC" w14:textId="77777777" w:rsidR="00871BDF" w:rsidRDefault="005C5088">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00BAF3D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3D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3DF" w14:textId="77777777" w:rsidR="00871BDF" w:rsidRDefault="005C5088">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00BAF3E0" w14:textId="77777777" w:rsidR="00871BDF" w:rsidRDefault="00871BDF">
            <w:pPr>
              <w:jc w:val="right"/>
              <w:rPr>
                <w:rFonts w:ascii="宋体"/>
              </w:rPr>
            </w:pPr>
          </w:p>
        </w:tc>
      </w:tr>
      <w:tr w:rsidR="00871BDF" w14:paraId="00BAF3EA" w14:textId="77777777">
        <w:trPr>
          <w:jc w:val="center"/>
        </w:trPr>
        <w:tc>
          <w:tcPr>
            <w:tcW w:w="0" w:type="auto"/>
            <w:gridSpan w:val="3"/>
            <w:shd w:val="clear" w:color="auto" w:fill="FFFFFF"/>
            <w:tcMar>
              <w:top w:w="40" w:type="dxa"/>
              <w:left w:w="155" w:type="dxa"/>
              <w:bottom w:w="40" w:type="dxa"/>
              <w:right w:w="20" w:type="dxa"/>
            </w:tcMar>
            <w:vAlign w:val="bottom"/>
          </w:tcPr>
          <w:p w14:paraId="00BAF3E2" w14:textId="77777777" w:rsidR="00871BDF" w:rsidRDefault="005C5088">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00BAF3E3" w14:textId="77777777" w:rsidR="00871BDF" w:rsidRDefault="005C5088">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tcPr>
          <w:p w14:paraId="00BAF3E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3E5" w14:textId="77777777" w:rsidR="00871BDF" w:rsidRDefault="005C5088">
            <w:pPr>
              <w:jc w:val="right"/>
              <w:textAlignment w:val="bottom"/>
            </w:pPr>
            <w:r>
              <w:rPr>
                <w:rFonts w:ascii="Times New Roman" w:eastAsia="宋体" w:hAnsi="Times New Roman"/>
                <w:color w:val="000000"/>
                <w:sz w:val="20"/>
                <w:szCs w:val="20"/>
              </w:rPr>
              <w:t>69.3 </w:t>
            </w:r>
          </w:p>
        </w:tc>
        <w:tc>
          <w:tcPr>
            <w:tcW w:w="0" w:type="auto"/>
            <w:shd w:val="clear" w:color="auto" w:fill="FFFFFF"/>
            <w:tcMar>
              <w:top w:w="40" w:type="dxa"/>
              <w:left w:w="0" w:type="dxa"/>
              <w:bottom w:w="40" w:type="dxa"/>
              <w:right w:w="20" w:type="dxa"/>
            </w:tcMar>
            <w:vAlign w:val="bottom"/>
          </w:tcPr>
          <w:p w14:paraId="00BAF3E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3E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3E8" w14:textId="77777777" w:rsidR="00871BDF" w:rsidRDefault="005C5088">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00BAF3E9" w14:textId="77777777" w:rsidR="00871BDF" w:rsidRDefault="00871BDF">
            <w:pPr>
              <w:jc w:val="right"/>
              <w:rPr>
                <w:rFonts w:ascii="宋体"/>
              </w:rPr>
            </w:pPr>
          </w:p>
        </w:tc>
      </w:tr>
      <w:tr w:rsidR="00871BDF" w14:paraId="00BAF3F1" w14:textId="77777777">
        <w:trPr>
          <w:jc w:val="center"/>
          <w:hidden/>
        </w:trPr>
        <w:tc>
          <w:tcPr>
            <w:tcW w:w="0" w:type="auto"/>
            <w:gridSpan w:val="3"/>
            <w:shd w:val="clear" w:color="auto" w:fill="auto"/>
          </w:tcPr>
          <w:p w14:paraId="00BAF3EB" w14:textId="77777777" w:rsidR="00871BDF" w:rsidRDefault="00871BDF">
            <w:pPr>
              <w:rPr>
                <w:rFonts w:ascii="宋体"/>
                <w:vanish/>
              </w:rPr>
            </w:pPr>
          </w:p>
        </w:tc>
        <w:tc>
          <w:tcPr>
            <w:tcW w:w="0" w:type="auto"/>
            <w:gridSpan w:val="3"/>
            <w:shd w:val="clear" w:color="auto" w:fill="auto"/>
          </w:tcPr>
          <w:p w14:paraId="00BAF3EC" w14:textId="77777777" w:rsidR="00871BDF" w:rsidRDefault="00871BDF">
            <w:pPr>
              <w:rPr>
                <w:rFonts w:ascii="宋体"/>
                <w:vanish/>
              </w:rPr>
            </w:pPr>
          </w:p>
        </w:tc>
        <w:tc>
          <w:tcPr>
            <w:tcW w:w="0" w:type="auto"/>
            <w:gridSpan w:val="3"/>
            <w:shd w:val="clear" w:color="auto" w:fill="auto"/>
          </w:tcPr>
          <w:p w14:paraId="00BAF3ED" w14:textId="77777777" w:rsidR="00871BDF" w:rsidRDefault="00871BDF">
            <w:pPr>
              <w:rPr>
                <w:rFonts w:ascii="宋体"/>
                <w:vanish/>
              </w:rPr>
            </w:pPr>
          </w:p>
        </w:tc>
        <w:tc>
          <w:tcPr>
            <w:tcW w:w="0" w:type="auto"/>
            <w:gridSpan w:val="3"/>
            <w:shd w:val="clear" w:color="auto" w:fill="auto"/>
          </w:tcPr>
          <w:p w14:paraId="00BAF3EE" w14:textId="77777777" w:rsidR="00871BDF" w:rsidRDefault="00871BDF">
            <w:pPr>
              <w:rPr>
                <w:rFonts w:ascii="宋体"/>
                <w:vanish/>
              </w:rPr>
            </w:pPr>
          </w:p>
        </w:tc>
        <w:tc>
          <w:tcPr>
            <w:tcW w:w="0" w:type="auto"/>
            <w:gridSpan w:val="3"/>
            <w:shd w:val="clear" w:color="auto" w:fill="auto"/>
          </w:tcPr>
          <w:p w14:paraId="00BAF3EF" w14:textId="77777777" w:rsidR="00871BDF" w:rsidRDefault="00871BDF">
            <w:pPr>
              <w:rPr>
                <w:rFonts w:ascii="宋体"/>
                <w:vanish/>
              </w:rPr>
            </w:pPr>
          </w:p>
        </w:tc>
        <w:tc>
          <w:tcPr>
            <w:tcW w:w="0" w:type="auto"/>
            <w:gridSpan w:val="3"/>
            <w:shd w:val="clear" w:color="auto" w:fill="auto"/>
          </w:tcPr>
          <w:p w14:paraId="00BAF3F0" w14:textId="77777777" w:rsidR="00871BDF" w:rsidRDefault="00871BDF">
            <w:pPr>
              <w:rPr>
                <w:rFonts w:ascii="宋体"/>
                <w:vanish/>
              </w:rPr>
            </w:pPr>
          </w:p>
        </w:tc>
      </w:tr>
      <w:tr w:rsidR="00871BDF" w14:paraId="00BAF3F8" w14:textId="77777777">
        <w:trPr>
          <w:jc w:val="center"/>
        </w:trPr>
        <w:tc>
          <w:tcPr>
            <w:tcW w:w="0" w:type="auto"/>
            <w:gridSpan w:val="3"/>
            <w:shd w:val="clear" w:color="auto" w:fill="D7E4BC"/>
            <w:tcMar>
              <w:top w:w="40" w:type="dxa"/>
              <w:left w:w="20" w:type="dxa"/>
              <w:bottom w:w="40" w:type="dxa"/>
              <w:right w:w="20" w:type="dxa"/>
            </w:tcMar>
            <w:vAlign w:val="bottom"/>
          </w:tcPr>
          <w:p w14:paraId="00BAF3F2" w14:textId="77777777" w:rsidR="00871BDF" w:rsidRDefault="005C5088">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top w:w="0" w:type="dxa"/>
              <w:left w:w="20" w:type="dxa"/>
              <w:bottom w:w="0" w:type="dxa"/>
              <w:right w:w="20" w:type="dxa"/>
            </w:tcMar>
          </w:tcPr>
          <w:p w14:paraId="00BAF3F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3F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3F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3F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3F7" w14:textId="77777777" w:rsidR="00871BDF" w:rsidRDefault="00871BDF">
            <w:pPr>
              <w:rPr>
                <w:rFonts w:ascii="宋体"/>
              </w:rPr>
            </w:pPr>
          </w:p>
        </w:tc>
      </w:tr>
      <w:tr w:rsidR="00871BDF" w14:paraId="00BAF3FF" w14:textId="77777777">
        <w:trPr>
          <w:jc w:val="center"/>
          <w:hidden/>
        </w:trPr>
        <w:tc>
          <w:tcPr>
            <w:tcW w:w="0" w:type="auto"/>
            <w:gridSpan w:val="3"/>
            <w:shd w:val="clear" w:color="auto" w:fill="auto"/>
          </w:tcPr>
          <w:p w14:paraId="00BAF3F9" w14:textId="77777777" w:rsidR="00871BDF" w:rsidRDefault="00871BDF">
            <w:pPr>
              <w:rPr>
                <w:rFonts w:ascii="宋体"/>
                <w:vanish/>
              </w:rPr>
            </w:pPr>
          </w:p>
        </w:tc>
        <w:tc>
          <w:tcPr>
            <w:tcW w:w="0" w:type="auto"/>
            <w:gridSpan w:val="3"/>
            <w:shd w:val="clear" w:color="auto" w:fill="auto"/>
          </w:tcPr>
          <w:p w14:paraId="00BAF3FA" w14:textId="77777777" w:rsidR="00871BDF" w:rsidRDefault="00871BDF">
            <w:pPr>
              <w:rPr>
                <w:rFonts w:ascii="宋体"/>
                <w:vanish/>
              </w:rPr>
            </w:pPr>
          </w:p>
        </w:tc>
        <w:tc>
          <w:tcPr>
            <w:tcW w:w="0" w:type="auto"/>
            <w:gridSpan w:val="3"/>
            <w:shd w:val="clear" w:color="auto" w:fill="auto"/>
          </w:tcPr>
          <w:p w14:paraId="00BAF3FB" w14:textId="77777777" w:rsidR="00871BDF" w:rsidRDefault="00871BDF">
            <w:pPr>
              <w:rPr>
                <w:rFonts w:ascii="宋体"/>
                <w:vanish/>
              </w:rPr>
            </w:pPr>
          </w:p>
        </w:tc>
        <w:tc>
          <w:tcPr>
            <w:tcW w:w="0" w:type="auto"/>
            <w:gridSpan w:val="3"/>
            <w:shd w:val="clear" w:color="auto" w:fill="auto"/>
          </w:tcPr>
          <w:p w14:paraId="00BAF3FC" w14:textId="77777777" w:rsidR="00871BDF" w:rsidRDefault="00871BDF">
            <w:pPr>
              <w:rPr>
                <w:rFonts w:ascii="宋体"/>
                <w:vanish/>
              </w:rPr>
            </w:pPr>
          </w:p>
        </w:tc>
        <w:tc>
          <w:tcPr>
            <w:tcW w:w="0" w:type="auto"/>
            <w:gridSpan w:val="3"/>
            <w:shd w:val="clear" w:color="auto" w:fill="auto"/>
          </w:tcPr>
          <w:p w14:paraId="00BAF3FD" w14:textId="77777777" w:rsidR="00871BDF" w:rsidRDefault="00871BDF">
            <w:pPr>
              <w:rPr>
                <w:rFonts w:ascii="宋体"/>
                <w:vanish/>
              </w:rPr>
            </w:pPr>
          </w:p>
        </w:tc>
        <w:tc>
          <w:tcPr>
            <w:tcW w:w="0" w:type="auto"/>
            <w:gridSpan w:val="3"/>
            <w:shd w:val="clear" w:color="auto" w:fill="auto"/>
          </w:tcPr>
          <w:p w14:paraId="00BAF3FE" w14:textId="77777777" w:rsidR="00871BDF" w:rsidRDefault="00871BDF">
            <w:pPr>
              <w:rPr>
                <w:rFonts w:ascii="宋体"/>
                <w:vanish/>
              </w:rPr>
            </w:pPr>
          </w:p>
        </w:tc>
      </w:tr>
      <w:tr w:rsidR="00871BDF" w14:paraId="00BAF408" w14:textId="77777777">
        <w:trPr>
          <w:jc w:val="center"/>
        </w:trPr>
        <w:tc>
          <w:tcPr>
            <w:tcW w:w="0" w:type="auto"/>
            <w:gridSpan w:val="3"/>
            <w:shd w:val="clear" w:color="auto" w:fill="FFFFFF"/>
            <w:tcMar>
              <w:top w:w="40" w:type="dxa"/>
              <w:left w:w="155" w:type="dxa"/>
              <w:bottom w:w="40" w:type="dxa"/>
              <w:right w:w="20" w:type="dxa"/>
            </w:tcMar>
            <w:vAlign w:val="bottom"/>
          </w:tcPr>
          <w:p w14:paraId="00BAF400" w14:textId="77777777" w:rsidR="00871BDF" w:rsidRDefault="005C5088">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FFFFFF"/>
            <w:tcMar>
              <w:top w:w="40" w:type="dxa"/>
              <w:left w:w="20" w:type="dxa"/>
              <w:bottom w:w="40" w:type="dxa"/>
              <w:right w:w="20" w:type="dxa"/>
            </w:tcMar>
            <w:vAlign w:val="bottom"/>
          </w:tcPr>
          <w:p w14:paraId="00BAF401" w14:textId="77777777" w:rsidR="00871BDF" w:rsidRDefault="005C5088">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tcPr>
          <w:p w14:paraId="00BAF40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403" w14:textId="77777777" w:rsidR="00871BDF" w:rsidRDefault="005C5088">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00BAF40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40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406" w14:textId="77777777" w:rsidR="00871BDF" w:rsidRDefault="005C5088">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0BAF407" w14:textId="77777777" w:rsidR="00871BDF" w:rsidRDefault="00871BDF">
            <w:pPr>
              <w:jc w:val="right"/>
              <w:rPr>
                <w:rFonts w:ascii="宋体"/>
              </w:rPr>
            </w:pPr>
          </w:p>
        </w:tc>
      </w:tr>
      <w:tr w:rsidR="00871BDF" w14:paraId="00BAF411" w14:textId="77777777">
        <w:trPr>
          <w:jc w:val="center"/>
        </w:trPr>
        <w:tc>
          <w:tcPr>
            <w:tcW w:w="0" w:type="auto"/>
            <w:gridSpan w:val="3"/>
            <w:shd w:val="clear" w:color="auto" w:fill="D7E4BC"/>
            <w:tcMar>
              <w:top w:w="40" w:type="dxa"/>
              <w:left w:w="155" w:type="dxa"/>
              <w:bottom w:w="40" w:type="dxa"/>
              <w:right w:w="20" w:type="dxa"/>
            </w:tcMar>
            <w:vAlign w:val="bottom"/>
          </w:tcPr>
          <w:p w14:paraId="00BAF409" w14:textId="77777777" w:rsidR="00871BDF" w:rsidRDefault="005C5088">
            <w:pPr>
              <w:textAlignment w:val="bottom"/>
            </w:pPr>
            <w:r>
              <w:rPr>
                <w:rFonts w:ascii="Times New Roman" w:eastAsia="宋体" w:hAnsi="Times New Roman"/>
                <w:color w:val="000000"/>
                <w:sz w:val="20"/>
                <w:szCs w:val="20"/>
              </w:rPr>
              <w:t>Foreign currency</w:t>
            </w:r>
          </w:p>
        </w:tc>
        <w:tc>
          <w:tcPr>
            <w:tcW w:w="0" w:type="auto"/>
            <w:gridSpan w:val="3"/>
            <w:shd w:val="clear" w:color="auto" w:fill="D7E4BC"/>
            <w:tcMar>
              <w:top w:w="40" w:type="dxa"/>
              <w:left w:w="20" w:type="dxa"/>
              <w:bottom w:w="40" w:type="dxa"/>
              <w:right w:w="20" w:type="dxa"/>
            </w:tcMar>
            <w:vAlign w:val="bottom"/>
          </w:tcPr>
          <w:p w14:paraId="00BAF40A" w14:textId="77777777" w:rsidR="00871BDF" w:rsidRDefault="005C5088">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tcPr>
          <w:p w14:paraId="00BAF40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40C" w14:textId="77777777" w:rsidR="00871BDF" w:rsidRDefault="005C5088">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0BAF40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40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40F" w14:textId="77777777" w:rsidR="00871BDF" w:rsidRDefault="005C5088">
            <w:pPr>
              <w:jc w:val="right"/>
              <w:textAlignment w:val="bottom"/>
            </w:pPr>
            <w:r>
              <w:rPr>
                <w:rFonts w:ascii="Times New Roman" w:eastAsia="宋体" w:hAnsi="Times New Roman"/>
                <w:color w:val="000000"/>
                <w:sz w:val="20"/>
                <w:szCs w:val="20"/>
              </w:rPr>
              <w:t>3.0 </w:t>
            </w:r>
          </w:p>
        </w:tc>
        <w:tc>
          <w:tcPr>
            <w:tcW w:w="0" w:type="auto"/>
            <w:shd w:val="clear" w:color="auto" w:fill="D7E4BC"/>
            <w:tcMar>
              <w:top w:w="40" w:type="dxa"/>
              <w:left w:w="0" w:type="dxa"/>
              <w:bottom w:w="40" w:type="dxa"/>
              <w:right w:w="20" w:type="dxa"/>
            </w:tcMar>
            <w:vAlign w:val="bottom"/>
          </w:tcPr>
          <w:p w14:paraId="00BAF410" w14:textId="77777777" w:rsidR="00871BDF" w:rsidRDefault="00871BDF">
            <w:pPr>
              <w:jc w:val="right"/>
              <w:rPr>
                <w:rFonts w:ascii="宋体"/>
              </w:rPr>
            </w:pPr>
          </w:p>
        </w:tc>
      </w:tr>
      <w:tr w:rsidR="00871BDF" w14:paraId="00BAF418" w14:textId="77777777">
        <w:trPr>
          <w:jc w:val="center"/>
          <w:hidden/>
        </w:trPr>
        <w:tc>
          <w:tcPr>
            <w:tcW w:w="0" w:type="auto"/>
            <w:gridSpan w:val="3"/>
            <w:shd w:val="clear" w:color="auto" w:fill="auto"/>
          </w:tcPr>
          <w:p w14:paraId="00BAF412" w14:textId="77777777" w:rsidR="00871BDF" w:rsidRDefault="00871BDF">
            <w:pPr>
              <w:rPr>
                <w:rFonts w:ascii="宋体"/>
                <w:vanish/>
              </w:rPr>
            </w:pPr>
          </w:p>
        </w:tc>
        <w:tc>
          <w:tcPr>
            <w:tcW w:w="0" w:type="auto"/>
            <w:gridSpan w:val="3"/>
            <w:shd w:val="clear" w:color="auto" w:fill="auto"/>
          </w:tcPr>
          <w:p w14:paraId="00BAF413" w14:textId="77777777" w:rsidR="00871BDF" w:rsidRDefault="00871BDF">
            <w:pPr>
              <w:rPr>
                <w:rFonts w:ascii="宋体"/>
                <w:vanish/>
              </w:rPr>
            </w:pPr>
          </w:p>
        </w:tc>
        <w:tc>
          <w:tcPr>
            <w:tcW w:w="0" w:type="auto"/>
            <w:gridSpan w:val="3"/>
            <w:shd w:val="clear" w:color="auto" w:fill="auto"/>
          </w:tcPr>
          <w:p w14:paraId="00BAF414" w14:textId="77777777" w:rsidR="00871BDF" w:rsidRDefault="00871BDF">
            <w:pPr>
              <w:rPr>
                <w:rFonts w:ascii="宋体"/>
                <w:vanish/>
              </w:rPr>
            </w:pPr>
          </w:p>
        </w:tc>
        <w:tc>
          <w:tcPr>
            <w:tcW w:w="0" w:type="auto"/>
            <w:gridSpan w:val="3"/>
            <w:shd w:val="clear" w:color="auto" w:fill="auto"/>
          </w:tcPr>
          <w:p w14:paraId="00BAF415" w14:textId="77777777" w:rsidR="00871BDF" w:rsidRDefault="00871BDF">
            <w:pPr>
              <w:rPr>
                <w:rFonts w:ascii="宋体"/>
                <w:vanish/>
              </w:rPr>
            </w:pPr>
          </w:p>
        </w:tc>
        <w:tc>
          <w:tcPr>
            <w:tcW w:w="0" w:type="auto"/>
            <w:gridSpan w:val="3"/>
            <w:shd w:val="clear" w:color="auto" w:fill="auto"/>
          </w:tcPr>
          <w:p w14:paraId="00BAF416" w14:textId="77777777" w:rsidR="00871BDF" w:rsidRDefault="00871BDF">
            <w:pPr>
              <w:rPr>
                <w:rFonts w:ascii="宋体"/>
                <w:vanish/>
              </w:rPr>
            </w:pPr>
          </w:p>
        </w:tc>
        <w:tc>
          <w:tcPr>
            <w:tcW w:w="0" w:type="auto"/>
            <w:gridSpan w:val="3"/>
            <w:shd w:val="clear" w:color="auto" w:fill="auto"/>
          </w:tcPr>
          <w:p w14:paraId="00BAF417" w14:textId="77777777" w:rsidR="00871BDF" w:rsidRDefault="00871BDF">
            <w:pPr>
              <w:rPr>
                <w:rFonts w:ascii="宋体"/>
                <w:vanish/>
              </w:rPr>
            </w:pPr>
          </w:p>
        </w:tc>
      </w:tr>
    </w:tbl>
    <w:p w14:paraId="00BAF419" w14:textId="77777777" w:rsidR="00871BDF" w:rsidRDefault="005C5088">
      <w:pPr>
        <w:spacing w:before="240"/>
      </w:pPr>
      <w:r>
        <w:rPr>
          <w:rFonts w:ascii="Times New Roman" w:eastAsia="宋体" w:hAnsi="Times New Roman"/>
          <w:color w:val="000000"/>
          <w:sz w:val="20"/>
          <w:szCs w:val="20"/>
        </w:rPr>
        <w:t xml:space="preserve">The following amounts were recorded on the consolidated balance sheets related to fixed-to-floating interest rate swaps designated in fair value hedging relationships: </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2682"/>
        <w:gridCol w:w="37"/>
        <w:gridCol w:w="120"/>
        <w:gridCol w:w="1187"/>
        <w:gridCol w:w="36"/>
        <w:gridCol w:w="36"/>
        <w:gridCol w:w="36"/>
        <w:gridCol w:w="36"/>
        <w:gridCol w:w="120"/>
        <w:gridCol w:w="1144"/>
        <w:gridCol w:w="36"/>
        <w:gridCol w:w="36"/>
        <w:gridCol w:w="36"/>
        <w:gridCol w:w="36"/>
        <w:gridCol w:w="120"/>
        <w:gridCol w:w="1144"/>
        <w:gridCol w:w="36"/>
        <w:gridCol w:w="36"/>
        <w:gridCol w:w="36"/>
        <w:gridCol w:w="36"/>
        <w:gridCol w:w="120"/>
        <w:gridCol w:w="1144"/>
        <w:gridCol w:w="36"/>
      </w:tblGrid>
      <w:tr w:rsidR="00871BDF" w14:paraId="00BAF432" w14:textId="77777777">
        <w:trPr>
          <w:jc w:val="center"/>
        </w:trPr>
        <w:tc>
          <w:tcPr>
            <w:tcW w:w="50" w:type="pct"/>
            <w:shd w:val="clear" w:color="auto" w:fill="auto"/>
          </w:tcPr>
          <w:p w14:paraId="00BAF41A" w14:textId="77777777" w:rsidR="00871BDF" w:rsidRDefault="00871BDF">
            <w:pPr>
              <w:rPr>
                <w:rFonts w:ascii="宋体"/>
              </w:rPr>
            </w:pPr>
          </w:p>
        </w:tc>
        <w:tc>
          <w:tcPr>
            <w:tcW w:w="1643" w:type="pct"/>
            <w:shd w:val="clear" w:color="auto" w:fill="auto"/>
          </w:tcPr>
          <w:p w14:paraId="00BAF41B" w14:textId="77777777" w:rsidR="00871BDF" w:rsidRDefault="00871BDF">
            <w:pPr>
              <w:rPr>
                <w:rFonts w:ascii="宋体"/>
              </w:rPr>
            </w:pPr>
          </w:p>
        </w:tc>
        <w:tc>
          <w:tcPr>
            <w:tcW w:w="5" w:type="pct"/>
            <w:shd w:val="clear" w:color="auto" w:fill="auto"/>
          </w:tcPr>
          <w:p w14:paraId="00BAF41C" w14:textId="77777777" w:rsidR="00871BDF" w:rsidRDefault="00871BDF">
            <w:pPr>
              <w:rPr>
                <w:rFonts w:ascii="宋体"/>
              </w:rPr>
            </w:pPr>
          </w:p>
        </w:tc>
        <w:tc>
          <w:tcPr>
            <w:tcW w:w="50" w:type="pct"/>
            <w:shd w:val="clear" w:color="auto" w:fill="auto"/>
          </w:tcPr>
          <w:p w14:paraId="00BAF41D" w14:textId="77777777" w:rsidR="00871BDF" w:rsidRDefault="00871BDF">
            <w:pPr>
              <w:rPr>
                <w:rFonts w:ascii="宋体"/>
              </w:rPr>
            </w:pPr>
          </w:p>
        </w:tc>
        <w:tc>
          <w:tcPr>
            <w:tcW w:w="742" w:type="pct"/>
            <w:shd w:val="clear" w:color="auto" w:fill="auto"/>
          </w:tcPr>
          <w:p w14:paraId="00BAF41E" w14:textId="77777777" w:rsidR="00871BDF" w:rsidRDefault="00871BDF">
            <w:pPr>
              <w:rPr>
                <w:rFonts w:ascii="宋体"/>
              </w:rPr>
            </w:pPr>
          </w:p>
        </w:tc>
        <w:tc>
          <w:tcPr>
            <w:tcW w:w="5" w:type="pct"/>
            <w:shd w:val="clear" w:color="auto" w:fill="auto"/>
          </w:tcPr>
          <w:p w14:paraId="00BAF41F" w14:textId="77777777" w:rsidR="00871BDF" w:rsidRDefault="00871BDF">
            <w:pPr>
              <w:rPr>
                <w:rFonts w:ascii="宋体"/>
              </w:rPr>
            </w:pPr>
          </w:p>
        </w:tc>
        <w:tc>
          <w:tcPr>
            <w:tcW w:w="5" w:type="pct"/>
            <w:shd w:val="clear" w:color="auto" w:fill="auto"/>
          </w:tcPr>
          <w:p w14:paraId="00BAF420" w14:textId="77777777" w:rsidR="00871BDF" w:rsidRDefault="00871BDF">
            <w:pPr>
              <w:rPr>
                <w:rFonts w:ascii="宋体"/>
              </w:rPr>
            </w:pPr>
          </w:p>
        </w:tc>
        <w:tc>
          <w:tcPr>
            <w:tcW w:w="26" w:type="pct"/>
            <w:shd w:val="clear" w:color="auto" w:fill="auto"/>
          </w:tcPr>
          <w:p w14:paraId="00BAF421" w14:textId="77777777" w:rsidR="00871BDF" w:rsidRDefault="00871BDF">
            <w:pPr>
              <w:rPr>
                <w:rFonts w:ascii="宋体"/>
              </w:rPr>
            </w:pPr>
          </w:p>
        </w:tc>
        <w:tc>
          <w:tcPr>
            <w:tcW w:w="5" w:type="pct"/>
            <w:shd w:val="clear" w:color="auto" w:fill="auto"/>
          </w:tcPr>
          <w:p w14:paraId="00BAF422" w14:textId="77777777" w:rsidR="00871BDF" w:rsidRDefault="00871BDF">
            <w:pPr>
              <w:rPr>
                <w:rFonts w:ascii="宋体"/>
              </w:rPr>
            </w:pPr>
          </w:p>
        </w:tc>
        <w:tc>
          <w:tcPr>
            <w:tcW w:w="50" w:type="pct"/>
            <w:shd w:val="clear" w:color="auto" w:fill="auto"/>
          </w:tcPr>
          <w:p w14:paraId="00BAF423" w14:textId="77777777" w:rsidR="00871BDF" w:rsidRDefault="00871BDF">
            <w:pPr>
              <w:rPr>
                <w:rFonts w:ascii="宋体"/>
              </w:rPr>
            </w:pPr>
          </w:p>
        </w:tc>
        <w:tc>
          <w:tcPr>
            <w:tcW w:w="742" w:type="pct"/>
            <w:shd w:val="clear" w:color="auto" w:fill="auto"/>
          </w:tcPr>
          <w:p w14:paraId="00BAF424" w14:textId="77777777" w:rsidR="00871BDF" w:rsidRDefault="00871BDF">
            <w:pPr>
              <w:rPr>
                <w:rFonts w:ascii="宋体"/>
              </w:rPr>
            </w:pPr>
          </w:p>
        </w:tc>
        <w:tc>
          <w:tcPr>
            <w:tcW w:w="5" w:type="pct"/>
            <w:shd w:val="clear" w:color="auto" w:fill="auto"/>
          </w:tcPr>
          <w:p w14:paraId="00BAF425" w14:textId="77777777" w:rsidR="00871BDF" w:rsidRDefault="00871BDF">
            <w:pPr>
              <w:rPr>
                <w:rFonts w:ascii="宋体"/>
              </w:rPr>
            </w:pPr>
          </w:p>
        </w:tc>
        <w:tc>
          <w:tcPr>
            <w:tcW w:w="5" w:type="pct"/>
            <w:shd w:val="clear" w:color="auto" w:fill="auto"/>
          </w:tcPr>
          <w:p w14:paraId="00BAF426" w14:textId="77777777" w:rsidR="00871BDF" w:rsidRDefault="00871BDF">
            <w:pPr>
              <w:rPr>
                <w:rFonts w:ascii="宋体"/>
              </w:rPr>
            </w:pPr>
          </w:p>
        </w:tc>
        <w:tc>
          <w:tcPr>
            <w:tcW w:w="26" w:type="pct"/>
            <w:shd w:val="clear" w:color="auto" w:fill="auto"/>
          </w:tcPr>
          <w:p w14:paraId="00BAF427" w14:textId="77777777" w:rsidR="00871BDF" w:rsidRDefault="00871BDF">
            <w:pPr>
              <w:rPr>
                <w:rFonts w:ascii="宋体"/>
              </w:rPr>
            </w:pPr>
          </w:p>
        </w:tc>
        <w:tc>
          <w:tcPr>
            <w:tcW w:w="5" w:type="pct"/>
            <w:shd w:val="clear" w:color="auto" w:fill="auto"/>
          </w:tcPr>
          <w:p w14:paraId="00BAF428" w14:textId="77777777" w:rsidR="00871BDF" w:rsidRDefault="00871BDF">
            <w:pPr>
              <w:rPr>
                <w:rFonts w:ascii="宋体"/>
              </w:rPr>
            </w:pPr>
          </w:p>
        </w:tc>
        <w:tc>
          <w:tcPr>
            <w:tcW w:w="50" w:type="pct"/>
            <w:shd w:val="clear" w:color="auto" w:fill="auto"/>
          </w:tcPr>
          <w:p w14:paraId="00BAF429" w14:textId="77777777" w:rsidR="00871BDF" w:rsidRDefault="00871BDF">
            <w:pPr>
              <w:rPr>
                <w:rFonts w:ascii="宋体"/>
              </w:rPr>
            </w:pPr>
          </w:p>
        </w:tc>
        <w:tc>
          <w:tcPr>
            <w:tcW w:w="742" w:type="pct"/>
            <w:shd w:val="clear" w:color="auto" w:fill="auto"/>
          </w:tcPr>
          <w:p w14:paraId="00BAF42A" w14:textId="77777777" w:rsidR="00871BDF" w:rsidRDefault="00871BDF">
            <w:pPr>
              <w:rPr>
                <w:rFonts w:ascii="宋体"/>
              </w:rPr>
            </w:pPr>
          </w:p>
        </w:tc>
        <w:tc>
          <w:tcPr>
            <w:tcW w:w="5" w:type="pct"/>
            <w:shd w:val="clear" w:color="auto" w:fill="auto"/>
          </w:tcPr>
          <w:p w14:paraId="00BAF42B" w14:textId="77777777" w:rsidR="00871BDF" w:rsidRDefault="00871BDF">
            <w:pPr>
              <w:rPr>
                <w:rFonts w:ascii="宋体"/>
              </w:rPr>
            </w:pPr>
          </w:p>
        </w:tc>
        <w:tc>
          <w:tcPr>
            <w:tcW w:w="5" w:type="pct"/>
            <w:shd w:val="clear" w:color="auto" w:fill="auto"/>
          </w:tcPr>
          <w:p w14:paraId="00BAF42C" w14:textId="77777777" w:rsidR="00871BDF" w:rsidRDefault="00871BDF">
            <w:pPr>
              <w:rPr>
                <w:rFonts w:ascii="宋体"/>
              </w:rPr>
            </w:pPr>
          </w:p>
        </w:tc>
        <w:tc>
          <w:tcPr>
            <w:tcW w:w="26" w:type="pct"/>
            <w:shd w:val="clear" w:color="auto" w:fill="auto"/>
          </w:tcPr>
          <w:p w14:paraId="00BAF42D" w14:textId="77777777" w:rsidR="00871BDF" w:rsidRDefault="00871BDF">
            <w:pPr>
              <w:rPr>
                <w:rFonts w:ascii="宋体"/>
              </w:rPr>
            </w:pPr>
          </w:p>
        </w:tc>
        <w:tc>
          <w:tcPr>
            <w:tcW w:w="5" w:type="pct"/>
            <w:shd w:val="clear" w:color="auto" w:fill="auto"/>
          </w:tcPr>
          <w:p w14:paraId="00BAF42E" w14:textId="77777777" w:rsidR="00871BDF" w:rsidRDefault="00871BDF">
            <w:pPr>
              <w:rPr>
                <w:rFonts w:ascii="宋体"/>
              </w:rPr>
            </w:pPr>
          </w:p>
        </w:tc>
        <w:tc>
          <w:tcPr>
            <w:tcW w:w="50" w:type="pct"/>
            <w:shd w:val="clear" w:color="auto" w:fill="auto"/>
          </w:tcPr>
          <w:p w14:paraId="00BAF42F" w14:textId="77777777" w:rsidR="00871BDF" w:rsidRDefault="00871BDF">
            <w:pPr>
              <w:rPr>
                <w:rFonts w:ascii="宋体"/>
              </w:rPr>
            </w:pPr>
          </w:p>
        </w:tc>
        <w:tc>
          <w:tcPr>
            <w:tcW w:w="742" w:type="pct"/>
            <w:shd w:val="clear" w:color="auto" w:fill="auto"/>
          </w:tcPr>
          <w:p w14:paraId="00BAF430" w14:textId="77777777" w:rsidR="00871BDF" w:rsidRDefault="00871BDF">
            <w:pPr>
              <w:rPr>
                <w:rFonts w:ascii="宋体"/>
              </w:rPr>
            </w:pPr>
          </w:p>
        </w:tc>
        <w:tc>
          <w:tcPr>
            <w:tcW w:w="5" w:type="pct"/>
            <w:shd w:val="clear" w:color="auto" w:fill="auto"/>
          </w:tcPr>
          <w:p w14:paraId="00BAF431" w14:textId="77777777" w:rsidR="00871BDF" w:rsidRDefault="00871BDF">
            <w:pPr>
              <w:rPr>
                <w:rFonts w:ascii="宋体"/>
              </w:rPr>
            </w:pPr>
          </w:p>
        </w:tc>
      </w:tr>
      <w:tr w:rsidR="00871BDF" w14:paraId="00BAF437" w14:textId="77777777">
        <w:trPr>
          <w:jc w:val="center"/>
        </w:trPr>
        <w:tc>
          <w:tcPr>
            <w:tcW w:w="0" w:type="auto"/>
            <w:gridSpan w:val="3"/>
            <w:shd w:val="clear" w:color="auto" w:fill="auto"/>
            <w:tcMar>
              <w:top w:w="0" w:type="dxa"/>
              <w:left w:w="20" w:type="dxa"/>
              <w:bottom w:w="0" w:type="dxa"/>
              <w:right w:w="20" w:type="dxa"/>
            </w:tcMar>
          </w:tcPr>
          <w:p w14:paraId="00BAF433" w14:textId="77777777" w:rsidR="00871BDF" w:rsidRDefault="00871BDF">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00BAF434" w14:textId="77777777" w:rsidR="00871BDF" w:rsidRDefault="005C5088">
            <w:pPr>
              <w:jc w:val="center"/>
              <w:textAlignment w:val="bottom"/>
            </w:pPr>
            <w:r>
              <w:rPr>
                <w:rFonts w:ascii="Times New Roman" w:eastAsia="宋体" w:hAnsi="Times New Roman"/>
                <w:b/>
                <w:bCs/>
                <w:color w:val="FFFFFF"/>
                <w:sz w:val="16"/>
                <w:szCs w:val="16"/>
              </w:rPr>
              <w:t>Carrying amount of hedged item</w:t>
            </w:r>
          </w:p>
        </w:tc>
        <w:tc>
          <w:tcPr>
            <w:tcW w:w="0" w:type="auto"/>
            <w:gridSpan w:val="3"/>
            <w:shd w:val="clear" w:color="auto" w:fill="auto"/>
            <w:tcMar>
              <w:top w:w="0" w:type="dxa"/>
              <w:left w:w="20" w:type="dxa"/>
              <w:bottom w:w="0" w:type="dxa"/>
              <w:right w:w="20" w:type="dxa"/>
            </w:tcMar>
          </w:tcPr>
          <w:p w14:paraId="00BAF435" w14:textId="77777777" w:rsidR="00871BDF" w:rsidRDefault="00871BDF">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00BAF436" w14:textId="77777777" w:rsidR="00871BDF" w:rsidRDefault="005C5088">
            <w:pPr>
              <w:jc w:val="center"/>
              <w:textAlignment w:val="bottom"/>
            </w:pPr>
            <w:r>
              <w:rPr>
                <w:rFonts w:ascii="Times New Roman" w:eastAsia="宋体" w:hAnsi="Times New Roman"/>
                <w:b/>
                <w:bCs/>
                <w:color w:val="FFFFFF"/>
                <w:sz w:val="16"/>
                <w:szCs w:val="16"/>
              </w:rPr>
              <w:t>Cumulative amount of fair value hedging adjustment included in the carrying amount</w:t>
            </w:r>
          </w:p>
        </w:tc>
      </w:tr>
      <w:tr w:rsidR="00871BDF" w14:paraId="00BAF440" w14:textId="77777777">
        <w:trPr>
          <w:jc w:val="center"/>
        </w:trPr>
        <w:tc>
          <w:tcPr>
            <w:tcW w:w="0" w:type="auto"/>
            <w:gridSpan w:val="3"/>
            <w:shd w:val="clear" w:color="auto" w:fill="auto"/>
            <w:tcMar>
              <w:top w:w="0" w:type="dxa"/>
              <w:left w:w="20" w:type="dxa"/>
              <w:bottom w:w="0" w:type="dxa"/>
              <w:right w:w="20" w:type="dxa"/>
            </w:tcMar>
          </w:tcPr>
          <w:p w14:paraId="00BAF438"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439"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tcBorders>
              <w:top w:val="single" w:sz="8" w:space="0" w:color="000000"/>
            </w:tcBorders>
            <w:shd w:val="clear" w:color="auto" w:fill="auto"/>
            <w:tcMar>
              <w:top w:w="0" w:type="dxa"/>
              <w:left w:w="20" w:type="dxa"/>
              <w:bottom w:w="0" w:type="dxa"/>
              <w:right w:w="20" w:type="dxa"/>
            </w:tcMar>
          </w:tcPr>
          <w:p w14:paraId="00BAF43A"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43B" w14:textId="77777777" w:rsidR="00871BDF" w:rsidRDefault="005C5088">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AF43C"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43D"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tcBorders>
              <w:top w:val="single" w:sz="8" w:space="0" w:color="000000"/>
            </w:tcBorders>
            <w:shd w:val="clear" w:color="auto" w:fill="auto"/>
            <w:tcMar>
              <w:top w:w="0" w:type="dxa"/>
              <w:left w:w="20" w:type="dxa"/>
              <w:bottom w:w="0" w:type="dxa"/>
              <w:right w:w="20" w:type="dxa"/>
            </w:tcMar>
          </w:tcPr>
          <w:p w14:paraId="00BAF43E"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43F" w14:textId="77777777" w:rsidR="00871BDF" w:rsidRDefault="005C5088">
            <w:pPr>
              <w:jc w:val="center"/>
              <w:textAlignment w:val="bottom"/>
            </w:pPr>
            <w:r>
              <w:rPr>
                <w:rFonts w:ascii="Times New Roman" w:eastAsia="宋体" w:hAnsi="Times New Roman"/>
                <w:b/>
                <w:bCs/>
                <w:color w:val="FFFFFF"/>
                <w:sz w:val="16"/>
                <w:szCs w:val="16"/>
              </w:rPr>
              <w:t>Sep 29, 2019</w:t>
            </w:r>
          </w:p>
        </w:tc>
      </w:tr>
      <w:tr w:rsidR="00871BDF" w14:paraId="00BAF449" w14:textId="77777777">
        <w:trPr>
          <w:jc w:val="center"/>
        </w:trPr>
        <w:tc>
          <w:tcPr>
            <w:tcW w:w="0" w:type="auto"/>
            <w:gridSpan w:val="3"/>
            <w:shd w:val="clear" w:color="auto" w:fill="D7E4BC"/>
            <w:tcMar>
              <w:top w:w="40" w:type="dxa"/>
              <w:left w:w="20" w:type="dxa"/>
              <w:bottom w:w="40" w:type="dxa"/>
              <w:right w:w="20" w:type="dxa"/>
            </w:tcMar>
            <w:vAlign w:val="bottom"/>
          </w:tcPr>
          <w:p w14:paraId="00BAF441" w14:textId="77777777" w:rsidR="00871BDF" w:rsidRDefault="005C5088">
            <w:pPr>
              <w:textAlignment w:val="bottom"/>
            </w:pPr>
            <w:r>
              <w:rPr>
                <w:rFonts w:ascii="Times New Roman" w:eastAsia="宋体" w:hAnsi="Times New Roman"/>
                <w:color w:val="000000"/>
                <w:sz w:val="20"/>
                <w:szCs w:val="20"/>
              </w:rPr>
              <w:t>Location on the balance sheet</w:t>
            </w:r>
          </w:p>
        </w:tc>
        <w:tc>
          <w:tcPr>
            <w:tcW w:w="0" w:type="auto"/>
            <w:gridSpan w:val="3"/>
            <w:tcBorders>
              <w:top w:val="single" w:sz="8" w:space="0" w:color="000000"/>
            </w:tcBorders>
            <w:shd w:val="clear" w:color="auto" w:fill="D7E4BC"/>
            <w:tcMar>
              <w:top w:w="0" w:type="dxa"/>
              <w:left w:w="20" w:type="dxa"/>
              <w:bottom w:w="0" w:type="dxa"/>
              <w:right w:w="20" w:type="dxa"/>
            </w:tcMar>
          </w:tcPr>
          <w:p w14:paraId="00BAF44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443"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44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44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44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44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448" w14:textId="77777777" w:rsidR="00871BDF" w:rsidRDefault="00871BDF">
            <w:pPr>
              <w:rPr>
                <w:rFonts w:ascii="宋体"/>
              </w:rPr>
            </w:pPr>
          </w:p>
        </w:tc>
      </w:tr>
      <w:tr w:rsidR="00871BDF" w14:paraId="00BAF45A" w14:textId="77777777">
        <w:trPr>
          <w:jc w:val="center"/>
        </w:trPr>
        <w:tc>
          <w:tcPr>
            <w:tcW w:w="0" w:type="auto"/>
            <w:gridSpan w:val="3"/>
            <w:shd w:val="clear" w:color="auto" w:fill="FFFFFF"/>
            <w:tcMar>
              <w:top w:w="40" w:type="dxa"/>
              <w:left w:w="155" w:type="dxa"/>
              <w:bottom w:w="40" w:type="dxa"/>
              <w:right w:w="20" w:type="dxa"/>
            </w:tcMar>
            <w:vAlign w:val="bottom"/>
          </w:tcPr>
          <w:p w14:paraId="00BAF44A" w14:textId="77777777" w:rsidR="00871BDF" w:rsidRDefault="005C5088">
            <w:pPr>
              <w:textAlignment w:val="bottom"/>
            </w:pPr>
            <w:r>
              <w:rPr>
                <w:rFonts w:ascii="Times New Roman" w:eastAsia="宋体" w:hAnsi="Times New Roman"/>
                <w:color w:val="000000"/>
                <w:sz w:val="20"/>
                <w:szCs w:val="20"/>
              </w:rPr>
              <w:t>Long-term debt</w:t>
            </w:r>
          </w:p>
        </w:tc>
        <w:tc>
          <w:tcPr>
            <w:tcW w:w="0" w:type="auto"/>
            <w:shd w:val="clear" w:color="auto" w:fill="FFFFFF"/>
            <w:tcMar>
              <w:top w:w="40" w:type="dxa"/>
              <w:left w:w="20" w:type="dxa"/>
              <w:bottom w:w="40" w:type="dxa"/>
              <w:right w:w="0" w:type="dxa"/>
            </w:tcMar>
            <w:vAlign w:val="bottom"/>
          </w:tcPr>
          <w:p w14:paraId="00BAF44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44C" w14:textId="77777777" w:rsidR="00871BDF" w:rsidRDefault="005C5088">
            <w:pPr>
              <w:jc w:val="right"/>
              <w:textAlignment w:val="bottom"/>
            </w:pPr>
            <w:r>
              <w:rPr>
                <w:rFonts w:ascii="Times New Roman" w:eastAsia="宋体" w:hAnsi="Times New Roman"/>
                <w:color w:val="000000"/>
                <w:sz w:val="20"/>
                <w:szCs w:val="20"/>
              </w:rPr>
              <w:t>785.6 </w:t>
            </w:r>
          </w:p>
        </w:tc>
        <w:tc>
          <w:tcPr>
            <w:tcW w:w="0" w:type="auto"/>
            <w:shd w:val="clear" w:color="auto" w:fill="FFFFFF"/>
            <w:tcMar>
              <w:top w:w="40" w:type="dxa"/>
              <w:left w:w="0" w:type="dxa"/>
              <w:bottom w:w="40" w:type="dxa"/>
              <w:right w:w="20" w:type="dxa"/>
            </w:tcMar>
            <w:vAlign w:val="bottom"/>
          </w:tcPr>
          <w:p w14:paraId="00BAF44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44E"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44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450" w14:textId="77777777" w:rsidR="00871BDF" w:rsidRDefault="005C5088">
            <w:pPr>
              <w:jc w:val="right"/>
              <w:textAlignment w:val="bottom"/>
            </w:pPr>
            <w:r>
              <w:rPr>
                <w:rFonts w:ascii="Times New Roman" w:eastAsia="宋体" w:hAnsi="Times New Roman"/>
                <w:color w:val="000000"/>
                <w:sz w:val="20"/>
                <w:szCs w:val="20"/>
              </w:rPr>
              <w:t>761.8 </w:t>
            </w:r>
          </w:p>
        </w:tc>
        <w:tc>
          <w:tcPr>
            <w:tcW w:w="0" w:type="auto"/>
            <w:shd w:val="clear" w:color="auto" w:fill="FFFFFF"/>
            <w:tcMar>
              <w:top w:w="40" w:type="dxa"/>
              <w:left w:w="0" w:type="dxa"/>
              <w:bottom w:w="40" w:type="dxa"/>
              <w:right w:w="20" w:type="dxa"/>
            </w:tcMar>
            <w:vAlign w:val="bottom"/>
          </w:tcPr>
          <w:p w14:paraId="00BAF45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452"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45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454" w14:textId="77777777" w:rsidR="00871BDF" w:rsidRDefault="005C5088">
            <w:pPr>
              <w:jc w:val="right"/>
              <w:textAlignment w:val="bottom"/>
            </w:pPr>
            <w:r>
              <w:rPr>
                <w:rFonts w:ascii="Times New Roman" w:eastAsia="宋体" w:hAnsi="Times New Roman"/>
                <w:color w:val="000000"/>
                <w:sz w:val="20"/>
                <w:szCs w:val="20"/>
              </w:rPr>
              <w:t>35.6 </w:t>
            </w:r>
          </w:p>
        </w:tc>
        <w:tc>
          <w:tcPr>
            <w:tcW w:w="0" w:type="auto"/>
            <w:shd w:val="clear" w:color="auto" w:fill="FFFFFF"/>
            <w:tcMar>
              <w:top w:w="40" w:type="dxa"/>
              <w:left w:w="0" w:type="dxa"/>
              <w:bottom w:w="40" w:type="dxa"/>
              <w:right w:w="20" w:type="dxa"/>
            </w:tcMar>
            <w:vAlign w:val="bottom"/>
          </w:tcPr>
          <w:p w14:paraId="00BAF45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456"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45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458" w14:textId="77777777" w:rsidR="00871BDF" w:rsidRDefault="005C5088">
            <w:pPr>
              <w:jc w:val="right"/>
              <w:textAlignment w:val="bottom"/>
            </w:pPr>
            <w:r>
              <w:rPr>
                <w:rFonts w:ascii="Times New Roman" w:eastAsia="宋体" w:hAnsi="Times New Roman"/>
                <w:color w:val="000000"/>
                <w:sz w:val="20"/>
                <w:szCs w:val="20"/>
              </w:rPr>
              <w:t>11.8 </w:t>
            </w:r>
          </w:p>
        </w:tc>
        <w:tc>
          <w:tcPr>
            <w:tcW w:w="0" w:type="auto"/>
            <w:shd w:val="clear" w:color="auto" w:fill="FFFFFF"/>
            <w:tcMar>
              <w:top w:w="40" w:type="dxa"/>
              <w:left w:w="0" w:type="dxa"/>
              <w:bottom w:w="40" w:type="dxa"/>
              <w:right w:w="20" w:type="dxa"/>
            </w:tcMar>
            <w:vAlign w:val="bottom"/>
          </w:tcPr>
          <w:p w14:paraId="00BAF459" w14:textId="77777777" w:rsidR="00871BDF" w:rsidRDefault="00871BDF">
            <w:pPr>
              <w:jc w:val="right"/>
              <w:rPr>
                <w:rFonts w:ascii="宋体"/>
              </w:rPr>
            </w:pPr>
          </w:p>
        </w:tc>
      </w:tr>
    </w:tbl>
    <w:p w14:paraId="00BAF45B" w14:textId="77777777" w:rsidR="00871BDF" w:rsidRDefault="005C5088">
      <w:pPr>
        <w:spacing w:before="240"/>
      </w:pPr>
      <w:r>
        <w:rPr>
          <w:rFonts w:ascii="Times New Roman" w:eastAsia="宋体" w:hAnsi="Times New Roman"/>
          <w:color w:val="000000"/>
          <w:sz w:val="20"/>
          <w:szCs w:val="20"/>
        </w:rPr>
        <w:t xml:space="preserve">Additional disclosures related to cash flow gains and losses included in AOCI, as well as subsequent reclassifications to earnings, are included in </w:t>
      </w:r>
      <w:hyperlink r:id="rId201" w:anchor="i54ccc64cb5384be5a4849ef1cdef4dde_172"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Equity.</w:t>
      </w:r>
    </w:p>
    <w:p w14:paraId="00BAF45C" w14:textId="77777777" w:rsidR="00871BDF" w:rsidRDefault="005C5088">
      <w:pPr>
        <w:jc w:val="center"/>
      </w:pPr>
      <w:r>
        <w:rPr>
          <w:rFonts w:ascii="Times New Roman" w:eastAsia="宋体" w:hAnsi="Times New Roman"/>
          <w:color w:val="000000"/>
          <w:sz w:val="20"/>
          <w:szCs w:val="20"/>
        </w:rPr>
        <w:t>68</w:t>
      </w:r>
    </w:p>
    <w:p w14:paraId="00BAF45D" w14:textId="77777777" w:rsidR="00871BDF" w:rsidRDefault="005C5088">
      <w:r>
        <w:pict w14:anchorId="00BB14A9">
          <v:rect id="_x0000_i1095" style="width:415.3pt;height:1.5pt" o:hralign="center" o:hrstd="t" o:hr="t" fillcolor="#a0a0a0" stroked="f"/>
        </w:pict>
      </w:r>
    </w:p>
    <w:p w14:paraId="00BAF45E" w14:textId="77777777" w:rsidR="00871BDF" w:rsidRDefault="005C5088">
      <w:hyperlink r:id="rId202" w:anchor="i54ccc64cb5384be5a4849ef1cdef4dde_7" w:history="1">
        <w:r>
          <w:rPr>
            <w:rStyle w:val="a5"/>
            <w:rFonts w:ascii="Times New Roman" w:eastAsia="宋体" w:hAnsi="Times New Roman"/>
            <w:sz w:val="20"/>
            <w:szCs w:val="20"/>
          </w:rPr>
          <w:t>Table of Contents</w:t>
        </w:r>
      </w:hyperlink>
    </w:p>
    <w:p w14:paraId="00BAF45F" w14:textId="77777777" w:rsidR="00871BDF" w:rsidRDefault="005C5088">
      <w:pPr>
        <w:spacing w:before="120"/>
      </w:pPr>
      <w:r>
        <w:rPr>
          <w:rFonts w:ascii="Times New Roman" w:eastAsia="宋体" w:hAnsi="Times New Roman"/>
          <w:b/>
          <w:bCs/>
          <w:color w:val="000000"/>
          <w:sz w:val="20"/>
          <w:szCs w:val="20"/>
        </w:rPr>
        <w:t>Note 4:    Fair Value Measurements</w:t>
      </w:r>
    </w:p>
    <w:p w14:paraId="00BAF460" w14:textId="77777777" w:rsidR="00871BDF" w:rsidRDefault="005C5088">
      <w:pPr>
        <w:spacing w:before="120"/>
      </w:pPr>
      <w:r>
        <w:rPr>
          <w:rFonts w:ascii="Times New Roman" w:eastAsia="宋体" w:hAnsi="Times New Roman"/>
          <w:b/>
          <w:bCs/>
          <w:i/>
          <w:iCs/>
          <w:color w:val="000000"/>
          <w:sz w:val="20"/>
          <w:szCs w:val="20"/>
        </w:rPr>
        <w:t>Assets and Liabilities Measured at Fair Value on a Recurring Basis (in millions):</w:t>
      </w:r>
    </w:p>
    <w:tbl>
      <w:tblPr>
        <w:tblW w:w="4985" w:type="pct"/>
        <w:tblCellMar>
          <w:top w:w="15" w:type="dxa"/>
          <w:left w:w="15" w:type="dxa"/>
          <w:bottom w:w="15" w:type="dxa"/>
          <w:right w:w="15" w:type="dxa"/>
        </w:tblCellMar>
        <w:tblLook w:val="04A0" w:firstRow="1" w:lastRow="0" w:firstColumn="1" w:lastColumn="0" w:noHBand="0" w:noVBand="1"/>
      </w:tblPr>
      <w:tblGrid>
        <w:gridCol w:w="48"/>
        <w:gridCol w:w="2852"/>
        <w:gridCol w:w="38"/>
        <w:gridCol w:w="120"/>
        <w:gridCol w:w="878"/>
        <w:gridCol w:w="36"/>
        <w:gridCol w:w="36"/>
        <w:gridCol w:w="36"/>
        <w:gridCol w:w="36"/>
        <w:gridCol w:w="121"/>
        <w:gridCol w:w="1050"/>
        <w:gridCol w:w="37"/>
        <w:gridCol w:w="37"/>
        <w:gridCol w:w="41"/>
        <w:gridCol w:w="37"/>
        <w:gridCol w:w="121"/>
        <w:gridCol w:w="1050"/>
        <w:gridCol w:w="36"/>
        <w:gridCol w:w="36"/>
        <w:gridCol w:w="40"/>
        <w:gridCol w:w="36"/>
        <w:gridCol w:w="121"/>
        <w:gridCol w:w="1432"/>
        <w:gridCol w:w="36"/>
      </w:tblGrid>
      <w:tr w:rsidR="00871BDF" w14:paraId="00BAF479" w14:textId="77777777">
        <w:tc>
          <w:tcPr>
            <w:tcW w:w="50" w:type="pct"/>
            <w:shd w:val="clear" w:color="auto" w:fill="auto"/>
          </w:tcPr>
          <w:p w14:paraId="00BAF461" w14:textId="77777777" w:rsidR="00871BDF" w:rsidRDefault="00871BDF">
            <w:pPr>
              <w:rPr>
                <w:rFonts w:ascii="宋体"/>
              </w:rPr>
            </w:pPr>
          </w:p>
        </w:tc>
        <w:tc>
          <w:tcPr>
            <w:tcW w:w="1902" w:type="pct"/>
            <w:shd w:val="clear" w:color="auto" w:fill="auto"/>
          </w:tcPr>
          <w:p w14:paraId="00BAF462" w14:textId="77777777" w:rsidR="00871BDF" w:rsidRDefault="00871BDF">
            <w:pPr>
              <w:rPr>
                <w:rFonts w:ascii="宋体"/>
              </w:rPr>
            </w:pPr>
          </w:p>
        </w:tc>
        <w:tc>
          <w:tcPr>
            <w:tcW w:w="5" w:type="pct"/>
            <w:shd w:val="clear" w:color="auto" w:fill="auto"/>
          </w:tcPr>
          <w:p w14:paraId="00BAF463" w14:textId="77777777" w:rsidR="00871BDF" w:rsidRDefault="00871BDF">
            <w:pPr>
              <w:rPr>
                <w:rFonts w:ascii="宋体"/>
              </w:rPr>
            </w:pPr>
          </w:p>
        </w:tc>
        <w:tc>
          <w:tcPr>
            <w:tcW w:w="50" w:type="pct"/>
            <w:shd w:val="clear" w:color="auto" w:fill="auto"/>
          </w:tcPr>
          <w:p w14:paraId="00BAF464" w14:textId="77777777" w:rsidR="00871BDF" w:rsidRDefault="00871BDF">
            <w:pPr>
              <w:rPr>
                <w:rFonts w:ascii="宋体"/>
              </w:rPr>
            </w:pPr>
          </w:p>
        </w:tc>
        <w:tc>
          <w:tcPr>
            <w:tcW w:w="678" w:type="pct"/>
            <w:shd w:val="clear" w:color="auto" w:fill="auto"/>
          </w:tcPr>
          <w:p w14:paraId="00BAF465" w14:textId="77777777" w:rsidR="00871BDF" w:rsidRDefault="00871BDF">
            <w:pPr>
              <w:rPr>
                <w:rFonts w:ascii="宋体"/>
              </w:rPr>
            </w:pPr>
          </w:p>
        </w:tc>
        <w:tc>
          <w:tcPr>
            <w:tcW w:w="5" w:type="pct"/>
            <w:shd w:val="clear" w:color="auto" w:fill="auto"/>
          </w:tcPr>
          <w:p w14:paraId="00BAF466" w14:textId="77777777" w:rsidR="00871BDF" w:rsidRDefault="00871BDF">
            <w:pPr>
              <w:rPr>
                <w:rFonts w:ascii="宋体"/>
              </w:rPr>
            </w:pPr>
          </w:p>
        </w:tc>
        <w:tc>
          <w:tcPr>
            <w:tcW w:w="5" w:type="pct"/>
            <w:shd w:val="clear" w:color="auto" w:fill="auto"/>
          </w:tcPr>
          <w:p w14:paraId="00BAF467" w14:textId="77777777" w:rsidR="00871BDF" w:rsidRDefault="00871BDF">
            <w:pPr>
              <w:rPr>
                <w:rFonts w:ascii="宋体"/>
              </w:rPr>
            </w:pPr>
          </w:p>
        </w:tc>
        <w:tc>
          <w:tcPr>
            <w:tcW w:w="26" w:type="pct"/>
            <w:shd w:val="clear" w:color="auto" w:fill="auto"/>
          </w:tcPr>
          <w:p w14:paraId="00BAF468" w14:textId="77777777" w:rsidR="00871BDF" w:rsidRDefault="00871BDF">
            <w:pPr>
              <w:rPr>
                <w:rFonts w:ascii="宋体"/>
              </w:rPr>
            </w:pPr>
          </w:p>
        </w:tc>
        <w:tc>
          <w:tcPr>
            <w:tcW w:w="5" w:type="pct"/>
            <w:shd w:val="clear" w:color="auto" w:fill="auto"/>
          </w:tcPr>
          <w:p w14:paraId="00BAF469" w14:textId="77777777" w:rsidR="00871BDF" w:rsidRDefault="00871BDF">
            <w:pPr>
              <w:rPr>
                <w:rFonts w:ascii="宋体"/>
              </w:rPr>
            </w:pPr>
          </w:p>
        </w:tc>
        <w:tc>
          <w:tcPr>
            <w:tcW w:w="50" w:type="pct"/>
            <w:shd w:val="clear" w:color="auto" w:fill="auto"/>
          </w:tcPr>
          <w:p w14:paraId="00BAF46A" w14:textId="77777777" w:rsidR="00871BDF" w:rsidRDefault="00871BDF">
            <w:pPr>
              <w:rPr>
                <w:rFonts w:ascii="宋体"/>
              </w:rPr>
            </w:pPr>
          </w:p>
        </w:tc>
        <w:tc>
          <w:tcPr>
            <w:tcW w:w="678" w:type="pct"/>
            <w:shd w:val="clear" w:color="auto" w:fill="auto"/>
          </w:tcPr>
          <w:p w14:paraId="00BAF46B" w14:textId="77777777" w:rsidR="00871BDF" w:rsidRDefault="00871BDF">
            <w:pPr>
              <w:rPr>
                <w:rFonts w:ascii="宋体"/>
              </w:rPr>
            </w:pPr>
          </w:p>
        </w:tc>
        <w:tc>
          <w:tcPr>
            <w:tcW w:w="5" w:type="pct"/>
            <w:shd w:val="clear" w:color="auto" w:fill="auto"/>
          </w:tcPr>
          <w:p w14:paraId="00BAF46C" w14:textId="77777777" w:rsidR="00871BDF" w:rsidRDefault="00871BDF">
            <w:pPr>
              <w:rPr>
                <w:rFonts w:ascii="宋体"/>
              </w:rPr>
            </w:pPr>
          </w:p>
        </w:tc>
        <w:tc>
          <w:tcPr>
            <w:tcW w:w="5" w:type="pct"/>
            <w:shd w:val="clear" w:color="auto" w:fill="auto"/>
          </w:tcPr>
          <w:p w14:paraId="00BAF46D" w14:textId="77777777" w:rsidR="00871BDF" w:rsidRDefault="00871BDF">
            <w:pPr>
              <w:rPr>
                <w:rFonts w:ascii="宋体"/>
              </w:rPr>
            </w:pPr>
          </w:p>
        </w:tc>
        <w:tc>
          <w:tcPr>
            <w:tcW w:w="26" w:type="pct"/>
            <w:shd w:val="clear" w:color="auto" w:fill="auto"/>
          </w:tcPr>
          <w:p w14:paraId="00BAF46E" w14:textId="77777777" w:rsidR="00871BDF" w:rsidRDefault="00871BDF">
            <w:pPr>
              <w:rPr>
                <w:rFonts w:ascii="宋体"/>
              </w:rPr>
            </w:pPr>
          </w:p>
        </w:tc>
        <w:tc>
          <w:tcPr>
            <w:tcW w:w="5" w:type="pct"/>
            <w:shd w:val="clear" w:color="auto" w:fill="auto"/>
          </w:tcPr>
          <w:p w14:paraId="00BAF46F" w14:textId="77777777" w:rsidR="00871BDF" w:rsidRDefault="00871BDF">
            <w:pPr>
              <w:rPr>
                <w:rFonts w:ascii="宋体"/>
              </w:rPr>
            </w:pPr>
          </w:p>
        </w:tc>
        <w:tc>
          <w:tcPr>
            <w:tcW w:w="50" w:type="pct"/>
            <w:shd w:val="clear" w:color="auto" w:fill="auto"/>
          </w:tcPr>
          <w:p w14:paraId="00BAF470" w14:textId="77777777" w:rsidR="00871BDF" w:rsidRDefault="00871BDF">
            <w:pPr>
              <w:rPr>
                <w:rFonts w:ascii="宋体"/>
              </w:rPr>
            </w:pPr>
          </w:p>
        </w:tc>
        <w:tc>
          <w:tcPr>
            <w:tcW w:w="678" w:type="pct"/>
            <w:shd w:val="clear" w:color="auto" w:fill="auto"/>
          </w:tcPr>
          <w:p w14:paraId="00BAF471" w14:textId="77777777" w:rsidR="00871BDF" w:rsidRDefault="00871BDF">
            <w:pPr>
              <w:rPr>
                <w:rFonts w:ascii="宋体"/>
              </w:rPr>
            </w:pPr>
          </w:p>
        </w:tc>
        <w:tc>
          <w:tcPr>
            <w:tcW w:w="5" w:type="pct"/>
            <w:shd w:val="clear" w:color="auto" w:fill="auto"/>
          </w:tcPr>
          <w:p w14:paraId="00BAF472" w14:textId="77777777" w:rsidR="00871BDF" w:rsidRDefault="00871BDF">
            <w:pPr>
              <w:rPr>
                <w:rFonts w:ascii="宋体"/>
              </w:rPr>
            </w:pPr>
          </w:p>
        </w:tc>
        <w:tc>
          <w:tcPr>
            <w:tcW w:w="5" w:type="pct"/>
            <w:shd w:val="clear" w:color="auto" w:fill="auto"/>
          </w:tcPr>
          <w:p w14:paraId="00BAF473" w14:textId="77777777" w:rsidR="00871BDF" w:rsidRDefault="00871BDF">
            <w:pPr>
              <w:rPr>
                <w:rFonts w:ascii="宋体"/>
              </w:rPr>
            </w:pPr>
          </w:p>
        </w:tc>
        <w:tc>
          <w:tcPr>
            <w:tcW w:w="26" w:type="pct"/>
            <w:shd w:val="clear" w:color="auto" w:fill="auto"/>
          </w:tcPr>
          <w:p w14:paraId="00BAF474" w14:textId="77777777" w:rsidR="00871BDF" w:rsidRDefault="00871BDF">
            <w:pPr>
              <w:rPr>
                <w:rFonts w:ascii="宋体"/>
              </w:rPr>
            </w:pPr>
          </w:p>
        </w:tc>
        <w:tc>
          <w:tcPr>
            <w:tcW w:w="5" w:type="pct"/>
            <w:shd w:val="clear" w:color="auto" w:fill="auto"/>
          </w:tcPr>
          <w:p w14:paraId="00BAF475" w14:textId="77777777" w:rsidR="00871BDF" w:rsidRDefault="00871BDF">
            <w:pPr>
              <w:rPr>
                <w:rFonts w:ascii="宋体"/>
              </w:rPr>
            </w:pPr>
          </w:p>
        </w:tc>
        <w:tc>
          <w:tcPr>
            <w:tcW w:w="50" w:type="pct"/>
            <w:shd w:val="clear" w:color="auto" w:fill="auto"/>
          </w:tcPr>
          <w:p w14:paraId="00BAF476" w14:textId="77777777" w:rsidR="00871BDF" w:rsidRDefault="00871BDF">
            <w:pPr>
              <w:rPr>
                <w:rFonts w:ascii="宋体"/>
              </w:rPr>
            </w:pPr>
          </w:p>
        </w:tc>
        <w:tc>
          <w:tcPr>
            <w:tcW w:w="678" w:type="pct"/>
            <w:shd w:val="clear" w:color="auto" w:fill="auto"/>
          </w:tcPr>
          <w:p w14:paraId="00BAF477" w14:textId="77777777" w:rsidR="00871BDF" w:rsidRDefault="00871BDF">
            <w:pPr>
              <w:rPr>
                <w:rFonts w:ascii="宋体"/>
              </w:rPr>
            </w:pPr>
          </w:p>
        </w:tc>
        <w:tc>
          <w:tcPr>
            <w:tcW w:w="5" w:type="pct"/>
            <w:shd w:val="clear" w:color="auto" w:fill="auto"/>
          </w:tcPr>
          <w:p w14:paraId="00BAF478" w14:textId="77777777" w:rsidR="00871BDF" w:rsidRDefault="00871BDF">
            <w:pPr>
              <w:rPr>
                <w:rFonts w:ascii="宋体"/>
              </w:rPr>
            </w:pPr>
          </w:p>
        </w:tc>
      </w:tr>
      <w:tr w:rsidR="00871BDF" w14:paraId="00BAF47E" w14:textId="77777777">
        <w:tc>
          <w:tcPr>
            <w:tcW w:w="0" w:type="auto"/>
            <w:gridSpan w:val="3"/>
            <w:shd w:val="clear" w:color="auto" w:fill="auto"/>
            <w:tcMar>
              <w:top w:w="40" w:type="dxa"/>
              <w:left w:w="20" w:type="dxa"/>
              <w:bottom w:w="40" w:type="dxa"/>
              <w:right w:w="20" w:type="dxa"/>
            </w:tcMar>
            <w:vAlign w:val="bottom"/>
          </w:tcPr>
          <w:p w14:paraId="00BAF47A"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0BAF47B"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AF47C" w14:textId="77777777" w:rsidR="00871BDF" w:rsidRDefault="00871BDF">
            <w:pPr>
              <w:rPr>
                <w:rFonts w:ascii="宋体"/>
              </w:rPr>
            </w:pPr>
          </w:p>
        </w:tc>
        <w:tc>
          <w:tcPr>
            <w:tcW w:w="0" w:type="auto"/>
            <w:gridSpan w:val="15"/>
            <w:shd w:val="clear" w:color="auto" w:fill="00704A"/>
            <w:tcMar>
              <w:top w:w="40" w:type="dxa"/>
              <w:left w:w="20" w:type="dxa"/>
              <w:bottom w:w="40" w:type="dxa"/>
              <w:right w:w="20" w:type="dxa"/>
            </w:tcMar>
            <w:vAlign w:val="bottom"/>
          </w:tcPr>
          <w:p w14:paraId="00BAF47D" w14:textId="77777777" w:rsidR="00871BDF" w:rsidRDefault="005C5088">
            <w:pPr>
              <w:jc w:val="center"/>
              <w:textAlignment w:val="bottom"/>
            </w:pPr>
            <w:r>
              <w:rPr>
                <w:rFonts w:ascii="Times New Roman" w:eastAsia="宋体" w:hAnsi="Times New Roman"/>
                <w:b/>
                <w:bCs/>
                <w:color w:val="FFFFFF"/>
                <w:sz w:val="16"/>
                <w:szCs w:val="16"/>
              </w:rPr>
              <w:t>Fair Value Measurements at Reporting Date Using</w:t>
            </w:r>
          </w:p>
        </w:tc>
      </w:tr>
      <w:tr w:rsidR="00871BDF" w14:paraId="00BAF490" w14:textId="77777777">
        <w:tc>
          <w:tcPr>
            <w:tcW w:w="0" w:type="auto"/>
            <w:gridSpan w:val="3"/>
            <w:shd w:val="clear" w:color="auto" w:fill="auto"/>
            <w:tcMar>
              <w:top w:w="40" w:type="dxa"/>
              <w:left w:w="20" w:type="dxa"/>
              <w:bottom w:w="40" w:type="dxa"/>
              <w:right w:w="20" w:type="dxa"/>
            </w:tcMar>
            <w:vAlign w:val="bottom"/>
          </w:tcPr>
          <w:p w14:paraId="00BAF47F"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00BAF480" w14:textId="77777777" w:rsidR="00871BDF" w:rsidRDefault="005C5088">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September 27, 2020</w:t>
            </w:r>
          </w:p>
        </w:tc>
        <w:tc>
          <w:tcPr>
            <w:tcW w:w="0" w:type="auto"/>
            <w:gridSpan w:val="3"/>
            <w:shd w:val="clear" w:color="auto" w:fill="auto"/>
            <w:tcMar>
              <w:top w:w="0" w:type="dxa"/>
              <w:left w:w="20" w:type="dxa"/>
              <w:bottom w:w="0" w:type="dxa"/>
              <w:right w:w="20" w:type="dxa"/>
            </w:tcMar>
          </w:tcPr>
          <w:p w14:paraId="00BAF481"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482" w14:textId="77777777" w:rsidR="00871BDF" w:rsidRDefault="005C5088">
            <w:pPr>
              <w:jc w:val="center"/>
              <w:textAlignment w:val="bottom"/>
            </w:pPr>
            <w:r>
              <w:rPr>
                <w:rFonts w:ascii="Times New Roman" w:eastAsia="宋体" w:hAnsi="Times New Roman"/>
                <w:b/>
                <w:bCs/>
                <w:color w:val="FFFFFF"/>
                <w:sz w:val="16"/>
                <w:szCs w:val="16"/>
              </w:rPr>
              <w:t>Quoted Prices</w:t>
            </w:r>
          </w:p>
          <w:p w14:paraId="00BAF483" w14:textId="77777777" w:rsidR="00871BDF" w:rsidRDefault="005C5088">
            <w:pPr>
              <w:jc w:val="center"/>
              <w:textAlignment w:val="bottom"/>
            </w:pPr>
            <w:r>
              <w:rPr>
                <w:rFonts w:ascii="Times New Roman" w:eastAsia="宋体" w:hAnsi="Times New Roman"/>
                <w:b/>
                <w:bCs/>
                <w:color w:val="FFFFFF"/>
                <w:sz w:val="16"/>
                <w:szCs w:val="16"/>
              </w:rPr>
              <w:t>in Active</w:t>
            </w:r>
          </w:p>
          <w:p w14:paraId="00BAF484" w14:textId="77777777" w:rsidR="00871BDF" w:rsidRDefault="005C5088">
            <w:pPr>
              <w:jc w:val="center"/>
              <w:textAlignment w:val="bottom"/>
            </w:pPr>
            <w:r>
              <w:rPr>
                <w:rFonts w:ascii="Times New Roman" w:eastAsia="宋体" w:hAnsi="Times New Roman"/>
                <w:b/>
                <w:bCs/>
                <w:color w:val="FFFFFF"/>
                <w:sz w:val="16"/>
                <w:szCs w:val="16"/>
              </w:rPr>
              <w:t>Markets for </w:t>
            </w:r>
          </w:p>
          <w:p w14:paraId="00BAF485" w14:textId="77777777" w:rsidR="00871BDF" w:rsidRDefault="005C5088">
            <w:pPr>
              <w:jc w:val="center"/>
              <w:textAlignment w:val="bottom"/>
            </w:pPr>
            <w:r>
              <w:rPr>
                <w:rFonts w:ascii="Times New Roman" w:eastAsia="宋体" w:hAnsi="Times New Roman"/>
                <w:b/>
                <w:bCs/>
                <w:color w:val="FFFFFF"/>
                <w:sz w:val="16"/>
                <w:szCs w:val="16"/>
              </w:rPr>
              <w:t>Identical Assets</w:t>
            </w:r>
          </w:p>
          <w:p w14:paraId="00BAF486" w14:textId="77777777" w:rsidR="00871BDF" w:rsidRDefault="005C5088">
            <w:pPr>
              <w:jc w:val="center"/>
              <w:textAlignment w:val="bottom"/>
            </w:pPr>
            <w:r>
              <w:rPr>
                <w:rFonts w:ascii="Times New Roman" w:eastAsia="宋体" w:hAnsi="Times New Roman"/>
                <w:b/>
                <w:bCs/>
                <w:color w:val="FFFFFF"/>
                <w:sz w:val="16"/>
                <w:szCs w:val="16"/>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00BAF487"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488" w14:textId="77777777" w:rsidR="00871BDF" w:rsidRDefault="005C5088">
            <w:pPr>
              <w:jc w:val="center"/>
              <w:textAlignment w:val="bottom"/>
            </w:pPr>
            <w:r>
              <w:rPr>
                <w:rFonts w:ascii="Times New Roman" w:eastAsia="宋体" w:hAnsi="Times New Roman"/>
                <w:b/>
                <w:bCs/>
                <w:color w:val="FFFFFF"/>
                <w:sz w:val="16"/>
                <w:szCs w:val="16"/>
              </w:rPr>
              <w:t>Significant </w:t>
            </w:r>
          </w:p>
          <w:p w14:paraId="00BAF489" w14:textId="77777777" w:rsidR="00871BDF" w:rsidRDefault="005C5088">
            <w:pPr>
              <w:jc w:val="center"/>
              <w:textAlignment w:val="bottom"/>
            </w:pPr>
            <w:r>
              <w:rPr>
                <w:rFonts w:ascii="Times New Roman" w:eastAsia="宋体" w:hAnsi="Times New Roman"/>
                <w:b/>
                <w:bCs/>
                <w:color w:val="FFFFFF"/>
                <w:sz w:val="16"/>
                <w:szCs w:val="16"/>
              </w:rPr>
              <w:t>Other Observable </w:t>
            </w:r>
          </w:p>
          <w:p w14:paraId="00BAF48A" w14:textId="77777777" w:rsidR="00871BDF" w:rsidRDefault="005C5088">
            <w:pPr>
              <w:jc w:val="center"/>
              <w:textAlignment w:val="bottom"/>
            </w:pPr>
            <w:r>
              <w:rPr>
                <w:rFonts w:ascii="Times New Roman" w:eastAsia="宋体" w:hAnsi="Times New Roman"/>
                <w:b/>
                <w:bCs/>
                <w:color w:val="FFFFFF"/>
                <w:sz w:val="16"/>
                <w:szCs w:val="16"/>
              </w:rPr>
              <w:t>Inputs</w:t>
            </w:r>
          </w:p>
          <w:p w14:paraId="00BAF48B" w14:textId="77777777" w:rsidR="00871BDF" w:rsidRDefault="005C5088">
            <w:pPr>
              <w:jc w:val="center"/>
              <w:textAlignment w:val="bottom"/>
            </w:pPr>
            <w:r>
              <w:rPr>
                <w:rFonts w:ascii="Times New Roman" w:eastAsia="宋体" w:hAnsi="Times New Roman"/>
                <w:b/>
                <w:bCs/>
                <w:color w:val="FFFFFF"/>
                <w:sz w:val="16"/>
                <w:szCs w:val="16"/>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00BAF48C"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48D" w14:textId="77777777" w:rsidR="00871BDF" w:rsidRDefault="005C5088">
            <w:pPr>
              <w:jc w:val="center"/>
              <w:textAlignment w:val="bottom"/>
            </w:pPr>
            <w:r>
              <w:rPr>
                <w:rFonts w:ascii="Times New Roman" w:eastAsia="宋体" w:hAnsi="Times New Roman"/>
                <w:b/>
                <w:bCs/>
                <w:color w:val="FFFFFF"/>
                <w:sz w:val="16"/>
                <w:szCs w:val="16"/>
              </w:rPr>
              <w:t>Significant</w:t>
            </w:r>
          </w:p>
          <w:p w14:paraId="00BAF48E" w14:textId="77777777" w:rsidR="00871BDF" w:rsidRDefault="005C5088">
            <w:pPr>
              <w:jc w:val="center"/>
              <w:textAlignment w:val="bottom"/>
            </w:pPr>
            <w:r>
              <w:rPr>
                <w:rFonts w:ascii="Times New Roman" w:eastAsia="宋体" w:hAnsi="Times New Roman"/>
                <w:b/>
                <w:bCs/>
                <w:color w:val="FFFFFF"/>
                <w:sz w:val="16"/>
                <w:szCs w:val="16"/>
              </w:rPr>
              <w:t>Unobservable  Inputs</w:t>
            </w:r>
          </w:p>
          <w:p w14:paraId="00BAF48F" w14:textId="77777777" w:rsidR="00871BDF" w:rsidRDefault="005C5088">
            <w:pPr>
              <w:jc w:val="center"/>
              <w:textAlignment w:val="bottom"/>
            </w:pPr>
            <w:r>
              <w:rPr>
                <w:rFonts w:ascii="Times New Roman" w:eastAsia="宋体" w:hAnsi="Times New Roman"/>
                <w:b/>
                <w:bCs/>
                <w:color w:val="FFFFFF"/>
                <w:sz w:val="16"/>
                <w:szCs w:val="16"/>
              </w:rPr>
              <w:t>(Level 3)</w:t>
            </w:r>
          </w:p>
        </w:tc>
      </w:tr>
      <w:tr w:rsidR="00871BDF" w14:paraId="00BAF499" w14:textId="77777777">
        <w:tc>
          <w:tcPr>
            <w:tcW w:w="0" w:type="auto"/>
            <w:gridSpan w:val="3"/>
            <w:shd w:val="clear" w:color="auto" w:fill="D7E4BC"/>
            <w:tcMar>
              <w:top w:w="40" w:type="dxa"/>
              <w:left w:w="20" w:type="dxa"/>
              <w:bottom w:w="40" w:type="dxa"/>
              <w:right w:w="20" w:type="dxa"/>
            </w:tcMar>
          </w:tcPr>
          <w:p w14:paraId="00BAF491" w14:textId="77777777" w:rsidR="00871BDF" w:rsidRDefault="005C5088">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tcPr>
          <w:p w14:paraId="00BAF49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493"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49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49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49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49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498" w14:textId="77777777" w:rsidR="00871BDF" w:rsidRDefault="00871BDF">
            <w:pPr>
              <w:rPr>
                <w:rFonts w:ascii="宋体"/>
              </w:rPr>
            </w:pPr>
          </w:p>
        </w:tc>
      </w:tr>
      <w:tr w:rsidR="00871BDF" w14:paraId="00BAF4AA" w14:textId="77777777">
        <w:tc>
          <w:tcPr>
            <w:tcW w:w="0" w:type="auto"/>
            <w:gridSpan w:val="3"/>
            <w:shd w:val="clear" w:color="auto" w:fill="FFFFFF"/>
            <w:tcMar>
              <w:top w:w="40" w:type="dxa"/>
              <w:left w:w="20" w:type="dxa"/>
              <w:bottom w:w="40" w:type="dxa"/>
              <w:right w:w="20" w:type="dxa"/>
            </w:tcMar>
          </w:tcPr>
          <w:p w14:paraId="00BAF49A" w14:textId="77777777" w:rsidR="00871BDF" w:rsidRDefault="005C5088">
            <w:pPr>
              <w:textAlignment w:val="top"/>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00BAF49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49C" w14:textId="77777777" w:rsidR="00871BDF" w:rsidRDefault="005C5088">
            <w:pPr>
              <w:jc w:val="right"/>
              <w:textAlignment w:val="bottom"/>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bottom"/>
          </w:tcPr>
          <w:p w14:paraId="00BAF49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49E"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49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4A0" w14:textId="77777777" w:rsidR="00871BDF" w:rsidRDefault="005C5088">
            <w:pPr>
              <w:jc w:val="right"/>
              <w:textAlignment w:val="bottom"/>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bottom"/>
          </w:tcPr>
          <w:p w14:paraId="00BAF4A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4A2"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4A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4A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4A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4A6"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4A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4A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4A9" w14:textId="77777777" w:rsidR="00871BDF" w:rsidRDefault="00871BDF">
            <w:pPr>
              <w:jc w:val="right"/>
              <w:rPr>
                <w:rFonts w:ascii="宋体"/>
              </w:rPr>
            </w:pPr>
          </w:p>
        </w:tc>
      </w:tr>
      <w:tr w:rsidR="00871BDF" w14:paraId="00BAF4B3" w14:textId="77777777">
        <w:tc>
          <w:tcPr>
            <w:tcW w:w="0" w:type="auto"/>
            <w:gridSpan w:val="3"/>
            <w:shd w:val="clear" w:color="auto" w:fill="D7E4BC"/>
            <w:tcMar>
              <w:top w:w="40" w:type="dxa"/>
              <w:left w:w="20" w:type="dxa"/>
              <w:bottom w:w="40" w:type="dxa"/>
              <w:right w:w="20" w:type="dxa"/>
            </w:tcMar>
          </w:tcPr>
          <w:p w14:paraId="00BAF4AB" w14:textId="77777777" w:rsidR="00871BDF" w:rsidRDefault="005C5088">
            <w:pPr>
              <w:textAlignment w:val="top"/>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tcPr>
          <w:p w14:paraId="00BAF4A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4A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4A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4A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4B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4B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4B2" w14:textId="77777777" w:rsidR="00871BDF" w:rsidRDefault="00871BDF">
            <w:pPr>
              <w:rPr>
                <w:rFonts w:ascii="宋体"/>
              </w:rPr>
            </w:pPr>
          </w:p>
        </w:tc>
      </w:tr>
      <w:tr w:rsidR="00871BDF" w14:paraId="00BAF4BC" w14:textId="77777777">
        <w:tc>
          <w:tcPr>
            <w:tcW w:w="0" w:type="auto"/>
            <w:gridSpan w:val="3"/>
            <w:shd w:val="clear" w:color="auto" w:fill="FFFFFF"/>
            <w:tcMar>
              <w:top w:w="40" w:type="dxa"/>
              <w:left w:w="380" w:type="dxa"/>
              <w:bottom w:w="40" w:type="dxa"/>
              <w:right w:w="20" w:type="dxa"/>
            </w:tcMar>
          </w:tcPr>
          <w:p w14:paraId="00BAF4B4" w14:textId="77777777" w:rsidR="00871BDF" w:rsidRDefault="005C5088">
            <w:pPr>
              <w:textAlignment w:val="top"/>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tcPr>
          <w:p w14:paraId="00BAF4B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4B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4B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4B8"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4B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4B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4BB" w14:textId="77777777" w:rsidR="00871BDF" w:rsidRDefault="00871BDF">
            <w:pPr>
              <w:rPr>
                <w:rFonts w:ascii="宋体"/>
              </w:rPr>
            </w:pPr>
          </w:p>
        </w:tc>
      </w:tr>
      <w:tr w:rsidR="00871BDF" w14:paraId="00BAF4C5" w14:textId="77777777">
        <w:trPr>
          <w:hidden/>
        </w:trPr>
        <w:tc>
          <w:tcPr>
            <w:tcW w:w="0" w:type="auto"/>
            <w:gridSpan w:val="3"/>
            <w:shd w:val="clear" w:color="auto" w:fill="auto"/>
          </w:tcPr>
          <w:p w14:paraId="00BAF4BD" w14:textId="77777777" w:rsidR="00871BDF" w:rsidRDefault="00871BDF">
            <w:pPr>
              <w:rPr>
                <w:rFonts w:ascii="宋体"/>
                <w:vanish/>
              </w:rPr>
            </w:pPr>
          </w:p>
        </w:tc>
        <w:tc>
          <w:tcPr>
            <w:tcW w:w="0" w:type="auto"/>
            <w:gridSpan w:val="3"/>
            <w:shd w:val="clear" w:color="auto" w:fill="auto"/>
          </w:tcPr>
          <w:p w14:paraId="00BAF4BE" w14:textId="77777777" w:rsidR="00871BDF" w:rsidRDefault="00871BDF">
            <w:pPr>
              <w:rPr>
                <w:rFonts w:ascii="宋体"/>
                <w:vanish/>
              </w:rPr>
            </w:pPr>
          </w:p>
        </w:tc>
        <w:tc>
          <w:tcPr>
            <w:tcW w:w="0" w:type="auto"/>
            <w:gridSpan w:val="3"/>
            <w:shd w:val="clear" w:color="auto" w:fill="auto"/>
          </w:tcPr>
          <w:p w14:paraId="00BAF4BF" w14:textId="77777777" w:rsidR="00871BDF" w:rsidRDefault="00871BDF">
            <w:pPr>
              <w:rPr>
                <w:rFonts w:ascii="宋体"/>
                <w:vanish/>
              </w:rPr>
            </w:pPr>
          </w:p>
        </w:tc>
        <w:tc>
          <w:tcPr>
            <w:tcW w:w="0" w:type="auto"/>
            <w:gridSpan w:val="3"/>
            <w:shd w:val="clear" w:color="auto" w:fill="auto"/>
          </w:tcPr>
          <w:p w14:paraId="00BAF4C0" w14:textId="77777777" w:rsidR="00871BDF" w:rsidRDefault="00871BDF">
            <w:pPr>
              <w:rPr>
                <w:rFonts w:ascii="宋体"/>
                <w:vanish/>
              </w:rPr>
            </w:pPr>
          </w:p>
        </w:tc>
        <w:tc>
          <w:tcPr>
            <w:tcW w:w="0" w:type="auto"/>
            <w:gridSpan w:val="3"/>
            <w:shd w:val="clear" w:color="auto" w:fill="auto"/>
          </w:tcPr>
          <w:p w14:paraId="00BAF4C1" w14:textId="77777777" w:rsidR="00871BDF" w:rsidRDefault="00871BDF">
            <w:pPr>
              <w:rPr>
                <w:rFonts w:ascii="宋体"/>
                <w:vanish/>
              </w:rPr>
            </w:pPr>
          </w:p>
        </w:tc>
        <w:tc>
          <w:tcPr>
            <w:tcW w:w="0" w:type="auto"/>
            <w:gridSpan w:val="3"/>
            <w:shd w:val="clear" w:color="auto" w:fill="auto"/>
          </w:tcPr>
          <w:p w14:paraId="00BAF4C2" w14:textId="77777777" w:rsidR="00871BDF" w:rsidRDefault="00871BDF">
            <w:pPr>
              <w:rPr>
                <w:rFonts w:ascii="宋体"/>
                <w:vanish/>
              </w:rPr>
            </w:pPr>
          </w:p>
        </w:tc>
        <w:tc>
          <w:tcPr>
            <w:tcW w:w="0" w:type="auto"/>
            <w:gridSpan w:val="3"/>
            <w:shd w:val="clear" w:color="auto" w:fill="auto"/>
          </w:tcPr>
          <w:p w14:paraId="00BAF4C3" w14:textId="77777777" w:rsidR="00871BDF" w:rsidRDefault="00871BDF">
            <w:pPr>
              <w:rPr>
                <w:rFonts w:ascii="宋体"/>
                <w:vanish/>
              </w:rPr>
            </w:pPr>
          </w:p>
        </w:tc>
        <w:tc>
          <w:tcPr>
            <w:tcW w:w="0" w:type="auto"/>
            <w:gridSpan w:val="3"/>
            <w:shd w:val="clear" w:color="auto" w:fill="auto"/>
          </w:tcPr>
          <w:p w14:paraId="00BAF4C4" w14:textId="77777777" w:rsidR="00871BDF" w:rsidRDefault="00871BDF">
            <w:pPr>
              <w:rPr>
                <w:rFonts w:ascii="宋体"/>
                <w:vanish/>
              </w:rPr>
            </w:pPr>
          </w:p>
        </w:tc>
      </w:tr>
      <w:tr w:rsidR="00871BDF" w14:paraId="00BAF4D2" w14:textId="77777777">
        <w:tc>
          <w:tcPr>
            <w:tcW w:w="0" w:type="auto"/>
            <w:gridSpan w:val="3"/>
            <w:shd w:val="clear" w:color="auto" w:fill="D7E4BC"/>
            <w:tcMar>
              <w:top w:w="40" w:type="dxa"/>
              <w:left w:w="740" w:type="dxa"/>
              <w:bottom w:w="40" w:type="dxa"/>
              <w:right w:w="20" w:type="dxa"/>
            </w:tcMar>
          </w:tcPr>
          <w:p w14:paraId="00BAF4C6" w14:textId="77777777" w:rsidR="00871BDF" w:rsidRDefault="005C5088">
            <w:pPr>
              <w:textAlignment w:val="top"/>
            </w:pPr>
            <w:r>
              <w:rPr>
                <w:rFonts w:ascii="Times New Roman" w:eastAsia="宋体" w:hAnsi="Times New Roman"/>
                <w:color w:val="000000"/>
                <w:sz w:val="20"/>
                <w:szCs w:val="20"/>
              </w:rPr>
              <w:t>Certificates of deposit</w:t>
            </w:r>
          </w:p>
        </w:tc>
        <w:tc>
          <w:tcPr>
            <w:tcW w:w="0" w:type="auto"/>
            <w:gridSpan w:val="2"/>
            <w:shd w:val="clear" w:color="auto" w:fill="D7E4BC"/>
            <w:tcMar>
              <w:top w:w="40" w:type="dxa"/>
              <w:left w:w="20" w:type="dxa"/>
              <w:bottom w:w="40" w:type="dxa"/>
              <w:right w:w="0" w:type="dxa"/>
            </w:tcMar>
            <w:vAlign w:val="bottom"/>
          </w:tcPr>
          <w:p w14:paraId="00BAF4C7" w14:textId="77777777" w:rsidR="00871BDF" w:rsidRDefault="005C5088">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00BAF4C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4C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4C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4C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4C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4CD" w14:textId="77777777" w:rsidR="00871BDF" w:rsidRDefault="005C5088">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00BAF4C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4C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4D0"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4D1" w14:textId="77777777" w:rsidR="00871BDF" w:rsidRDefault="00871BDF">
            <w:pPr>
              <w:jc w:val="right"/>
              <w:rPr>
                <w:rFonts w:ascii="宋体"/>
              </w:rPr>
            </w:pPr>
          </w:p>
        </w:tc>
      </w:tr>
      <w:tr w:rsidR="00871BDF" w14:paraId="00BAF4DF" w14:textId="77777777">
        <w:tc>
          <w:tcPr>
            <w:tcW w:w="0" w:type="auto"/>
            <w:gridSpan w:val="3"/>
            <w:shd w:val="clear" w:color="auto" w:fill="FFFFFF"/>
            <w:tcMar>
              <w:top w:w="40" w:type="dxa"/>
              <w:left w:w="740" w:type="dxa"/>
              <w:bottom w:w="40" w:type="dxa"/>
              <w:right w:w="20" w:type="dxa"/>
            </w:tcMar>
          </w:tcPr>
          <w:p w14:paraId="00BAF4D3" w14:textId="77777777" w:rsidR="00871BDF" w:rsidRDefault="005C5088">
            <w:pPr>
              <w:textAlignment w:val="top"/>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00BAF4D4" w14:textId="77777777" w:rsidR="00871BDF" w:rsidRDefault="005C5088">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00BAF4D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4D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4D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4D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4D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4DA" w14:textId="77777777" w:rsidR="00871BDF" w:rsidRDefault="005C5088">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00BAF4D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4D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4D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4DE" w14:textId="77777777" w:rsidR="00871BDF" w:rsidRDefault="00871BDF">
            <w:pPr>
              <w:jc w:val="right"/>
              <w:rPr>
                <w:rFonts w:ascii="宋体"/>
              </w:rPr>
            </w:pPr>
          </w:p>
        </w:tc>
      </w:tr>
      <w:tr w:rsidR="00871BDF" w14:paraId="00BAF4EC" w14:textId="77777777">
        <w:tc>
          <w:tcPr>
            <w:tcW w:w="0" w:type="auto"/>
            <w:gridSpan w:val="3"/>
            <w:shd w:val="clear" w:color="auto" w:fill="D7E4BC"/>
            <w:tcMar>
              <w:top w:w="40" w:type="dxa"/>
              <w:left w:w="740" w:type="dxa"/>
              <w:bottom w:w="40" w:type="dxa"/>
              <w:right w:w="20" w:type="dxa"/>
            </w:tcMar>
          </w:tcPr>
          <w:p w14:paraId="00BAF4E0" w14:textId="77777777" w:rsidR="00871BDF" w:rsidRDefault="005C5088">
            <w:pPr>
              <w:textAlignment w:val="top"/>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00BAF4E1" w14:textId="77777777" w:rsidR="00871BDF" w:rsidRDefault="005C5088">
            <w:pPr>
              <w:jc w:val="right"/>
              <w:textAlignment w:val="bottom"/>
            </w:pPr>
            <w:r>
              <w:rPr>
                <w:rFonts w:ascii="Times New Roman" w:eastAsia="宋体" w:hAnsi="Times New Roman"/>
                <w:color w:val="000000"/>
                <w:sz w:val="20"/>
                <w:szCs w:val="20"/>
              </w:rPr>
              <w:t>123.6 </w:t>
            </w:r>
          </w:p>
        </w:tc>
        <w:tc>
          <w:tcPr>
            <w:tcW w:w="0" w:type="auto"/>
            <w:shd w:val="clear" w:color="auto" w:fill="D7E4BC"/>
            <w:tcMar>
              <w:top w:w="40" w:type="dxa"/>
              <w:left w:w="0" w:type="dxa"/>
              <w:bottom w:w="40" w:type="dxa"/>
              <w:right w:w="20" w:type="dxa"/>
            </w:tcMar>
            <w:vAlign w:val="bottom"/>
          </w:tcPr>
          <w:p w14:paraId="00BAF4E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4E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4E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4E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4E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4E7" w14:textId="77777777" w:rsidR="00871BDF" w:rsidRDefault="005C5088">
            <w:pPr>
              <w:jc w:val="right"/>
              <w:textAlignment w:val="bottom"/>
            </w:pPr>
            <w:r>
              <w:rPr>
                <w:rFonts w:ascii="Times New Roman" w:eastAsia="宋体" w:hAnsi="Times New Roman"/>
                <w:color w:val="000000"/>
                <w:sz w:val="20"/>
                <w:szCs w:val="20"/>
              </w:rPr>
              <w:t>123.6 </w:t>
            </w:r>
          </w:p>
        </w:tc>
        <w:tc>
          <w:tcPr>
            <w:tcW w:w="0" w:type="auto"/>
            <w:shd w:val="clear" w:color="auto" w:fill="D7E4BC"/>
            <w:tcMar>
              <w:top w:w="40" w:type="dxa"/>
              <w:left w:w="0" w:type="dxa"/>
              <w:bottom w:w="40" w:type="dxa"/>
              <w:right w:w="20" w:type="dxa"/>
            </w:tcMar>
            <w:vAlign w:val="bottom"/>
          </w:tcPr>
          <w:p w14:paraId="00BAF4E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4E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4E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4EB" w14:textId="77777777" w:rsidR="00871BDF" w:rsidRDefault="00871BDF">
            <w:pPr>
              <w:jc w:val="right"/>
              <w:rPr>
                <w:rFonts w:ascii="宋体"/>
              </w:rPr>
            </w:pPr>
          </w:p>
        </w:tc>
      </w:tr>
      <w:tr w:rsidR="00871BDF" w14:paraId="00BAF4F9" w14:textId="77777777">
        <w:tc>
          <w:tcPr>
            <w:tcW w:w="0" w:type="auto"/>
            <w:gridSpan w:val="3"/>
            <w:shd w:val="clear" w:color="auto" w:fill="FFFFFF"/>
            <w:tcMar>
              <w:top w:w="40" w:type="dxa"/>
              <w:left w:w="740" w:type="dxa"/>
              <w:bottom w:w="40" w:type="dxa"/>
              <w:right w:w="20" w:type="dxa"/>
            </w:tcMar>
          </w:tcPr>
          <w:p w14:paraId="00BAF4ED" w14:textId="77777777" w:rsidR="00871BDF" w:rsidRDefault="005C5088">
            <w:pPr>
              <w:textAlignment w:val="top"/>
            </w:pPr>
            <w:r>
              <w:rPr>
                <w:rFonts w:ascii="Times New Roman" w:eastAsia="宋体" w:hAnsi="Times New Roman"/>
                <w:color w:val="000000"/>
                <w:sz w:val="20"/>
                <w:szCs w:val="20"/>
              </w:rPr>
              <w:t>Foreign government obligations</w:t>
            </w:r>
          </w:p>
        </w:tc>
        <w:tc>
          <w:tcPr>
            <w:tcW w:w="0" w:type="auto"/>
            <w:gridSpan w:val="2"/>
            <w:shd w:val="clear" w:color="auto" w:fill="FFFFFF"/>
            <w:tcMar>
              <w:top w:w="40" w:type="dxa"/>
              <w:left w:w="20" w:type="dxa"/>
              <w:bottom w:w="40" w:type="dxa"/>
              <w:right w:w="0" w:type="dxa"/>
            </w:tcMar>
            <w:vAlign w:val="bottom"/>
          </w:tcPr>
          <w:p w14:paraId="00BAF4EE" w14:textId="77777777" w:rsidR="00871BDF" w:rsidRDefault="005C5088">
            <w:pPr>
              <w:jc w:val="right"/>
              <w:textAlignment w:val="bottom"/>
            </w:pPr>
            <w:r>
              <w:rPr>
                <w:rFonts w:ascii="Times New Roman" w:eastAsia="宋体" w:hAnsi="Times New Roman"/>
                <w:color w:val="000000"/>
                <w:sz w:val="20"/>
                <w:szCs w:val="20"/>
              </w:rPr>
              <w:t>8.5 </w:t>
            </w:r>
          </w:p>
        </w:tc>
        <w:tc>
          <w:tcPr>
            <w:tcW w:w="0" w:type="auto"/>
            <w:shd w:val="clear" w:color="auto" w:fill="FFFFFF"/>
            <w:tcMar>
              <w:top w:w="40" w:type="dxa"/>
              <w:left w:w="0" w:type="dxa"/>
              <w:bottom w:w="40" w:type="dxa"/>
              <w:right w:w="20" w:type="dxa"/>
            </w:tcMar>
            <w:vAlign w:val="bottom"/>
          </w:tcPr>
          <w:p w14:paraId="00BAF4E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4F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4F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4F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4F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4F4" w14:textId="77777777" w:rsidR="00871BDF" w:rsidRDefault="005C5088">
            <w:pPr>
              <w:jc w:val="right"/>
              <w:textAlignment w:val="bottom"/>
            </w:pPr>
            <w:r>
              <w:rPr>
                <w:rFonts w:ascii="Times New Roman" w:eastAsia="宋体" w:hAnsi="Times New Roman"/>
                <w:color w:val="000000"/>
                <w:sz w:val="20"/>
                <w:szCs w:val="20"/>
              </w:rPr>
              <w:t>8.5 </w:t>
            </w:r>
          </w:p>
        </w:tc>
        <w:tc>
          <w:tcPr>
            <w:tcW w:w="0" w:type="auto"/>
            <w:shd w:val="clear" w:color="auto" w:fill="FFFFFF"/>
            <w:tcMar>
              <w:top w:w="40" w:type="dxa"/>
              <w:left w:w="0" w:type="dxa"/>
              <w:bottom w:w="40" w:type="dxa"/>
              <w:right w:w="20" w:type="dxa"/>
            </w:tcMar>
            <w:vAlign w:val="bottom"/>
          </w:tcPr>
          <w:p w14:paraId="00BAF4F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4F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4F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4F8" w14:textId="77777777" w:rsidR="00871BDF" w:rsidRDefault="00871BDF">
            <w:pPr>
              <w:jc w:val="right"/>
              <w:rPr>
                <w:rFonts w:ascii="宋体"/>
              </w:rPr>
            </w:pPr>
          </w:p>
        </w:tc>
      </w:tr>
      <w:tr w:rsidR="00871BDF" w14:paraId="00BAF506" w14:textId="77777777">
        <w:tc>
          <w:tcPr>
            <w:tcW w:w="0" w:type="auto"/>
            <w:gridSpan w:val="3"/>
            <w:shd w:val="clear" w:color="auto" w:fill="D7E4BC"/>
            <w:tcMar>
              <w:top w:w="40" w:type="dxa"/>
              <w:left w:w="740" w:type="dxa"/>
              <w:bottom w:w="40" w:type="dxa"/>
              <w:right w:w="20" w:type="dxa"/>
            </w:tcMar>
          </w:tcPr>
          <w:p w14:paraId="00BAF4FA" w14:textId="77777777" w:rsidR="00871BDF" w:rsidRDefault="005C5088">
            <w:pPr>
              <w:textAlignment w:val="top"/>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00BAF4FB" w14:textId="77777777" w:rsidR="00871BDF" w:rsidRDefault="005C5088">
            <w:pPr>
              <w:jc w:val="right"/>
              <w:textAlignment w:val="bottom"/>
            </w:pPr>
            <w:r>
              <w:rPr>
                <w:rFonts w:ascii="Times New Roman" w:eastAsia="宋体" w:hAnsi="Times New Roman"/>
                <w:color w:val="000000"/>
                <w:sz w:val="20"/>
                <w:szCs w:val="20"/>
              </w:rPr>
              <w:t>15.8 </w:t>
            </w:r>
          </w:p>
        </w:tc>
        <w:tc>
          <w:tcPr>
            <w:tcW w:w="0" w:type="auto"/>
            <w:shd w:val="clear" w:color="auto" w:fill="D7E4BC"/>
            <w:tcMar>
              <w:top w:w="40" w:type="dxa"/>
              <w:left w:w="0" w:type="dxa"/>
              <w:bottom w:w="40" w:type="dxa"/>
              <w:right w:w="20" w:type="dxa"/>
            </w:tcMar>
            <w:vAlign w:val="bottom"/>
          </w:tcPr>
          <w:p w14:paraId="00BAF4F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4F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4F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4F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0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01" w14:textId="77777777" w:rsidR="00871BDF" w:rsidRDefault="005C5088">
            <w:pPr>
              <w:jc w:val="right"/>
              <w:textAlignment w:val="bottom"/>
            </w:pPr>
            <w:r>
              <w:rPr>
                <w:rFonts w:ascii="Times New Roman" w:eastAsia="宋体" w:hAnsi="Times New Roman"/>
                <w:color w:val="000000"/>
                <w:sz w:val="20"/>
                <w:szCs w:val="20"/>
              </w:rPr>
              <w:t>15.8 </w:t>
            </w:r>
          </w:p>
        </w:tc>
        <w:tc>
          <w:tcPr>
            <w:tcW w:w="0" w:type="auto"/>
            <w:shd w:val="clear" w:color="auto" w:fill="D7E4BC"/>
            <w:tcMar>
              <w:top w:w="40" w:type="dxa"/>
              <w:left w:w="0" w:type="dxa"/>
              <w:bottom w:w="40" w:type="dxa"/>
              <w:right w:w="20" w:type="dxa"/>
            </w:tcMar>
            <w:vAlign w:val="bottom"/>
          </w:tcPr>
          <w:p w14:paraId="00BAF50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0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0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505" w14:textId="77777777" w:rsidR="00871BDF" w:rsidRDefault="00871BDF">
            <w:pPr>
              <w:jc w:val="right"/>
              <w:rPr>
                <w:rFonts w:ascii="宋体"/>
              </w:rPr>
            </w:pPr>
          </w:p>
        </w:tc>
      </w:tr>
      <w:tr w:rsidR="00871BDF" w14:paraId="00BAF50F" w14:textId="77777777">
        <w:trPr>
          <w:hidden/>
        </w:trPr>
        <w:tc>
          <w:tcPr>
            <w:tcW w:w="0" w:type="auto"/>
            <w:gridSpan w:val="3"/>
            <w:shd w:val="clear" w:color="auto" w:fill="auto"/>
          </w:tcPr>
          <w:p w14:paraId="00BAF507" w14:textId="77777777" w:rsidR="00871BDF" w:rsidRDefault="00871BDF">
            <w:pPr>
              <w:rPr>
                <w:rFonts w:ascii="宋体"/>
                <w:vanish/>
              </w:rPr>
            </w:pPr>
          </w:p>
        </w:tc>
        <w:tc>
          <w:tcPr>
            <w:tcW w:w="0" w:type="auto"/>
            <w:gridSpan w:val="3"/>
            <w:shd w:val="clear" w:color="auto" w:fill="auto"/>
          </w:tcPr>
          <w:p w14:paraId="00BAF508" w14:textId="77777777" w:rsidR="00871BDF" w:rsidRDefault="00871BDF">
            <w:pPr>
              <w:rPr>
                <w:rFonts w:ascii="宋体"/>
                <w:vanish/>
              </w:rPr>
            </w:pPr>
          </w:p>
        </w:tc>
        <w:tc>
          <w:tcPr>
            <w:tcW w:w="0" w:type="auto"/>
            <w:gridSpan w:val="3"/>
            <w:shd w:val="clear" w:color="auto" w:fill="auto"/>
          </w:tcPr>
          <w:p w14:paraId="00BAF509" w14:textId="77777777" w:rsidR="00871BDF" w:rsidRDefault="00871BDF">
            <w:pPr>
              <w:rPr>
                <w:rFonts w:ascii="宋体"/>
                <w:vanish/>
              </w:rPr>
            </w:pPr>
          </w:p>
        </w:tc>
        <w:tc>
          <w:tcPr>
            <w:tcW w:w="0" w:type="auto"/>
            <w:gridSpan w:val="3"/>
            <w:shd w:val="clear" w:color="auto" w:fill="auto"/>
          </w:tcPr>
          <w:p w14:paraId="00BAF50A" w14:textId="77777777" w:rsidR="00871BDF" w:rsidRDefault="00871BDF">
            <w:pPr>
              <w:rPr>
                <w:rFonts w:ascii="宋体"/>
                <w:vanish/>
              </w:rPr>
            </w:pPr>
          </w:p>
        </w:tc>
        <w:tc>
          <w:tcPr>
            <w:tcW w:w="0" w:type="auto"/>
            <w:gridSpan w:val="3"/>
            <w:shd w:val="clear" w:color="auto" w:fill="auto"/>
          </w:tcPr>
          <w:p w14:paraId="00BAF50B" w14:textId="77777777" w:rsidR="00871BDF" w:rsidRDefault="00871BDF">
            <w:pPr>
              <w:rPr>
                <w:rFonts w:ascii="宋体"/>
                <w:vanish/>
              </w:rPr>
            </w:pPr>
          </w:p>
        </w:tc>
        <w:tc>
          <w:tcPr>
            <w:tcW w:w="0" w:type="auto"/>
            <w:gridSpan w:val="3"/>
            <w:shd w:val="clear" w:color="auto" w:fill="auto"/>
          </w:tcPr>
          <w:p w14:paraId="00BAF50C" w14:textId="77777777" w:rsidR="00871BDF" w:rsidRDefault="00871BDF">
            <w:pPr>
              <w:rPr>
                <w:rFonts w:ascii="宋体"/>
                <w:vanish/>
              </w:rPr>
            </w:pPr>
          </w:p>
        </w:tc>
        <w:tc>
          <w:tcPr>
            <w:tcW w:w="0" w:type="auto"/>
            <w:gridSpan w:val="3"/>
            <w:shd w:val="clear" w:color="auto" w:fill="auto"/>
          </w:tcPr>
          <w:p w14:paraId="00BAF50D" w14:textId="77777777" w:rsidR="00871BDF" w:rsidRDefault="00871BDF">
            <w:pPr>
              <w:rPr>
                <w:rFonts w:ascii="宋体"/>
                <w:vanish/>
              </w:rPr>
            </w:pPr>
          </w:p>
        </w:tc>
        <w:tc>
          <w:tcPr>
            <w:tcW w:w="0" w:type="auto"/>
            <w:gridSpan w:val="3"/>
            <w:shd w:val="clear" w:color="auto" w:fill="auto"/>
          </w:tcPr>
          <w:p w14:paraId="00BAF50E" w14:textId="77777777" w:rsidR="00871BDF" w:rsidRDefault="00871BDF">
            <w:pPr>
              <w:rPr>
                <w:rFonts w:ascii="宋体"/>
                <w:vanish/>
              </w:rPr>
            </w:pPr>
          </w:p>
        </w:tc>
      </w:tr>
      <w:tr w:rsidR="00871BDF" w14:paraId="00BAF518" w14:textId="77777777">
        <w:trPr>
          <w:hidden/>
        </w:trPr>
        <w:tc>
          <w:tcPr>
            <w:tcW w:w="0" w:type="auto"/>
            <w:gridSpan w:val="3"/>
            <w:shd w:val="clear" w:color="auto" w:fill="auto"/>
          </w:tcPr>
          <w:p w14:paraId="00BAF510" w14:textId="77777777" w:rsidR="00871BDF" w:rsidRDefault="00871BDF">
            <w:pPr>
              <w:rPr>
                <w:rFonts w:ascii="宋体"/>
                <w:vanish/>
              </w:rPr>
            </w:pPr>
          </w:p>
        </w:tc>
        <w:tc>
          <w:tcPr>
            <w:tcW w:w="0" w:type="auto"/>
            <w:gridSpan w:val="3"/>
            <w:shd w:val="clear" w:color="auto" w:fill="auto"/>
          </w:tcPr>
          <w:p w14:paraId="00BAF511" w14:textId="77777777" w:rsidR="00871BDF" w:rsidRDefault="00871BDF">
            <w:pPr>
              <w:rPr>
                <w:rFonts w:ascii="宋体"/>
                <w:vanish/>
              </w:rPr>
            </w:pPr>
          </w:p>
        </w:tc>
        <w:tc>
          <w:tcPr>
            <w:tcW w:w="0" w:type="auto"/>
            <w:gridSpan w:val="3"/>
            <w:shd w:val="clear" w:color="auto" w:fill="auto"/>
          </w:tcPr>
          <w:p w14:paraId="00BAF512" w14:textId="77777777" w:rsidR="00871BDF" w:rsidRDefault="00871BDF">
            <w:pPr>
              <w:rPr>
                <w:rFonts w:ascii="宋体"/>
                <w:vanish/>
              </w:rPr>
            </w:pPr>
          </w:p>
        </w:tc>
        <w:tc>
          <w:tcPr>
            <w:tcW w:w="0" w:type="auto"/>
            <w:gridSpan w:val="3"/>
            <w:shd w:val="clear" w:color="auto" w:fill="auto"/>
          </w:tcPr>
          <w:p w14:paraId="00BAF513" w14:textId="77777777" w:rsidR="00871BDF" w:rsidRDefault="00871BDF">
            <w:pPr>
              <w:rPr>
                <w:rFonts w:ascii="宋体"/>
                <w:vanish/>
              </w:rPr>
            </w:pPr>
          </w:p>
        </w:tc>
        <w:tc>
          <w:tcPr>
            <w:tcW w:w="0" w:type="auto"/>
            <w:gridSpan w:val="3"/>
            <w:shd w:val="clear" w:color="auto" w:fill="auto"/>
          </w:tcPr>
          <w:p w14:paraId="00BAF514" w14:textId="77777777" w:rsidR="00871BDF" w:rsidRDefault="00871BDF">
            <w:pPr>
              <w:rPr>
                <w:rFonts w:ascii="宋体"/>
                <w:vanish/>
              </w:rPr>
            </w:pPr>
          </w:p>
        </w:tc>
        <w:tc>
          <w:tcPr>
            <w:tcW w:w="0" w:type="auto"/>
            <w:gridSpan w:val="3"/>
            <w:shd w:val="clear" w:color="auto" w:fill="auto"/>
          </w:tcPr>
          <w:p w14:paraId="00BAF515" w14:textId="77777777" w:rsidR="00871BDF" w:rsidRDefault="00871BDF">
            <w:pPr>
              <w:rPr>
                <w:rFonts w:ascii="宋体"/>
                <w:vanish/>
              </w:rPr>
            </w:pPr>
          </w:p>
        </w:tc>
        <w:tc>
          <w:tcPr>
            <w:tcW w:w="0" w:type="auto"/>
            <w:gridSpan w:val="3"/>
            <w:shd w:val="clear" w:color="auto" w:fill="auto"/>
          </w:tcPr>
          <w:p w14:paraId="00BAF516" w14:textId="77777777" w:rsidR="00871BDF" w:rsidRDefault="00871BDF">
            <w:pPr>
              <w:rPr>
                <w:rFonts w:ascii="宋体"/>
                <w:vanish/>
              </w:rPr>
            </w:pPr>
          </w:p>
        </w:tc>
        <w:tc>
          <w:tcPr>
            <w:tcW w:w="0" w:type="auto"/>
            <w:gridSpan w:val="3"/>
            <w:shd w:val="clear" w:color="auto" w:fill="auto"/>
          </w:tcPr>
          <w:p w14:paraId="00BAF517" w14:textId="77777777" w:rsidR="00871BDF" w:rsidRDefault="00871BDF">
            <w:pPr>
              <w:rPr>
                <w:rFonts w:ascii="宋体"/>
                <w:vanish/>
              </w:rPr>
            </w:pPr>
          </w:p>
        </w:tc>
      </w:tr>
      <w:tr w:rsidR="00871BDF" w14:paraId="00BAF521" w14:textId="77777777">
        <w:trPr>
          <w:hidden/>
        </w:trPr>
        <w:tc>
          <w:tcPr>
            <w:tcW w:w="0" w:type="auto"/>
            <w:gridSpan w:val="3"/>
            <w:shd w:val="clear" w:color="auto" w:fill="auto"/>
          </w:tcPr>
          <w:p w14:paraId="00BAF519" w14:textId="77777777" w:rsidR="00871BDF" w:rsidRDefault="00871BDF">
            <w:pPr>
              <w:rPr>
                <w:rFonts w:ascii="宋体"/>
                <w:vanish/>
              </w:rPr>
            </w:pPr>
          </w:p>
        </w:tc>
        <w:tc>
          <w:tcPr>
            <w:tcW w:w="0" w:type="auto"/>
            <w:gridSpan w:val="3"/>
            <w:shd w:val="clear" w:color="auto" w:fill="auto"/>
          </w:tcPr>
          <w:p w14:paraId="00BAF51A" w14:textId="77777777" w:rsidR="00871BDF" w:rsidRDefault="00871BDF">
            <w:pPr>
              <w:rPr>
                <w:rFonts w:ascii="宋体"/>
                <w:vanish/>
              </w:rPr>
            </w:pPr>
          </w:p>
        </w:tc>
        <w:tc>
          <w:tcPr>
            <w:tcW w:w="0" w:type="auto"/>
            <w:gridSpan w:val="3"/>
            <w:shd w:val="clear" w:color="auto" w:fill="auto"/>
          </w:tcPr>
          <w:p w14:paraId="00BAF51B" w14:textId="77777777" w:rsidR="00871BDF" w:rsidRDefault="00871BDF">
            <w:pPr>
              <w:rPr>
                <w:rFonts w:ascii="宋体"/>
                <w:vanish/>
              </w:rPr>
            </w:pPr>
          </w:p>
        </w:tc>
        <w:tc>
          <w:tcPr>
            <w:tcW w:w="0" w:type="auto"/>
            <w:gridSpan w:val="3"/>
            <w:shd w:val="clear" w:color="auto" w:fill="auto"/>
          </w:tcPr>
          <w:p w14:paraId="00BAF51C" w14:textId="77777777" w:rsidR="00871BDF" w:rsidRDefault="00871BDF">
            <w:pPr>
              <w:rPr>
                <w:rFonts w:ascii="宋体"/>
                <w:vanish/>
              </w:rPr>
            </w:pPr>
          </w:p>
        </w:tc>
        <w:tc>
          <w:tcPr>
            <w:tcW w:w="0" w:type="auto"/>
            <w:gridSpan w:val="3"/>
            <w:shd w:val="clear" w:color="auto" w:fill="auto"/>
          </w:tcPr>
          <w:p w14:paraId="00BAF51D" w14:textId="77777777" w:rsidR="00871BDF" w:rsidRDefault="00871BDF">
            <w:pPr>
              <w:rPr>
                <w:rFonts w:ascii="宋体"/>
                <w:vanish/>
              </w:rPr>
            </w:pPr>
          </w:p>
        </w:tc>
        <w:tc>
          <w:tcPr>
            <w:tcW w:w="0" w:type="auto"/>
            <w:gridSpan w:val="3"/>
            <w:shd w:val="clear" w:color="auto" w:fill="auto"/>
          </w:tcPr>
          <w:p w14:paraId="00BAF51E" w14:textId="77777777" w:rsidR="00871BDF" w:rsidRDefault="00871BDF">
            <w:pPr>
              <w:rPr>
                <w:rFonts w:ascii="宋体"/>
                <w:vanish/>
              </w:rPr>
            </w:pPr>
          </w:p>
        </w:tc>
        <w:tc>
          <w:tcPr>
            <w:tcW w:w="0" w:type="auto"/>
            <w:gridSpan w:val="3"/>
            <w:shd w:val="clear" w:color="auto" w:fill="auto"/>
          </w:tcPr>
          <w:p w14:paraId="00BAF51F" w14:textId="77777777" w:rsidR="00871BDF" w:rsidRDefault="00871BDF">
            <w:pPr>
              <w:rPr>
                <w:rFonts w:ascii="宋体"/>
                <w:vanish/>
              </w:rPr>
            </w:pPr>
          </w:p>
        </w:tc>
        <w:tc>
          <w:tcPr>
            <w:tcW w:w="0" w:type="auto"/>
            <w:gridSpan w:val="3"/>
            <w:shd w:val="clear" w:color="auto" w:fill="auto"/>
          </w:tcPr>
          <w:p w14:paraId="00BAF520" w14:textId="77777777" w:rsidR="00871BDF" w:rsidRDefault="00871BDF">
            <w:pPr>
              <w:rPr>
                <w:rFonts w:ascii="宋体"/>
                <w:vanish/>
              </w:rPr>
            </w:pPr>
          </w:p>
        </w:tc>
      </w:tr>
      <w:tr w:rsidR="00871BDF" w14:paraId="00BAF52E" w14:textId="77777777">
        <w:tc>
          <w:tcPr>
            <w:tcW w:w="0" w:type="auto"/>
            <w:gridSpan w:val="3"/>
            <w:shd w:val="clear" w:color="auto" w:fill="FFFFFF"/>
            <w:tcMar>
              <w:top w:w="40" w:type="dxa"/>
              <w:left w:w="380" w:type="dxa"/>
              <w:bottom w:w="40" w:type="dxa"/>
              <w:right w:w="20" w:type="dxa"/>
            </w:tcMar>
          </w:tcPr>
          <w:p w14:paraId="00BAF522" w14:textId="77777777" w:rsidR="00871BDF" w:rsidRDefault="005C5088">
            <w:pPr>
              <w:textAlignment w:val="top"/>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523" w14:textId="77777777" w:rsidR="00871BDF" w:rsidRDefault="005C5088">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52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25"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526" w14:textId="77777777" w:rsidR="00871BDF" w:rsidRDefault="005C5088">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52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28"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529" w14:textId="77777777" w:rsidR="00871BDF" w:rsidRDefault="005C5088">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52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2B"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52C" w14:textId="77777777" w:rsidR="00871BDF" w:rsidRDefault="005C5088">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52D" w14:textId="77777777" w:rsidR="00871BDF" w:rsidRDefault="00871BDF">
            <w:pPr>
              <w:jc w:val="right"/>
              <w:rPr>
                <w:rFonts w:ascii="宋体"/>
              </w:rPr>
            </w:pPr>
          </w:p>
        </w:tc>
      </w:tr>
      <w:tr w:rsidR="00871BDF" w14:paraId="00BAF53B" w14:textId="77777777">
        <w:tc>
          <w:tcPr>
            <w:tcW w:w="0" w:type="auto"/>
            <w:gridSpan w:val="3"/>
            <w:shd w:val="clear" w:color="auto" w:fill="D7E4BC"/>
            <w:tcMar>
              <w:top w:w="40" w:type="dxa"/>
              <w:left w:w="380" w:type="dxa"/>
              <w:bottom w:w="40" w:type="dxa"/>
              <w:right w:w="20" w:type="dxa"/>
            </w:tcMar>
          </w:tcPr>
          <w:p w14:paraId="00BAF52F" w14:textId="77777777" w:rsidR="00871BDF" w:rsidRDefault="005C5088">
            <w:pPr>
              <w:textAlignment w:val="top"/>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00BAF530" w14:textId="77777777" w:rsidR="00871BDF" w:rsidRDefault="005C5088">
            <w:pPr>
              <w:jc w:val="right"/>
              <w:textAlignment w:val="bottom"/>
            </w:pPr>
            <w:r>
              <w:rPr>
                <w:rFonts w:ascii="Times New Roman" w:eastAsia="宋体" w:hAnsi="Times New Roman"/>
                <w:color w:val="000000"/>
                <w:sz w:val="20"/>
                <w:szCs w:val="20"/>
              </w:rPr>
              <w:t>64.9 </w:t>
            </w:r>
          </w:p>
        </w:tc>
        <w:tc>
          <w:tcPr>
            <w:tcW w:w="0" w:type="auto"/>
            <w:shd w:val="clear" w:color="auto" w:fill="D7E4BC"/>
            <w:tcMar>
              <w:top w:w="40" w:type="dxa"/>
              <w:left w:w="0" w:type="dxa"/>
              <w:bottom w:w="40" w:type="dxa"/>
              <w:right w:w="20" w:type="dxa"/>
            </w:tcMar>
            <w:vAlign w:val="bottom"/>
          </w:tcPr>
          <w:p w14:paraId="00BAF53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3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33" w14:textId="77777777" w:rsidR="00871BDF" w:rsidRDefault="005C5088">
            <w:pPr>
              <w:jc w:val="right"/>
              <w:textAlignment w:val="bottom"/>
            </w:pPr>
            <w:r>
              <w:rPr>
                <w:rFonts w:ascii="Times New Roman" w:eastAsia="宋体" w:hAnsi="Times New Roman"/>
                <w:color w:val="000000"/>
                <w:sz w:val="20"/>
                <w:szCs w:val="20"/>
              </w:rPr>
              <w:t>64.9 </w:t>
            </w:r>
          </w:p>
        </w:tc>
        <w:tc>
          <w:tcPr>
            <w:tcW w:w="0" w:type="auto"/>
            <w:shd w:val="clear" w:color="auto" w:fill="D7E4BC"/>
            <w:tcMar>
              <w:top w:w="40" w:type="dxa"/>
              <w:left w:w="0" w:type="dxa"/>
              <w:bottom w:w="40" w:type="dxa"/>
              <w:right w:w="20" w:type="dxa"/>
            </w:tcMar>
            <w:vAlign w:val="bottom"/>
          </w:tcPr>
          <w:p w14:paraId="00BAF53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3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36"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53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3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39"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53A" w14:textId="77777777" w:rsidR="00871BDF" w:rsidRDefault="00871BDF">
            <w:pPr>
              <w:jc w:val="right"/>
              <w:rPr>
                <w:rFonts w:ascii="宋体"/>
              </w:rPr>
            </w:pPr>
          </w:p>
        </w:tc>
      </w:tr>
      <w:tr w:rsidR="00871BDF" w14:paraId="00BAF548" w14:textId="77777777">
        <w:tc>
          <w:tcPr>
            <w:tcW w:w="0" w:type="auto"/>
            <w:gridSpan w:val="3"/>
            <w:shd w:val="clear" w:color="auto" w:fill="FFFFFF"/>
            <w:tcMar>
              <w:top w:w="40" w:type="dxa"/>
              <w:left w:w="20" w:type="dxa"/>
              <w:bottom w:w="40" w:type="dxa"/>
              <w:right w:w="20" w:type="dxa"/>
            </w:tcMar>
          </w:tcPr>
          <w:p w14:paraId="00BAF53C" w14:textId="77777777" w:rsidR="00871BDF" w:rsidRDefault="005C5088">
            <w:pPr>
              <w:textAlignment w:val="top"/>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53D" w14:textId="77777777" w:rsidR="00871BDF" w:rsidRDefault="005C5088">
            <w:pPr>
              <w:jc w:val="right"/>
              <w:textAlignment w:val="bottom"/>
            </w:pPr>
            <w:r>
              <w:rPr>
                <w:rFonts w:ascii="Times New Roman" w:eastAsia="宋体" w:hAnsi="Times New Roman"/>
                <w:color w:val="000000"/>
                <w:sz w:val="20"/>
                <w:szCs w:val="20"/>
              </w:rPr>
              <w:t>281.2 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53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3F"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540" w14:textId="77777777" w:rsidR="00871BDF" w:rsidRDefault="005C5088">
            <w:pPr>
              <w:jc w:val="right"/>
              <w:textAlignment w:val="bottom"/>
            </w:pPr>
            <w:r>
              <w:rPr>
                <w:rFonts w:ascii="Times New Roman" w:eastAsia="宋体" w:hAnsi="Times New Roman"/>
                <w:color w:val="000000"/>
                <w:sz w:val="20"/>
                <w:szCs w:val="20"/>
              </w:rPr>
              <w:t>64.9 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54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42"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543" w14:textId="77777777" w:rsidR="00871BDF" w:rsidRDefault="005C5088">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54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45"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546" w14:textId="77777777" w:rsidR="00871BDF" w:rsidRDefault="005C5088">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547" w14:textId="77777777" w:rsidR="00871BDF" w:rsidRDefault="00871BDF">
            <w:pPr>
              <w:jc w:val="right"/>
              <w:rPr>
                <w:rFonts w:ascii="宋体"/>
              </w:rPr>
            </w:pPr>
          </w:p>
        </w:tc>
      </w:tr>
      <w:tr w:rsidR="00871BDF" w14:paraId="00BAF551" w14:textId="77777777">
        <w:tc>
          <w:tcPr>
            <w:tcW w:w="0" w:type="auto"/>
            <w:gridSpan w:val="3"/>
            <w:shd w:val="clear" w:color="auto" w:fill="D7E4BC"/>
            <w:tcMar>
              <w:top w:w="40" w:type="dxa"/>
              <w:left w:w="20" w:type="dxa"/>
              <w:bottom w:w="40" w:type="dxa"/>
              <w:right w:w="20" w:type="dxa"/>
            </w:tcMar>
          </w:tcPr>
          <w:p w14:paraId="00BAF549" w14:textId="77777777" w:rsidR="00871BDF" w:rsidRDefault="005C5088">
            <w:pPr>
              <w:textAlignment w:val="top"/>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tcPr>
          <w:p w14:paraId="00BAF54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4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4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4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4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4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50" w14:textId="77777777" w:rsidR="00871BDF" w:rsidRDefault="00871BDF">
            <w:pPr>
              <w:rPr>
                <w:rFonts w:ascii="宋体"/>
              </w:rPr>
            </w:pPr>
          </w:p>
        </w:tc>
      </w:tr>
      <w:tr w:rsidR="00871BDF" w14:paraId="00BAF55E" w14:textId="77777777">
        <w:tc>
          <w:tcPr>
            <w:tcW w:w="0" w:type="auto"/>
            <w:gridSpan w:val="3"/>
            <w:shd w:val="clear" w:color="auto" w:fill="FFFFFF"/>
            <w:tcMar>
              <w:top w:w="40" w:type="dxa"/>
              <w:left w:w="380" w:type="dxa"/>
              <w:bottom w:w="40" w:type="dxa"/>
              <w:right w:w="20" w:type="dxa"/>
            </w:tcMar>
          </w:tcPr>
          <w:p w14:paraId="00BAF552" w14:textId="77777777" w:rsidR="00871BDF" w:rsidRDefault="005C5088">
            <w:pPr>
              <w:textAlignment w:val="top"/>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00BAF553" w14:textId="77777777" w:rsidR="00871BDF" w:rsidRDefault="005C5088">
            <w:pPr>
              <w:jc w:val="right"/>
              <w:textAlignment w:val="bottom"/>
            </w:pPr>
            <w:r>
              <w:rPr>
                <w:rFonts w:ascii="Times New Roman" w:eastAsia="宋体" w:hAnsi="Times New Roman"/>
                <w:color w:val="000000"/>
                <w:sz w:val="20"/>
                <w:szCs w:val="20"/>
              </w:rPr>
              <w:t>15.6 </w:t>
            </w:r>
          </w:p>
        </w:tc>
        <w:tc>
          <w:tcPr>
            <w:tcW w:w="0" w:type="auto"/>
            <w:shd w:val="clear" w:color="auto" w:fill="FFFFFF"/>
            <w:tcMar>
              <w:top w:w="40" w:type="dxa"/>
              <w:left w:w="0" w:type="dxa"/>
              <w:bottom w:w="40" w:type="dxa"/>
              <w:right w:w="20" w:type="dxa"/>
            </w:tcMar>
            <w:vAlign w:val="bottom"/>
          </w:tcPr>
          <w:p w14:paraId="00BAF55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5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556" w14:textId="77777777" w:rsidR="00871BDF" w:rsidRDefault="005C5088">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00BAF55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5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559" w14:textId="77777777" w:rsidR="00871BDF" w:rsidRDefault="005C5088">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00BAF55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5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55C"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55D" w14:textId="77777777" w:rsidR="00871BDF" w:rsidRDefault="00871BDF">
            <w:pPr>
              <w:jc w:val="right"/>
              <w:rPr>
                <w:rFonts w:ascii="宋体"/>
              </w:rPr>
            </w:pPr>
          </w:p>
        </w:tc>
      </w:tr>
      <w:tr w:rsidR="00871BDF" w14:paraId="00BAF567" w14:textId="77777777">
        <w:tc>
          <w:tcPr>
            <w:tcW w:w="0" w:type="auto"/>
            <w:gridSpan w:val="3"/>
            <w:shd w:val="clear" w:color="auto" w:fill="D7E4BC"/>
            <w:tcMar>
              <w:top w:w="40" w:type="dxa"/>
              <w:left w:w="20" w:type="dxa"/>
              <w:bottom w:w="40" w:type="dxa"/>
              <w:right w:w="20" w:type="dxa"/>
            </w:tcMar>
          </w:tcPr>
          <w:p w14:paraId="00BAF55F" w14:textId="77777777" w:rsidR="00871BDF" w:rsidRDefault="005C5088">
            <w:pPr>
              <w:textAlignment w:val="top"/>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tcPr>
          <w:p w14:paraId="00BAF56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6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6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6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6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6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66" w14:textId="77777777" w:rsidR="00871BDF" w:rsidRDefault="00871BDF">
            <w:pPr>
              <w:rPr>
                <w:rFonts w:ascii="宋体"/>
              </w:rPr>
            </w:pPr>
          </w:p>
        </w:tc>
      </w:tr>
      <w:tr w:rsidR="00871BDF" w14:paraId="00BAF570" w14:textId="77777777">
        <w:tc>
          <w:tcPr>
            <w:tcW w:w="0" w:type="auto"/>
            <w:gridSpan w:val="3"/>
            <w:shd w:val="clear" w:color="auto" w:fill="FFFFFF"/>
            <w:tcMar>
              <w:top w:w="40" w:type="dxa"/>
              <w:left w:w="380" w:type="dxa"/>
              <w:bottom w:w="40" w:type="dxa"/>
              <w:right w:w="20" w:type="dxa"/>
            </w:tcMar>
          </w:tcPr>
          <w:p w14:paraId="00BAF568" w14:textId="77777777" w:rsidR="00871BDF" w:rsidRDefault="005C5088">
            <w:pPr>
              <w:textAlignment w:val="top"/>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tcPr>
          <w:p w14:paraId="00BAF56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56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56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56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56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56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56F" w14:textId="77777777" w:rsidR="00871BDF" w:rsidRDefault="00871BDF">
            <w:pPr>
              <w:rPr>
                <w:rFonts w:ascii="宋体"/>
              </w:rPr>
            </w:pPr>
          </w:p>
        </w:tc>
      </w:tr>
      <w:tr w:rsidR="00871BDF" w14:paraId="00BAF579" w14:textId="77777777">
        <w:trPr>
          <w:hidden/>
        </w:trPr>
        <w:tc>
          <w:tcPr>
            <w:tcW w:w="0" w:type="auto"/>
            <w:gridSpan w:val="3"/>
            <w:shd w:val="clear" w:color="auto" w:fill="auto"/>
          </w:tcPr>
          <w:p w14:paraId="00BAF571" w14:textId="77777777" w:rsidR="00871BDF" w:rsidRDefault="00871BDF">
            <w:pPr>
              <w:rPr>
                <w:rFonts w:ascii="宋体"/>
                <w:vanish/>
              </w:rPr>
            </w:pPr>
          </w:p>
        </w:tc>
        <w:tc>
          <w:tcPr>
            <w:tcW w:w="0" w:type="auto"/>
            <w:gridSpan w:val="3"/>
            <w:shd w:val="clear" w:color="auto" w:fill="auto"/>
          </w:tcPr>
          <w:p w14:paraId="00BAF572" w14:textId="77777777" w:rsidR="00871BDF" w:rsidRDefault="00871BDF">
            <w:pPr>
              <w:rPr>
                <w:rFonts w:ascii="宋体"/>
                <w:vanish/>
              </w:rPr>
            </w:pPr>
          </w:p>
        </w:tc>
        <w:tc>
          <w:tcPr>
            <w:tcW w:w="0" w:type="auto"/>
            <w:gridSpan w:val="3"/>
            <w:shd w:val="clear" w:color="auto" w:fill="auto"/>
          </w:tcPr>
          <w:p w14:paraId="00BAF573" w14:textId="77777777" w:rsidR="00871BDF" w:rsidRDefault="00871BDF">
            <w:pPr>
              <w:rPr>
                <w:rFonts w:ascii="宋体"/>
                <w:vanish/>
              </w:rPr>
            </w:pPr>
          </w:p>
        </w:tc>
        <w:tc>
          <w:tcPr>
            <w:tcW w:w="0" w:type="auto"/>
            <w:gridSpan w:val="3"/>
            <w:shd w:val="clear" w:color="auto" w:fill="auto"/>
          </w:tcPr>
          <w:p w14:paraId="00BAF574" w14:textId="77777777" w:rsidR="00871BDF" w:rsidRDefault="00871BDF">
            <w:pPr>
              <w:rPr>
                <w:rFonts w:ascii="宋体"/>
                <w:vanish/>
              </w:rPr>
            </w:pPr>
          </w:p>
        </w:tc>
        <w:tc>
          <w:tcPr>
            <w:tcW w:w="0" w:type="auto"/>
            <w:gridSpan w:val="3"/>
            <w:shd w:val="clear" w:color="auto" w:fill="auto"/>
          </w:tcPr>
          <w:p w14:paraId="00BAF575" w14:textId="77777777" w:rsidR="00871BDF" w:rsidRDefault="00871BDF">
            <w:pPr>
              <w:rPr>
                <w:rFonts w:ascii="宋体"/>
                <w:vanish/>
              </w:rPr>
            </w:pPr>
          </w:p>
        </w:tc>
        <w:tc>
          <w:tcPr>
            <w:tcW w:w="0" w:type="auto"/>
            <w:gridSpan w:val="3"/>
            <w:shd w:val="clear" w:color="auto" w:fill="auto"/>
          </w:tcPr>
          <w:p w14:paraId="00BAF576" w14:textId="77777777" w:rsidR="00871BDF" w:rsidRDefault="00871BDF">
            <w:pPr>
              <w:rPr>
                <w:rFonts w:ascii="宋体"/>
                <w:vanish/>
              </w:rPr>
            </w:pPr>
          </w:p>
        </w:tc>
        <w:tc>
          <w:tcPr>
            <w:tcW w:w="0" w:type="auto"/>
            <w:gridSpan w:val="3"/>
            <w:shd w:val="clear" w:color="auto" w:fill="auto"/>
          </w:tcPr>
          <w:p w14:paraId="00BAF577" w14:textId="77777777" w:rsidR="00871BDF" w:rsidRDefault="00871BDF">
            <w:pPr>
              <w:rPr>
                <w:rFonts w:ascii="宋体"/>
                <w:vanish/>
              </w:rPr>
            </w:pPr>
          </w:p>
        </w:tc>
        <w:tc>
          <w:tcPr>
            <w:tcW w:w="0" w:type="auto"/>
            <w:gridSpan w:val="3"/>
            <w:shd w:val="clear" w:color="auto" w:fill="auto"/>
          </w:tcPr>
          <w:p w14:paraId="00BAF578" w14:textId="77777777" w:rsidR="00871BDF" w:rsidRDefault="00871BDF">
            <w:pPr>
              <w:rPr>
                <w:rFonts w:ascii="宋体"/>
                <w:vanish/>
              </w:rPr>
            </w:pPr>
          </w:p>
        </w:tc>
      </w:tr>
      <w:tr w:rsidR="00871BDF" w14:paraId="00BAF586" w14:textId="77777777">
        <w:tc>
          <w:tcPr>
            <w:tcW w:w="0" w:type="auto"/>
            <w:gridSpan w:val="3"/>
            <w:shd w:val="clear" w:color="auto" w:fill="D7E4BC"/>
            <w:tcMar>
              <w:top w:w="40" w:type="dxa"/>
              <w:left w:w="740" w:type="dxa"/>
              <w:bottom w:w="40" w:type="dxa"/>
              <w:right w:w="20" w:type="dxa"/>
            </w:tcMar>
          </w:tcPr>
          <w:p w14:paraId="00BAF57A" w14:textId="77777777" w:rsidR="00871BDF" w:rsidRDefault="005C5088">
            <w:pPr>
              <w:textAlignment w:val="top"/>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00BAF57B" w14:textId="77777777" w:rsidR="00871BDF" w:rsidRDefault="005C5088">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00BAF57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7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7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57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8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8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58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8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84" w14:textId="77777777" w:rsidR="00871BDF" w:rsidRDefault="005C5088">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00BAF585" w14:textId="77777777" w:rsidR="00871BDF" w:rsidRDefault="00871BDF">
            <w:pPr>
              <w:jc w:val="right"/>
              <w:rPr>
                <w:rFonts w:ascii="宋体"/>
              </w:rPr>
            </w:pPr>
          </w:p>
        </w:tc>
      </w:tr>
      <w:tr w:rsidR="00871BDF" w14:paraId="00BAF58F" w14:textId="77777777">
        <w:trPr>
          <w:hidden/>
        </w:trPr>
        <w:tc>
          <w:tcPr>
            <w:tcW w:w="0" w:type="auto"/>
            <w:gridSpan w:val="3"/>
            <w:shd w:val="clear" w:color="auto" w:fill="auto"/>
          </w:tcPr>
          <w:p w14:paraId="00BAF587" w14:textId="77777777" w:rsidR="00871BDF" w:rsidRDefault="00871BDF">
            <w:pPr>
              <w:rPr>
                <w:rFonts w:ascii="宋体"/>
                <w:vanish/>
              </w:rPr>
            </w:pPr>
          </w:p>
        </w:tc>
        <w:tc>
          <w:tcPr>
            <w:tcW w:w="0" w:type="auto"/>
            <w:gridSpan w:val="3"/>
            <w:shd w:val="clear" w:color="auto" w:fill="auto"/>
          </w:tcPr>
          <w:p w14:paraId="00BAF588" w14:textId="77777777" w:rsidR="00871BDF" w:rsidRDefault="00871BDF">
            <w:pPr>
              <w:rPr>
                <w:rFonts w:ascii="宋体"/>
                <w:vanish/>
              </w:rPr>
            </w:pPr>
          </w:p>
        </w:tc>
        <w:tc>
          <w:tcPr>
            <w:tcW w:w="0" w:type="auto"/>
            <w:gridSpan w:val="3"/>
            <w:shd w:val="clear" w:color="auto" w:fill="auto"/>
          </w:tcPr>
          <w:p w14:paraId="00BAF589" w14:textId="77777777" w:rsidR="00871BDF" w:rsidRDefault="00871BDF">
            <w:pPr>
              <w:rPr>
                <w:rFonts w:ascii="宋体"/>
                <w:vanish/>
              </w:rPr>
            </w:pPr>
          </w:p>
        </w:tc>
        <w:tc>
          <w:tcPr>
            <w:tcW w:w="0" w:type="auto"/>
            <w:gridSpan w:val="3"/>
            <w:shd w:val="clear" w:color="auto" w:fill="auto"/>
          </w:tcPr>
          <w:p w14:paraId="00BAF58A" w14:textId="77777777" w:rsidR="00871BDF" w:rsidRDefault="00871BDF">
            <w:pPr>
              <w:rPr>
                <w:rFonts w:ascii="宋体"/>
                <w:vanish/>
              </w:rPr>
            </w:pPr>
          </w:p>
        </w:tc>
        <w:tc>
          <w:tcPr>
            <w:tcW w:w="0" w:type="auto"/>
            <w:gridSpan w:val="3"/>
            <w:shd w:val="clear" w:color="auto" w:fill="auto"/>
          </w:tcPr>
          <w:p w14:paraId="00BAF58B" w14:textId="77777777" w:rsidR="00871BDF" w:rsidRDefault="00871BDF">
            <w:pPr>
              <w:rPr>
                <w:rFonts w:ascii="宋体"/>
                <w:vanish/>
              </w:rPr>
            </w:pPr>
          </w:p>
        </w:tc>
        <w:tc>
          <w:tcPr>
            <w:tcW w:w="0" w:type="auto"/>
            <w:gridSpan w:val="3"/>
            <w:shd w:val="clear" w:color="auto" w:fill="auto"/>
          </w:tcPr>
          <w:p w14:paraId="00BAF58C" w14:textId="77777777" w:rsidR="00871BDF" w:rsidRDefault="00871BDF">
            <w:pPr>
              <w:rPr>
                <w:rFonts w:ascii="宋体"/>
                <w:vanish/>
              </w:rPr>
            </w:pPr>
          </w:p>
        </w:tc>
        <w:tc>
          <w:tcPr>
            <w:tcW w:w="0" w:type="auto"/>
            <w:gridSpan w:val="3"/>
            <w:shd w:val="clear" w:color="auto" w:fill="auto"/>
          </w:tcPr>
          <w:p w14:paraId="00BAF58D" w14:textId="77777777" w:rsidR="00871BDF" w:rsidRDefault="00871BDF">
            <w:pPr>
              <w:rPr>
                <w:rFonts w:ascii="宋体"/>
                <w:vanish/>
              </w:rPr>
            </w:pPr>
          </w:p>
        </w:tc>
        <w:tc>
          <w:tcPr>
            <w:tcW w:w="0" w:type="auto"/>
            <w:gridSpan w:val="3"/>
            <w:shd w:val="clear" w:color="auto" w:fill="auto"/>
          </w:tcPr>
          <w:p w14:paraId="00BAF58E" w14:textId="77777777" w:rsidR="00871BDF" w:rsidRDefault="00871BDF">
            <w:pPr>
              <w:rPr>
                <w:rFonts w:ascii="宋体"/>
                <w:vanish/>
              </w:rPr>
            </w:pPr>
          </w:p>
        </w:tc>
      </w:tr>
      <w:tr w:rsidR="00871BDF" w14:paraId="00BAF59C" w14:textId="77777777">
        <w:tc>
          <w:tcPr>
            <w:tcW w:w="0" w:type="auto"/>
            <w:gridSpan w:val="3"/>
            <w:shd w:val="clear" w:color="auto" w:fill="FFFFFF"/>
            <w:tcMar>
              <w:top w:w="40" w:type="dxa"/>
              <w:left w:w="740" w:type="dxa"/>
              <w:bottom w:w="40" w:type="dxa"/>
              <w:right w:w="20" w:type="dxa"/>
            </w:tcMar>
          </w:tcPr>
          <w:p w14:paraId="00BAF590" w14:textId="77777777" w:rsidR="00871BDF" w:rsidRDefault="005C5088">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00BAF591" w14:textId="77777777" w:rsidR="00871BDF" w:rsidRDefault="005C5088">
            <w:pPr>
              <w:jc w:val="right"/>
              <w:textAlignment w:val="bottom"/>
            </w:pPr>
            <w:r>
              <w:rPr>
                <w:rFonts w:ascii="Times New Roman" w:eastAsia="宋体" w:hAnsi="Times New Roman"/>
                <w:color w:val="000000"/>
                <w:sz w:val="20"/>
                <w:szCs w:val="20"/>
              </w:rPr>
              <w:t>82.6 </w:t>
            </w:r>
          </w:p>
        </w:tc>
        <w:tc>
          <w:tcPr>
            <w:tcW w:w="0" w:type="auto"/>
            <w:shd w:val="clear" w:color="auto" w:fill="FFFFFF"/>
            <w:tcMar>
              <w:top w:w="40" w:type="dxa"/>
              <w:left w:w="0" w:type="dxa"/>
              <w:bottom w:w="40" w:type="dxa"/>
              <w:right w:w="20" w:type="dxa"/>
            </w:tcMar>
            <w:vAlign w:val="bottom"/>
          </w:tcPr>
          <w:p w14:paraId="00BAF59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9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59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59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9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597" w14:textId="77777777" w:rsidR="00871BDF" w:rsidRDefault="005C5088">
            <w:pPr>
              <w:jc w:val="right"/>
              <w:textAlignment w:val="bottom"/>
            </w:pPr>
            <w:r>
              <w:rPr>
                <w:rFonts w:ascii="Times New Roman" w:eastAsia="宋体" w:hAnsi="Times New Roman"/>
                <w:color w:val="000000"/>
                <w:sz w:val="20"/>
                <w:szCs w:val="20"/>
              </w:rPr>
              <w:t>82.6 </w:t>
            </w:r>
          </w:p>
        </w:tc>
        <w:tc>
          <w:tcPr>
            <w:tcW w:w="0" w:type="auto"/>
            <w:shd w:val="clear" w:color="auto" w:fill="FFFFFF"/>
            <w:tcMar>
              <w:top w:w="40" w:type="dxa"/>
              <w:left w:w="0" w:type="dxa"/>
              <w:bottom w:w="40" w:type="dxa"/>
              <w:right w:w="20" w:type="dxa"/>
            </w:tcMar>
            <w:vAlign w:val="bottom"/>
          </w:tcPr>
          <w:p w14:paraId="00BAF59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9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59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59B" w14:textId="77777777" w:rsidR="00871BDF" w:rsidRDefault="00871BDF">
            <w:pPr>
              <w:jc w:val="right"/>
              <w:rPr>
                <w:rFonts w:ascii="宋体"/>
              </w:rPr>
            </w:pPr>
          </w:p>
        </w:tc>
      </w:tr>
      <w:tr w:rsidR="00871BDF" w14:paraId="00BAF5A5" w14:textId="77777777">
        <w:trPr>
          <w:hidden/>
        </w:trPr>
        <w:tc>
          <w:tcPr>
            <w:tcW w:w="0" w:type="auto"/>
            <w:gridSpan w:val="3"/>
            <w:shd w:val="clear" w:color="auto" w:fill="auto"/>
          </w:tcPr>
          <w:p w14:paraId="00BAF59D" w14:textId="77777777" w:rsidR="00871BDF" w:rsidRDefault="00871BDF">
            <w:pPr>
              <w:rPr>
                <w:rFonts w:ascii="宋体"/>
                <w:vanish/>
              </w:rPr>
            </w:pPr>
          </w:p>
        </w:tc>
        <w:tc>
          <w:tcPr>
            <w:tcW w:w="0" w:type="auto"/>
            <w:gridSpan w:val="3"/>
            <w:shd w:val="clear" w:color="auto" w:fill="auto"/>
          </w:tcPr>
          <w:p w14:paraId="00BAF59E" w14:textId="77777777" w:rsidR="00871BDF" w:rsidRDefault="00871BDF">
            <w:pPr>
              <w:rPr>
                <w:rFonts w:ascii="宋体"/>
                <w:vanish/>
              </w:rPr>
            </w:pPr>
          </w:p>
        </w:tc>
        <w:tc>
          <w:tcPr>
            <w:tcW w:w="0" w:type="auto"/>
            <w:gridSpan w:val="3"/>
            <w:shd w:val="clear" w:color="auto" w:fill="auto"/>
          </w:tcPr>
          <w:p w14:paraId="00BAF59F" w14:textId="77777777" w:rsidR="00871BDF" w:rsidRDefault="00871BDF">
            <w:pPr>
              <w:rPr>
                <w:rFonts w:ascii="宋体"/>
                <w:vanish/>
              </w:rPr>
            </w:pPr>
          </w:p>
        </w:tc>
        <w:tc>
          <w:tcPr>
            <w:tcW w:w="0" w:type="auto"/>
            <w:gridSpan w:val="3"/>
            <w:shd w:val="clear" w:color="auto" w:fill="auto"/>
          </w:tcPr>
          <w:p w14:paraId="00BAF5A0" w14:textId="77777777" w:rsidR="00871BDF" w:rsidRDefault="00871BDF">
            <w:pPr>
              <w:rPr>
                <w:rFonts w:ascii="宋体"/>
                <w:vanish/>
              </w:rPr>
            </w:pPr>
          </w:p>
        </w:tc>
        <w:tc>
          <w:tcPr>
            <w:tcW w:w="0" w:type="auto"/>
            <w:gridSpan w:val="3"/>
            <w:shd w:val="clear" w:color="auto" w:fill="auto"/>
          </w:tcPr>
          <w:p w14:paraId="00BAF5A1" w14:textId="77777777" w:rsidR="00871BDF" w:rsidRDefault="00871BDF">
            <w:pPr>
              <w:rPr>
                <w:rFonts w:ascii="宋体"/>
                <w:vanish/>
              </w:rPr>
            </w:pPr>
          </w:p>
        </w:tc>
        <w:tc>
          <w:tcPr>
            <w:tcW w:w="0" w:type="auto"/>
            <w:gridSpan w:val="3"/>
            <w:shd w:val="clear" w:color="auto" w:fill="auto"/>
          </w:tcPr>
          <w:p w14:paraId="00BAF5A2" w14:textId="77777777" w:rsidR="00871BDF" w:rsidRDefault="00871BDF">
            <w:pPr>
              <w:rPr>
                <w:rFonts w:ascii="宋体"/>
                <w:vanish/>
              </w:rPr>
            </w:pPr>
          </w:p>
        </w:tc>
        <w:tc>
          <w:tcPr>
            <w:tcW w:w="0" w:type="auto"/>
            <w:gridSpan w:val="3"/>
            <w:shd w:val="clear" w:color="auto" w:fill="auto"/>
          </w:tcPr>
          <w:p w14:paraId="00BAF5A3" w14:textId="77777777" w:rsidR="00871BDF" w:rsidRDefault="00871BDF">
            <w:pPr>
              <w:rPr>
                <w:rFonts w:ascii="宋体"/>
                <w:vanish/>
              </w:rPr>
            </w:pPr>
          </w:p>
        </w:tc>
        <w:tc>
          <w:tcPr>
            <w:tcW w:w="0" w:type="auto"/>
            <w:gridSpan w:val="3"/>
            <w:shd w:val="clear" w:color="auto" w:fill="auto"/>
          </w:tcPr>
          <w:p w14:paraId="00BAF5A4" w14:textId="77777777" w:rsidR="00871BDF" w:rsidRDefault="00871BDF">
            <w:pPr>
              <w:rPr>
                <w:rFonts w:ascii="宋体"/>
                <w:vanish/>
              </w:rPr>
            </w:pPr>
          </w:p>
        </w:tc>
      </w:tr>
      <w:tr w:rsidR="00871BDF" w14:paraId="00BAF5B2" w14:textId="77777777">
        <w:tc>
          <w:tcPr>
            <w:tcW w:w="0" w:type="auto"/>
            <w:gridSpan w:val="3"/>
            <w:shd w:val="clear" w:color="auto" w:fill="D7E4BC"/>
            <w:tcMar>
              <w:top w:w="40" w:type="dxa"/>
              <w:left w:w="740" w:type="dxa"/>
              <w:bottom w:w="40" w:type="dxa"/>
              <w:right w:w="20" w:type="dxa"/>
            </w:tcMar>
          </w:tcPr>
          <w:p w14:paraId="00BAF5A6" w14:textId="77777777" w:rsidR="00871BDF" w:rsidRDefault="005C5088">
            <w:pPr>
              <w:textAlignment w:val="top"/>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00BAF5A7" w14:textId="77777777" w:rsidR="00871BDF" w:rsidRDefault="005C5088">
            <w:pPr>
              <w:jc w:val="right"/>
              <w:textAlignment w:val="bottom"/>
            </w:pPr>
            <w:r>
              <w:rPr>
                <w:rFonts w:ascii="Times New Roman" w:eastAsia="宋体" w:hAnsi="Times New Roman"/>
                <w:color w:val="000000"/>
                <w:sz w:val="20"/>
                <w:szCs w:val="20"/>
              </w:rPr>
              <w:t>19.3 </w:t>
            </w:r>
          </w:p>
        </w:tc>
        <w:tc>
          <w:tcPr>
            <w:tcW w:w="0" w:type="auto"/>
            <w:shd w:val="clear" w:color="auto" w:fill="D7E4BC"/>
            <w:tcMar>
              <w:top w:w="40" w:type="dxa"/>
              <w:left w:w="0" w:type="dxa"/>
              <w:bottom w:w="40" w:type="dxa"/>
              <w:right w:w="20" w:type="dxa"/>
            </w:tcMar>
            <w:vAlign w:val="bottom"/>
          </w:tcPr>
          <w:p w14:paraId="00BAF5A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A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A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5A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A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AD" w14:textId="77777777" w:rsidR="00871BDF" w:rsidRDefault="005C5088">
            <w:pPr>
              <w:jc w:val="right"/>
              <w:textAlignment w:val="bottom"/>
            </w:pPr>
            <w:r>
              <w:rPr>
                <w:rFonts w:ascii="Times New Roman" w:eastAsia="宋体" w:hAnsi="Times New Roman"/>
                <w:color w:val="000000"/>
                <w:sz w:val="20"/>
                <w:szCs w:val="20"/>
              </w:rPr>
              <w:t>19.3 </w:t>
            </w:r>
          </w:p>
        </w:tc>
        <w:tc>
          <w:tcPr>
            <w:tcW w:w="0" w:type="auto"/>
            <w:shd w:val="clear" w:color="auto" w:fill="D7E4BC"/>
            <w:tcMar>
              <w:top w:w="40" w:type="dxa"/>
              <w:left w:w="0" w:type="dxa"/>
              <w:bottom w:w="40" w:type="dxa"/>
              <w:right w:w="20" w:type="dxa"/>
            </w:tcMar>
            <w:vAlign w:val="bottom"/>
          </w:tcPr>
          <w:p w14:paraId="00BAF5A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A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B0"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5B1" w14:textId="77777777" w:rsidR="00871BDF" w:rsidRDefault="00871BDF">
            <w:pPr>
              <w:jc w:val="right"/>
              <w:rPr>
                <w:rFonts w:ascii="宋体"/>
              </w:rPr>
            </w:pPr>
          </w:p>
        </w:tc>
      </w:tr>
      <w:tr w:rsidR="00871BDF" w14:paraId="00BAF5BF" w14:textId="77777777">
        <w:tc>
          <w:tcPr>
            <w:tcW w:w="0" w:type="auto"/>
            <w:gridSpan w:val="3"/>
            <w:shd w:val="clear" w:color="auto" w:fill="FFFFFF"/>
            <w:tcMar>
              <w:top w:w="40" w:type="dxa"/>
              <w:left w:w="740" w:type="dxa"/>
              <w:bottom w:w="40" w:type="dxa"/>
              <w:right w:w="20" w:type="dxa"/>
            </w:tcMar>
          </w:tcPr>
          <w:p w14:paraId="00BAF5B3" w14:textId="77777777" w:rsidR="00871BDF" w:rsidRDefault="005C5088">
            <w:pPr>
              <w:textAlignment w:val="top"/>
            </w:pPr>
            <w:r>
              <w:rPr>
                <w:rFonts w:ascii="Times New Roman" w:eastAsia="宋体" w:hAnsi="Times New Roman"/>
                <w:color w:val="000000"/>
                <w:sz w:val="20"/>
                <w:szCs w:val="20"/>
              </w:rPr>
              <w:t>State and local government obligations</w:t>
            </w:r>
          </w:p>
        </w:tc>
        <w:tc>
          <w:tcPr>
            <w:tcW w:w="0" w:type="auto"/>
            <w:gridSpan w:val="2"/>
            <w:shd w:val="clear" w:color="auto" w:fill="FFFFFF"/>
            <w:tcMar>
              <w:top w:w="40" w:type="dxa"/>
              <w:left w:w="20" w:type="dxa"/>
              <w:bottom w:w="40" w:type="dxa"/>
              <w:right w:w="0" w:type="dxa"/>
            </w:tcMar>
            <w:vAlign w:val="bottom"/>
          </w:tcPr>
          <w:p w14:paraId="00BAF5B4" w14:textId="77777777" w:rsidR="00871BDF" w:rsidRDefault="005C5088">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00BAF5B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B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5B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5B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B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5BA" w14:textId="77777777" w:rsidR="00871BDF" w:rsidRDefault="005C5088">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00BAF5B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B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5B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5BE" w14:textId="77777777" w:rsidR="00871BDF" w:rsidRDefault="00871BDF">
            <w:pPr>
              <w:jc w:val="right"/>
              <w:rPr>
                <w:rFonts w:ascii="宋体"/>
              </w:rPr>
            </w:pPr>
          </w:p>
        </w:tc>
      </w:tr>
      <w:tr w:rsidR="00871BDF" w14:paraId="00BAF5CC" w14:textId="77777777">
        <w:tc>
          <w:tcPr>
            <w:tcW w:w="0" w:type="auto"/>
            <w:gridSpan w:val="3"/>
            <w:shd w:val="clear" w:color="auto" w:fill="D7E4BC"/>
            <w:tcMar>
              <w:top w:w="40" w:type="dxa"/>
              <w:left w:w="740" w:type="dxa"/>
              <w:bottom w:w="40" w:type="dxa"/>
              <w:right w:w="20" w:type="dxa"/>
            </w:tcMar>
          </w:tcPr>
          <w:p w14:paraId="00BAF5C0" w14:textId="77777777" w:rsidR="00871BDF" w:rsidRDefault="005C5088">
            <w:pPr>
              <w:textAlignment w:val="top"/>
            </w:pPr>
            <w:r>
              <w:rPr>
                <w:rFonts w:ascii="Times New Roman" w:eastAsia="宋体" w:hAnsi="Times New Roman"/>
                <w:color w:val="000000"/>
                <w:sz w:val="20"/>
                <w:szCs w:val="20"/>
              </w:rPr>
              <w:t>U.S. government treasury securities</w:t>
            </w:r>
          </w:p>
        </w:tc>
        <w:tc>
          <w:tcPr>
            <w:tcW w:w="0" w:type="auto"/>
            <w:gridSpan w:val="2"/>
            <w:shd w:val="clear" w:color="auto" w:fill="D7E4BC"/>
            <w:tcMar>
              <w:top w:w="40" w:type="dxa"/>
              <w:left w:w="20" w:type="dxa"/>
              <w:bottom w:w="40" w:type="dxa"/>
              <w:right w:w="0" w:type="dxa"/>
            </w:tcMar>
            <w:vAlign w:val="bottom"/>
          </w:tcPr>
          <w:p w14:paraId="00BAF5C1" w14:textId="77777777" w:rsidR="00871BDF" w:rsidRDefault="005C5088">
            <w:pPr>
              <w:jc w:val="right"/>
              <w:textAlignment w:val="bottom"/>
            </w:pPr>
            <w:r>
              <w:rPr>
                <w:rFonts w:ascii="Times New Roman" w:eastAsia="宋体" w:hAnsi="Times New Roman"/>
                <w:color w:val="000000"/>
                <w:sz w:val="20"/>
                <w:szCs w:val="20"/>
              </w:rPr>
              <w:t>94.9 </w:t>
            </w:r>
          </w:p>
        </w:tc>
        <w:tc>
          <w:tcPr>
            <w:tcW w:w="0" w:type="auto"/>
            <w:shd w:val="clear" w:color="auto" w:fill="D7E4BC"/>
            <w:tcMar>
              <w:top w:w="40" w:type="dxa"/>
              <w:left w:w="0" w:type="dxa"/>
              <w:bottom w:w="40" w:type="dxa"/>
              <w:right w:w="20" w:type="dxa"/>
            </w:tcMar>
            <w:vAlign w:val="bottom"/>
          </w:tcPr>
          <w:p w14:paraId="00BAF5C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C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C4" w14:textId="77777777" w:rsidR="00871BDF" w:rsidRDefault="005C5088">
            <w:pPr>
              <w:jc w:val="right"/>
              <w:textAlignment w:val="bottom"/>
            </w:pPr>
            <w:r>
              <w:rPr>
                <w:rFonts w:ascii="Times New Roman" w:eastAsia="宋体" w:hAnsi="Times New Roman"/>
                <w:color w:val="000000"/>
                <w:sz w:val="20"/>
                <w:szCs w:val="20"/>
              </w:rPr>
              <w:t>94.9 </w:t>
            </w:r>
          </w:p>
        </w:tc>
        <w:tc>
          <w:tcPr>
            <w:tcW w:w="0" w:type="auto"/>
            <w:shd w:val="clear" w:color="auto" w:fill="D7E4BC"/>
            <w:tcMar>
              <w:top w:w="40" w:type="dxa"/>
              <w:left w:w="0" w:type="dxa"/>
              <w:bottom w:w="40" w:type="dxa"/>
              <w:right w:w="20" w:type="dxa"/>
            </w:tcMar>
            <w:vAlign w:val="bottom"/>
          </w:tcPr>
          <w:p w14:paraId="00BAF5C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C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C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5C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C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5C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5CB" w14:textId="77777777" w:rsidR="00871BDF" w:rsidRDefault="00871BDF">
            <w:pPr>
              <w:jc w:val="right"/>
              <w:rPr>
                <w:rFonts w:ascii="宋体"/>
              </w:rPr>
            </w:pPr>
          </w:p>
        </w:tc>
      </w:tr>
      <w:tr w:rsidR="00871BDF" w14:paraId="00BAF5D9" w14:textId="77777777">
        <w:tc>
          <w:tcPr>
            <w:tcW w:w="0" w:type="auto"/>
            <w:gridSpan w:val="3"/>
            <w:shd w:val="clear" w:color="auto" w:fill="FFFFFF"/>
            <w:tcMar>
              <w:top w:w="40" w:type="dxa"/>
              <w:left w:w="20" w:type="dxa"/>
              <w:bottom w:w="40" w:type="dxa"/>
              <w:right w:w="20" w:type="dxa"/>
            </w:tcMar>
          </w:tcPr>
          <w:p w14:paraId="00BAF5CD" w14:textId="77777777" w:rsidR="00871BDF" w:rsidRDefault="005C5088">
            <w:pPr>
              <w:textAlignment w:val="top"/>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5CE" w14:textId="77777777" w:rsidR="00871BDF" w:rsidRDefault="005C5088">
            <w:pPr>
              <w:jc w:val="right"/>
              <w:textAlignment w:val="bottom"/>
            </w:pPr>
            <w:r>
              <w:rPr>
                <w:rFonts w:ascii="Times New Roman" w:eastAsia="宋体" w:hAnsi="Times New Roman"/>
                <w:color w:val="000000"/>
                <w:sz w:val="20"/>
                <w:szCs w:val="20"/>
              </w:rPr>
              <w:t>206.1 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5C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D0"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5D1" w14:textId="77777777" w:rsidR="00871BDF" w:rsidRDefault="005C5088">
            <w:pPr>
              <w:jc w:val="right"/>
              <w:textAlignment w:val="bottom"/>
            </w:pPr>
            <w:r>
              <w:rPr>
                <w:rFonts w:ascii="Times New Roman" w:eastAsia="宋体" w:hAnsi="Times New Roman"/>
                <w:color w:val="000000"/>
                <w:sz w:val="20"/>
                <w:szCs w:val="20"/>
              </w:rPr>
              <w:t>94.9 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5D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D3"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5D4" w14:textId="77777777" w:rsidR="00871BDF" w:rsidRDefault="005C5088">
            <w:pPr>
              <w:jc w:val="right"/>
              <w:textAlignment w:val="bottom"/>
            </w:pPr>
            <w:r>
              <w:rPr>
                <w:rFonts w:ascii="Times New Roman" w:eastAsia="宋体" w:hAnsi="Times New Roman"/>
                <w:color w:val="000000"/>
                <w:sz w:val="20"/>
                <w:szCs w:val="20"/>
              </w:rPr>
              <w:t>105.5 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5D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D6"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5D7" w14:textId="77777777" w:rsidR="00871BDF" w:rsidRDefault="005C5088">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5D8" w14:textId="77777777" w:rsidR="00871BDF" w:rsidRDefault="00871BDF">
            <w:pPr>
              <w:jc w:val="right"/>
              <w:rPr>
                <w:rFonts w:ascii="宋体"/>
              </w:rPr>
            </w:pPr>
          </w:p>
        </w:tc>
      </w:tr>
      <w:tr w:rsidR="00871BDF" w14:paraId="00BAF5E2" w14:textId="77777777">
        <w:tc>
          <w:tcPr>
            <w:tcW w:w="0" w:type="auto"/>
            <w:gridSpan w:val="3"/>
            <w:shd w:val="clear" w:color="auto" w:fill="D7E4BC"/>
            <w:tcMar>
              <w:top w:w="40" w:type="dxa"/>
              <w:left w:w="20" w:type="dxa"/>
              <w:bottom w:w="40" w:type="dxa"/>
              <w:right w:w="20" w:type="dxa"/>
            </w:tcMar>
          </w:tcPr>
          <w:p w14:paraId="00BAF5DA" w14:textId="77777777" w:rsidR="00871BDF" w:rsidRDefault="005C5088">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tcPr>
          <w:p w14:paraId="00BAF5D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D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D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D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D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E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5E1" w14:textId="77777777" w:rsidR="00871BDF" w:rsidRDefault="00871BDF">
            <w:pPr>
              <w:rPr>
                <w:rFonts w:ascii="宋体"/>
              </w:rPr>
            </w:pPr>
          </w:p>
        </w:tc>
      </w:tr>
      <w:tr w:rsidR="00871BDF" w14:paraId="00BAF5EF" w14:textId="77777777">
        <w:tc>
          <w:tcPr>
            <w:tcW w:w="0" w:type="auto"/>
            <w:gridSpan w:val="3"/>
            <w:shd w:val="clear" w:color="auto" w:fill="FFFFFF"/>
            <w:tcMar>
              <w:top w:w="40" w:type="dxa"/>
              <w:left w:w="380" w:type="dxa"/>
              <w:bottom w:w="40" w:type="dxa"/>
              <w:right w:w="20" w:type="dxa"/>
            </w:tcMar>
          </w:tcPr>
          <w:p w14:paraId="00BAF5E3" w14:textId="77777777" w:rsidR="00871BDF" w:rsidRDefault="005C5088">
            <w:pPr>
              <w:textAlignment w:val="top"/>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00BAF5E4" w14:textId="77777777" w:rsidR="00871BDF" w:rsidRDefault="005C5088">
            <w:pPr>
              <w:jc w:val="right"/>
              <w:textAlignment w:val="bottom"/>
            </w:pPr>
            <w:r>
              <w:rPr>
                <w:rFonts w:ascii="Times New Roman" w:eastAsia="宋体" w:hAnsi="Times New Roman"/>
                <w:color w:val="000000"/>
                <w:sz w:val="20"/>
                <w:szCs w:val="20"/>
              </w:rPr>
              <w:t>87.3 </w:t>
            </w:r>
          </w:p>
        </w:tc>
        <w:tc>
          <w:tcPr>
            <w:tcW w:w="0" w:type="auto"/>
            <w:shd w:val="clear" w:color="auto" w:fill="FFFFFF"/>
            <w:tcMar>
              <w:top w:w="40" w:type="dxa"/>
              <w:left w:w="0" w:type="dxa"/>
              <w:bottom w:w="40" w:type="dxa"/>
              <w:right w:w="20" w:type="dxa"/>
            </w:tcMar>
            <w:vAlign w:val="bottom"/>
          </w:tcPr>
          <w:p w14:paraId="00BAF5E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E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5E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5E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E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5EA" w14:textId="77777777" w:rsidR="00871BDF" w:rsidRDefault="005C5088">
            <w:pPr>
              <w:jc w:val="right"/>
              <w:textAlignment w:val="bottom"/>
            </w:pPr>
            <w:r>
              <w:rPr>
                <w:rFonts w:ascii="Times New Roman" w:eastAsia="宋体" w:hAnsi="Times New Roman"/>
                <w:color w:val="000000"/>
                <w:sz w:val="20"/>
                <w:szCs w:val="20"/>
              </w:rPr>
              <w:t>87.3 </w:t>
            </w:r>
          </w:p>
        </w:tc>
        <w:tc>
          <w:tcPr>
            <w:tcW w:w="0" w:type="auto"/>
            <w:shd w:val="clear" w:color="auto" w:fill="FFFFFF"/>
            <w:tcMar>
              <w:top w:w="40" w:type="dxa"/>
              <w:left w:w="0" w:type="dxa"/>
              <w:bottom w:w="40" w:type="dxa"/>
              <w:right w:w="20" w:type="dxa"/>
            </w:tcMar>
            <w:vAlign w:val="bottom"/>
          </w:tcPr>
          <w:p w14:paraId="00BAF5E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5E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5E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5EE" w14:textId="77777777" w:rsidR="00871BDF" w:rsidRDefault="00871BDF">
            <w:pPr>
              <w:jc w:val="right"/>
              <w:rPr>
                <w:rFonts w:ascii="宋体"/>
              </w:rPr>
            </w:pPr>
          </w:p>
        </w:tc>
      </w:tr>
      <w:tr w:rsidR="00871BDF" w14:paraId="00BAF600" w14:textId="77777777">
        <w:tc>
          <w:tcPr>
            <w:tcW w:w="0" w:type="auto"/>
            <w:gridSpan w:val="3"/>
            <w:shd w:val="clear" w:color="auto" w:fill="D7E4BC"/>
            <w:tcMar>
              <w:top w:w="40" w:type="dxa"/>
              <w:left w:w="20" w:type="dxa"/>
              <w:bottom w:w="40" w:type="dxa"/>
              <w:right w:w="20" w:type="dxa"/>
            </w:tcMar>
          </w:tcPr>
          <w:p w14:paraId="00BAF5F0" w14:textId="77777777" w:rsidR="00871BDF" w:rsidRDefault="005C5088">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5F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5F2" w14:textId="77777777" w:rsidR="00871BDF" w:rsidRDefault="005C5088">
            <w:pPr>
              <w:jc w:val="right"/>
              <w:textAlignment w:val="bottom"/>
            </w:pPr>
            <w:r>
              <w:rPr>
                <w:rFonts w:ascii="Times New Roman" w:eastAsia="宋体" w:hAnsi="Times New Roman"/>
                <w:color w:val="000000"/>
                <w:sz w:val="20"/>
                <w:szCs w:val="20"/>
              </w:rPr>
              <w:t>4,941.1 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5F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F4"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5F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5F6" w14:textId="77777777" w:rsidR="00871BDF" w:rsidRDefault="005C5088">
            <w:pPr>
              <w:jc w:val="right"/>
              <w:textAlignment w:val="bottom"/>
            </w:pPr>
            <w:r>
              <w:rPr>
                <w:rFonts w:ascii="Times New Roman" w:eastAsia="宋体" w:hAnsi="Times New Roman"/>
                <w:color w:val="000000"/>
                <w:sz w:val="20"/>
                <w:szCs w:val="20"/>
              </w:rPr>
              <w:t>4,514.3 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5F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F8"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5F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5FA" w14:textId="77777777" w:rsidR="00871BDF" w:rsidRDefault="005C5088">
            <w:pPr>
              <w:jc w:val="right"/>
              <w:textAlignment w:val="bottom"/>
            </w:pPr>
            <w:r>
              <w:rPr>
                <w:rFonts w:ascii="Times New Roman" w:eastAsia="宋体" w:hAnsi="Times New Roman"/>
                <w:color w:val="000000"/>
                <w:sz w:val="20"/>
                <w:szCs w:val="20"/>
              </w:rPr>
              <w:t>421.1 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5F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5FC"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5F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5FE" w14:textId="77777777" w:rsidR="00871BDF" w:rsidRDefault="005C5088">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5FF" w14:textId="77777777" w:rsidR="00871BDF" w:rsidRDefault="00871BDF">
            <w:pPr>
              <w:jc w:val="right"/>
              <w:rPr>
                <w:rFonts w:ascii="宋体"/>
              </w:rPr>
            </w:pPr>
          </w:p>
        </w:tc>
      </w:tr>
      <w:tr w:rsidR="00871BDF" w14:paraId="00BAF609" w14:textId="77777777">
        <w:tc>
          <w:tcPr>
            <w:tcW w:w="0" w:type="auto"/>
            <w:gridSpan w:val="3"/>
            <w:shd w:val="clear" w:color="auto" w:fill="FFFFFF"/>
            <w:tcMar>
              <w:top w:w="40" w:type="dxa"/>
              <w:left w:w="20" w:type="dxa"/>
              <w:bottom w:w="40" w:type="dxa"/>
              <w:right w:w="20" w:type="dxa"/>
            </w:tcMar>
          </w:tcPr>
          <w:p w14:paraId="00BAF601" w14:textId="77777777" w:rsidR="00871BDF" w:rsidRDefault="005C5088">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tcPr>
          <w:p w14:paraId="00BAF60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603"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AF60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605"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AF60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607"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AF608" w14:textId="77777777" w:rsidR="00871BDF" w:rsidRDefault="00871BDF">
            <w:pPr>
              <w:rPr>
                <w:rFonts w:ascii="宋体"/>
              </w:rPr>
            </w:pPr>
          </w:p>
        </w:tc>
      </w:tr>
      <w:tr w:rsidR="00871BDF" w14:paraId="00BAF612" w14:textId="77777777">
        <w:tc>
          <w:tcPr>
            <w:tcW w:w="0" w:type="auto"/>
            <w:gridSpan w:val="3"/>
            <w:shd w:val="clear" w:color="auto" w:fill="D7E4BC"/>
            <w:tcMar>
              <w:top w:w="40" w:type="dxa"/>
              <w:left w:w="20" w:type="dxa"/>
              <w:bottom w:w="40" w:type="dxa"/>
              <w:right w:w="20" w:type="dxa"/>
            </w:tcMar>
          </w:tcPr>
          <w:p w14:paraId="00BAF60A" w14:textId="77777777" w:rsidR="00871BDF" w:rsidRDefault="005C5088">
            <w:pPr>
              <w:textAlignment w:val="top"/>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tcPr>
          <w:p w14:paraId="00BAF60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0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0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0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0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1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11" w14:textId="77777777" w:rsidR="00871BDF" w:rsidRDefault="00871BDF">
            <w:pPr>
              <w:rPr>
                <w:rFonts w:ascii="宋体"/>
              </w:rPr>
            </w:pPr>
          </w:p>
        </w:tc>
      </w:tr>
      <w:tr w:rsidR="00871BDF" w14:paraId="00BAF623" w14:textId="77777777">
        <w:tc>
          <w:tcPr>
            <w:tcW w:w="0" w:type="auto"/>
            <w:gridSpan w:val="3"/>
            <w:shd w:val="clear" w:color="auto" w:fill="FFFFFF"/>
            <w:tcMar>
              <w:top w:w="40" w:type="dxa"/>
              <w:left w:w="380" w:type="dxa"/>
              <w:bottom w:w="40" w:type="dxa"/>
              <w:right w:w="20" w:type="dxa"/>
            </w:tcMar>
          </w:tcPr>
          <w:p w14:paraId="00BAF613" w14:textId="77777777" w:rsidR="00871BDF" w:rsidRDefault="005C5088">
            <w:pPr>
              <w:textAlignment w:val="top"/>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right w:w="0" w:type="dxa"/>
            </w:tcMar>
            <w:vAlign w:val="bottom"/>
          </w:tcPr>
          <w:p w14:paraId="00BAF614"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615" w14:textId="77777777" w:rsidR="00871BDF" w:rsidRDefault="005C5088">
            <w:pPr>
              <w:jc w:val="right"/>
              <w:textAlignment w:val="bottom"/>
            </w:pPr>
            <w:r>
              <w:rPr>
                <w:rFonts w:ascii="Times New Roman" w:eastAsia="宋体" w:hAnsi="Times New Roman"/>
                <w:color w:val="000000"/>
                <w:sz w:val="20"/>
                <w:szCs w:val="20"/>
              </w:rPr>
              <w:t>7.3 </w:t>
            </w:r>
          </w:p>
        </w:tc>
        <w:tc>
          <w:tcPr>
            <w:tcW w:w="0" w:type="auto"/>
            <w:shd w:val="clear" w:color="auto" w:fill="FFFFFF"/>
            <w:tcMar>
              <w:top w:w="40" w:type="dxa"/>
              <w:left w:w="0" w:type="dxa"/>
              <w:bottom w:w="40" w:type="dxa"/>
              <w:right w:w="20" w:type="dxa"/>
            </w:tcMar>
            <w:vAlign w:val="bottom"/>
          </w:tcPr>
          <w:p w14:paraId="00BAF61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17"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618"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619" w14:textId="77777777" w:rsidR="00871BDF" w:rsidRDefault="005C5088">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00BAF61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1B"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61C"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61D" w14:textId="77777777" w:rsidR="00871BDF" w:rsidRDefault="005C5088">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00BAF61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1F"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620"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62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622" w14:textId="77777777" w:rsidR="00871BDF" w:rsidRDefault="00871BDF">
            <w:pPr>
              <w:jc w:val="right"/>
              <w:rPr>
                <w:rFonts w:ascii="宋体"/>
              </w:rPr>
            </w:pPr>
          </w:p>
        </w:tc>
      </w:tr>
      <w:tr w:rsidR="00871BDF" w14:paraId="00BAF62C" w14:textId="77777777">
        <w:tc>
          <w:tcPr>
            <w:tcW w:w="0" w:type="auto"/>
            <w:gridSpan w:val="3"/>
            <w:shd w:val="clear" w:color="auto" w:fill="D7E4BC"/>
            <w:tcMar>
              <w:top w:w="40" w:type="dxa"/>
              <w:left w:w="20" w:type="dxa"/>
              <w:bottom w:w="40" w:type="dxa"/>
              <w:right w:w="20" w:type="dxa"/>
            </w:tcMar>
          </w:tcPr>
          <w:p w14:paraId="00BAF624" w14:textId="77777777" w:rsidR="00871BDF" w:rsidRDefault="005C5088">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tcPr>
          <w:p w14:paraId="00BAF62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2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2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2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2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2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2B" w14:textId="77777777" w:rsidR="00871BDF" w:rsidRDefault="00871BDF">
            <w:pPr>
              <w:rPr>
                <w:rFonts w:ascii="宋体"/>
              </w:rPr>
            </w:pPr>
          </w:p>
        </w:tc>
      </w:tr>
      <w:tr w:rsidR="00871BDF" w14:paraId="00BAF639" w14:textId="77777777">
        <w:tc>
          <w:tcPr>
            <w:tcW w:w="0" w:type="auto"/>
            <w:gridSpan w:val="3"/>
            <w:shd w:val="clear" w:color="auto" w:fill="FFFFFF"/>
            <w:tcMar>
              <w:top w:w="40" w:type="dxa"/>
              <w:left w:w="380" w:type="dxa"/>
              <w:bottom w:w="40" w:type="dxa"/>
              <w:right w:w="20" w:type="dxa"/>
            </w:tcMar>
          </w:tcPr>
          <w:p w14:paraId="00BAF62D" w14:textId="77777777" w:rsidR="00871BDF" w:rsidRDefault="005C5088">
            <w:pPr>
              <w:textAlignment w:val="top"/>
            </w:pPr>
            <w:r>
              <w:rPr>
                <w:rFonts w:ascii="Times New Roman" w:eastAsia="宋体" w:hAnsi="Times New Roman"/>
                <w:color w:val="000000"/>
                <w:sz w:val="20"/>
                <w:szCs w:val="20"/>
              </w:rPr>
              <w:t>Derivative liabilities</w:t>
            </w:r>
          </w:p>
        </w:tc>
        <w:tc>
          <w:tcPr>
            <w:tcW w:w="0" w:type="auto"/>
            <w:gridSpan w:val="2"/>
            <w:shd w:val="clear" w:color="auto" w:fill="FFFFFF"/>
            <w:tcMar>
              <w:top w:w="40" w:type="dxa"/>
              <w:left w:w="20" w:type="dxa"/>
              <w:bottom w:w="40" w:type="dxa"/>
              <w:right w:w="0" w:type="dxa"/>
            </w:tcMar>
            <w:vAlign w:val="bottom"/>
          </w:tcPr>
          <w:p w14:paraId="00BAF62E" w14:textId="77777777" w:rsidR="00871BDF" w:rsidRDefault="005C5088">
            <w:pPr>
              <w:jc w:val="right"/>
              <w:textAlignment w:val="bottom"/>
            </w:pPr>
            <w:r>
              <w:rPr>
                <w:rFonts w:ascii="Times New Roman" w:eastAsia="宋体" w:hAnsi="Times New Roman"/>
                <w:color w:val="000000"/>
                <w:sz w:val="20"/>
                <w:szCs w:val="20"/>
              </w:rPr>
              <w:t>79.3 </w:t>
            </w:r>
          </w:p>
        </w:tc>
        <w:tc>
          <w:tcPr>
            <w:tcW w:w="0" w:type="auto"/>
            <w:shd w:val="clear" w:color="auto" w:fill="FFFFFF"/>
            <w:tcMar>
              <w:top w:w="40" w:type="dxa"/>
              <w:left w:w="0" w:type="dxa"/>
              <w:bottom w:w="40" w:type="dxa"/>
              <w:right w:w="20" w:type="dxa"/>
            </w:tcMar>
            <w:vAlign w:val="bottom"/>
          </w:tcPr>
          <w:p w14:paraId="00BAF62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3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631" w14:textId="77777777" w:rsidR="00871BDF" w:rsidRDefault="005C5088">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0BAF63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3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634" w14:textId="77777777" w:rsidR="00871BDF" w:rsidRDefault="005C5088">
            <w:pPr>
              <w:jc w:val="right"/>
              <w:textAlignment w:val="bottom"/>
            </w:pPr>
            <w:r>
              <w:rPr>
                <w:rFonts w:ascii="Times New Roman" w:eastAsia="宋体" w:hAnsi="Times New Roman"/>
                <w:color w:val="000000"/>
                <w:sz w:val="20"/>
                <w:szCs w:val="20"/>
              </w:rPr>
              <w:t>79.2 </w:t>
            </w:r>
          </w:p>
        </w:tc>
        <w:tc>
          <w:tcPr>
            <w:tcW w:w="0" w:type="auto"/>
            <w:shd w:val="clear" w:color="auto" w:fill="FFFFFF"/>
            <w:tcMar>
              <w:top w:w="40" w:type="dxa"/>
              <w:left w:w="0" w:type="dxa"/>
              <w:bottom w:w="40" w:type="dxa"/>
              <w:right w:w="20" w:type="dxa"/>
            </w:tcMar>
            <w:vAlign w:val="bottom"/>
          </w:tcPr>
          <w:p w14:paraId="00BAF63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3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63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638" w14:textId="77777777" w:rsidR="00871BDF" w:rsidRDefault="00871BDF">
            <w:pPr>
              <w:jc w:val="right"/>
              <w:rPr>
                <w:rFonts w:ascii="宋体"/>
              </w:rPr>
            </w:pPr>
          </w:p>
        </w:tc>
      </w:tr>
      <w:tr w:rsidR="00871BDF" w14:paraId="00BAF64A" w14:textId="77777777">
        <w:tc>
          <w:tcPr>
            <w:tcW w:w="0" w:type="auto"/>
            <w:gridSpan w:val="3"/>
            <w:shd w:val="clear" w:color="auto" w:fill="D7E4BC"/>
            <w:tcMar>
              <w:top w:w="40" w:type="dxa"/>
              <w:left w:w="20" w:type="dxa"/>
              <w:bottom w:w="40" w:type="dxa"/>
              <w:right w:w="20" w:type="dxa"/>
            </w:tcMar>
          </w:tcPr>
          <w:p w14:paraId="00BAF63A" w14:textId="77777777" w:rsidR="00871BDF" w:rsidRDefault="005C5088">
            <w:pPr>
              <w:textAlignment w:val="top"/>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63B"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63C" w14:textId="77777777" w:rsidR="00871BDF" w:rsidRDefault="005C5088">
            <w:pPr>
              <w:jc w:val="right"/>
              <w:textAlignment w:val="bottom"/>
            </w:pPr>
            <w:r>
              <w:rPr>
                <w:rFonts w:ascii="Times New Roman" w:eastAsia="宋体" w:hAnsi="Times New Roman"/>
                <w:color w:val="000000"/>
                <w:sz w:val="20"/>
                <w:szCs w:val="20"/>
              </w:rPr>
              <w:t>86.6 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63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63E"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63F"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640" w14:textId="77777777" w:rsidR="00871BDF" w:rsidRDefault="005C5088">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64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642"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643"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644" w14:textId="77777777" w:rsidR="00871BDF" w:rsidRDefault="005C5088">
            <w:pPr>
              <w:jc w:val="right"/>
              <w:textAlignment w:val="bottom"/>
            </w:pPr>
            <w:r>
              <w:rPr>
                <w:rFonts w:ascii="Times New Roman" w:eastAsia="宋体" w:hAnsi="Times New Roman"/>
                <w:color w:val="000000"/>
                <w:sz w:val="20"/>
                <w:szCs w:val="20"/>
              </w:rPr>
              <w:t>84.6 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64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646"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647"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648" w14:textId="77777777" w:rsidR="00871BDF" w:rsidRDefault="005C5088">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649" w14:textId="77777777" w:rsidR="00871BDF" w:rsidRDefault="00871BDF">
            <w:pPr>
              <w:jc w:val="right"/>
              <w:rPr>
                <w:rFonts w:ascii="宋体"/>
              </w:rPr>
            </w:pPr>
          </w:p>
        </w:tc>
      </w:tr>
    </w:tbl>
    <w:p w14:paraId="00BAF64B" w14:textId="77777777" w:rsidR="00871BDF" w:rsidRDefault="005C5088">
      <w:pPr>
        <w:jc w:val="center"/>
      </w:pPr>
      <w:r>
        <w:rPr>
          <w:rFonts w:ascii="Times New Roman" w:eastAsia="宋体" w:hAnsi="Times New Roman"/>
          <w:color w:val="000000"/>
          <w:sz w:val="20"/>
          <w:szCs w:val="20"/>
        </w:rPr>
        <w:t>69</w:t>
      </w:r>
    </w:p>
    <w:p w14:paraId="00BAF64C" w14:textId="77777777" w:rsidR="00871BDF" w:rsidRDefault="005C5088">
      <w:r>
        <w:pict w14:anchorId="00BB14AA">
          <v:rect id="_x0000_i1096" style="width:415.3pt;height:1.5pt" o:hralign="center" o:hrstd="t" o:hr="t" fillcolor="#a0a0a0" stroked="f"/>
        </w:pict>
      </w:r>
    </w:p>
    <w:p w14:paraId="00BAF64D" w14:textId="77777777" w:rsidR="00871BDF" w:rsidRDefault="005C5088">
      <w:hyperlink r:id="rId203" w:anchor="i54ccc64cb5384be5a4849ef1cdef4dde_7" w:history="1">
        <w:r>
          <w:rPr>
            <w:rStyle w:val="a5"/>
            <w:rFonts w:ascii="Times New Roman" w:eastAsia="宋体" w:hAnsi="Times New Roman"/>
            <w:sz w:val="20"/>
            <w:szCs w:val="20"/>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48"/>
        <w:gridCol w:w="2852"/>
        <w:gridCol w:w="38"/>
        <w:gridCol w:w="120"/>
        <w:gridCol w:w="878"/>
        <w:gridCol w:w="36"/>
        <w:gridCol w:w="36"/>
        <w:gridCol w:w="36"/>
        <w:gridCol w:w="36"/>
        <w:gridCol w:w="121"/>
        <w:gridCol w:w="1050"/>
        <w:gridCol w:w="37"/>
        <w:gridCol w:w="37"/>
        <w:gridCol w:w="41"/>
        <w:gridCol w:w="37"/>
        <w:gridCol w:w="121"/>
        <w:gridCol w:w="1050"/>
        <w:gridCol w:w="36"/>
        <w:gridCol w:w="36"/>
        <w:gridCol w:w="40"/>
        <w:gridCol w:w="36"/>
        <w:gridCol w:w="121"/>
        <w:gridCol w:w="1432"/>
        <w:gridCol w:w="36"/>
      </w:tblGrid>
      <w:tr w:rsidR="00871BDF" w14:paraId="00BAF666" w14:textId="77777777">
        <w:tc>
          <w:tcPr>
            <w:tcW w:w="50" w:type="pct"/>
            <w:shd w:val="clear" w:color="auto" w:fill="auto"/>
          </w:tcPr>
          <w:p w14:paraId="00BAF64E" w14:textId="77777777" w:rsidR="00871BDF" w:rsidRDefault="00871BDF">
            <w:pPr>
              <w:rPr>
                <w:rFonts w:ascii="宋体"/>
              </w:rPr>
            </w:pPr>
          </w:p>
        </w:tc>
        <w:tc>
          <w:tcPr>
            <w:tcW w:w="1902" w:type="pct"/>
            <w:shd w:val="clear" w:color="auto" w:fill="auto"/>
          </w:tcPr>
          <w:p w14:paraId="00BAF64F" w14:textId="77777777" w:rsidR="00871BDF" w:rsidRDefault="00871BDF">
            <w:pPr>
              <w:rPr>
                <w:rFonts w:ascii="宋体"/>
              </w:rPr>
            </w:pPr>
          </w:p>
        </w:tc>
        <w:tc>
          <w:tcPr>
            <w:tcW w:w="5" w:type="pct"/>
            <w:shd w:val="clear" w:color="auto" w:fill="auto"/>
          </w:tcPr>
          <w:p w14:paraId="00BAF650" w14:textId="77777777" w:rsidR="00871BDF" w:rsidRDefault="00871BDF">
            <w:pPr>
              <w:rPr>
                <w:rFonts w:ascii="宋体"/>
              </w:rPr>
            </w:pPr>
          </w:p>
        </w:tc>
        <w:tc>
          <w:tcPr>
            <w:tcW w:w="50" w:type="pct"/>
            <w:shd w:val="clear" w:color="auto" w:fill="auto"/>
          </w:tcPr>
          <w:p w14:paraId="00BAF651" w14:textId="77777777" w:rsidR="00871BDF" w:rsidRDefault="00871BDF">
            <w:pPr>
              <w:rPr>
                <w:rFonts w:ascii="宋体"/>
              </w:rPr>
            </w:pPr>
          </w:p>
        </w:tc>
        <w:tc>
          <w:tcPr>
            <w:tcW w:w="678" w:type="pct"/>
            <w:shd w:val="clear" w:color="auto" w:fill="auto"/>
          </w:tcPr>
          <w:p w14:paraId="00BAF652" w14:textId="77777777" w:rsidR="00871BDF" w:rsidRDefault="00871BDF">
            <w:pPr>
              <w:rPr>
                <w:rFonts w:ascii="宋体"/>
              </w:rPr>
            </w:pPr>
          </w:p>
        </w:tc>
        <w:tc>
          <w:tcPr>
            <w:tcW w:w="5" w:type="pct"/>
            <w:shd w:val="clear" w:color="auto" w:fill="auto"/>
          </w:tcPr>
          <w:p w14:paraId="00BAF653" w14:textId="77777777" w:rsidR="00871BDF" w:rsidRDefault="00871BDF">
            <w:pPr>
              <w:rPr>
                <w:rFonts w:ascii="宋体"/>
              </w:rPr>
            </w:pPr>
          </w:p>
        </w:tc>
        <w:tc>
          <w:tcPr>
            <w:tcW w:w="5" w:type="pct"/>
            <w:shd w:val="clear" w:color="auto" w:fill="auto"/>
          </w:tcPr>
          <w:p w14:paraId="00BAF654" w14:textId="77777777" w:rsidR="00871BDF" w:rsidRDefault="00871BDF">
            <w:pPr>
              <w:rPr>
                <w:rFonts w:ascii="宋体"/>
              </w:rPr>
            </w:pPr>
          </w:p>
        </w:tc>
        <w:tc>
          <w:tcPr>
            <w:tcW w:w="26" w:type="pct"/>
            <w:shd w:val="clear" w:color="auto" w:fill="auto"/>
          </w:tcPr>
          <w:p w14:paraId="00BAF655" w14:textId="77777777" w:rsidR="00871BDF" w:rsidRDefault="00871BDF">
            <w:pPr>
              <w:rPr>
                <w:rFonts w:ascii="宋体"/>
              </w:rPr>
            </w:pPr>
          </w:p>
        </w:tc>
        <w:tc>
          <w:tcPr>
            <w:tcW w:w="5" w:type="pct"/>
            <w:shd w:val="clear" w:color="auto" w:fill="auto"/>
          </w:tcPr>
          <w:p w14:paraId="00BAF656" w14:textId="77777777" w:rsidR="00871BDF" w:rsidRDefault="00871BDF">
            <w:pPr>
              <w:rPr>
                <w:rFonts w:ascii="宋体"/>
              </w:rPr>
            </w:pPr>
          </w:p>
        </w:tc>
        <w:tc>
          <w:tcPr>
            <w:tcW w:w="50" w:type="pct"/>
            <w:shd w:val="clear" w:color="auto" w:fill="auto"/>
          </w:tcPr>
          <w:p w14:paraId="00BAF657" w14:textId="77777777" w:rsidR="00871BDF" w:rsidRDefault="00871BDF">
            <w:pPr>
              <w:rPr>
                <w:rFonts w:ascii="宋体"/>
              </w:rPr>
            </w:pPr>
          </w:p>
        </w:tc>
        <w:tc>
          <w:tcPr>
            <w:tcW w:w="678" w:type="pct"/>
            <w:shd w:val="clear" w:color="auto" w:fill="auto"/>
          </w:tcPr>
          <w:p w14:paraId="00BAF658" w14:textId="77777777" w:rsidR="00871BDF" w:rsidRDefault="00871BDF">
            <w:pPr>
              <w:rPr>
                <w:rFonts w:ascii="宋体"/>
              </w:rPr>
            </w:pPr>
          </w:p>
        </w:tc>
        <w:tc>
          <w:tcPr>
            <w:tcW w:w="5" w:type="pct"/>
            <w:shd w:val="clear" w:color="auto" w:fill="auto"/>
          </w:tcPr>
          <w:p w14:paraId="00BAF659" w14:textId="77777777" w:rsidR="00871BDF" w:rsidRDefault="00871BDF">
            <w:pPr>
              <w:rPr>
                <w:rFonts w:ascii="宋体"/>
              </w:rPr>
            </w:pPr>
          </w:p>
        </w:tc>
        <w:tc>
          <w:tcPr>
            <w:tcW w:w="5" w:type="pct"/>
            <w:shd w:val="clear" w:color="auto" w:fill="auto"/>
          </w:tcPr>
          <w:p w14:paraId="00BAF65A" w14:textId="77777777" w:rsidR="00871BDF" w:rsidRDefault="00871BDF">
            <w:pPr>
              <w:rPr>
                <w:rFonts w:ascii="宋体"/>
              </w:rPr>
            </w:pPr>
          </w:p>
        </w:tc>
        <w:tc>
          <w:tcPr>
            <w:tcW w:w="26" w:type="pct"/>
            <w:shd w:val="clear" w:color="auto" w:fill="auto"/>
          </w:tcPr>
          <w:p w14:paraId="00BAF65B" w14:textId="77777777" w:rsidR="00871BDF" w:rsidRDefault="00871BDF">
            <w:pPr>
              <w:rPr>
                <w:rFonts w:ascii="宋体"/>
              </w:rPr>
            </w:pPr>
          </w:p>
        </w:tc>
        <w:tc>
          <w:tcPr>
            <w:tcW w:w="5" w:type="pct"/>
            <w:shd w:val="clear" w:color="auto" w:fill="auto"/>
          </w:tcPr>
          <w:p w14:paraId="00BAF65C" w14:textId="77777777" w:rsidR="00871BDF" w:rsidRDefault="00871BDF">
            <w:pPr>
              <w:rPr>
                <w:rFonts w:ascii="宋体"/>
              </w:rPr>
            </w:pPr>
          </w:p>
        </w:tc>
        <w:tc>
          <w:tcPr>
            <w:tcW w:w="50" w:type="pct"/>
            <w:shd w:val="clear" w:color="auto" w:fill="auto"/>
          </w:tcPr>
          <w:p w14:paraId="00BAF65D" w14:textId="77777777" w:rsidR="00871BDF" w:rsidRDefault="00871BDF">
            <w:pPr>
              <w:rPr>
                <w:rFonts w:ascii="宋体"/>
              </w:rPr>
            </w:pPr>
          </w:p>
        </w:tc>
        <w:tc>
          <w:tcPr>
            <w:tcW w:w="678" w:type="pct"/>
            <w:shd w:val="clear" w:color="auto" w:fill="auto"/>
          </w:tcPr>
          <w:p w14:paraId="00BAF65E" w14:textId="77777777" w:rsidR="00871BDF" w:rsidRDefault="00871BDF">
            <w:pPr>
              <w:rPr>
                <w:rFonts w:ascii="宋体"/>
              </w:rPr>
            </w:pPr>
          </w:p>
        </w:tc>
        <w:tc>
          <w:tcPr>
            <w:tcW w:w="5" w:type="pct"/>
            <w:shd w:val="clear" w:color="auto" w:fill="auto"/>
          </w:tcPr>
          <w:p w14:paraId="00BAF65F" w14:textId="77777777" w:rsidR="00871BDF" w:rsidRDefault="00871BDF">
            <w:pPr>
              <w:rPr>
                <w:rFonts w:ascii="宋体"/>
              </w:rPr>
            </w:pPr>
          </w:p>
        </w:tc>
        <w:tc>
          <w:tcPr>
            <w:tcW w:w="5" w:type="pct"/>
            <w:shd w:val="clear" w:color="auto" w:fill="auto"/>
          </w:tcPr>
          <w:p w14:paraId="00BAF660" w14:textId="77777777" w:rsidR="00871BDF" w:rsidRDefault="00871BDF">
            <w:pPr>
              <w:rPr>
                <w:rFonts w:ascii="宋体"/>
              </w:rPr>
            </w:pPr>
          </w:p>
        </w:tc>
        <w:tc>
          <w:tcPr>
            <w:tcW w:w="26" w:type="pct"/>
            <w:shd w:val="clear" w:color="auto" w:fill="auto"/>
          </w:tcPr>
          <w:p w14:paraId="00BAF661" w14:textId="77777777" w:rsidR="00871BDF" w:rsidRDefault="00871BDF">
            <w:pPr>
              <w:rPr>
                <w:rFonts w:ascii="宋体"/>
              </w:rPr>
            </w:pPr>
          </w:p>
        </w:tc>
        <w:tc>
          <w:tcPr>
            <w:tcW w:w="5" w:type="pct"/>
            <w:shd w:val="clear" w:color="auto" w:fill="auto"/>
          </w:tcPr>
          <w:p w14:paraId="00BAF662" w14:textId="77777777" w:rsidR="00871BDF" w:rsidRDefault="00871BDF">
            <w:pPr>
              <w:rPr>
                <w:rFonts w:ascii="宋体"/>
              </w:rPr>
            </w:pPr>
          </w:p>
        </w:tc>
        <w:tc>
          <w:tcPr>
            <w:tcW w:w="50" w:type="pct"/>
            <w:shd w:val="clear" w:color="auto" w:fill="auto"/>
          </w:tcPr>
          <w:p w14:paraId="00BAF663" w14:textId="77777777" w:rsidR="00871BDF" w:rsidRDefault="00871BDF">
            <w:pPr>
              <w:rPr>
                <w:rFonts w:ascii="宋体"/>
              </w:rPr>
            </w:pPr>
          </w:p>
        </w:tc>
        <w:tc>
          <w:tcPr>
            <w:tcW w:w="678" w:type="pct"/>
            <w:shd w:val="clear" w:color="auto" w:fill="auto"/>
          </w:tcPr>
          <w:p w14:paraId="00BAF664" w14:textId="77777777" w:rsidR="00871BDF" w:rsidRDefault="00871BDF">
            <w:pPr>
              <w:rPr>
                <w:rFonts w:ascii="宋体"/>
              </w:rPr>
            </w:pPr>
          </w:p>
        </w:tc>
        <w:tc>
          <w:tcPr>
            <w:tcW w:w="5" w:type="pct"/>
            <w:shd w:val="clear" w:color="auto" w:fill="auto"/>
          </w:tcPr>
          <w:p w14:paraId="00BAF665" w14:textId="77777777" w:rsidR="00871BDF" w:rsidRDefault="00871BDF">
            <w:pPr>
              <w:rPr>
                <w:rFonts w:ascii="宋体"/>
              </w:rPr>
            </w:pPr>
          </w:p>
        </w:tc>
      </w:tr>
      <w:tr w:rsidR="00871BDF" w14:paraId="00BAF66B" w14:textId="77777777">
        <w:tc>
          <w:tcPr>
            <w:tcW w:w="0" w:type="auto"/>
            <w:gridSpan w:val="3"/>
            <w:shd w:val="clear" w:color="auto" w:fill="auto"/>
            <w:tcMar>
              <w:top w:w="40" w:type="dxa"/>
              <w:left w:w="20" w:type="dxa"/>
              <w:bottom w:w="40" w:type="dxa"/>
              <w:right w:w="20" w:type="dxa"/>
            </w:tcMar>
            <w:vAlign w:val="bottom"/>
          </w:tcPr>
          <w:p w14:paraId="00BAF667"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0BAF668"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AF669" w14:textId="77777777" w:rsidR="00871BDF" w:rsidRDefault="00871BDF">
            <w:pPr>
              <w:rPr>
                <w:rFonts w:ascii="宋体"/>
              </w:rPr>
            </w:pPr>
          </w:p>
        </w:tc>
        <w:tc>
          <w:tcPr>
            <w:tcW w:w="0" w:type="auto"/>
            <w:gridSpan w:val="15"/>
            <w:shd w:val="clear" w:color="auto" w:fill="00704A"/>
            <w:tcMar>
              <w:top w:w="40" w:type="dxa"/>
              <w:left w:w="20" w:type="dxa"/>
              <w:bottom w:w="40" w:type="dxa"/>
              <w:right w:w="20" w:type="dxa"/>
            </w:tcMar>
            <w:vAlign w:val="bottom"/>
          </w:tcPr>
          <w:p w14:paraId="00BAF66A" w14:textId="77777777" w:rsidR="00871BDF" w:rsidRDefault="005C5088">
            <w:pPr>
              <w:jc w:val="center"/>
              <w:textAlignment w:val="bottom"/>
            </w:pPr>
            <w:r>
              <w:rPr>
                <w:rFonts w:ascii="Times New Roman" w:eastAsia="宋体" w:hAnsi="Times New Roman"/>
                <w:b/>
                <w:bCs/>
                <w:color w:val="FFFFFF"/>
                <w:sz w:val="16"/>
                <w:szCs w:val="16"/>
              </w:rPr>
              <w:t>Fair Value Measurements at Reporting Date Using</w:t>
            </w:r>
          </w:p>
        </w:tc>
      </w:tr>
      <w:tr w:rsidR="00871BDF" w14:paraId="00BAF674" w14:textId="77777777">
        <w:tc>
          <w:tcPr>
            <w:tcW w:w="0" w:type="auto"/>
            <w:gridSpan w:val="3"/>
            <w:shd w:val="clear" w:color="auto" w:fill="auto"/>
            <w:tcMar>
              <w:top w:w="40" w:type="dxa"/>
              <w:left w:w="20" w:type="dxa"/>
              <w:bottom w:w="40" w:type="dxa"/>
              <w:right w:w="20" w:type="dxa"/>
            </w:tcMar>
            <w:vAlign w:val="bottom"/>
          </w:tcPr>
          <w:p w14:paraId="00BAF66C"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00BAF66D" w14:textId="77777777" w:rsidR="00871BDF" w:rsidRDefault="005C5088">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September 29, 2019</w:t>
            </w:r>
          </w:p>
        </w:tc>
        <w:tc>
          <w:tcPr>
            <w:tcW w:w="0" w:type="auto"/>
            <w:gridSpan w:val="3"/>
            <w:shd w:val="clear" w:color="auto" w:fill="auto"/>
            <w:tcMar>
              <w:top w:w="0" w:type="dxa"/>
              <w:left w:w="20" w:type="dxa"/>
              <w:bottom w:w="0" w:type="dxa"/>
              <w:right w:w="20" w:type="dxa"/>
            </w:tcMar>
          </w:tcPr>
          <w:p w14:paraId="00BAF66E"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66F" w14:textId="77777777" w:rsidR="00871BDF" w:rsidRDefault="005C5088">
            <w:pPr>
              <w:jc w:val="center"/>
              <w:textAlignment w:val="bottom"/>
            </w:pPr>
            <w:r>
              <w:rPr>
                <w:rFonts w:ascii="Times New Roman" w:eastAsia="宋体" w:hAnsi="Times New Roman"/>
                <w:b/>
                <w:bCs/>
                <w:color w:val="FFFFFF"/>
                <w:sz w:val="16"/>
                <w:szCs w:val="16"/>
              </w:rPr>
              <w:t>Quoted Prices</w:t>
            </w:r>
            <w:r>
              <w:rPr>
                <w:rFonts w:ascii="Times New Roman" w:eastAsia="宋体" w:hAnsi="Times New Roman"/>
                <w:b/>
                <w:bCs/>
                <w:color w:val="FFFFFF"/>
                <w:sz w:val="16"/>
                <w:szCs w:val="16"/>
              </w:rPr>
              <w:br/>
              <w:t>in Active</w:t>
            </w:r>
            <w:r>
              <w:rPr>
                <w:rFonts w:ascii="Times New Roman" w:eastAsia="宋体" w:hAnsi="Times New Roman"/>
                <w:b/>
                <w:bCs/>
                <w:color w:val="FFFFFF"/>
                <w:sz w:val="16"/>
                <w:szCs w:val="16"/>
              </w:rPr>
              <w:br/>
              <w:t>Markets for </w:t>
            </w:r>
            <w:r>
              <w:rPr>
                <w:rFonts w:ascii="Times New Roman" w:eastAsia="宋体" w:hAnsi="Times New Roman"/>
                <w:b/>
                <w:bCs/>
                <w:color w:val="FFFFFF"/>
                <w:sz w:val="16"/>
                <w:szCs w:val="16"/>
              </w:rPr>
              <w:br/>
              <w:t>Identical Assets</w:t>
            </w:r>
            <w:r>
              <w:rPr>
                <w:rFonts w:ascii="Times New Roman" w:eastAsia="宋体" w:hAnsi="Times New Roman"/>
                <w:b/>
                <w:bCs/>
                <w:color w:val="FFFFFF"/>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00BAF670"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671" w14:textId="77777777" w:rsidR="00871BDF" w:rsidRDefault="005C5088">
            <w:pPr>
              <w:jc w:val="center"/>
              <w:textAlignment w:val="bottom"/>
            </w:pPr>
            <w:r>
              <w:rPr>
                <w:rFonts w:ascii="Times New Roman" w:eastAsia="宋体" w:hAnsi="Times New Roman"/>
                <w:b/>
                <w:bCs/>
                <w:color w:val="FFFFFF"/>
                <w:sz w:val="16"/>
                <w:szCs w:val="16"/>
              </w:rPr>
              <w:t>Significant </w:t>
            </w:r>
            <w:r>
              <w:rPr>
                <w:rFonts w:ascii="Times New Roman" w:eastAsia="宋体" w:hAnsi="Times New Roman"/>
                <w:b/>
                <w:bCs/>
                <w:color w:val="FFFFFF"/>
                <w:sz w:val="16"/>
                <w:szCs w:val="16"/>
              </w:rPr>
              <w:br/>
              <w:t>Other Observable </w:t>
            </w:r>
            <w:r>
              <w:rPr>
                <w:rFonts w:ascii="Times New Roman" w:eastAsia="宋体" w:hAnsi="Times New Roman"/>
                <w:b/>
                <w:bCs/>
                <w:color w:val="FFFFFF"/>
                <w:sz w:val="16"/>
                <w:szCs w:val="16"/>
              </w:rPr>
              <w:br/>
              <w:t>Inputs</w:t>
            </w:r>
            <w:r>
              <w:rPr>
                <w:rFonts w:ascii="Times New Roman" w:eastAsia="宋体" w:hAnsi="Times New Roman"/>
                <w:b/>
                <w:bCs/>
                <w:color w:val="FFFFFF"/>
                <w:sz w:val="16"/>
                <w:szCs w:val="16"/>
              </w:rPr>
              <w:b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00BAF672"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673" w14:textId="77777777" w:rsidR="00871BDF" w:rsidRDefault="005C5088">
            <w:pPr>
              <w:jc w:val="center"/>
              <w:textAlignment w:val="bottom"/>
            </w:pPr>
            <w:r>
              <w:rPr>
                <w:rFonts w:ascii="Times New Roman" w:eastAsia="宋体" w:hAnsi="Times New Roman"/>
                <w:b/>
                <w:bCs/>
                <w:color w:val="FFFFFF"/>
                <w:sz w:val="16"/>
                <w:szCs w:val="16"/>
              </w:rPr>
              <w:t>Significant</w:t>
            </w:r>
            <w:r>
              <w:rPr>
                <w:rFonts w:ascii="Times New Roman" w:eastAsia="宋体" w:hAnsi="Times New Roman"/>
                <w:b/>
                <w:bCs/>
                <w:color w:val="FFFFFF"/>
                <w:sz w:val="16"/>
                <w:szCs w:val="16"/>
              </w:rPr>
              <w:br/>
              <w:t>Unobservable  Inputs</w:t>
            </w:r>
            <w:r>
              <w:rPr>
                <w:rFonts w:ascii="Times New Roman" w:eastAsia="宋体" w:hAnsi="Times New Roman"/>
                <w:b/>
                <w:bCs/>
                <w:color w:val="FFFFFF"/>
                <w:sz w:val="16"/>
                <w:szCs w:val="16"/>
              </w:rPr>
              <w:br/>
              <w:t>(Level 3)</w:t>
            </w:r>
          </w:p>
        </w:tc>
      </w:tr>
      <w:tr w:rsidR="00871BDF" w14:paraId="00BAF67D" w14:textId="77777777">
        <w:tc>
          <w:tcPr>
            <w:tcW w:w="0" w:type="auto"/>
            <w:gridSpan w:val="3"/>
            <w:shd w:val="clear" w:color="auto" w:fill="D7E4BC"/>
            <w:tcMar>
              <w:top w:w="40" w:type="dxa"/>
              <w:left w:w="20" w:type="dxa"/>
              <w:bottom w:w="40" w:type="dxa"/>
              <w:right w:w="20" w:type="dxa"/>
            </w:tcMar>
          </w:tcPr>
          <w:p w14:paraId="00BAF675" w14:textId="77777777" w:rsidR="00871BDF" w:rsidRDefault="005C5088">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tcPr>
          <w:p w14:paraId="00BAF67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7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67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79"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67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7B"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67C" w14:textId="77777777" w:rsidR="00871BDF" w:rsidRDefault="00871BDF">
            <w:pPr>
              <w:rPr>
                <w:rFonts w:ascii="宋体"/>
              </w:rPr>
            </w:pPr>
          </w:p>
        </w:tc>
      </w:tr>
      <w:tr w:rsidR="00871BDF" w14:paraId="00BAF68E" w14:textId="77777777">
        <w:tc>
          <w:tcPr>
            <w:tcW w:w="0" w:type="auto"/>
            <w:gridSpan w:val="3"/>
            <w:shd w:val="clear" w:color="auto" w:fill="FFFFFF"/>
            <w:tcMar>
              <w:top w:w="40" w:type="dxa"/>
              <w:left w:w="20" w:type="dxa"/>
              <w:bottom w:w="40" w:type="dxa"/>
              <w:right w:w="20" w:type="dxa"/>
            </w:tcMar>
          </w:tcPr>
          <w:p w14:paraId="00BAF67E" w14:textId="77777777" w:rsidR="00871BDF" w:rsidRDefault="005C5088">
            <w:pPr>
              <w:textAlignment w:val="top"/>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00BAF67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680" w14:textId="77777777" w:rsidR="00871BDF" w:rsidRDefault="005C5088">
            <w:pPr>
              <w:jc w:val="right"/>
              <w:textAlignment w:val="bottom"/>
            </w:pPr>
            <w:r>
              <w:rPr>
                <w:rFonts w:ascii="Times New Roman" w:eastAsia="宋体" w:hAnsi="Times New Roman"/>
                <w:color w:val="000000"/>
                <w:sz w:val="20"/>
                <w:szCs w:val="20"/>
              </w:rPr>
              <w:t>2,686.6 </w:t>
            </w:r>
          </w:p>
        </w:tc>
        <w:tc>
          <w:tcPr>
            <w:tcW w:w="0" w:type="auto"/>
            <w:shd w:val="clear" w:color="auto" w:fill="FFFFFF"/>
            <w:tcMar>
              <w:top w:w="40" w:type="dxa"/>
              <w:left w:w="0" w:type="dxa"/>
              <w:bottom w:w="40" w:type="dxa"/>
              <w:right w:w="20" w:type="dxa"/>
            </w:tcMar>
            <w:vAlign w:val="bottom"/>
          </w:tcPr>
          <w:p w14:paraId="00BAF68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82"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68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684" w14:textId="77777777" w:rsidR="00871BDF" w:rsidRDefault="005C5088">
            <w:pPr>
              <w:jc w:val="right"/>
              <w:textAlignment w:val="bottom"/>
            </w:pPr>
            <w:r>
              <w:rPr>
                <w:rFonts w:ascii="Times New Roman" w:eastAsia="宋体" w:hAnsi="Times New Roman"/>
                <w:color w:val="000000"/>
                <w:sz w:val="20"/>
                <w:szCs w:val="20"/>
              </w:rPr>
              <w:t>2,686.6 </w:t>
            </w:r>
          </w:p>
        </w:tc>
        <w:tc>
          <w:tcPr>
            <w:tcW w:w="0" w:type="auto"/>
            <w:shd w:val="clear" w:color="auto" w:fill="FFFFFF"/>
            <w:tcMar>
              <w:top w:w="40" w:type="dxa"/>
              <w:left w:w="0" w:type="dxa"/>
              <w:bottom w:w="40" w:type="dxa"/>
              <w:right w:w="20" w:type="dxa"/>
            </w:tcMar>
            <w:vAlign w:val="bottom"/>
          </w:tcPr>
          <w:p w14:paraId="00BAF68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86"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68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68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68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8A"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68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68C"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68D" w14:textId="77777777" w:rsidR="00871BDF" w:rsidRDefault="00871BDF">
            <w:pPr>
              <w:jc w:val="right"/>
              <w:rPr>
                <w:rFonts w:ascii="宋体"/>
              </w:rPr>
            </w:pPr>
          </w:p>
        </w:tc>
      </w:tr>
      <w:tr w:rsidR="00871BDF" w14:paraId="00BAF697" w14:textId="77777777">
        <w:tc>
          <w:tcPr>
            <w:tcW w:w="0" w:type="auto"/>
            <w:gridSpan w:val="3"/>
            <w:shd w:val="clear" w:color="auto" w:fill="D7E4BC"/>
            <w:tcMar>
              <w:top w:w="40" w:type="dxa"/>
              <w:left w:w="20" w:type="dxa"/>
              <w:bottom w:w="40" w:type="dxa"/>
              <w:right w:w="20" w:type="dxa"/>
            </w:tcMar>
          </w:tcPr>
          <w:p w14:paraId="00BAF68F" w14:textId="77777777" w:rsidR="00871BDF" w:rsidRDefault="005C5088">
            <w:pPr>
              <w:textAlignment w:val="top"/>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tcPr>
          <w:p w14:paraId="00BAF69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9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9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9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9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9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696" w14:textId="77777777" w:rsidR="00871BDF" w:rsidRDefault="00871BDF">
            <w:pPr>
              <w:rPr>
                <w:rFonts w:ascii="宋体"/>
              </w:rPr>
            </w:pPr>
          </w:p>
        </w:tc>
      </w:tr>
      <w:tr w:rsidR="00871BDF" w14:paraId="00BAF6A0" w14:textId="77777777">
        <w:tc>
          <w:tcPr>
            <w:tcW w:w="0" w:type="auto"/>
            <w:gridSpan w:val="3"/>
            <w:shd w:val="clear" w:color="auto" w:fill="FFFFFF"/>
            <w:tcMar>
              <w:top w:w="40" w:type="dxa"/>
              <w:left w:w="380" w:type="dxa"/>
              <w:bottom w:w="40" w:type="dxa"/>
              <w:right w:w="20" w:type="dxa"/>
            </w:tcMar>
          </w:tcPr>
          <w:p w14:paraId="00BAF698" w14:textId="77777777" w:rsidR="00871BDF" w:rsidRDefault="005C5088">
            <w:pPr>
              <w:textAlignment w:val="top"/>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tcPr>
          <w:p w14:paraId="00BAF69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69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69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69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69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69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69F" w14:textId="77777777" w:rsidR="00871BDF" w:rsidRDefault="00871BDF">
            <w:pPr>
              <w:rPr>
                <w:rFonts w:ascii="宋体"/>
              </w:rPr>
            </w:pPr>
          </w:p>
        </w:tc>
      </w:tr>
      <w:tr w:rsidR="00871BDF" w14:paraId="00BAF6A9" w14:textId="77777777">
        <w:trPr>
          <w:hidden/>
        </w:trPr>
        <w:tc>
          <w:tcPr>
            <w:tcW w:w="0" w:type="auto"/>
            <w:gridSpan w:val="3"/>
            <w:shd w:val="clear" w:color="auto" w:fill="auto"/>
          </w:tcPr>
          <w:p w14:paraId="00BAF6A1" w14:textId="77777777" w:rsidR="00871BDF" w:rsidRDefault="00871BDF">
            <w:pPr>
              <w:rPr>
                <w:rFonts w:ascii="宋体"/>
                <w:vanish/>
              </w:rPr>
            </w:pPr>
          </w:p>
        </w:tc>
        <w:tc>
          <w:tcPr>
            <w:tcW w:w="0" w:type="auto"/>
            <w:gridSpan w:val="3"/>
            <w:shd w:val="clear" w:color="auto" w:fill="auto"/>
          </w:tcPr>
          <w:p w14:paraId="00BAF6A2" w14:textId="77777777" w:rsidR="00871BDF" w:rsidRDefault="00871BDF">
            <w:pPr>
              <w:rPr>
                <w:rFonts w:ascii="宋体"/>
                <w:vanish/>
              </w:rPr>
            </w:pPr>
          </w:p>
        </w:tc>
        <w:tc>
          <w:tcPr>
            <w:tcW w:w="0" w:type="auto"/>
            <w:gridSpan w:val="3"/>
            <w:shd w:val="clear" w:color="auto" w:fill="auto"/>
          </w:tcPr>
          <w:p w14:paraId="00BAF6A3" w14:textId="77777777" w:rsidR="00871BDF" w:rsidRDefault="00871BDF">
            <w:pPr>
              <w:rPr>
                <w:rFonts w:ascii="宋体"/>
                <w:vanish/>
              </w:rPr>
            </w:pPr>
          </w:p>
        </w:tc>
        <w:tc>
          <w:tcPr>
            <w:tcW w:w="0" w:type="auto"/>
            <w:gridSpan w:val="3"/>
            <w:shd w:val="clear" w:color="auto" w:fill="auto"/>
          </w:tcPr>
          <w:p w14:paraId="00BAF6A4" w14:textId="77777777" w:rsidR="00871BDF" w:rsidRDefault="00871BDF">
            <w:pPr>
              <w:rPr>
                <w:rFonts w:ascii="宋体"/>
                <w:vanish/>
              </w:rPr>
            </w:pPr>
          </w:p>
        </w:tc>
        <w:tc>
          <w:tcPr>
            <w:tcW w:w="0" w:type="auto"/>
            <w:gridSpan w:val="3"/>
            <w:shd w:val="clear" w:color="auto" w:fill="auto"/>
          </w:tcPr>
          <w:p w14:paraId="00BAF6A5" w14:textId="77777777" w:rsidR="00871BDF" w:rsidRDefault="00871BDF">
            <w:pPr>
              <w:rPr>
                <w:rFonts w:ascii="宋体"/>
                <w:vanish/>
              </w:rPr>
            </w:pPr>
          </w:p>
        </w:tc>
        <w:tc>
          <w:tcPr>
            <w:tcW w:w="0" w:type="auto"/>
            <w:gridSpan w:val="3"/>
            <w:shd w:val="clear" w:color="auto" w:fill="auto"/>
          </w:tcPr>
          <w:p w14:paraId="00BAF6A6" w14:textId="77777777" w:rsidR="00871BDF" w:rsidRDefault="00871BDF">
            <w:pPr>
              <w:rPr>
                <w:rFonts w:ascii="宋体"/>
                <w:vanish/>
              </w:rPr>
            </w:pPr>
          </w:p>
        </w:tc>
        <w:tc>
          <w:tcPr>
            <w:tcW w:w="0" w:type="auto"/>
            <w:gridSpan w:val="3"/>
            <w:shd w:val="clear" w:color="auto" w:fill="auto"/>
          </w:tcPr>
          <w:p w14:paraId="00BAF6A7" w14:textId="77777777" w:rsidR="00871BDF" w:rsidRDefault="00871BDF">
            <w:pPr>
              <w:rPr>
                <w:rFonts w:ascii="宋体"/>
                <w:vanish/>
              </w:rPr>
            </w:pPr>
          </w:p>
        </w:tc>
        <w:tc>
          <w:tcPr>
            <w:tcW w:w="0" w:type="auto"/>
            <w:gridSpan w:val="3"/>
            <w:shd w:val="clear" w:color="auto" w:fill="auto"/>
          </w:tcPr>
          <w:p w14:paraId="00BAF6A8" w14:textId="77777777" w:rsidR="00871BDF" w:rsidRDefault="00871BDF">
            <w:pPr>
              <w:rPr>
                <w:rFonts w:ascii="宋体"/>
                <w:vanish/>
              </w:rPr>
            </w:pPr>
          </w:p>
        </w:tc>
      </w:tr>
      <w:tr w:rsidR="00871BDF" w14:paraId="00BAF6B2" w14:textId="77777777">
        <w:trPr>
          <w:hidden/>
        </w:trPr>
        <w:tc>
          <w:tcPr>
            <w:tcW w:w="0" w:type="auto"/>
            <w:gridSpan w:val="3"/>
            <w:shd w:val="clear" w:color="auto" w:fill="auto"/>
          </w:tcPr>
          <w:p w14:paraId="00BAF6AA" w14:textId="77777777" w:rsidR="00871BDF" w:rsidRDefault="00871BDF">
            <w:pPr>
              <w:rPr>
                <w:rFonts w:ascii="宋体"/>
                <w:vanish/>
              </w:rPr>
            </w:pPr>
          </w:p>
        </w:tc>
        <w:tc>
          <w:tcPr>
            <w:tcW w:w="0" w:type="auto"/>
            <w:gridSpan w:val="3"/>
            <w:shd w:val="clear" w:color="auto" w:fill="auto"/>
          </w:tcPr>
          <w:p w14:paraId="00BAF6AB" w14:textId="77777777" w:rsidR="00871BDF" w:rsidRDefault="00871BDF">
            <w:pPr>
              <w:rPr>
                <w:rFonts w:ascii="宋体"/>
                <w:vanish/>
              </w:rPr>
            </w:pPr>
          </w:p>
        </w:tc>
        <w:tc>
          <w:tcPr>
            <w:tcW w:w="0" w:type="auto"/>
            <w:gridSpan w:val="3"/>
            <w:shd w:val="clear" w:color="auto" w:fill="auto"/>
          </w:tcPr>
          <w:p w14:paraId="00BAF6AC" w14:textId="77777777" w:rsidR="00871BDF" w:rsidRDefault="00871BDF">
            <w:pPr>
              <w:rPr>
                <w:rFonts w:ascii="宋体"/>
                <w:vanish/>
              </w:rPr>
            </w:pPr>
          </w:p>
        </w:tc>
        <w:tc>
          <w:tcPr>
            <w:tcW w:w="0" w:type="auto"/>
            <w:gridSpan w:val="3"/>
            <w:shd w:val="clear" w:color="auto" w:fill="auto"/>
          </w:tcPr>
          <w:p w14:paraId="00BAF6AD" w14:textId="77777777" w:rsidR="00871BDF" w:rsidRDefault="00871BDF">
            <w:pPr>
              <w:rPr>
                <w:rFonts w:ascii="宋体"/>
                <w:vanish/>
              </w:rPr>
            </w:pPr>
          </w:p>
        </w:tc>
        <w:tc>
          <w:tcPr>
            <w:tcW w:w="0" w:type="auto"/>
            <w:gridSpan w:val="3"/>
            <w:shd w:val="clear" w:color="auto" w:fill="auto"/>
          </w:tcPr>
          <w:p w14:paraId="00BAF6AE" w14:textId="77777777" w:rsidR="00871BDF" w:rsidRDefault="00871BDF">
            <w:pPr>
              <w:rPr>
                <w:rFonts w:ascii="宋体"/>
                <w:vanish/>
              </w:rPr>
            </w:pPr>
          </w:p>
        </w:tc>
        <w:tc>
          <w:tcPr>
            <w:tcW w:w="0" w:type="auto"/>
            <w:gridSpan w:val="3"/>
            <w:shd w:val="clear" w:color="auto" w:fill="auto"/>
          </w:tcPr>
          <w:p w14:paraId="00BAF6AF" w14:textId="77777777" w:rsidR="00871BDF" w:rsidRDefault="00871BDF">
            <w:pPr>
              <w:rPr>
                <w:rFonts w:ascii="宋体"/>
                <w:vanish/>
              </w:rPr>
            </w:pPr>
          </w:p>
        </w:tc>
        <w:tc>
          <w:tcPr>
            <w:tcW w:w="0" w:type="auto"/>
            <w:gridSpan w:val="3"/>
            <w:shd w:val="clear" w:color="auto" w:fill="auto"/>
          </w:tcPr>
          <w:p w14:paraId="00BAF6B0" w14:textId="77777777" w:rsidR="00871BDF" w:rsidRDefault="00871BDF">
            <w:pPr>
              <w:rPr>
                <w:rFonts w:ascii="宋体"/>
                <w:vanish/>
              </w:rPr>
            </w:pPr>
          </w:p>
        </w:tc>
        <w:tc>
          <w:tcPr>
            <w:tcW w:w="0" w:type="auto"/>
            <w:gridSpan w:val="3"/>
            <w:shd w:val="clear" w:color="auto" w:fill="auto"/>
          </w:tcPr>
          <w:p w14:paraId="00BAF6B1" w14:textId="77777777" w:rsidR="00871BDF" w:rsidRDefault="00871BDF">
            <w:pPr>
              <w:rPr>
                <w:rFonts w:ascii="宋体"/>
                <w:vanish/>
              </w:rPr>
            </w:pPr>
          </w:p>
        </w:tc>
      </w:tr>
      <w:tr w:rsidR="00871BDF" w14:paraId="00BAF6BF" w14:textId="77777777">
        <w:tc>
          <w:tcPr>
            <w:tcW w:w="0" w:type="auto"/>
            <w:gridSpan w:val="3"/>
            <w:shd w:val="clear" w:color="auto" w:fill="D7E4BC"/>
            <w:tcMar>
              <w:top w:w="40" w:type="dxa"/>
              <w:left w:w="740" w:type="dxa"/>
              <w:bottom w:w="40" w:type="dxa"/>
              <w:right w:w="20" w:type="dxa"/>
            </w:tcMar>
          </w:tcPr>
          <w:p w14:paraId="00BAF6B3" w14:textId="77777777" w:rsidR="00871BDF" w:rsidRDefault="005C5088">
            <w:pPr>
              <w:textAlignment w:val="top"/>
            </w:pPr>
            <w:r>
              <w:rPr>
                <w:rFonts w:ascii="Times New Roman" w:eastAsia="宋体" w:hAnsi="Times New Roman"/>
                <w:color w:val="000000"/>
                <w:sz w:val="20"/>
                <w:szCs w:val="20"/>
              </w:rPr>
              <w:t>Commercial paper</w:t>
            </w:r>
          </w:p>
        </w:tc>
        <w:tc>
          <w:tcPr>
            <w:tcW w:w="0" w:type="auto"/>
            <w:gridSpan w:val="2"/>
            <w:shd w:val="clear" w:color="auto" w:fill="D7E4BC"/>
            <w:tcMar>
              <w:top w:w="40" w:type="dxa"/>
              <w:left w:w="20" w:type="dxa"/>
              <w:bottom w:w="40" w:type="dxa"/>
              <w:right w:w="0" w:type="dxa"/>
            </w:tcMar>
            <w:vAlign w:val="bottom"/>
          </w:tcPr>
          <w:p w14:paraId="00BAF6B4" w14:textId="77777777" w:rsidR="00871BDF" w:rsidRDefault="005C5088">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00BAF6B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6B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6B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6B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6B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6BA" w14:textId="77777777" w:rsidR="00871BDF" w:rsidRDefault="005C5088">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00BAF6B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6B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6B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6BE" w14:textId="77777777" w:rsidR="00871BDF" w:rsidRDefault="00871BDF">
            <w:pPr>
              <w:jc w:val="right"/>
              <w:rPr>
                <w:rFonts w:ascii="宋体"/>
              </w:rPr>
            </w:pPr>
          </w:p>
        </w:tc>
      </w:tr>
      <w:tr w:rsidR="00871BDF" w14:paraId="00BAF6CC" w14:textId="77777777">
        <w:tc>
          <w:tcPr>
            <w:tcW w:w="0" w:type="auto"/>
            <w:gridSpan w:val="3"/>
            <w:shd w:val="clear" w:color="auto" w:fill="FFFFFF"/>
            <w:tcMar>
              <w:top w:w="40" w:type="dxa"/>
              <w:left w:w="740" w:type="dxa"/>
              <w:bottom w:w="40" w:type="dxa"/>
              <w:right w:w="20" w:type="dxa"/>
            </w:tcMar>
          </w:tcPr>
          <w:p w14:paraId="00BAF6C0" w14:textId="77777777" w:rsidR="00871BDF" w:rsidRDefault="005C5088">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00BAF6C1" w14:textId="77777777" w:rsidR="00871BDF" w:rsidRDefault="005C5088">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00BAF6C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C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6C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6C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C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6C7" w14:textId="77777777" w:rsidR="00871BDF" w:rsidRDefault="005C5088">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00BAF6C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C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6C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6CB" w14:textId="77777777" w:rsidR="00871BDF" w:rsidRDefault="00871BDF">
            <w:pPr>
              <w:jc w:val="right"/>
              <w:rPr>
                <w:rFonts w:ascii="宋体"/>
              </w:rPr>
            </w:pPr>
          </w:p>
        </w:tc>
      </w:tr>
      <w:tr w:rsidR="00871BDF" w14:paraId="00BAF6D5" w14:textId="77777777">
        <w:trPr>
          <w:hidden/>
        </w:trPr>
        <w:tc>
          <w:tcPr>
            <w:tcW w:w="0" w:type="auto"/>
            <w:gridSpan w:val="3"/>
            <w:shd w:val="clear" w:color="auto" w:fill="auto"/>
          </w:tcPr>
          <w:p w14:paraId="00BAF6CD" w14:textId="77777777" w:rsidR="00871BDF" w:rsidRDefault="00871BDF">
            <w:pPr>
              <w:rPr>
                <w:rFonts w:ascii="宋体"/>
                <w:vanish/>
              </w:rPr>
            </w:pPr>
          </w:p>
        </w:tc>
        <w:tc>
          <w:tcPr>
            <w:tcW w:w="0" w:type="auto"/>
            <w:gridSpan w:val="3"/>
            <w:shd w:val="clear" w:color="auto" w:fill="auto"/>
          </w:tcPr>
          <w:p w14:paraId="00BAF6CE" w14:textId="77777777" w:rsidR="00871BDF" w:rsidRDefault="00871BDF">
            <w:pPr>
              <w:rPr>
                <w:rFonts w:ascii="宋体"/>
                <w:vanish/>
              </w:rPr>
            </w:pPr>
          </w:p>
        </w:tc>
        <w:tc>
          <w:tcPr>
            <w:tcW w:w="0" w:type="auto"/>
            <w:gridSpan w:val="3"/>
            <w:shd w:val="clear" w:color="auto" w:fill="auto"/>
          </w:tcPr>
          <w:p w14:paraId="00BAF6CF" w14:textId="77777777" w:rsidR="00871BDF" w:rsidRDefault="00871BDF">
            <w:pPr>
              <w:rPr>
                <w:rFonts w:ascii="宋体"/>
                <w:vanish/>
              </w:rPr>
            </w:pPr>
          </w:p>
        </w:tc>
        <w:tc>
          <w:tcPr>
            <w:tcW w:w="0" w:type="auto"/>
            <w:gridSpan w:val="3"/>
            <w:shd w:val="clear" w:color="auto" w:fill="auto"/>
          </w:tcPr>
          <w:p w14:paraId="00BAF6D0" w14:textId="77777777" w:rsidR="00871BDF" w:rsidRDefault="00871BDF">
            <w:pPr>
              <w:rPr>
                <w:rFonts w:ascii="宋体"/>
                <w:vanish/>
              </w:rPr>
            </w:pPr>
          </w:p>
        </w:tc>
        <w:tc>
          <w:tcPr>
            <w:tcW w:w="0" w:type="auto"/>
            <w:gridSpan w:val="3"/>
            <w:shd w:val="clear" w:color="auto" w:fill="auto"/>
          </w:tcPr>
          <w:p w14:paraId="00BAF6D1" w14:textId="77777777" w:rsidR="00871BDF" w:rsidRDefault="00871BDF">
            <w:pPr>
              <w:rPr>
                <w:rFonts w:ascii="宋体"/>
                <w:vanish/>
              </w:rPr>
            </w:pPr>
          </w:p>
        </w:tc>
        <w:tc>
          <w:tcPr>
            <w:tcW w:w="0" w:type="auto"/>
            <w:gridSpan w:val="3"/>
            <w:shd w:val="clear" w:color="auto" w:fill="auto"/>
          </w:tcPr>
          <w:p w14:paraId="00BAF6D2" w14:textId="77777777" w:rsidR="00871BDF" w:rsidRDefault="00871BDF">
            <w:pPr>
              <w:rPr>
                <w:rFonts w:ascii="宋体"/>
                <w:vanish/>
              </w:rPr>
            </w:pPr>
          </w:p>
        </w:tc>
        <w:tc>
          <w:tcPr>
            <w:tcW w:w="0" w:type="auto"/>
            <w:gridSpan w:val="3"/>
            <w:shd w:val="clear" w:color="auto" w:fill="auto"/>
          </w:tcPr>
          <w:p w14:paraId="00BAF6D3" w14:textId="77777777" w:rsidR="00871BDF" w:rsidRDefault="00871BDF">
            <w:pPr>
              <w:rPr>
                <w:rFonts w:ascii="宋体"/>
                <w:vanish/>
              </w:rPr>
            </w:pPr>
          </w:p>
        </w:tc>
        <w:tc>
          <w:tcPr>
            <w:tcW w:w="0" w:type="auto"/>
            <w:gridSpan w:val="3"/>
            <w:shd w:val="clear" w:color="auto" w:fill="auto"/>
          </w:tcPr>
          <w:p w14:paraId="00BAF6D4" w14:textId="77777777" w:rsidR="00871BDF" w:rsidRDefault="00871BDF">
            <w:pPr>
              <w:rPr>
                <w:rFonts w:ascii="宋体"/>
                <w:vanish/>
              </w:rPr>
            </w:pPr>
          </w:p>
        </w:tc>
      </w:tr>
      <w:tr w:rsidR="00871BDF" w14:paraId="00BAF6DE" w14:textId="77777777">
        <w:trPr>
          <w:hidden/>
        </w:trPr>
        <w:tc>
          <w:tcPr>
            <w:tcW w:w="0" w:type="auto"/>
            <w:gridSpan w:val="3"/>
            <w:shd w:val="clear" w:color="auto" w:fill="auto"/>
          </w:tcPr>
          <w:p w14:paraId="00BAF6D6" w14:textId="77777777" w:rsidR="00871BDF" w:rsidRDefault="00871BDF">
            <w:pPr>
              <w:rPr>
                <w:rFonts w:ascii="宋体"/>
                <w:vanish/>
              </w:rPr>
            </w:pPr>
          </w:p>
        </w:tc>
        <w:tc>
          <w:tcPr>
            <w:tcW w:w="0" w:type="auto"/>
            <w:gridSpan w:val="3"/>
            <w:shd w:val="clear" w:color="auto" w:fill="auto"/>
          </w:tcPr>
          <w:p w14:paraId="00BAF6D7" w14:textId="77777777" w:rsidR="00871BDF" w:rsidRDefault="00871BDF">
            <w:pPr>
              <w:rPr>
                <w:rFonts w:ascii="宋体"/>
                <w:vanish/>
              </w:rPr>
            </w:pPr>
          </w:p>
        </w:tc>
        <w:tc>
          <w:tcPr>
            <w:tcW w:w="0" w:type="auto"/>
            <w:gridSpan w:val="3"/>
            <w:shd w:val="clear" w:color="auto" w:fill="auto"/>
          </w:tcPr>
          <w:p w14:paraId="00BAF6D8" w14:textId="77777777" w:rsidR="00871BDF" w:rsidRDefault="00871BDF">
            <w:pPr>
              <w:rPr>
                <w:rFonts w:ascii="宋体"/>
                <w:vanish/>
              </w:rPr>
            </w:pPr>
          </w:p>
        </w:tc>
        <w:tc>
          <w:tcPr>
            <w:tcW w:w="0" w:type="auto"/>
            <w:gridSpan w:val="3"/>
            <w:shd w:val="clear" w:color="auto" w:fill="auto"/>
          </w:tcPr>
          <w:p w14:paraId="00BAF6D9" w14:textId="77777777" w:rsidR="00871BDF" w:rsidRDefault="00871BDF">
            <w:pPr>
              <w:rPr>
                <w:rFonts w:ascii="宋体"/>
                <w:vanish/>
              </w:rPr>
            </w:pPr>
          </w:p>
        </w:tc>
        <w:tc>
          <w:tcPr>
            <w:tcW w:w="0" w:type="auto"/>
            <w:gridSpan w:val="3"/>
            <w:shd w:val="clear" w:color="auto" w:fill="auto"/>
          </w:tcPr>
          <w:p w14:paraId="00BAF6DA" w14:textId="77777777" w:rsidR="00871BDF" w:rsidRDefault="00871BDF">
            <w:pPr>
              <w:rPr>
                <w:rFonts w:ascii="宋体"/>
                <w:vanish/>
              </w:rPr>
            </w:pPr>
          </w:p>
        </w:tc>
        <w:tc>
          <w:tcPr>
            <w:tcW w:w="0" w:type="auto"/>
            <w:gridSpan w:val="3"/>
            <w:shd w:val="clear" w:color="auto" w:fill="auto"/>
          </w:tcPr>
          <w:p w14:paraId="00BAF6DB" w14:textId="77777777" w:rsidR="00871BDF" w:rsidRDefault="00871BDF">
            <w:pPr>
              <w:rPr>
                <w:rFonts w:ascii="宋体"/>
                <w:vanish/>
              </w:rPr>
            </w:pPr>
          </w:p>
        </w:tc>
        <w:tc>
          <w:tcPr>
            <w:tcW w:w="0" w:type="auto"/>
            <w:gridSpan w:val="3"/>
            <w:shd w:val="clear" w:color="auto" w:fill="auto"/>
          </w:tcPr>
          <w:p w14:paraId="00BAF6DC" w14:textId="77777777" w:rsidR="00871BDF" w:rsidRDefault="00871BDF">
            <w:pPr>
              <w:rPr>
                <w:rFonts w:ascii="宋体"/>
                <w:vanish/>
              </w:rPr>
            </w:pPr>
          </w:p>
        </w:tc>
        <w:tc>
          <w:tcPr>
            <w:tcW w:w="0" w:type="auto"/>
            <w:gridSpan w:val="3"/>
            <w:shd w:val="clear" w:color="auto" w:fill="auto"/>
          </w:tcPr>
          <w:p w14:paraId="00BAF6DD" w14:textId="77777777" w:rsidR="00871BDF" w:rsidRDefault="00871BDF">
            <w:pPr>
              <w:rPr>
                <w:rFonts w:ascii="宋体"/>
                <w:vanish/>
              </w:rPr>
            </w:pPr>
          </w:p>
        </w:tc>
      </w:tr>
      <w:tr w:rsidR="00871BDF" w14:paraId="00BAF6E7" w14:textId="77777777">
        <w:trPr>
          <w:hidden/>
        </w:trPr>
        <w:tc>
          <w:tcPr>
            <w:tcW w:w="0" w:type="auto"/>
            <w:gridSpan w:val="3"/>
            <w:shd w:val="clear" w:color="auto" w:fill="auto"/>
          </w:tcPr>
          <w:p w14:paraId="00BAF6DF" w14:textId="77777777" w:rsidR="00871BDF" w:rsidRDefault="00871BDF">
            <w:pPr>
              <w:rPr>
                <w:rFonts w:ascii="宋体"/>
                <w:vanish/>
              </w:rPr>
            </w:pPr>
          </w:p>
        </w:tc>
        <w:tc>
          <w:tcPr>
            <w:tcW w:w="0" w:type="auto"/>
            <w:gridSpan w:val="3"/>
            <w:shd w:val="clear" w:color="auto" w:fill="auto"/>
          </w:tcPr>
          <w:p w14:paraId="00BAF6E0" w14:textId="77777777" w:rsidR="00871BDF" w:rsidRDefault="00871BDF">
            <w:pPr>
              <w:rPr>
                <w:rFonts w:ascii="宋体"/>
                <w:vanish/>
              </w:rPr>
            </w:pPr>
          </w:p>
        </w:tc>
        <w:tc>
          <w:tcPr>
            <w:tcW w:w="0" w:type="auto"/>
            <w:gridSpan w:val="3"/>
            <w:shd w:val="clear" w:color="auto" w:fill="auto"/>
          </w:tcPr>
          <w:p w14:paraId="00BAF6E1" w14:textId="77777777" w:rsidR="00871BDF" w:rsidRDefault="00871BDF">
            <w:pPr>
              <w:rPr>
                <w:rFonts w:ascii="宋体"/>
                <w:vanish/>
              </w:rPr>
            </w:pPr>
          </w:p>
        </w:tc>
        <w:tc>
          <w:tcPr>
            <w:tcW w:w="0" w:type="auto"/>
            <w:gridSpan w:val="3"/>
            <w:shd w:val="clear" w:color="auto" w:fill="auto"/>
          </w:tcPr>
          <w:p w14:paraId="00BAF6E2" w14:textId="77777777" w:rsidR="00871BDF" w:rsidRDefault="00871BDF">
            <w:pPr>
              <w:rPr>
                <w:rFonts w:ascii="宋体"/>
                <w:vanish/>
              </w:rPr>
            </w:pPr>
          </w:p>
        </w:tc>
        <w:tc>
          <w:tcPr>
            <w:tcW w:w="0" w:type="auto"/>
            <w:gridSpan w:val="3"/>
            <w:shd w:val="clear" w:color="auto" w:fill="auto"/>
          </w:tcPr>
          <w:p w14:paraId="00BAF6E3" w14:textId="77777777" w:rsidR="00871BDF" w:rsidRDefault="00871BDF">
            <w:pPr>
              <w:rPr>
                <w:rFonts w:ascii="宋体"/>
                <w:vanish/>
              </w:rPr>
            </w:pPr>
          </w:p>
        </w:tc>
        <w:tc>
          <w:tcPr>
            <w:tcW w:w="0" w:type="auto"/>
            <w:gridSpan w:val="3"/>
            <w:shd w:val="clear" w:color="auto" w:fill="auto"/>
          </w:tcPr>
          <w:p w14:paraId="00BAF6E4" w14:textId="77777777" w:rsidR="00871BDF" w:rsidRDefault="00871BDF">
            <w:pPr>
              <w:rPr>
                <w:rFonts w:ascii="宋体"/>
                <w:vanish/>
              </w:rPr>
            </w:pPr>
          </w:p>
        </w:tc>
        <w:tc>
          <w:tcPr>
            <w:tcW w:w="0" w:type="auto"/>
            <w:gridSpan w:val="3"/>
            <w:shd w:val="clear" w:color="auto" w:fill="auto"/>
          </w:tcPr>
          <w:p w14:paraId="00BAF6E5" w14:textId="77777777" w:rsidR="00871BDF" w:rsidRDefault="00871BDF">
            <w:pPr>
              <w:rPr>
                <w:rFonts w:ascii="宋体"/>
                <w:vanish/>
              </w:rPr>
            </w:pPr>
          </w:p>
        </w:tc>
        <w:tc>
          <w:tcPr>
            <w:tcW w:w="0" w:type="auto"/>
            <w:gridSpan w:val="3"/>
            <w:shd w:val="clear" w:color="auto" w:fill="auto"/>
          </w:tcPr>
          <w:p w14:paraId="00BAF6E6" w14:textId="77777777" w:rsidR="00871BDF" w:rsidRDefault="00871BDF">
            <w:pPr>
              <w:rPr>
                <w:rFonts w:ascii="宋体"/>
                <w:vanish/>
              </w:rPr>
            </w:pPr>
          </w:p>
        </w:tc>
      </w:tr>
      <w:tr w:rsidR="00871BDF" w14:paraId="00BAF6F4" w14:textId="77777777">
        <w:tc>
          <w:tcPr>
            <w:tcW w:w="0" w:type="auto"/>
            <w:gridSpan w:val="3"/>
            <w:shd w:val="clear" w:color="auto" w:fill="D7E4BC"/>
            <w:tcMar>
              <w:top w:w="40" w:type="dxa"/>
              <w:left w:w="380" w:type="dxa"/>
              <w:bottom w:w="40" w:type="dxa"/>
              <w:right w:w="20" w:type="dxa"/>
            </w:tcMar>
          </w:tcPr>
          <w:p w14:paraId="00BAF6E8" w14:textId="77777777" w:rsidR="00871BDF" w:rsidRDefault="005C5088">
            <w:pPr>
              <w:textAlignment w:val="top"/>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6E9" w14:textId="77777777" w:rsidR="00871BDF" w:rsidRDefault="005C5088">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6E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6EB"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6EC" w14:textId="77777777" w:rsidR="00871BDF" w:rsidRDefault="005C5088">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6E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6EE"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6EF" w14:textId="77777777" w:rsidR="00871BDF" w:rsidRDefault="005C5088">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6F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6F1"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6F2" w14:textId="77777777" w:rsidR="00871BDF" w:rsidRDefault="005C5088">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6F3" w14:textId="77777777" w:rsidR="00871BDF" w:rsidRDefault="00871BDF">
            <w:pPr>
              <w:jc w:val="right"/>
              <w:rPr>
                <w:rFonts w:ascii="宋体"/>
              </w:rPr>
            </w:pPr>
          </w:p>
        </w:tc>
      </w:tr>
      <w:tr w:rsidR="00871BDF" w14:paraId="00BAF701" w14:textId="77777777">
        <w:tc>
          <w:tcPr>
            <w:tcW w:w="0" w:type="auto"/>
            <w:gridSpan w:val="3"/>
            <w:shd w:val="clear" w:color="auto" w:fill="FFFFFF"/>
            <w:tcMar>
              <w:top w:w="40" w:type="dxa"/>
              <w:left w:w="380" w:type="dxa"/>
              <w:bottom w:w="40" w:type="dxa"/>
              <w:right w:w="20" w:type="dxa"/>
            </w:tcMar>
          </w:tcPr>
          <w:p w14:paraId="00BAF6F5" w14:textId="77777777" w:rsidR="00871BDF" w:rsidRDefault="005C5088">
            <w:pPr>
              <w:textAlignment w:val="top"/>
            </w:pPr>
            <w:r>
              <w:rPr>
                <w:rFonts w:ascii="Times New Roman" w:eastAsia="宋体" w:hAnsi="Times New Roman"/>
                <w:color w:val="000000"/>
                <w:sz w:val="20"/>
                <w:szCs w:val="20"/>
              </w:rPr>
              <w:t>Marketable equity securities</w:t>
            </w:r>
          </w:p>
        </w:tc>
        <w:tc>
          <w:tcPr>
            <w:tcW w:w="0" w:type="auto"/>
            <w:gridSpan w:val="2"/>
            <w:shd w:val="clear" w:color="auto" w:fill="FFFFFF"/>
            <w:tcMar>
              <w:top w:w="40" w:type="dxa"/>
              <w:left w:w="20" w:type="dxa"/>
              <w:bottom w:w="40" w:type="dxa"/>
              <w:right w:w="0" w:type="dxa"/>
            </w:tcMar>
            <w:vAlign w:val="bottom"/>
          </w:tcPr>
          <w:p w14:paraId="00BAF6F6" w14:textId="77777777" w:rsidR="00871BDF" w:rsidRDefault="005C5088">
            <w:pPr>
              <w:jc w:val="right"/>
              <w:textAlignment w:val="bottom"/>
            </w:pPr>
            <w:r>
              <w:rPr>
                <w:rFonts w:ascii="Times New Roman" w:eastAsia="宋体" w:hAnsi="Times New Roman"/>
                <w:color w:val="000000"/>
                <w:sz w:val="20"/>
                <w:szCs w:val="20"/>
              </w:rPr>
              <w:t>66.5 </w:t>
            </w:r>
          </w:p>
        </w:tc>
        <w:tc>
          <w:tcPr>
            <w:tcW w:w="0" w:type="auto"/>
            <w:shd w:val="clear" w:color="auto" w:fill="FFFFFF"/>
            <w:tcMar>
              <w:top w:w="40" w:type="dxa"/>
              <w:left w:w="0" w:type="dxa"/>
              <w:bottom w:w="40" w:type="dxa"/>
              <w:right w:w="20" w:type="dxa"/>
            </w:tcMar>
            <w:vAlign w:val="bottom"/>
          </w:tcPr>
          <w:p w14:paraId="00BAF6F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F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6F9" w14:textId="77777777" w:rsidR="00871BDF" w:rsidRDefault="005C5088">
            <w:pPr>
              <w:jc w:val="right"/>
              <w:textAlignment w:val="bottom"/>
            </w:pPr>
            <w:r>
              <w:rPr>
                <w:rFonts w:ascii="Times New Roman" w:eastAsia="宋体" w:hAnsi="Times New Roman"/>
                <w:color w:val="000000"/>
                <w:sz w:val="20"/>
                <w:szCs w:val="20"/>
              </w:rPr>
              <w:t>66.5 </w:t>
            </w:r>
          </w:p>
        </w:tc>
        <w:tc>
          <w:tcPr>
            <w:tcW w:w="0" w:type="auto"/>
            <w:shd w:val="clear" w:color="auto" w:fill="FFFFFF"/>
            <w:tcMar>
              <w:top w:w="40" w:type="dxa"/>
              <w:left w:w="0" w:type="dxa"/>
              <w:bottom w:w="40" w:type="dxa"/>
              <w:right w:w="20" w:type="dxa"/>
            </w:tcMar>
            <w:vAlign w:val="bottom"/>
          </w:tcPr>
          <w:p w14:paraId="00BAF6F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F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6FC"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6F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6F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6FF"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700" w14:textId="77777777" w:rsidR="00871BDF" w:rsidRDefault="00871BDF">
            <w:pPr>
              <w:jc w:val="right"/>
              <w:rPr>
                <w:rFonts w:ascii="宋体"/>
              </w:rPr>
            </w:pPr>
          </w:p>
        </w:tc>
      </w:tr>
      <w:tr w:rsidR="00871BDF" w14:paraId="00BAF70E" w14:textId="77777777">
        <w:tc>
          <w:tcPr>
            <w:tcW w:w="0" w:type="auto"/>
            <w:gridSpan w:val="3"/>
            <w:shd w:val="clear" w:color="auto" w:fill="D7E4BC"/>
            <w:tcMar>
              <w:top w:w="40" w:type="dxa"/>
              <w:left w:w="20" w:type="dxa"/>
              <w:bottom w:w="40" w:type="dxa"/>
              <w:right w:w="20" w:type="dxa"/>
            </w:tcMar>
          </w:tcPr>
          <w:p w14:paraId="00BAF702" w14:textId="77777777" w:rsidR="00871BDF" w:rsidRDefault="005C5088">
            <w:pPr>
              <w:textAlignment w:val="top"/>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703" w14:textId="77777777" w:rsidR="00871BDF" w:rsidRDefault="005C5088">
            <w:pPr>
              <w:jc w:val="right"/>
              <w:textAlignment w:val="bottom"/>
            </w:pPr>
            <w:r>
              <w:rPr>
                <w:rFonts w:ascii="Times New Roman" w:eastAsia="宋体" w:hAnsi="Times New Roman"/>
                <w:color w:val="000000"/>
                <w:sz w:val="20"/>
                <w:szCs w:val="20"/>
              </w:rPr>
              <w:t>70.5 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70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05"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706" w14:textId="77777777" w:rsidR="00871BDF" w:rsidRDefault="005C5088">
            <w:pPr>
              <w:jc w:val="right"/>
              <w:textAlignment w:val="bottom"/>
            </w:pPr>
            <w:r>
              <w:rPr>
                <w:rFonts w:ascii="Times New Roman" w:eastAsia="宋体" w:hAnsi="Times New Roman"/>
                <w:color w:val="000000"/>
                <w:sz w:val="20"/>
                <w:szCs w:val="20"/>
              </w:rPr>
              <w:t>66.5 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70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08"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709" w14:textId="77777777" w:rsidR="00871BDF" w:rsidRDefault="005C5088">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70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0B"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70C" w14:textId="77777777" w:rsidR="00871BDF" w:rsidRDefault="005C5088">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70D" w14:textId="77777777" w:rsidR="00871BDF" w:rsidRDefault="00871BDF">
            <w:pPr>
              <w:jc w:val="right"/>
              <w:rPr>
                <w:rFonts w:ascii="宋体"/>
              </w:rPr>
            </w:pPr>
          </w:p>
        </w:tc>
      </w:tr>
      <w:tr w:rsidR="00871BDF" w14:paraId="00BAF717" w14:textId="77777777">
        <w:tc>
          <w:tcPr>
            <w:tcW w:w="0" w:type="auto"/>
            <w:gridSpan w:val="3"/>
            <w:shd w:val="clear" w:color="auto" w:fill="FFFFFF"/>
            <w:tcMar>
              <w:top w:w="40" w:type="dxa"/>
              <w:left w:w="20" w:type="dxa"/>
              <w:bottom w:w="40" w:type="dxa"/>
              <w:right w:w="20" w:type="dxa"/>
            </w:tcMar>
          </w:tcPr>
          <w:p w14:paraId="00BAF70F" w14:textId="77777777" w:rsidR="00871BDF" w:rsidRDefault="005C5088">
            <w:pPr>
              <w:textAlignment w:val="top"/>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tcPr>
          <w:p w14:paraId="00BAF71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1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1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1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1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1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16" w14:textId="77777777" w:rsidR="00871BDF" w:rsidRDefault="00871BDF">
            <w:pPr>
              <w:rPr>
                <w:rFonts w:ascii="宋体"/>
              </w:rPr>
            </w:pPr>
          </w:p>
        </w:tc>
      </w:tr>
      <w:tr w:rsidR="00871BDF" w14:paraId="00BAF724" w14:textId="77777777">
        <w:tc>
          <w:tcPr>
            <w:tcW w:w="0" w:type="auto"/>
            <w:gridSpan w:val="3"/>
            <w:shd w:val="clear" w:color="auto" w:fill="D7E4BC"/>
            <w:tcMar>
              <w:top w:w="40" w:type="dxa"/>
              <w:left w:w="380" w:type="dxa"/>
              <w:bottom w:w="40" w:type="dxa"/>
              <w:right w:w="20" w:type="dxa"/>
            </w:tcMar>
          </w:tcPr>
          <w:p w14:paraId="00BAF718" w14:textId="77777777" w:rsidR="00871BDF" w:rsidRDefault="005C5088">
            <w:pPr>
              <w:textAlignment w:val="top"/>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00BAF719" w14:textId="77777777" w:rsidR="00871BDF" w:rsidRDefault="005C5088">
            <w:pPr>
              <w:jc w:val="right"/>
              <w:textAlignment w:val="bottom"/>
            </w:pPr>
            <w:r>
              <w:rPr>
                <w:rFonts w:ascii="Times New Roman" w:eastAsia="宋体" w:hAnsi="Times New Roman"/>
                <w:color w:val="000000"/>
                <w:sz w:val="20"/>
                <w:szCs w:val="20"/>
              </w:rPr>
              <w:t>12.6 </w:t>
            </w:r>
          </w:p>
        </w:tc>
        <w:tc>
          <w:tcPr>
            <w:tcW w:w="0" w:type="auto"/>
            <w:shd w:val="clear" w:color="auto" w:fill="D7E4BC"/>
            <w:tcMar>
              <w:top w:w="40" w:type="dxa"/>
              <w:left w:w="0" w:type="dxa"/>
              <w:bottom w:w="40" w:type="dxa"/>
              <w:right w:w="20" w:type="dxa"/>
            </w:tcMar>
            <w:vAlign w:val="bottom"/>
          </w:tcPr>
          <w:p w14:paraId="00BAF71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1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1C"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71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1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1F" w14:textId="77777777" w:rsidR="00871BDF" w:rsidRDefault="005C5088">
            <w:pPr>
              <w:jc w:val="right"/>
              <w:textAlignment w:val="bottom"/>
            </w:pPr>
            <w:r>
              <w:rPr>
                <w:rFonts w:ascii="Times New Roman" w:eastAsia="宋体" w:hAnsi="Times New Roman"/>
                <w:color w:val="000000"/>
                <w:sz w:val="20"/>
                <w:szCs w:val="20"/>
              </w:rPr>
              <w:t>12.6 </w:t>
            </w:r>
          </w:p>
        </w:tc>
        <w:tc>
          <w:tcPr>
            <w:tcW w:w="0" w:type="auto"/>
            <w:shd w:val="clear" w:color="auto" w:fill="D7E4BC"/>
            <w:tcMar>
              <w:top w:w="40" w:type="dxa"/>
              <w:left w:w="0" w:type="dxa"/>
              <w:bottom w:w="40" w:type="dxa"/>
              <w:right w:w="20" w:type="dxa"/>
            </w:tcMar>
            <w:vAlign w:val="bottom"/>
          </w:tcPr>
          <w:p w14:paraId="00BAF72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2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22"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723" w14:textId="77777777" w:rsidR="00871BDF" w:rsidRDefault="00871BDF">
            <w:pPr>
              <w:jc w:val="right"/>
              <w:rPr>
                <w:rFonts w:ascii="宋体"/>
              </w:rPr>
            </w:pPr>
          </w:p>
        </w:tc>
      </w:tr>
      <w:tr w:rsidR="00871BDF" w14:paraId="00BAF72D" w14:textId="77777777">
        <w:tc>
          <w:tcPr>
            <w:tcW w:w="0" w:type="auto"/>
            <w:gridSpan w:val="3"/>
            <w:shd w:val="clear" w:color="auto" w:fill="FFFFFF"/>
            <w:tcMar>
              <w:top w:w="40" w:type="dxa"/>
              <w:left w:w="20" w:type="dxa"/>
              <w:bottom w:w="40" w:type="dxa"/>
              <w:right w:w="20" w:type="dxa"/>
            </w:tcMar>
          </w:tcPr>
          <w:p w14:paraId="00BAF725" w14:textId="77777777" w:rsidR="00871BDF" w:rsidRDefault="005C5088">
            <w:pPr>
              <w:textAlignment w:val="top"/>
            </w:pPr>
            <w:r>
              <w:rPr>
                <w:rFonts w:ascii="Times New Roman" w:eastAsia="宋体" w:hAnsi="Times New Roman"/>
                <w:color w:val="000000"/>
                <w:sz w:val="20"/>
                <w:szCs w:val="20"/>
              </w:rPr>
              <w:t>Long-term investments:</w:t>
            </w:r>
          </w:p>
        </w:tc>
        <w:tc>
          <w:tcPr>
            <w:tcW w:w="0" w:type="auto"/>
            <w:gridSpan w:val="3"/>
            <w:shd w:val="clear" w:color="auto" w:fill="FFFFFF"/>
            <w:tcMar>
              <w:top w:w="0" w:type="dxa"/>
              <w:left w:w="20" w:type="dxa"/>
              <w:bottom w:w="0" w:type="dxa"/>
              <w:right w:w="20" w:type="dxa"/>
            </w:tcMar>
          </w:tcPr>
          <w:p w14:paraId="00BAF72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2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28"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2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2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2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2C" w14:textId="77777777" w:rsidR="00871BDF" w:rsidRDefault="00871BDF">
            <w:pPr>
              <w:rPr>
                <w:rFonts w:ascii="宋体"/>
              </w:rPr>
            </w:pPr>
          </w:p>
        </w:tc>
      </w:tr>
      <w:tr w:rsidR="00871BDF" w14:paraId="00BAF736" w14:textId="77777777">
        <w:tc>
          <w:tcPr>
            <w:tcW w:w="0" w:type="auto"/>
            <w:gridSpan w:val="3"/>
            <w:shd w:val="clear" w:color="auto" w:fill="D7E4BC"/>
            <w:tcMar>
              <w:top w:w="40" w:type="dxa"/>
              <w:left w:w="380" w:type="dxa"/>
              <w:bottom w:w="40" w:type="dxa"/>
              <w:right w:w="20" w:type="dxa"/>
            </w:tcMar>
          </w:tcPr>
          <w:p w14:paraId="00BAF72E" w14:textId="77777777" w:rsidR="00871BDF" w:rsidRDefault="005C5088">
            <w:pPr>
              <w:textAlignment w:val="top"/>
            </w:pPr>
            <w:r>
              <w:rPr>
                <w:rFonts w:ascii="Times New Roman" w:eastAsia="宋体" w:hAnsi="Times New Roman"/>
                <w:color w:val="000000"/>
                <w:sz w:val="20"/>
                <w:szCs w:val="20"/>
              </w:rPr>
              <w:t>Available-for-sale debt securities</w:t>
            </w:r>
          </w:p>
        </w:tc>
        <w:tc>
          <w:tcPr>
            <w:tcW w:w="0" w:type="auto"/>
            <w:gridSpan w:val="3"/>
            <w:shd w:val="clear" w:color="auto" w:fill="D7E4BC"/>
            <w:tcMar>
              <w:top w:w="0" w:type="dxa"/>
              <w:left w:w="20" w:type="dxa"/>
              <w:bottom w:w="0" w:type="dxa"/>
              <w:right w:w="20" w:type="dxa"/>
            </w:tcMar>
          </w:tcPr>
          <w:p w14:paraId="00BAF72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73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73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73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73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73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735" w14:textId="77777777" w:rsidR="00871BDF" w:rsidRDefault="00871BDF">
            <w:pPr>
              <w:rPr>
                <w:rFonts w:ascii="宋体"/>
              </w:rPr>
            </w:pPr>
          </w:p>
        </w:tc>
      </w:tr>
      <w:tr w:rsidR="00871BDF" w14:paraId="00BAF73F" w14:textId="77777777">
        <w:trPr>
          <w:hidden/>
        </w:trPr>
        <w:tc>
          <w:tcPr>
            <w:tcW w:w="0" w:type="auto"/>
            <w:gridSpan w:val="3"/>
            <w:shd w:val="clear" w:color="auto" w:fill="auto"/>
          </w:tcPr>
          <w:p w14:paraId="00BAF737" w14:textId="77777777" w:rsidR="00871BDF" w:rsidRDefault="00871BDF">
            <w:pPr>
              <w:rPr>
                <w:rFonts w:ascii="宋体"/>
                <w:vanish/>
              </w:rPr>
            </w:pPr>
          </w:p>
        </w:tc>
        <w:tc>
          <w:tcPr>
            <w:tcW w:w="0" w:type="auto"/>
            <w:gridSpan w:val="3"/>
            <w:shd w:val="clear" w:color="auto" w:fill="auto"/>
          </w:tcPr>
          <w:p w14:paraId="00BAF738" w14:textId="77777777" w:rsidR="00871BDF" w:rsidRDefault="00871BDF">
            <w:pPr>
              <w:rPr>
                <w:rFonts w:ascii="宋体"/>
                <w:vanish/>
              </w:rPr>
            </w:pPr>
          </w:p>
        </w:tc>
        <w:tc>
          <w:tcPr>
            <w:tcW w:w="0" w:type="auto"/>
            <w:gridSpan w:val="3"/>
            <w:shd w:val="clear" w:color="auto" w:fill="auto"/>
          </w:tcPr>
          <w:p w14:paraId="00BAF739" w14:textId="77777777" w:rsidR="00871BDF" w:rsidRDefault="00871BDF">
            <w:pPr>
              <w:rPr>
                <w:rFonts w:ascii="宋体"/>
                <w:vanish/>
              </w:rPr>
            </w:pPr>
          </w:p>
        </w:tc>
        <w:tc>
          <w:tcPr>
            <w:tcW w:w="0" w:type="auto"/>
            <w:gridSpan w:val="3"/>
            <w:shd w:val="clear" w:color="auto" w:fill="auto"/>
          </w:tcPr>
          <w:p w14:paraId="00BAF73A" w14:textId="77777777" w:rsidR="00871BDF" w:rsidRDefault="00871BDF">
            <w:pPr>
              <w:rPr>
                <w:rFonts w:ascii="宋体"/>
                <w:vanish/>
              </w:rPr>
            </w:pPr>
          </w:p>
        </w:tc>
        <w:tc>
          <w:tcPr>
            <w:tcW w:w="0" w:type="auto"/>
            <w:gridSpan w:val="3"/>
            <w:shd w:val="clear" w:color="auto" w:fill="auto"/>
          </w:tcPr>
          <w:p w14:paraId="00BAF73B" w14:textId="77777777" w:rsidR="00871BDF" w:rsidRDefault="00871BDF">
            <w:pPr>
              <w:rPr>
                <w:rFonts w:ascii="宋体"/>
                <w:vanish/>
              </w:rPr>
            </w:pPr>
          </w:p>
        </w:tc>
        <w:tc>
          <w:tcPr>
            <w:tcW w:w="0" w:type="auto"/>
            <w:gridSpan w:val="3"/>
            <w:shd w:val="clear" w:color="auto" w:fill="auto"/>
          </w:tcPr>
          <w:p w14:paraId="00BAF73C" w14:textId="77777777" w:rsidR="00871BDF" w:rsidRDefault="00871BDF">
            <w:pPr>
              <w:rPr>
                <w:rFonts w:ascii="宋体"/>
                <w:vanish/>
              </w:rPr>
            </w:pPr>
          </w:p>
        </w:tc>
        <w:tc>
          <w:tcPr>
            <w:tcW w:w="0" w:type="auto"/>
            <w:gridSpan w:val="3"/>
            <w:shd w:val="clear" w:color="auto" w:fill="auto"/>
          </w:tcPr>
          <w:p w14:paraId="00BAF73D" w14:textId="77777777" w:rsidR="00871BDF" w:rsidRDefault="00871BDF">
            <w:pPr>
              <w:rPr>
                <w:rFonts w:ascii="宋体"/>
                <w:vanish/>
              </w:rPr>
            </w:pPr>
          </w:p>
        </w:tc>
        <w:tc>
          <w:tcPr>
            <w:tcW w:w="0" w:type="auto"/>
            <w:gridSpan w:val="3"/>
            <w:shd w:val="clear" w:color="auto" w:fill="auto"/>
          </w:tcPr>
          <w:p w14:paraId="00BAF73E" w14:textId="77777777" w:rsidR="00871BDF" w:rsidRDefault="00871BDF">
            <w:pPr>
              <w:rPr>
                <w:rFonts w:ascii="宋体"/>
                <w:vanish/>
              </w:rPr>
            </w:pPr>
          </w:p>
        </w:tc>
      </w:tr>
      <w:tr w:rsidR="00871BDF" w14:paraId="00BAF74C" w14:textId="77777777">
        <w:tc>
          <w:tcPr>
            <w:tcW w:w="0" w:type="auto"/>
            <w:gridSpan w:val="3"/>
            <w:shd w:val="clear" w:color="auto" w:fill="FFFFFF"/>
            <w:tcMar>
              <w:top w:w="40" w:type="dxa"/>
              <w:left w:w="740" w:type="dxa"/>
              <w:bottom w:w="40" w:type="dxa"/>
              <w:right w:w="20" w:type="dxa"/>
            </w:tcMar>
          </w:tcPr>
          <w:p w14:paraId="00BAF740" w14:textId="77777777" w:rsidR="00871BDF" w:rsidRDefault="005C5088">
            <w:pPr>
              <w:textAlignment w:val="top"/>
            </w:pPr>
            <w:r>
              <w:rPr>
                <w:rFonts w:ascii="Times New Roman" w:eastAsia="宋体" w:hAnsi="Times New Roman"/>
                <w:color w:val="000000"/>
                <w:sz w:val="20"/>
                <w:szCs w:val="20"/>
              </w:rPr>
              <w:t>Auction rate securities</w:t>
            </w:r>
          </w:p>
        </w:tc>
        <w:tc>
          <w:tcPr>
            <w:tcW w:w="0" w:type="auto"/>
            <w:gridSpan w:val="2"/>
            <w:shd w:val="clear" w:color="auto" w:fill="FFFFFF"/>
            <w:tcMar>
              <w:top w:w="40" w:type="dxa"/>
              <w:left w:w="20" w:type="dxa"/>
              <w:bottom w:w="40" w:type="dxa"/>
              <w:right w:w="0" w:type="dxa"/>
            </w:tcMar>
            <w:vAlign w:val="bottom"/>
          </w:tcPr>
          <w:p w14:paraId="00BAF741" w14:textId="77777777" w:rsidR="00871BDF" w:rsidRDefault="005C5088">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00BAF74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74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74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74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74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74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74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74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74A" w14:textId="77777777" w:rsidR="00871BDF" w:rsidRDefault="005C5088">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00BAF74B" w14:textId="77777777" w:rsidR="00871BDF" w:rsidRDefault="00871BDF">
            <w:pPr>
              <w:jc w:val="right"/>
              <w:rPr>
                <w:rFonts w:ascii="宋体"/>
              </w:rPr>
            </w:pPr>
          </w:p>
        </w:tc>
      </w:tr>
      <w:tr w:rsidR="00871BDF" w14:paraId="00BAF755" w14:textId="77777777">
        <w:trPr>
          <w:hidden/>
        </w:trPr>
        <w:tc>
          <w:tcPr>
            <w:tcW w:w="0" w:type="auto"/>
            <w:gridSpan w:val="3"/>
            <w:shd w:val="clear" w:color="auto" w:fill="auto"/>
          </w:tcPr>
          <w:p w14:paraId="00BAF74D" w14:textId="77777777" w:rsidR="00871BDF" w:rsidRDefault="00871BDF">
            <w:pPr>
              <w:rPr>
                <w:rFonts w:ascii="宋体"/>
                <w:vanish/>
              </w:rPr>
            </w:pPr>
          </w:p>
        </w:tc>
        <w:tc>
          <w:tcPr>
            <w:tcW w:w="0" w:type="auto"/>
            <w:gridSpan w:val="3"/>
            <w:shd w:val="clear" w:color="auto" w:fill="auto"/>
          </w:tcPr>
          <w:p w14:paraId="00BAF74E" w14:textId="77777777" w:rsidR="00871BDF" w:rsidRDefault="00871BDF">
            <w:pPr>
              <w:rPr>
                <w:rFonts w:ascii="宋体"/>
                <w:vanish/>
              </w:rPr>
            </w:pPr>
          </w:p>
        </w:tc>
        <w:tc>
          <w:tcPr>
            <w:tcW w:w="0" w:type="auto"/>
            <w:gridSpan w:val="3"/>
            <w:shd w:val="clear" w:color="auto" w:fill="auto"/>
          </w:tcPr>
          <w:p w14:paraId="00BAF74F" w14:textId="77777777" w:rsidR="00871BDF" w:rsidRDefault="00871BDF">
            <w:pPr>
              <w:rPr>
                <w:rFonts w:ascii="宋体"/>
                <w:vanish/>
              </w:rPr>
            </w:pPr>
          </w:p>
        </w:tc>
        <w:tc>
          <w:tcPr>
            <w:tcW w:w="0" w:type="auto"/>
            <w:gridSpan w:val="3"/>
            <w:shd w:val="clear" w:color="auto" w:fill="auto"/>
          </w:tcPr>
          <w:p w14:paraId="00BAF750" w14:textId="77777777" w:rsidR="00871BDF" w:rsidRDefault="00871BDF">
            <w:pPr>
              <w:rPr>
                <w:rFonts w:ascii="宋体"/>
                <w:vanish/>
              </w:rPr>
            </w:pPr>
          </w:p>
        </w:tc>
        <w:tc>
          <w:tcPr>
            <w:tcW w:w="0" w:type="auto"/>
            <w:gridSpan w:val="3"/>
            <w:shd w:val="clear" w:color="auto" w:fill="auto"/>
          </w:tcPr>
          <w:p w14:paraId="00BAF751" w14:textId="77777777" w:rsidR="00871BDF" w:rsidRDefault="00871BDF">
            <w:pPr>
              <w:rPr>
                <w:rFonts w:ascii="宋体"/>
                <w:vanish/>
              </w:rPr>
            </w:pPr>
          </w:p>
        </w:tc>
        <w:tc>
          <w:tcPr>
            <w:tcW w:w="0" w:type="auto"/>
            <w:gridSpan w:val="3"/>
            <w:shd w:val="clear" w:color="auto" w:fill="auto"/>
          </w:tcPr>
          <w:p w14:paraId="00BAF752" w14:textId="77777777" w:rsidR="00871BDF" w:rsidRDefault="00871BDF">
            <w:pPr>
              <w:rPr>
                <w:rFonts w:ascii="宋体"/>
                <w:vanish/>
              </w:rPr>
            </w:pPr>
          </w:p>
        </w:tc>
        <w:tc>
          <w:tcPr>
            <w:tcW w:w="0" w:type="auto"/>
            <w:gridSpan w:val="3"/>
            <w:shd w:val="clear" w:color="auto" w:fill="auto"/>
          </w:tcPr>
          <w:p w14:paraId="00BAF753" w14:textId="77777777" w:rsidR="00871BDF" w:rsidRDefault="00871BDF">
            <w:pPr>
              <w:rPr>
                <w:rFonts w:ascii="宋体"/>
                <w:vanish/>
              </w:rPr>
            </w:pPr>
          </w:p>
        </w:tc>
        <w:tc>
          <w:tcPr>
            <w:tcW w:w="0" w:type="auto"/>
            <w:gridSpan w:val="3"/>
            <w:shd w:val="clear" w:color="auto" w:fill="auto"/>
          </w:tcPr>
          <w:p w14:paraId="00BAF754" w14:textId="77777777" w:rsidR="00871BDF" w:rsidRDefault="00871BDF">
            <w:pPr>
              <w:rPr>
                <w:rFonts w:ascii="宋体"/>
                <w:vanish/>
              </w:rPr>
            </w:pPr>
          </w:p>
        </w:tc>
      </w:tr>
      <w:tr w:rsidR="00871BDF" w14:paraId="00BAF762" w14:textId="77777777">
        <w:tc>
          <w:tcPr>
            <w:tcW w:w="0" w:type="auto"/>
            <w:gridSpan w:val="3"/>
            <w:shd w:val="clear" w:color="auto" w:fill="D7E4BC"/>
            <w:tcMar>
              <w:top w:w="40" w:type="dxa"/>
              <w:left w:w="740" w:type="dxa"/>
              <w:bottom w:w="40" w:type="dxa"/>
              <w:right w:w="20" w:type="dxa"/>
            </w:tcMar>
          </w:tcPr>
          <w:p w14:paraId="00BAF756" w14:textId="77777777" w:rsidR="00871BDF" w:rsidRDefault="005C5088">
            <w:pPr>
              <w:textAlignment w:val="top"/>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00BAF757" w14:textId="77777777" w:rsidR="00871BDF" w:rsidRDefault="005C5088">
            <w:pPr>
              <w:jc w:val="right"/>
              <w:textAlignment w:val="bottom"/>
            </w:pPr>
            <w:r>
              <w:rPr>
                <w:rFonts w:ascii="Times New Roman" w:eastAsia="宋体" w:hAnsi="Times New Roman"/>
                <w:color w:val="000000"/>
                <w:sz w:val="20"/>
                <w:szCs w:val="20"/>
              </w:rPr>
              <w:t>101.2 </w:t>
            </w:r>
          </w:p>
        </w:tc>
        <w:tc>
          <w:tcPr>
            <w:tcW w:w="0" w:type="auto"/>
            <w:shd w:val="clear" w:color="auto" w:fill="D7E4BC"/>
            <w:tcMar>
              <w:top w:w="40" w:type="dxa"/>
              <w:left w:w="0" w:type="dxa"/>
              <w:bottom w:w="40" w:type="dxa"/>
              <w:right w:w="20" w:type="dxa"/>
            </w:tcMar>
            <w:vAlign w:val="bottom"/>
          </w:tcPr>
          <w:p w14:paraId="00BAF75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5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5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75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5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5D" w14:textId="77777777" w:rsidR="00871BDF" w:rsidRDefault="005C5088">
            <w:pPr>
              <w:jc w:val="right"/>
              <w:textAlignment w:val="bottom"/>
            </w:pPr>
            <w:r>
              <w:rPr>
                <w:rFonts w:ascii="Times New Roman" w:eastAsia="宋体" w:hAnsi="Times New Roman"/>
                <w:color w:val="000000"/>
                <w:sz w:val="20"/>
                <w:szCs w:val="20"/>
              </w:rPr>
              <w:t>101.2 </w:t>
            </w:r>
          </w:p>
        </w:tc>
        <w:tc>
          <w:tcPr>
            <w:tcW w:w="0" w:type="auto"/>
            <w:shd w:val="clear" w:color="auto" w:fill="D7E4BC"/>
            <w:tcMar>
              <w:top w:w="40" w:type="dxa"/>
              <w:left w:w="0" w:type="dxa"/>
              <w:bottom w:w="40" w:type="dxa"/>
              <w:right w:w="20" w:type="dxa"/>
            </w:tcMar>
            <w:vAlign w:val="bottom"/>
          </w:tcPr>
          <w:p w14:paraId="00BAF75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5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60"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761" w14:textId="77777777" w:rsidR="00871BDF" w:rsidRDefault="00871BDF">
            <w:pPr>
              <w:jc w:val="right"/>
              <w:rPr>
                <w:rFonts w:ascii="宋体"/>
              </w:rPr>
            </w:pPr>
          </w:p>
        </w:tc>
      </w:tr>
      <w:tr w:rsidR="00871BDF" w14:paraId="00BAF76B" w14:textId="77777777">
        <w:trPr>
          <w:hidden/>
        </w:trPr>
        <w:tc>
          <w:tcPr>
            <w:tcW w:w="0" w:type="auto"/>
            <w:gridSpan w:val="3"/>
            <w:shd w:val="clear" w:color="auto" w:fill="auto"/>
          </w:tcPr>
          <w:p w14:paraId="00BAF763" w14:textId="77777777" w:rsidR="00871BDF" w:rsidRDefault="00871BDF">
            <w:pPr>
              <w:rPr>
                <w:rFonts w:ascii="宋体"/>
                <w:vanish/>
              </w:rPr>
            </w:pPr>
          </w:p>
        </w:tc>
        <w:tc>
          <w:tcPr>
            <w:tcW w:w="0" w:type="auto"/>
            <w:gridSpan w:val="3"/>
            <w:shd w:val="clear" w:color="auto" w:fill="auto"/>
          </w:tcPr>
          <w:p w14:paraId="00BAF764" w14:textId="77777777" w:rsidR="00871BDF" w:rsidRDefault="00871BDF">
            <w:pPr>
              <w:rPr>
                <w:rFonts w:ascii="宋体"/>
                <w:vanish/>
              </w:rPr>
            </w:pPr>
          </w:p>
        </w:tc>
        <w:tc>
          <w:tcPr>
            <w:tcW w:w="0" w:type="auto"/>
            <w:gridSpan w:val="3"/>
            <w:shd w:val="clear" w:color="auto" w:fill="auto"/>
          </w:tcPr>
          <w:p w14:paraId="00BAF765" w14:textId="77777777" w:rsidR="00871BDF" w:rsidRDefault="00871BDF">
            <w:pPr>
              <w:rPr>
                <w:rFonts w:ascii="宋体"/>
                <w:vanish/>
              </w:rPr>
            </w:pPr>
          </w:p>
        </w:tc>
        <w:tc>
          <w:tcPr>
            <w:tcW w:w="0" w:type="auto"/>
            <w:gridSpan w:val="3"/>
            <w:shd w:val="clear" w:color="auto" w:fill="auto"/>
          </w:tcPr>
          <w:p w14:paraId="00BAF766" w14:textId="77777777" w:rsidR="00871BDF" w:rsidRDefault="00871BDF">
            <w:pPr>
              <w:rPr>
                <w:rFonts w:ascii="宋体"/>
                <w:vanish/>
              </w:rPr>
            </w:pPr>
          </w:p>
        </w:tc>
        <w:tc>
          <w:tcPr>
            <w:tcW w:w="0" w:type="auto"/>
            <w:gridSpan w:val="3"/>
            <w:shd w:val="clear" w:color="auto" w:fill="auto"/>
          </w:tcPr>
          <w:p w14:paraId="00BAF767" w14:textId="77777777" w:rsidR="00871BDF" w:rsidRDefault="00871BDF">
            <w:pPr>
              <w:rPr>
                <w:rFonts w:ascii="宋体"/>
                <w:vanish/>
              </w:rPr>
            </w:pPr>
          </w:p>
        </w:tc>
        <w:tc>
          <w:tcPr>
            <w:tcW w:w="0" w:type="auto"/>
            <w:gridSpan w:val="3"/>
            <w:shd w:val="clear" w:color="auto" w:fill="auto"/>
          </w:tcPr>
          <w:p w14:paraId="00BAF768" w14:textId="77777777" w:rsidR="00871BDF" w:rsidRDefault="00871BDF">
            <w:pPr>
              <w:rPr>
                <w:rFonts w:ascii="宋体"/>
                <w:vanish/>
              </w:rPr>
            </w:pPr>
          </w:p>
        </w:tc>
        <w:tc>
          <w:tcPr>
            <w:tcW w:w="0" w:type="auto"/>
            <w:gridSpan w:val="3"/>
            <w:shd w:val="clear" w:color="auto" w:fill="auto"/>
          </w:tcPr>
          <w:p w14:paraId="00BAF769" w14:textId="77777777" w:rsidR="00871BDF" w:rsidRDefault="00871BDF">
            <w:pPr>
              <w:rPr>
                <w:rFonts w:ascii="宋体"/>
                <w:vanish/>
              </w:rPr>
            </w:pPr>
          </w:p>
        </w:tc>
        <w:tc>
          <w:tcPr>
            <w:tcW w:w="0" w:type="auto"/>
            <w:gridSpan w:val="3"/>
            <w:shd w:val="clear" w:color="auto" w:fill="auto"/>
          </w:tcPr>
          <w:p w14:paraId="00BAF76A" w14:textId="77777777" w:rsidR="00871BDF" w:rsidRDefault="00871BDF">
            <w:pPr>
              <w:rPr>
                <w:rFonts w:ascii="宋体"/>
                <w:vanish/>
              </w:rPr>
            </w:pPr>
          </w:p>
        </w:tc>
      </w:tr>
      <w:tr w:rsidR="00871BDF" w14:paraId="00BAF778" w14:textId="77777777">
        <w:tc>
          <w:tcPr>
            <w:tcW w:w="0" w:type="auto"/>
            <w:gridSpan w:val="3"/>
            <w:shd w:val="clear" w:color="auto" w:fill="FFFFFF"/>
            <w:tcMar>
              <w:top w:w="40" w:type="dxa"/>
              <w:left w:w="740" w:type="dxa"/>
              <w:bottom w:w="40" w:type="dxa"/>
              <w:right w:w="20" w:type="dxa"/>
            </w:tcMar>
          </w:tcPr>
          <w:p w14:paraId="00BAF76C" w14:textId="77777777" w:rsidR="00871BDF" w:rsidRDefault="005C5088">
            <w:pPr>
              <w:textAlignment w:val="top"/>
            </w:pPr>
            <w:r>
              <w:rPr>
                <w:rFonts w:ascii="Times New Roman" w:eastAsia="宋体" w:hAnsi="Times New Roman"/>
                <w:color w:val="000000"/>
                <w:sz w:val="20"/>
                <w:szCs w:val="20"/>
              </w:rPr>
              <w:t>Mortgage and other asset-backed securities</w:t>
            </w:r>
          </w:p>
        </w:tc>
        <w:tc>
          <w:tcPr>
            <w:tcW w:w="0" w:type="auto"/>
            <w:gridSpan w:val="2"/>
            <w:shd w:val="clear" w:color="auto" w:fill="FFFFFF"/>
            <w:tcMar>
              <w:top w:w="40" w:type="dxa"/>
              <w:left w:w="20" w:type="dxa"/>
              <w:bottom w:w="40" w:type="dxa"/>
              <w:right w:w="0" w:type="dxa"/>
            </w:tcMar>
            <w:vAlign w:val="bottom"/>
          </w:tcPr>
          <w:p w14:paraId="00BAF76D" w14:textId="77777777" w:rsidR="00871BDF" w:rsidRDefault="005C5088">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0BAF76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76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770"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77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77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773" w14:textId="77777777" w:rsidR="00871BDF" w:rsidRDefault="005C5088">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0BAF77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77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776"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777" w14:textId="77777777" w:rsidR="00871BDF" w:rsidRDefault="00871BDF">
            <w:pPr>
              <w:jc w:val="right"/>
              <w:rPr>
                <w:rFonts w:ascii="宋体"/>
              </w:rPr>
            </w:pPr>
          </w:p>
        </w:tc>
      </w:tr>
      <w:tr w:rsidR="00871BDF" w14:paraId="00BAF785" w14:textId="77777777">
        <w:tc>
          <w:tcPr>
            <w:tcW w:w="0" w:type="auto"/>
            <w:gridSpan w:val="3"/>
            <w:shd w:val="clear" w:color="auto" w:fill="D7E4BC"/>
            <w:tcMar>
              <w:top w:w="40" w:type="dxa"/>
              <w:left w:w="740" w:type="dxa"/>
              <w:bottom w:w="40" w:type="dxa"/>
              <w:right w:w="20" w:type="dxa"/>
            </w:tcMar>
          </w:tcPr>
          <w:p w14:paraId="00BAF779" w14:textId="77777777" w:rsidR="00871BDF" w:rsidRDefault="005C5088">
            <w:pPr>
              <w:textAlignment w:val="top"/>
            </w:pPr>
            <w:r>
              <w:rPr>
                <w:rFonts w:ascii="Times New Roman" w:eastAsia="宋体" w:hAnsi="Times New Roman"/>
                <w:color w:val="000000"/>
                <w:sz w:val="20"/>
                <w:szCs w:val="20"/>
              </w:rPr>
              <w:t>State and local government obligations</w:t>
            </w:r>
          </w:p>
        </w:tc>
        <w:tc>
          <w:tcPr>
            <w:tcW w:w="0" w:type="auto"/>
            <w:gridSpan w:val="2"/>
            <w:shd w:val="clear" w:color="auto" w:fill="D7E4BC"/>
            <w:tcMar>
              <w:top w:w="40" w:type="dxa"/>
              <w:left w:w="20" w:type="dxa"/>
              <w:bottom w:w="40" w:type="dxa"/>
              <w:right w:w="0" w:type="dxa"/>
            </w:tcMar>
            <w:vAlign w:val="bottom"/>
          </w:tcPr>
          <w:p w14:paraId="00BAF77A" w14:textId="77777777" w:rsidR="00871BDF" w:rsidRDefault="005C5088">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left w:w="0" w:type="dxa"/>
              <w:bottom w:w="40" w:type="dxa"/>
              <w:right w:w="20" w:type="dxa"/>
            </w:tcMar>
            <w:vAlign w:val="bottom"/>
          </w:tcPr>
          <w:p w14:paraId="00BAF77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7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7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77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7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80" w14:textId="77777777" w:rsidR="00871BDF" w:rsidRDefault="005C5088">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left w:w="0" w:type="dxa"/>
              <w:bottom w:w="40" w:type="dxa"/>
              <w:right w:w="20" w:type="dxa"/>
            </w:tcMar>
            <w:vAlign w:val="bottom"/>
          </w:tcPr>
          <w:p w14:paraId="00BAF78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8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83"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784" w14:textId="77777777" w:rsidR="00871BDF" w:rsidRDefault="00871BDF">
            <w:pPr>
              <w:jc w:val="right"/>
              <w:rPr>
                <w:rFonts w:ascii="宋体"/>
              </w:rPr>
            </w:pPr>
          </w:p>
        </w:tc>
      </w:tr>
      <w:tr w:rsidR="00871BDF" w14:paraId="00BAF792" w14:textId="77777777">
        <w:tc>
          <w:tcPr>
            <w:tcW w:w="0" w:type="auto"/>
            <w:gridSpan w:val="3"/>
            <w:shd w:val="clear" w:color="auto" w:fill="FFFFFF"/>
            <w:tcMar>
              <w:top w:w="40" w:type="dxa"/>
              <w:left w:w="740" w:type="dxa"/>
              <w:bottom w:w="40" w:type="dxa"/>
              <w:right w:w="20" w:type="dxa"/>
            </w:tcMar>
          </w:tcPr>
          <w:p w14:paraId="00BAF786" w14:textId="77777777" w:rsidR="00871BDF" w:rsidRDefault="005C5088">
            <w:pPr>
              <w:textAlignment w:val="top"/>
            </w:pPr>
            <w:r>
              <w:rPr>
                <w:rFonts w:ascii="Times New Roman" w:eastAsia="宋体" w:hAnsi="Times New Roman"/>
                <w:color w:val="000000"/>
                <w:sz w:val="20"/>
                <w:szCs w:val="20"/>
              </w:rPr>
              <w:t>U.S. government treasury securities</w:t>
            </w:r>
          </w:p>
        </w:tc>
        <w:tc>
          <w:tcPr>
            <w:tcW w:w="0" w:type="auto"/>
            <w:gridSpan w:val="2"/>
            <w:shd w:val="clear" w:color="auto" w:fill="FFFFFF"/>
            <w:tcMar>
              <w:top w:w="40" w:type="dxa"/>
              <w:left w:w="20" w:type="dxa"/>
              <w:bottom w:w="40" w:type="dxa"/>
              <w:right w:w="0" w:type="dxa"/>
            </w:tcMar>
            <w:vAlign w:val="bottom"/>
          </w:tcPr>
          <w:p w14:paraId="00BAF787" w14:textId="77777777" w:rsidR="00871BDF" w:rsidRDefault="005C5088">
            <w:pPr>
              <w:jc w:val="right"/>
              <w:textAlignment w:val="bottom"/>
            </w:pPr>
            <w:r>
              <w:rPr>
                <w:rFonts w:ascii="Times New Roman" w:eastAsia="宋体" w:hAnsi="Times New Roman"/>
                <w:color w:val="000000"/>
                <w:sz w:val="20"/>
                <w:szCs w:val="20"/>
              </w:rPr>
              <w:t>106.5 </w:t>
            </w:r>
          </w:p>
        </w:tc>
        <w:tc>
          <w:tcPr>
            <w:tcW w:w="0" w:type="auto"/>
            <w:shd w:val="clear" w:color="auto" w:fill="FFFFFF"/>
            <w:tcMar>
              <w:top w:w="40" w:type="dxa"/>
              <w:left w:w="0" w:type="dxa"/>
              <w:bottom w:w="40" w:type="dxa"/>
              <w:right w:w="20" w:type="dxa"/>
            </w:tcMar>
            <w:vAlign w:val="bottom"/>
          </w:tcPr>
          <w:p w14:paraId="00BAF78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78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78A" w14:textId="77777777" w:rsidR="00871BDF" w:rsidRDefault="005C5088">
            <w:pPr>
              <w:jc w:val="right"/>
              <w:textAlignment w:val="bottom"/>
            </w:pPr>
            <w:r>
              <w:rPr>
                <w:rFonts w:ascii="Times New Roman" w:eastAsia="宋体" w:hAnsi="Times New Roman"/>
                <w:color w:val="000000"/>
                <w:sz w:val="20"/>
                <w:szCs w:val="20"/>
              </w:rPr>
              <w:t>106.5 </w:t>
            </w:r>
          </w:p>
        </w:tc>
        <w:tc>
          <w:tcPr>
            <w:tcW w:w="0" w:type="auto"/>
            <w:shd w:val="clear" w:color="auto" w:fill="FFFFFF"/>
            <w:tcMar>
              <w:top w:w="40" w:type="dxa"/>
              <w:left w:w="0" w:type="dxa"/>
              <w:bottom w:w="40" w:type="dxa"/>
              <w:right w:w="20" w:type="dxa"/>
            </w:tcMar>
            <w:vAlign w:val="bottom"/>
          </w:tcPr>
          <w:p w14:paraId="00BAF78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78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78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78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78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790"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791" w14:textId="77777777" w:rsidR="00871BDF" w:rsidRDefault="00871BDF">
            <w:pPr>
              <w:jc w:val="right"/>
              <w:rPr>
                <w:rFonts w:ascii="宋体"/>
              </w:rPr>
            </w:pPr>
          </w:p>
        </w:tc>
      </w:tr>
      <w:tr w:rsidR="00871BDF" w14:paraId="00BAF79F" w14:textId="77777777">
        <w:tc>
          <w:tcPr>
            <w:tcW w:w="0" w:type="auto"/>
            <w:gridSpan w:val="3"/>
            <w:shd w:val="clear" w:color="auto" w:fill="D7E4BC"/>
            <w:tcMar>
              <w:top w:w="40" w:type="dxa"/>
              <w:left w:w="20" w:type="dxa"/>
              <w:bottom w:w="40" w:type="dxa"/>
              <w:right w:w="20" w:type="dxa"/>
            </w:tcMar>
          </w:tcPr>
          <w:p w14:paraId="00BAF793" w14:textId="77777777" w:rsidR="00871BDF" w:rsidRDefault="005C5088">
            <w:pPr>
              <w:textAlignment w:val="top"/>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794" w14:textId="77777777" w:rsidR="00871BDF" w:rsidRDefault="005C5088">
            <w:pPr>
              <w:jc w:val="right"/>
              <w:textAlignment w:val="bottom"/>
            </w:pPr>
            <w:r>
              <w:rPr>
                <w:rFonts w:ascii="Times New Roman" w:eastAsia="宋体" w:hAnsi="Times New Roman"/>
                <w:color w:val="000000"/>
                <w:sz w:val="20"/>
                <w:szCs w:val="20"/>
              </w:rPr>
              <w:t>220.0 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79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96"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797" w14:textId="77777777" w:rsidR="00871BDF" w:rsidRDefault="005C5088">
            <w:pPr>
              <w:jc w:val="right"/>
              <w:textAlignment w:val="bottom"/>
            </w:pPr>
            <w:r>
              <w:rPr>
                <w:rFonts w:ascii="Times New Roman" w:eastAsia="宋体" w:hAnsi="Times New Roman"/>
                <w:color w:val="000000"/>
                <w:sz w:val="20"/>
                <w:szCs w:val="20"/>
              </w:rPr>
              <w:t>106.5 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79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99"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79A" w14:textId="77777777" w:rsidR="00871BDF" w:rsidRDefault="005C5088">
            <w:pPr>
              <w:jc w:val="right"/>
              <w:textAlignment w:val="bottom"/>
            </w:pPr>
            <w:r>
              <w:rPr>
                <w:rFonts w:ascii="Times New Roman" w:eastAsia="宋体" w:hAnsi="Times New Roman"/>
                <w:color w:val="000000"/>
                <w:sz w:val="20"/>
                <w:szCs w:val="20"/>
              </w:rPr>
              <w:t>107.7 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79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9C"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79D" w14:textId="77777777" w:rsidR="00871BDF" w:rsidRDefault="005C5088">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79E" w14:textId="77777777" w:rsidR="00871BDF" w:rsidRDefault="00871BDF">
            <w:pPr>
              <w:jc w:val="right"/>
              <w:rPr>
                <w:rFonts w:ascii="宋体"/>
              </w:rPr>
            </w:pPr>
          </w:p>
        </w:tc>
      </w:tr>
      <w:tr w:rsidR="00871BDF" w14:paraId="00BAF7A8" w14:textId="77777777">
        <w:tc>
          <w:tcPr>
            <w:tcW w:w="0" w:type="auto"/>
            <w:gridSpan w:val="3"/>
            <w:shd w:val="clear" w:color="auto" w:fill="FFFFFF"/>
            <w:tcMar>
              <w:top w:w="40" w:type="dxa"/>
              <w:left w:w="20" w:type="dxa"/>
              <w:bottom w:w="40" w:type="dxa"/>
              <w:right w:w="20" w:type="dxa"/>
            </w:tcMar>
          </w:tcPr>
          <w:p w14:paraId="00BAF7A0" w14:textId="77777777" w:rsidR="00871BDF" w:rsidRDefault="005C5088">
            <w:pPr>
              <w:textAlignment w:val="top"/>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tcPr>
          <w:p w14:paraId="00BAF7A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A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A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A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A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A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A7" w14:textId="77777777" w:rsidR="00871BDF" w:rsidRDefault="00871BDF">
            <w:pPr>
              <w:rPr>
                <w:rFonts w:ascii="宋体"/>
              </w:rPr>
            </w:pPr>
          </w:p>
        </w:tc>
      </w:tr>
      <w:tr w:rsidR="00871BDF" w14:paraId="00BAF7B5" w14:textId="77777777">
        <w:tc>
          <w:tcPr>
            <w:tcW w:w="0" w:type="auto"/>
            <w:gridSpan w:val="3"/>
            <w:shd w:val="clear" w:color="auto" w:fill="D7E4BC"/>
            <w:tcMar>
              <w:top w:w="40" w:type="dxa"/>
              <w:left w:w="380" w:type="dxa"/>
              <w:bottom w:w="40" w:type="dxa"/>
              <w:right w:w="20" w:type="dxa"/>
            </w:tcMar>
          </w:tcPr>
          <w:p w14:paraId="00BAF7A9" w14:textId="77777777" w:rsidR="00871BDF" w:rsidRDefault="005C5088">
            <w:pPr>
              <w:textAlignment w:val="top"/>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00BAF7AA" w14:textId="77777777" w:rsidR="00871BDF" w:rsidRDefault="005C5088">
            <w:pPr>
              <w:jc w:val="right"/>
              <w:textAlignment w:val="bottom"/>
            </w:pPr>
            <w:r>
              <w:rPr>
                <w:rFonts w:ascii="Times New Roman" w:eastAsia="宋体" w:hAnsi="Times New Roman"/>
                <w:color w:val="000000"/>
                <w:sz w:val="20"/>
                <w:szCs w:val="20"/>
              </w:rPr>
              <w:t>26.3 </w:t>
            </w:r>
          </w:p>
        </w:tc>
        <w:tc>
          <w:tcPr>
            <w:tcW w:w="0" w:type="auto"/>
            <w:shd w:val="clear" w:color="auto" w:fill="D7E4BC"/>
            <w:tcMar>
              <w:top w:w="40" w:type="dxa"/>
              <w:left w:w="0" w:type="dxa"/>
              <w:bottom w:w="40" w:type="dxa"/>
              <w:right w:w="20" w:type="dxa"/>
            </w:tcMar>
            <w:vAlign w:val="bottom"/>
          </w:tcPr>
          <w:p w14:paraId="00BAF7A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A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A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7A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A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B0" w14:textId="77777777" w:rsidR="00871BDF" w:rsidRDefault="005C5088">
            <w:pPr>
              <w:jc w:val="right"/>
              <w:textAlignment w:val="bottom"/>
            </w:pPr>
            <w:r>
              <w:rPr>
                <w:rFonts w:ascii="Times New Roman" w:eastAsia="宋体" w:hAnsi="Times New Roman"/>
                <w:color w:val="000000"/>
                <w:sz w:val="20"/>
                <w:szCs w:val="20"/>
              </w:rPr>
              <w:t>26.3 </w:t>
            </w:r>
          </w:p>
        </w:tc>
        <w:tc>
          <w:tcPr>
            <w:tcW w:w="0" w:type="auto"/>
            <w:shd w:val="clear" w:color="auto" w:fill="D7E4BC"/>
            <w:tcMar>
              <w:top w:w="40" w:type="dxa"/>
              <w:left w:w="0" w:type="dxa"/>
              <w:bottom w:w="40" w:type="dxa"/>
              <w:right w:w="20" w:type="dxa"/>
            </w:tcMar>
            <w:vAlign w:val="bottom"/>
          </w:tcPr>
          <w:p w14:paraId="00BAF7B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B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B3"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7B4" w14:textId="77777777" w:rsidR="00871BDF" w:rsidRDefault="00871BDF">
            <w:pPr>
              <w:jc w:val="right"/>
              <w:rPr>
                <w:rFonts w:ascii="宋体"/>
              </w:rPr>
            </w:pPr>
          </w:p>
        </w:tc>
      </w:tr>
      <w:tr w:rsidR="00871BDF" w14:paraId="00BAF7C6" w14:textId="77777777">
        <w:tc>
          <w:tcPr>
            <w:tcW w:w="0" w:type="auto"/>
            <w:gridSpan w:val="3"/>
            <w:shd w:val="clear" w:color="auto" w:fill="FFFFFF"/>
            <w:tcMar>
              <w:top w:w="40" w:type="dxa"/>
              <w:left w:w="20" w:type="dxa"/>
              <w:bottom w:w="40" w:type="dxa"/>
              <w:right w:w="20" w:type="dxa"/>
            </w:tcMar>
          </w:tcPr>
          <w:p w14:paraId="00BAF7B6" w14:textId="77777777" w:rsidR="00871BDF" w:rsidRDefault="005C5088">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00BAF7B7"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F7B8" w14:textId="77777777" w:rsidR="00871BDF" w:rsidRDefault="005C5088">
            <w:pPr>
              <w:jc w:val="right"/>
              <w:textAlignment w:val="bottom"/>
            </w:pPr>
            <w:r>
              <w:rPr>
                <w:rFonts w:ascii="Times New Roman" w:eastAsia="宋体" w:hAnsi="Times New Roman"/>
                <w:color w:val="000000"/>
                <w:sz w:val="20"/>
                <w:szCs w:val="20"/>
              </w:rPr>
              <w:t>3,016.0 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7B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7BA"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F7BB"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F7BC" w14:textId="77777777" w:rsidR="00871BDF" w:rsidRDefault="005C5088">
            <w:pPr>
              <w:jc w:val="right"/>
              <w:textAlignment w:val="bottom"/>
            </w:pPr>
            <w:r>
              <w:rPr>
                <w:rFonts w:ascii="Times New Roman" w:eastAsia="宋体" w:hAnsi="Times New Roman"/>
                <w:color w:val="000000"/>
                <w:sz w:val="20"/>
                <w:szCs w:val="20"/>
              </w:rPr>
              <w:t>2,859.6 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7B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7BE"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F7BF"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F7C0" w14:textId="77777777" w:rsidR="00871BDF" w:rsidRDefault="005C5088">
            <w:pPr>
              <w:jc w:val="right"/>
              <w:textAlignment w:val="bottom"/>
            </w:pPr>
            <w:r>
              <w:rPr>
                <w:rFonts w:ascii="Times New Roman" w:eastAsia="宋体" w:hAnsi="Times New Roman"/>
                <w:color w:val="000000"/>
                <w:sz w:val="20"/>
                <w:szCs w:val="20"/>
              </w:rPr>
              <w:t>150.6 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7C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7C2"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AF7C3"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AF7C4" w14:textId="77777777" w:rsidR="00871BDF" w:rsidRDefault="005C5088">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7C5" w14:textId="77777777" w:rsidR="00871BDF" w:rsidRDefault="00871BDF">
            <w:pPr>
              <w:jc w:val="right"/>
              <w:rPr>
                <w:rFonts w:ascii="宋体"/>
              </w:rPr>
            </w:pPr>
          </w:p>
        </w:tc>
      </w:tr>
      <w:tr w:rsidR="00871BDF" w14:paraId="00BAF7CF" w14:textId="77777777">
        <w:tc>
          <w:tcPr>
            <w:tcW w:w="0" w:type="auto"/>
            <w:gridSpan w:val="3"/>
            <w:shd w:val="clear" w:color="auto" w:fill="D7E4BC"/>
            <w:tcMar>
              <w:top w:w="40" w:type="dxa"/>
              <w:left w:w="20" w:type="dxa"/>
              <w:bottom w:w="40" w:type="dxa"/>
              <w:right w:w="20" w:type="dxa"/>
            </w:tcMar>
          </w:tcPr>
          <w:p w14:paraId="00BAF7C7" w14:textId="77777777" w:rsidR="00871BDF" w:rsidRDefault="005C5088">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D7E4BC"/>
            <w:tcMar>
              <w:top w:w="0" w:type="dxa"/>
              <w:left w:w="20" w:type="dxa"/>
              <w:bottom w:w="0" w:type="dxa"/>
              <w:right w:w="20" w:type="dxa"/>
            </w:tcMar>
          </w:tcPr>
          <w:p w14:paraId="00BAF7C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7C9" w14:textId="77777777" w:rsidR="00871BDF" w:rsidRDefault="00871BDF">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00BAF7C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7CB" w14:textId="77777777" w:rsidR="00871BDF" w:rsidRDefault="00871BDF">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00BAF7C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7CD" w14:textId="77777777" w:rsidR="00871BDF" w:rsidRDefault="00871BDF">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00BAF7CE" w14:textId="77777777" w:rsidR="00871BDF" w:rsidRDefault="00871BDF">
            <w:pPr>
              <w:rPr>
                <w:rFonts w:ascii="宋体"/>
              </w:rPr>
            </w:pPr>
          </w:p>
        </w:tc>
      </w:tr>
      <w:tr w:rsidR="00871BDF" w14:paraId="00BAF7D8" w14:textId="77777777">
        <w:tc>
          <w:tcPr>
            <w:tcW w:w="0" w:type="auto"/>
            <w:gridSpan w:val="3"/>
            <w:shd w:val="clear" w:color="auto" w:fill="FFFFFF"/>
            <w:tcMar>
              <w:top w:w="40" w:type="dxa"/>
              <w:left w:w="20" w:type="dxa"/>
              <w:bottom w:w="40" w:type="dxa"/>
              <w:right w:w="20" w:type="dxa"/>
            </w:tcMar>
            <w:vAlign w:val="bottom"/>
          </w:tcPr>
          <w:p w14:paraId="00BAF7D0" w14:textId="77777777" w:rsidR="00871BDF" w:rsidRDefault="005C5088">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tcPr>
          <w:p w14:paraId="00BAF7D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D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D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D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D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D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D7" w14:textId="77777777" w:rsidR="00871BDF" w:rsidRDefault="00871BDF">
            <w:pPr>
              <w:rPr>
                <w:rFonts w:ascii="宋体"/>
              </w:rPr>
            </w:pPr>
          </w:p>
        </w:tc>
      </w:tr>
      <w:tr w:rsidR="00871BDF" w14:paraId="00BAF7E9" w14:textId="77777777">
        <w:tc>
          <w:tcPr>
            <w:tcW w:w="0" w:type="auto"/>
            <w:gridSpan w:val="3"/>
            <w:shd w:val="clear" w:color="auto" w:fill="D7E4BC"/>
            <w:tcMar>
              <w:top w:w="40" w:type="dxa"/>
              <w:left w:w="380" w:type="dxa"/>
              <w:bottom w:w="40" w:type="dxa"/>
              <w:right w:w="20" w:type="dxa"/>
            </w:tcMar>
            <w:vAlign w:val="bottom"/>
          </w:tcPr>
          <w:p w14:paraId="00BAF7D9" w14:textId="77777777" w:rsidR="00871BDF" w:rsidRDefault="005C5088">
            <w:pPr>
              <w:textAlignment w:val="bottom"/>
            </w:pPr>
            <w:r>
              <w:rPr>
                <w:rFonts w:ascii="Times New Roman" w:eastAsia="宋体" w:hAnsi="Times New Roman"/>
                <w:color w:val="000000"/>
                <w:sz w:val="20"/>
                <w:szCs w:val="20"/>
              </w:rPr>
              <w:t>Derivative liabilities</w:t>
            </w:r>
          </w:p>
        </w:tc>
        <w:tc>
          <w:tcPr>
            <w:tcW w:w="0" w:type="auto"/>
            <w:shd w:val="clear" w:color="auto" w:fill="D7E4BC"/>
            <w:tcMar>
              <w:top w:w="40" w:type="dxa"/>
              <w:left w:w="20" w:type="dxa"/>
              <w:bottom w:w="40" w:type="dxa"/>
              <w:right w:w="0" w:type="dxa"/>
            </w:tcMar>
            <w:vAlign w:val="bottom"/>
          </w:tcPr>
          <w:p w14:paraId="00BAF7DA"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F7DB" w14:textId="77777777" w:rsidR="00871BDF" w:rsidRDefault="005C5088">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00BAF7D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DD"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F7DE"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F7DF" w14:textId="77777777" w:rsidR="00871BDF" w:rsidRDefault="005C5088">
            <w:pPr>
              <w:jc w:val="right"/>
              <w:textAlignment w:val="bottom"/>
            </w:pPr>
            <w:r>
              <w:rPr>
                <w:rFonts w:ascii="Times New Roman" w:eastAsia="宋体" w:hAnsi="Times New Roman"/>
                <w:color w:val="000000"/>
                <w:sz w:val="20"/>
                <w:szCs w:val="20"/>
              </w:rPr>
              <w:t>1.1 </w:t>
            </w:r>
          </w:p>
        </w:tc>
        <w:tc>
          <w:tcPr>
            <w:tcW w:w="0" w:type="auto"/>
            <w:shd w:val="clear" w:color="auto" w:fill="D7E4BC"/>
            <w:tcMar>
              <w:top w:w="40" w:type="dxa"/>
              <w:left w:w="0" w:type="dxa"/>
              <w:bottom w:w="40" w:type="dxa"/>
              <w:right w:w="20" w:type="dxa"/>
            </w:tcMar>
            <w:vAlign w:val="bottom"/>
          </w:tcPr>
          <w:p w14:paraId="00BAF7E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E1"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F7E2"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F7E3" w14:textId="77777777" w:rsidR="00871BDF" w:rsidRDefault="005C5088">
            <w:pPr>
              <w:jc w:val="right"/>
              <w:textAlignment w:val="bottom"/>
            </w:pPr>
            <w:r>
              <w:rPr>
                <w:rFonts w:ascii="Times New Roman" w:eastAsia="宋体" w:hAnsi="Times New Roman"/>
                <w:color w:val="000000"/>
                <w:sz w:val="20"/>
                <w:szCs w:val="20"/>
              </w:rPr>
              <w:t>4.6 </w:t>
            </w:r>
          </w:p>
        </w:tc>
        <w:tc>
          <w:tcPr>
            <w:tcW w:w="0" w:type="auto"/>
            <w:shd w:val="clear" w:color="auto" w:fill="D7E4BC"/>
            <w:tcMar>
              <w:top w:w="40" w:type="dxa"/>
              <w:left w:w="0" w:type="dxa"/>
              <w:bottom w:w="40" w:type="dxa"/>
              <w:right w:w="20" w:type="dxa"/>
            </w:tcMar>
            <w:vAlign w:val="bottom"/>
          </w:tcPr>
          <w:p w14:paraId="00BAF7E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E5"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F7E6"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F7E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7E8" w14:textId="77777777" w:rsidR="00871BDF" w:rsidRDefault="00871BDF">
            <w:pPr>
              <w:jc w:val="right"/>
              <w:rPr>
                <w:rFonts w:ascii="宋体"/>
              </w:rPr>
            </w:pPr>
          </w:p>
        </w:tc>
      </w:tr>
      <w:tr w:rsidR="00871BDF" w14:paraId="00BAF7F2" w14:textId="77777777">
        <w:tc>
          <w:tcPr>
            <w:tcW w:w="0" w:type="auto"/>
            <w:gridSpan w:val="3"/>
            <w:shd w:val="clear" w:color="auto" w:fill="FFFFFF"/>
            <w:tcMar>
              <w:top w:w="40" w:type="dxa"/>
              <w:left w:w="20" w:type="dxa"/>
              <w:bottom w:w="40" w:type="dxa"/>
              <w:right w:w="20" w:type="dxa"/>
            </w:tcMar>
            <w:vAlign w:val="bottom"/>
          </w:tcPr>
          <w:p w14:paraId="00BAF7EA" w14:textId="77777777" w:rsidR="00871BDF" w:rsidRDefault="005C5088">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tcPr>
          <w:p w14:paraId="00BAF7E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E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E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E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E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F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7F1" w14:textId="77777777" w:rsidR="00871BDF" w:rsidRDefault="00871BDF">
            <w:pPr>
              <w:rPr>
                <w:rFonts w:ascii="宋体"/>
              </w:rPr>
            </w:pPr>
          </w:p>
        </w:tc>
      </w:tr>
      <w:tr w:rsidR="00871BDF" w14:paraId="00BAF7FF" w14:textId="77777777">
        <w:tc>
          <w:tcPr>
            <w:tcW w:w="0" w:type="auto"/>
            <w:gridSpan w:val="3"/>
            <w:shd w:val="clear" w:color="auto" w:fill="D7E4BC"/>
            <w:tcMar>
              <w:top w:w="40" w:type="dxa"/>
              <w:left w:w="380" w:type="dxa"/>
              <w:bottom w:w="40" w:type="dxa"/>
              <w:right w:w="20" w:type="dxa"/>
            </w:tcMar>
            <w:vAlign w:val="bottom"/>
          </w:tcPr>
          <w:p w14:paraId="00BAF7F3" w14:textId="77777777" w:rsidR="00871BDF" w:rsidRDefault="005C5088">
            <w:pPr>
              <w:textAlignment w:val="bottom"/>
            </w:pPr>
            <w:r>
              <w:rPr>
                <w:rFonts w:ascii="Times New Roman" w:eastAsia="宋体" w:hAnsi="Times New Roman"/>
                <w:color w:val="000000"/>
                <w:sz w:val="20"/>
                <w:szCs w:val="20"/>
              </w:rPr>
              <w:t>Derivative liabilities</w:t>
            </w:r>
          </w:p>
        </w:tc>
        <w:tc>
          <w:tcPr>
            <w:tcW w:w="0" w:type="auto"/>
            <w:gridSpan w:val="2"/>
            <w:shd w:val="clear" w:color="auto" w:fill="D7E4BC"/>
            <w:tcMar>
              <w:top w:w="40" w:type="dxa"/>
              <w:left w:w="20" w:type="dxa"/>
              <w:bottom w:w="40" w:type="dxa"/>
              <w:right w:w="0" w:type="dxa"/>
            </w:tcMar>
            <w:vAlign w:val="bottom"/>
          </w:tcPr>
          <w:p w14:paraId="00BAF7F4" w14:textId="77777777" w:rsidR="00871BDF" w:rsidRDefault="005C5088">
            <w:pPr>
              <w:jc w:val="right"/>
              <w:textAlignment w:val="bottom"/>
            </w:pPr>
            <w:r>
              <w:rPr>
                <w:rFonts w:ascii="Times New Roman" w:eastAsia="宋体" w:hAnsi="Times New Roman"/>
                <w:color w:val="000000"/>
                <w:sz w:val="20"/>
                <w:szCs w:val="20"/>
              </w:rPr>
              <w:t>12.5 </w:t>
            </w:r>
          </w:p>
        </w:tc>
        <w:tc>
          <w:tcPr>
            <w:tcW w:w="0" w:type="auto"/>
            <w:shd w:val="clear" w:color="auto" w:fill="D7E4BC"/>
            <w:tcMar>
              <w:top w:w="40" w:type="dxa"/>
              <w:left w:w="0" w:type="dxa"/>
              <w:bottom w:w="40" w:type="dxa"/>
              <w:right w:w="20" w:type="dxa"/>
            </w:tcMar>
            <w:vAlign w:val="bottom"/>
          </w:tcPr>
          <w:p w14:paraId="00BAF7F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F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F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7F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F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FA" w14:textId="77777777" w:rsidR="00871BDF" w:rsidRDefault="005C5088">
            <w:pPr>
              <w:jc w:val="right"/>
              <w:textAlignment w:val="bottom"/>
            </w:pPr>
            <w:r>
              <w:rPr>
                <w:rFonts w:ascii="Times New Roman" w:eastAsia="宋体" w:hAnsi="Times New Roman"/>
                <w:color w:val="000000"/>
                <w:sz w:val="20"/>
                <w:szCs w:val="20"/>
              </w:rPr>
              <w:t>12.5 </w:t>
            </w:r>
          </w:p>
        </w:tc>
        <w:tc>
          <w:tcPr>
            <w:tcW w:w="0" w:type="auto"/>
            <w:shd w:val="clear" w:color="auto" w:fill="D7E4BC"/>
            <w:tcMar>
              <w:top w:w="40" w:type="dxa"/>
              <w:left w:w="0" w:type="dxa"/>
              <w:bottom w:w="40" w:type="dxa"/>
              <w:right w:w="20" w:type="dxa"/>
            </w:tcMar>
            <w:vAlign w:val="bottom"/>
          </w:tcPr>
          <w:p w14:paraId="00BAF7F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7F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7F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7FE" w14:textId="77777777" w:rsidR="00871BDF" w:rsidRDefault="00871BDF">
            <w:pPr>
              <w:jc w:val="right"/>
              <w:rPr>
                <w:rFonts w:ascii="宋体"/>
              </w:rPr>
            </w:pPr>
          </w:p>
        </w:tc>
      </w:tr>
      <w:tr w:rsidR="00871BDF" w14:paraId="00BAF810" w14:textId="77777777">
        <w:tc>
          <w:tcPr>
            <w:tcW w:w="0" w:type="auto"/>
            <w:gridSpan w:val="3"/>
            <w:shd w:val="clear" w:color="auto" w:fill="FFFFFF"/>
            <w:tcMar>
              <w:top w:w="40" w:type="dxa"/>
              <w:left w:w="20" w:type="dxa"/>
              <w:bottom w:w="40" w:type="dxa"/>
              <w:right w:w="20" w:type="dxa"/>
            </w:tcMar>
          </w:tcPr>
          <w:p w14:paraId="00BAF800" w14:textId="77777777" w:rsidR="00871BDF" w:rsidRDefault="005C5088">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80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802" w14:textId="77777777" w:rsidR="00871BDF" w:rsidRDefault="005C5088">
            <w:pPr>
              <w:jc w:val="right"/>
              <w:textAlignment w:val="bottom"/>
            </w:pPr>
            <w:r>
              <w:rPr>
                <w:rFonts w:ascii="Times New Roman" w:eastAsia="宋体" w:hAnsi="Times New Roman"/>
                <w:color w:val="000000"/>
                <w:sz w:val="20"/>
                <w:szCs w:val="20"/>
              </w:rPr>
              <w:t>18.2 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80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804"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80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806" w14:textId="77777777" w:rsidR="00871BDF" w:rsidRDefault="005C5088">
            <w:pPr>
              <w:jc w:val="right"/>
              <w:textAlignment w:val="bottom"/>
            </w:pPr>
            <w:r>
              <w:rPr>
                <w:rFonts w:ascii="Times New Roman" w:eastAsia="宋体" w:hAnsi="Times New Roman"/>
                <w:color w:val="000000"/>
                <w:sz w:val="20"/>
                <w:szCs w:val="20"/>
              </w:rPr>
              <w:t>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80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808"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80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80A" w14:textId="77777777" w:rsidR="00871BDF" w:rsidRDefault="005C5088">
            <w:pPr>
              <w:jc w:val="right"/>
              <w:textAlignment w:val="bottom"/>
            </w:pPr>
            <w:r>
              <w:rPr>
                <w:rFonts w:ascii="Times New Roman" w:eastAsia="宋体" w:hAnsi="Times New Roman"/>
                <w:color w:val="000000"/>
                <w:sz w:val="20"/>
                <w:szCs w:val="20"/>
              </w:rPr>
              <w:t>17.1 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80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80C"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80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80E" w14:textId="77777777" w:rsidR="00871BDF" w:rsidRDefault="005C5088">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80F" w14:textId="77777777" w:rsidR="00871BDF" w:rsidRDefault="00871BDF">
            <w:pPr>
              <w:jc w:val="right"/>
              <w:rPr>
                <w:rFonts w:ascii="宋体"/>
              </w:rPr>
            </w:pPr>
          </w:p>
        </w:tc>
      </w:tr>
    </w:tbl>
    <w:p w14:paraId="00BAF811" w14:textId="77777777" w:rsidR="00871BDF" w:rsidRDefault="005C5088">
      <w:pPr>
        <w:spacing w:before="120"/>
      </w:pPr>
      <w:r>
        <w:rPr>
          <w:rFonts w:ascii="Times New Roman" w:eastAsia="宋体" w:hAnsi="Times New Roman"/>
          <w:color w:val="000000"/>
          <w:sz w:val="20"/>
          <w:szCs w:val="20"/>
        </w:rPr>
        <w:t xml:space="preserve">There were no </w:t>
      </w:r>
      <w:r>
        <w:rPr>
          <w:rFonts w:ascii="Times New Roman" w:eastAsia="宋体" w:hAnsi="Times New Roman"/>
          <w:color w:val="000000"/>
          <w:sz w:val="20"/>
          <w:szCs w:val="20"/>
        </w:rPr>
        <w:t>material transfers between levels and there was no significant activity within Level 3 instruments during the periods presented. The fair values of any financial instruments presented above exclude the impact of netting assets and liabilities when a legall</w:t>
      </w:r>
      <w:r>
        <w:rPr>
          <w:rFonts w:ascii="Times New Roman" w:eastAsia="宋体" w:hAnsi="Times New Roman"/>
          <w:color w:val="000000"/>
          <w:sz w:val="20"/>
          <w:szCs w:val="20"/>
        </w:rPr>
        <w:t>y enforceable master netting agreement exists.</w:t>
      </w:r>
    </w:p>
    <w:p w14:paraId="00BAF812" w14:textId="77777777" w:rsidR="00871BDF" w:rsidRDefault="005C5088">
      <w:pPr>
        <w:spacing w:before="120"/>
      </w:pPr>
      <w:r>
        <w:rPr>
          <w:rFonts w:ascii="Times New Roman" w:eastAsia="宋体" w:hAnsi="Times New Roman"/>
          <w:b/>
          <w:bCs/>
          <w:i/>
          <w:iCs/>
          <w:color w:val="000000"/>
          <w:sz w:val="20"/>
          <w:szCs w:val="20"/>
        </w:rPr>
        <w:t>Available-for-sale Debt Securities</w:t>
      </w:r>
    </w:p>
    <w:p w14:paraId="00BAF813" w14:textId="77777777" w:rsidR="00871BDF" w:rsidRDefault="005C5088">
      <w:pPr>
        <w:spacing w:before="120"/>
      </w:pPr>
      <w:r>
        <w:rPr>
          <w:rFonts w:ascii="Times New Roman" w:eastAsia="宋体" w:hAnsi="Times New Roman"/>
          <w:color w:val="000000"/>
          <w:sz w:val="20"/>
          <w:szCs w:val="20"/>
        </w:rPr>
        <w:t xml:space="preserve">Long-term investments generally mature within 4 years. Proceeds from sales of securities were $177.4 million, $291.1 million and $459.0 million for fiscal 2020, 2019 and </w:t>
      </w:r>
      <w:r>
        <w:rPr>
          <w:rFonts w:ascii="Times New Roman" w:eastAsia="宋体" w:hAnsi="Times New Roman"/>
          <w:color w:val="000000"/>
          <w:sz w:val="20"/>
          <w:szCs w:val="20"/>
        </w:rPr>
        <w:t>2018, respectively. Realized gains and losses were not material for fiscal 2020, 2019 and 2018. Gross unrealized holding gains and losses were not material as of September 27, 2020 and September 29, 2019.</w:t>
      </w:r>
    </w:p>
    <w:p w14:paraId="00BAF814" w14:textId="77777777" w:rsidR="00871BDF" w:rsidRDefault="005C5088">
      <w:pPr>
        <w:spacing w:before="120"/>
      </w:pPr>
      <w:r>
        <w:rPr>
          <w:rFonts w:ascii="Times New Roman" w:eastAsia="宋体" w:hAnsi="Times New Roman"/>
          <w:b/>
          <w:bCs/>
          <w:i/>
          <w:iCs/>
          <w:color w:val="000000"/>
          <w:sz w:val="20"/>
          <w:szCs w:val="20"/>
        </w:rPr>
        <w:t>Marketable Equity Securities</w:t>
      </w:r>
    </w:p>
    <w:p w14:paraId="00BAF815" w14:textId="77777777" w:rsidR="00871BDF" w:rsidRDefault="005C5088">
      <w:pPr>
        <w:spacing w:before="120"/>
      </w:pPr>
      <w:r>
        <w:rPr>
          <w:rFonts w:ascii="Times New Roman" w:eastAsia="宋体" w:hAnsi="Times New Roman"/>
          <w:color w:val="000000"/>
          <w:sz w:val="20"/>
          <w:szCs w:val="20"/>
        </w:rPr>
        <w:t>Marketable equity secu</w:t>
      </w:r>
      <w:r>
        <w:rPr>
          <w:rFonts w:ascii="Times New Roman" w:eastAsia="宋体" w:hAnsi="Times New Roman"/>
          <w:color w:val="000000"/>
          <w:sz w:val="20"/>
          <w:szCs w:val="20"/>
        </w:rPr>
        <w:t>rities include equity mutual funds and exchange-traded funds. Our marketable equity securities portfolio approximates a portion of our liability under our MDCP, a defined contribution plan. Our MDCP liability was $91.4 million and $92.1 million as of Septe</w:t>
      </w:r>
      <w:r>
        <w:rPr>
          <w:rFonts w:ascii="Times New Roman" w:eastAsia="宋体" w:hAnsi="Times New Roman"/>
          <w:color w:val="000000"/>
          <w:sz w:val="20"/>
          <w:szCs w:val="20"/>
        </w:rPr>
        <w:t>mber 27, 2020 and September 29, 2019, respectively. The changes in net unrealized holding gains and losses in the marketable equity securities portfolio included in earnings for fiscal 2020, 2019 and 2018 were not material. Gross unrealized holding gains a</w:t>
      </w:r>
      <w:r>
        <w:rPr>
          <w:rFonts w:ascii="Times New Roman" w:eastAsia="宋体" w:hAnsi="Times New Roman"/>
          <w:color w:val="000000"/>
          <w:sz w:val="20"/>
          <w:szCs w:val="20"/>
        </w:rPr>
        <w:t>nd losses on marketable equity securities were not material as of September 27, 2020 and September 29, 2019.</w:t>
      </w:r>
    </w:p>
    <w:p w14:paraId="00BAF816" w14:textId="77777777" w:rsidR="00871BDF" w:rsidRDefault="005C5088">
      <w:pPr>
        <w:spacing w:before="120"/>
      </w:pPr>
      <w:r>
        <w:rPr>
          <w:rFonts w:ascii="Times New Roman" w:eastAsia="宋体" w:hAnsi="Times New Roman"/>
          <w:b/>
          <w:bCs/>
          <w:i/>
          <w:iCs/>
          <w:color w:val="000000"/>
          <w:sz w:val="20"/>
          <w:szCs w:val="20"/>
        </w:rPr>
        <w:t>Derivative Assets and Liabilities</w:t>
      </w:r>
    </w:p>
    <w:p w14:paraId="00BAF817" w14:textId="77777777" w:rsidR="00871BDF" w:rsidRDefault="005C5088">
      <w:pPr>
        <w:spacing w:before="120"/>
      </w:pPr>
      <w:r>
        <w:rPr>
          <w:rFonts w:ascii="Times New Roman" w:eastAsia="宋体" w:hAnsi="Times New Roman"/>
          <w:color w:val="000000"/>
          <w:sz w:val="20"/>
          <w:szCs w:val="20"/>
        </w:rPr>
        <w:t>Derivative assets and liabilities include foreign currency forward contracts, commodity futures contracts, collar</w:t>
      </w:r>
      <w:r>
        <w:rPr>
          <w:rFonts w:ascii="Times New Roman" w:eastAsia="宋体" w:hAnsi="Times New Roman"/>
          <w:color w:val="000000"/>
          <w:sz w:val="20"/>
          <w:szCs w:val="20"/>
        </w:rPr>
        <w:t xml:space="preserve">s and swaps, which are described further in </w:t>
      </w:r>
      <w:hyperlink r:id="rId204" w:anchor="i54ccc64cb5384be5a4849ef1cdef4dde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w:t>
      </w:r>
    </w:p>
    <w:p w14:paraId="00BAF818" w14:textId="77777777" w:rsidR="00871BDF" w:rsidRDefault="005C5088">
      <w:pPr>
        <w:jc w:val="center"/>
      </w:pPr>
      <w:r>
        <w:rPr>
          <w:rFonts w:ascii="Times New Roman" w:eastAsia="宋体" w:hAnsi="Times New Roman"/>
          <w:color w:val="000000"/>
          <w:sz w:val="20"/>
          <w:szCs w:val="20"/>
        </w:rPr>
        <w:t>70</w:t>
      </w:r>
    </w:p>
    <w:p w14:paraId="00BAF819" w14:textId="77777777" w:rsidR="00871BDF" w:rsidRDefault="005C5088">
      <w:r>
        <w:pict w14:anchorId="00BB14AB">
          <v:rect id="_x0000_i1097" style="width:415.3pt;height:1.5pt" o:hralign="center" o:hrstd="t" o:hr="t" fillcolor="#a0a0a0" stroked="f"/>
        </w:pict>
      </w:r>
    </w:p>
    <w:p w14:paraId="00BAF81A" w14:textId="77777777" w:rsidR="00871BDF" w:rsidRDefault="005C5088">
      <w:hyperlink r:id="rId205" w:anchor="i54ccc64cb5384be5a4849ef1cdef4dde_7" w:history="1">
        <w:r>
          <w:rPr>
            <w:rStyle w:val="a5"/>
            <w:rFonts w:ascii="Times New Roman" w:eastAsia="宋体" w:hAnsi="Times New Roman"/>
            <w:sz w:val="20"/>
            <w:szCs w:val="20"/>
          </w:rPr>
          <w:t>Table of Contents</w:t>
        </w:r>
      </w:hyperlink>
    </w:p>
    <w:p w14:paraId="00BAF81B" w14:textId="77777777" w:rsidR="00871BDF" w:rsidRDefault="005C5088">
      <w:pPr>
        <w:spacing w:before="120"/>
      </w:pPr>
      <w:r>
        <w:rPr>
          <w:rFonts w:ascii="Times New Roman" w:eastAsia="宋体" w:hAnsi="Times New Roman"/>
          <w:b/>
          <w:bCs/>
          <w:i/>
          <w:iCs/>
          <w:color w:val="000000"/>
          <w:sz w:val="20"/>
          <w:szCs w:val="20"/>
        </w:rPr>
        <w:t>Assets and Liabilities Measured at Fair Value on a Nonrecurring Basis</w:t>
      </w:r>
    </w:p>
    <w:p w14:paraId="00BAF81C" w14:textId="77777777" w:rsidR="00871BDF" w:rsidRDefault="005C5088">
      <w:pPr>
        <w:spacing w:before="120"/>
      </w:pPr>
      <w:r>
        <w:rPr>
          <w:rFonts w:ascii="Times New Roman" w:eastAsia="宋体" w:hAnsi="Times New Roman"/>
          <w:color w:val="000000"/>
          <w:sz w:val="20"/>
          <w:szCs w:val="20"/>
        </w:rPr>
        <w:t>Assets and liabilities r</w:t>
      </w:r>
      <w:r>
        <w:rPr>
          <w:rFonts w:ascii="Times New Roman" w:eastAsia="宋体" w:hAnsi="Times New Roman"/>
          <w:color w:val="000000"/>
          <w:sz w:val="20"/>
          <w:szCs w:val="20"/>
        </w:rPr>
        <w:t xml:space="preserve">ecognized or disclosed at fair value on a nonrecurring basis include items such as property, plant and equipment, goodwill and other intangible assets, equity and other investments and other assets. These assets are measured at fair value if determined to </w:t>
      </w:r>
      <w:r>
        <w:rPr>
          <w:rFonts w:ascii="Times New Roman" w:eastAsia="宋体" w:hAnsi="Times New Roman"/>
          <w:color w:val="000000"/>
          <w:sz w:val="20"/>
          <w:szCs w:val="20"/>
        </w:rPr>
        <w:t xml:space="preserve">be impaired. Impairment of property, plant and equipment and ROU assets is included in </w:t>
      </w:r>
      <w:hyperlink r:id="rId206" w:anchor="i54ccc64cb5384be5a4849ef1cdef4dde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w:t>
      </w:r>
      <w:r>
        <w:rPr>
          <w:rFonts w:ascii="Times New Roman" w:eastAsia="宋体" w:hAnsi="Times New Roman"/>
          <w:color w:val="000000"/>
          <w:sz w:val="20"/>
          <w:szCs w:val="20"/>
        </w:rPr>
        <w:t xml:space="preserve">y of Significant Accounting Policies. </w:t>
      </w:r>
    </w:p>
    <w:p w14:paraId="00BAF81D" w14:textId="77777777" w:rsidR="00871BDF" w:rsidRDefault="005C5088">
      <w:pPr>
        <w:spacing w:before="120"/>
      </w:pPr>
      <w:r>
        <w:rPr>
          <w:rFonts w:ascii="Times New Roman" w:eastAsia="宋体" w:hAnsi="Times New Roman"/>
          <w:color w:val="000000"/>
          <w:sz w:val="20"/>
          <w:szCs w:val="20"/>
        </w:rPr>
        <w:t xml:space="preserve">Other than the impairments discussed in </w:t>
      </w:r>
      <w:hyperlink r:id="rId207" w:anchor="i54ccc64cb5384be5a4849ef1cdef4dde_160"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Other Intangib</w:t>
      </w:r>
      <w:r>
        <w:rPr>
          <w:rFonts w:ascii="Times New Roman" w:eastAsia="宋体" w:hAnsi="Times New Roman"/>
          <w:color w:val="000000"/>
          <w:sz w:val="20"/>
          <w:szCs w:val="20"/>
        </w:rPr>
        <w:t>le Assets and Goodwill, and the aforementioned fair value adjustments, there were no other material fair value adjustments during fiscal 2020 and 2019.</w:t>
      </w:r>
    </w:p>
    <w:p w14:paraId="00BAF81E" w14:textId="77777777" w:rsidR="00871BDF" w:rsidRDefault="005C5088">
      <w:pPr>
        <w:spacing w:before="120"/>
      </w:pPr>
      <w:r>
        <w:rPr>
          <w:rFonts w:ascii="Times New Roman" w:eastAsia="宋体" w:hAnsi="Times New Roman"/>
          <w:b/>
          <w:bCs/>
          <w:i/>
          <w:iCs/>
          <w:color w:val="000000"/>
          <w:sz w:val="20"/>
          <w:szCs w:val="20"/>
        </w:rPr>
        <w:t>Fair Value of Other Financial Instruments</w:t>
      </w:r>
    </w:p>
    <w:p w14:paraId="00BAF81F" w14:textId="77777777" w:rsidR="00871BDF" w:rsidRDefault="005C5088">
      <w:pPr>
        <w:spacing w:before="120"/>
      </w:pPr>
      <w:r>
        <w:rPr>
          <w:rFonts w:ascii="Times New Roman" w:eastAsia="宋体" w:hAnsi="Times New Roman"/>
          <w:color w:val="000000"/>
          <w:sz w:val="20"/>
          <w:szCs w:val="20"/>
        </w:rPr>
        <w:t>The estimated fair value of our long-term debt based on the qu</w:t>
      </w:r>
      <w:r>
        <w:rPr>
          <w:rFonts w:ascii="Times New Roman" w:eastAsia="宋体" w:hAnsi="Times New Roman"/>
          <w:color w:val="000000"/>
          <w:sz w:val="20"/>
          <w:szCs w:val="20"/>
        </w:rPr>
        <w:t xml:space="preserve">oted market price (Level 2) is included at </w:t>
      </w:r>
      <w:hyperlink r:id="rId208" w:anchor="i54ccc64cb5384be5a4849ef1cdef4dde_163"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Debt.</w:t>
      </w:r>
    </w:p>
    <w:p w14:paraId="00BAF820" w14:textId="77777777" w:rsidR="00871BDF" w:rsidRDefault="005C5088">
      <w:pPr>
        <w:spacing w:before="120"/>
      </w:pPr>
      <w:r>
        <w:rPr>
          <w:rFonts w:ascii="Times New Roman" w:eastAsia="宋体" w:hAnsi="Times New Roman"/>
          <w:b/>
          <w:bCs/>
          <w:color w:val="000000"/>
          <w:sz w:val="20"/>
          <w:szCs w:val="20"/>
        </w:rPr>
        <w:t>Note 5:    Inventories</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(in </w:t>
      </w:r>
      <w:r>
        <w:rPr>
          <w:rFonts w:ascii="Times New Roman" w:eastAsia="宋体" w:hAnsi="Times New Roman"/>
          <w:i/>
          <w:iCs/>
          <w:color w:val="000000"/>
          <w:sz w:val="20"/>
          <w:szCs w:val="20"/>
        </w:rPr>
        <w:t>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388"/>
        <w:gridCol w:w="36"/>
        <w:gridCol w:w="120"/>
        <w:gridCol w:w="1231"/>
        <w:gridCol w:w="36"/>
        <w:gridCol w:w="36"/>
        <w:gridCol w:w="36"/>
        <w:gridCol w:w="36"/>
        <w:gridCol w:w="120"/>
        <w:gridCol w:w="1196"/>
        <w:gridCol w:w="36"/>
      </w:tblGrid>
      <w:tr w:rsidR="00871BDF" w14:paraId="00BAF82D" w14:textId="77777777">
        <w:tc>
          <w:tcPr>
            <w:tcW w:w="50" w:type="pct"/>
            <w:shd w:val="clear" w:color="auto" w:fill="auto"/>
          </w:tcPr>
          <w:p w14:paraId="00BAF821" w14:textId="77777777" w:rsidR="00871BDF" w:rsidRDefault="00871BDF">
            <w:pPr>
              <w:rPr>
                <w:rFonts w:ascii="宋体"/>
              </w:rPr>
            </w:pPr>
          </w:p>
        </w:tc>
        <w:tc>
          <w:tcPr>
            <w:tcW w:w="3266" w:type="pct"/>
            <w:shd w:val="clear" w:color="auto" w:fill="auto"/>
          </w:tcPr>
          <w:p w14:paraId="00BAF822" w14:textId="77777777" w:rsidR="00871BDF" w:rsidRDefault="00871BDF">
            <w:pPr>
              <w:rPr>
                <w:rFonts w:ascii="宋体"/>
              </w:rPr>
            </w:pPr>
          </w:p>
        </w:tc>
        <w:tc>
          <w:tcPr>
            <w:tcW w:w="5" w:type="pct"/>
            <w:shd w:val="clear" w:color="auto" w:fill="auto"/>
          </w:tcPr>
          <w:p w14:paraId="00BAF823" w14:textId="77777777" w:rsidR="00871BDF" w:rsidRDefault="00871BDF">
            <w:pPr>
              <w:rPr>
                <w:rFonts w:ascii="宋体"/>
              </w:rPr>
            </w:pPr>
          </w:p>
        </w:tc>
        <w:tc>
          <w:tcPr>
            <w:tcW w:w="50" w:type="pct"/>
            <w:shd w:val="clear" w:color="auto" w:fill="auto"/>
          </w:tcPr>
          <w:p w14:paraId="00BAF824" w14:textId="77777777" w:rsidR="00871BDF" w:rsidRDefault="00871BDF">
            <w:pPr>
              <w:rPr>
                <w:rFonts w:ascii="宋体"/>
              </w:rPr>
            </w:pPr>
          </w:p>
        </w:tc>
        <w:tc>
          <w:tcPr>
            <w:tcW w:w="766" w:type="pct"/>
            <w:shd w:val="clear" w:color="auto" w:fill="auto"/>
          </w:tcPr>
          <w:p w14:paraId="00BAF825" w14:textId="77777777" w:rsidR="00871BDF" w:rsidRDefault="00871BDF">
            <w:pPr>
              <w:rPr>
                <w:rFonts w:ascii="宋体"/>
              </w:rPr>
            </w:pPr>
          </w:p>
        </w:tc>
        <w:tc>
          <w:tcPr>
            <w:tcW w:w="5" w:type="pct"/>
            <w:shd w:val="clear" w:color="auto" w:fill="auto"/>
          </w:tcPr>
          <w:p w14:paraId="00BAF826" w14:textId="77777777" w:rsidR="00871BDF" w:rsidRDefault="00871BDF">
            <w:pPr>
              <w:rPr>
                <w:rFonts w:ascii="宋体"/>
              </w:rPr>
            </w:pPr>
          </w:p>
        </w:tc>
        <w:tc>
          <w:tcPr>
            <w:tcW w:w="5" w:type="pct"/>
            <w:shd w:val="clear" w:color="auto" w:fill="auto"/>
          </w:tcPr>
          <w:p w14:paraId="00BAF827" w14:textId="77777777" w:rsidR="00871BDF" w:rsidRDefault="00871BDF">
            <w:pPr>
              <w:rPr>
                <w:rFonts w:ascii="宋体"/>
              </w:rPr>
            </w:pPr>
          </w:p>
        </w:tc>
        <w:tc>
          <w:tcPr>
            <w:tcW w:w="26" w:type="pct"/>
            <w:shd w:val="clear" w:color="auto" w:fill="auto"/>
          </w:tcPr>
          <w:p w14:paraId="00BAF828" w14:textId="77777777" w:rsidR="00871BDF" w:rsidRDefault="00871BDF">
            <w:pPr>
              <w:rPr>
                <w:rFonts w:ascii="宋体"/>
              </w:rPr>
            </w:pPr>
          </w:p>
        </w:tc>
        <w:tc>
          <w:tcPr>
            <w:tcW w:w="5" w:type="pct"/>
            <w:shd w:val="clear" w:color="auto" w:fill="auto"/>
          </w:tcPr>
          <w:p w14:paraId="00BAF829" w14:textId="77777777" w:rsidR="00871BDF" w:rsidRDefault="00871BDF">
            <w:pPr>
              <w:rPr>
                <w:rFonts w:ascii="宋体"/>
              </w:rPr>
            </w:pPr>
          </w:p>
        </w:tc>
        <w:tc>
          <w:tcPr>
            <w:tcW w:w="50" w:type="pct"/>
            <w:shd w:val="clear" w:color="auto" w:fill="auto"/>
          </w:tcPr>
          <w:p w14:paraId="00BAF82A" w14:textId="77777777" w:rsidR="00871BDF" w:rsidRDefault="00871BDF">
            <w:pPr>
              <w:rPr>
                <w:rFonts w:ascii="宋体"/>
              </w:rPr>
            </w:pPr>
          </w:p>
        </w:tc>
        <w:tc>
          <w:tcPr>
            <w:tcW w:w="766" w:type="pct"/>
            <w:shd w:val="clear" w:color="auto" w:fill="auto"/>
          </w:tcPr>
          <w:p w14:paraId="00BAF82B" w14:textId="77777777" w:rsidR="00871BDF" w:rsidRDefault="00871BDF">
            <w:pPr>
              <w:rPr>
                <w:rFonts w:ascii="宋体"/>
              </w:rPr>
            </w:pPr>
          </w:p>
        </w:tc>
        <w:tc>
          <w:tcPr>
            <w:tcW w:w="5" w:type="pct"/>
            <w:shd w:val="clear" w:color="auto" w:fill="auto"/>
          </w:tcPr>
          <w:p w14:paraId="00BAF82C" w14:textId="77777777" w:rsidR="00871BDF" w:rsidRDefault="00871BDF">
            <w:pPr>
              <w:rPr>
                <w:rFonts w:ascii="宋体"/>
              </w:rPr>
            </w:pPr>
          </w:p>
        </w:tc>
      </w:tr>
      <w:tr w:rsidR="00871BDF" w14:paraId="00BAF832" w14:textId="77777777">
        <w:tc>
          <w:tcPr>
            <w:tcW w:w="0" w:type="auto"/>
            <w:gridSpan w:val="3"/>
            <w:shd w:val="clear" w:color="auto" w:fill="auto"/>
            <w:tcMar>
              <w:top w:w="0" w:type="dxa"/>
              <w:left w:w="20" w:type="dxa"/>
              <w:bottom w:w="0" w:type="dxa"/>
              <w:right w:w="20" w:type="dxa"/>
            </w:tcMar>
          </w:tcPr>
          <w:p w14:paraId="00BAF82E"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82F"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AF83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831" w14:textId="77777777" w:rsidR="00871BDF" w:rsidRDefault="005C5088">
            <w:pPr>
              <w:jc w:val="center"/>
              <w:textAlignment w:val="bottom"/>
            </w:pPr>
            <w:r>
              <w:rPr>
                <w:rFonts w:ascii="Times New Roman" w:eastAsia="宋体" w:hAnsi="Times New Roman"/>
                <w:b/>
                <w:bCs/>
                <w:color w:val="FFFFFF"/>
                <w:sz w:val="16"/>
                <w:szCs w:val="16"/>
              </w:rPr>
              <w:t>Sep 29, 2019</w:t>
            </w:r>
          </w:p>
        </w:tc>
      </w:tr>
      <w:tr w:rsidR="00871BDF" w14:paraId="00BAF837" w14:textId="77777777">
        <w:tc>
          <w:tcPr>
            <w:tcW w:w="0" w:type="auto"/>
            <w:gridSpan w:val="3"/>
            <w:shd w:val="clear" w:color="auto" w:fill="D7E4BC"/>
            <w:tcMar>
              <w:top w:w="40" w:type="dxa"/>
              <w:left w:w="20" w:type="dxa"/>
              <w:bottom w:w="40" w:type="dxa"/>
              <w:right w:w="20" w:type="dxa"/>
            </w:tcMar>
          </w:tcPr>
          <w:p w14:paraId="00BAF833" w14:textId="77777777" w:rsidR="00871BDF" w:rsidRDefault="005C5088">
            <w:pPr>
              <w:textAlignment w:val="top"/>
            </w:pPr>
            <w:r>
              <w:rPr>
                <w:rFonts w:ascii="Times New Roman" w:eastAsia="宋体" w:hAnsi="Times New Roman"/>
                <w:color w:val="000000"/>
                <w:sz w:val="20"/>
                <w:szCs w:val="20"/>
              </w:rPr>
              <w:t>Coffee:</w:t>
            </w:r>
          </w:p>
        </w:tc>
        <w:tc>
          <w:tcPr>
            <w:tcW w:w="0" w:type="auto"/>
            <w:gridSpan w:val="3"/>
            <w:tcBorders>
              <w:top w:val="single" w:sz="8" w:space="0" w:color="000000"/>
            </w:tcBorders>
            <w:shd w:val="clear" w:color="auto" w:fill="D7E4BC"/>
            <w:tcMar>
              <w:top w:w="0" w:type="dxa"/>
              <w:left w:w="20" w:type="dxa"/>
              <w:bottom w:w="0" w:type="dxa"/>
              <w:right w:w="20" w:type="dxa"/>
            </w:tcMar>
          </w:tcPr>
          <w:p w14:paraId="00BAF83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83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836" w14:textId="77777777" w:rsidR="00871BDF" w:rsidRDefault="00871BDF">
            <w:pPr>
              <w:rPr>
                <w:rFonts w:ascii="宋体"/>
              </w:rPr>
            </w:pPr>
          </w:p>
        </w:tc>
      </w:tr>
      <w:tr w:rsidR="00871BDF" w14:paraId="00BAF840" w14:textId="77777777">
        <w:tc>
          <w:tcPr>
            <w:tcW w:w="0" w:type="auto"/>
            <w:gridSpan w:val="3"/>
            <w:shd w:val="clear" w:color="auto" w:fill="FFFFFF"/>
            <w:tcMar>
              <w:top w:w="40" w:type="dxa"/>
              <w:left w:w="155" w:type="dxa"/>
              <w:bottom w:w="40" w:type="dxa"/>
              <w:right w:w="20" w:type="dxa"/>
            </w:tcMar>
          </w:tcPr>
          <w:p w14:paraId="00BAF838" w14:textId="77777777" w:rsidR="00871BDF" w:rsidRDefault="005C5088">
            <w:pPr>
              <w:textAlignment w:val="top"/>
            </w:pPr>
            <w:r>
              <w:rPr>
                <w:rFonts w:ascii="Times New Roman" w:eastAsia="宋体" w:hAnsi="Times New Roman"/>
                <w:color w:val="000000"/>
                <w:sz w:val="20"/>
                <w:szCs w:val="20"/>
              </w:rPr>
              <w:t>Unroasted</w:t>
            </w:r>
          </w:p>
        </w:tc>
        <w:tc>
          <w:tcPr>
            <w:tcW w:w="0" w:type="auto"/>
            <w:shd w:val="clear" w:color="auto" w:fill="FFFFFF"/>
            <w:tcMar>
              <w:top w:w="40" w:type="dxa"/>
              <w:left w:w="20" w:type="dxa"/>
              <w:bottom w:w="40" w:type="dxa"/>
              <w:right w:w="0" w:type="dxa"/>
            </w:tcMar>
            <w:vAlign w:val="bottom"/>
          </w:tcPr>
          <w:p w14:paraId="00BAF839"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83A" w14:textId="77777777" w:rsidR="00871BDF" w:rsidRDefault="005C5088">
            <w:pPr>
              <w:jc w:val="right"/>
              <w:textAlignment w:val="bottom"/>
            </w:pPr>
            <w:r>
              <w:rPr>
                <w:rFonts w:ascii="Times New Roman" w:eastAsia="宋体" w:hAnsi="Times New Roman"/>
                <w:color w:val="000000"/>
                <w:sz w:val="20"/>
                <w:szCs w:val="20"/>
              </w:rPr>
              <w:t>664.7 </w:t>
            </w:r>
          </w:p>
        </w:tc>
        <w:tc>
          <w:tcPr>
            <w:tcW w:w="0" w:type="auto"/>
            <w:shd w:val="clear" w:color="auto" w:fill="FFFFFF"/>
            <w:tcMar>
              <w:top w:w="40" w:type="dxa"/>
              <w:left w:w="0" w:type="dxa"/>
              <w:bottom w:w="40" w:type="dxa"/>
              <w:right w:w="20" w:type="dxa"/>
            </w:tcMar>
            <w:vAlign w:val="bottom"/>
          </w:tcPr>
          <w:p w14:paraId="00BAF83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83C"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83D"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83E" w14:textId="77777777" w:rsidR="00871BDF" w:rsidRDefault="005C5088">
            <w:pPr>
              <w:jc w:val="right"/>
              <w:textAlignment w:val="bottom"/>
            </w:pPr>
            <w:r>
              <w:rPr>
                <w:rFonts w:ascii="Times New Roman" w:eastAsia="宋体" w:hAnsi="Times New Roman"/>
                <w:color w:val="000000"/>
                <w:sz w:val="20"/>
                <w:szCs w:val="20"/>
              </w:rPr>
              <w:t>656.5 </w:t>
            </w:r>
          </w:p>
        </w:tc>
        <w:tc>
          <w:tcPr>
            <w:tcW w:w="0" w:type="auto"/>
            <w:shd w:val="clear" w:color="auto" w:fill="FFFFFF"/>
            <w:tcMar>
              <w:top w:w="40" w:type="dxa"/>
              <w:left w:w="0" w:type="dxa"/>
              <w:bottom w:w="40" w:type="dxa"/>
              <w:right w:w="20" w:type="dxa"/>
            </w:tcMar>
            <w:vAlign w:val="bottom"/>
          </w:tcPr>
          <w:p w14:paraId="00BAF83F" w14:textId="77777777" w:rsidR="00871BDF" w:rsidRDefault="00871BDF">
            <w:pPr>
              <w:jc w:val="right"/>
              <w:rPr>
                <w:rFonts w:ascii="宋体"/>
              </w:rPr>
            </w:pPr>
          </w:p>
        </w:tc>
      </w:tr>
      <w:tr w:rsidR="00871BDF" w14:paraId="00BAF847" w14:textId="77777777">
        <w:tc>
          <w:tcPr>
            <w:tcW w:w="0" w:type="auto"/>
            <w:gridSpan w:val="3"/>
            <w:shd w:val="clear" w:color="auto" w:fill="D7E4BC"/>
            <w:tcMar>
              <w:top w:w="40" w:type="dxa"/>
              <w:left w:w="155" w:type="dxa"/>
              <w:bottom w:w="40" w:type="dxa"/>
              <w:right w:w="20" w:type="dxa"/>
            </w:tcMar>
          </w:tcPr>
          <w:p w14:paraId="00BAF841" w14:textId="77777777" w:rsidR="00871BDF" w:rsidRDefault="005C5088">
            <w:pPr>
              <w:textAlignment w:val="top"/>
            </w:pPr>
            <w:r>
              <w:rPr>
                <w:rFonts w:ascii="Times New Roman" w:eastAsia="宋体" w:hAnsi="Times New Roman"/>
                <w:color w:val="000000"/>
                <w:sz w:val="20"/>
                <w:szCs w:val="20"/>
              </w:rPr>
              <w:t>Roasted</w:t>
            </w:r>
          </w:p>
        </w:tc>
        <w:tc>
          <w:tcPr>
            <w:tcW w:w="0" w:type="auto"/>
            <w:gridSpan w:val="2"/>
            <w:shd w:val="clear" w:color="auto" w:fill="D7E4BC"/>
            <w:tcMar>
              <w:top w:w="40" w:type="dxa"/>
              <w:left w:w="20" w:type="dxa"/>
              <w:bottom w:w="40" w:type="dxa"/>
              <w:right w:w="0" w:type="dxa"/>
            </w:tcMar>
            <w:vAlign w:val="bottom"/>
          </w:tcPr>
          <w:p w14:paraId="00BAF842" w14:textId="77777777" w:rsidR="00871BDF" w:rsidRDefault="005C5088">
            <w:pPr>
              <w:jc w:val="right"/>
              <w:textAlignment w:val="bottom"/>
            </w:pPr>
            <w:r>
              <w:rPr>
                <w:rFonts w:ascii="Times New Roman" w:eastAsia="宋体" w:hAnsi="Times New Roman"/>
                <w:color w:val="000000"/>
                <w:sz w:val="20"/>
                <w:szCs w:val="20"/>
              </w:rPr>
              <w:t>223.5 </w:t>
            </w:r>
          </w:p>
        </w:tc>
        <w:tc>
          <w:tcPr>
            <w:tcW w:w="0" w:type="auto"/>
            <w:shd w:val="clear" w:color="auto" w:fill="D7E4BC"/>
            <w:tcMar>
              <w:top w:w="40" w:type="dxa"/>
              <w:left w:w="0" w:type="dxa"/>
              <w:bottom w:w="40" w:type="dxa"/>
              <w:right w:w="20" w:type="dxa"/>
            </w:tcMar>
            <w:vAlign w:val="bottom"/>
          </w:tcPr>
          <w:p w14:paraId="00BAF84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84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845" w14:textId="77777777" w:rsidR="00871BDF" w:rsidRDefault="005C5088">
            <w:pPr>
              <w:jc w:val="right"/>
              <w:textAlignment w:val="bottom"/>
            </w:pPr>
            <w:r>
              <w:rPr>
                <w:rFonts w:ascii="Times New Roman" w:eastAsia="宋体" w:hAnsi="Times New Roman"/>
                <w:color w:val="000000"/>
                <w:sz w:val="20"/>
                <w:szCs w:val="20"/>
              </w:rPr>
              <w:t>276.5 </w:t>
            </w:r>
          </w:p>
        </w:tc>
        <w:tc>
          <w:tcPr>
            <w:tcW w:w="0" w:type="auto"/>
            <w:shd w:val="clear" w:color="auto" w:fill="D7E4BC"/>
            <w:tcMar>
              <w:top w:w="40" w:type="dxa"/>
              <w:left w:w="0" w:type="dxa"/>
              <w:bottom w:w="40" w:type="dxa"/>
              <w:right w:w="20" w:type="dxa"/>
            </w:tcMar>
            <w:vAlign w:val="bottom"/>
          </w:tcPr>
          <w:p w14:paraId="00BAF846" w14:textId="77777777" w:rsidR="00871BDF" w:rsidRDefault="00871BDF">
            <w:pPr>
              <w:jc w:val="right"/>
              <w:rPr>
                <w:rFonts w:ascii="宋体"/>
              </w:rPr>
            </w:pPr>
          </w:p>
        </w:tc>
      </w:tr>
      <w:tr w:rsidR="00871BDF" w14:paraId="00BAF84E" w14:textId="77777777">
        <w:tc>
          <w:tcPr>
            <w:tcW w:w="0" w:type="auto"/>
            <w:gridSpan w:val="3"/>
            <w:shd w:val="clear" w:color="auto" w:fill="FFFFFF"/>
            <w:tcMar>
              <w:top w:w="40" w:type="dxa"/>
              <w:left w:w="20" w:type="dxa"/>
              <w:bottom w:w="40" w:type="dxa"/>
              <w:right w:w="20" w:type="dxa"/>
            </w:tcMar>
          </w:tcPr>
          <w:p w14:paraId="00BAF848" w14:textId="77777777" w:rsidR="00871BDF" w:rsidRDefault="005C5088">
            <w:pPr>
              <w:textAlignment w:val="top"/>
            </w:pPr>
            <w:r>
              <w:rPr>
                <w:rFonts w:ascii="Times New Roman" w:eastAsia="宋体" w:hAnsi="Times New Roman"/>
                <w:color w:val="000000"/>
                <w:sz w:val="20"/>
                <w:szCs w:val="20"/>
              </w:rPr>
              <w:t>Other merchandise held for sale</w:t>
            </w:r>
          </w:p>
        </w:tc>
        <w:tc>
          <w:tcPr>
            <w:tcW w:w="0" w:type="auto"/>
            <w:gridSpan w:val="2"/>
            <w:shd w:val="clear" w:color="auto" w:fill="FFFFFF"/>
            <w:tcMar>
              <w:top w:w="40" w:type="dxa"/>
              <w:left w:w="20" w:type="dxa"/>
              <w:bottom w:w="40" w:type="dxa"/>
              <w:right w:w="0" w:type="dxa"/>
            </w:tcMar>
            <w:vAlign w:val="bottom"/>
          </w:tcPr>
          <w:p w14:paraId="00BAF849" w14:textId="77777777" w:rsidR="00871BDF" w:rsidRDefault="005C5088">
            <w:pPr>
              <w:jc w:val="right"/>
              <w:textAlignment w:val="bottom"/>
            </w:pPr>
            <w:r>
              <w:rPr>
                <w:rFonts w:ascii="Times New Roman" w:eastAsia="宋体" w:hAnsi="Times New Roman"/>
                <w:color w:val="000000"/>
                <w:sz w:val="20"/>
                <w:szCs w:val="20"/>
              </w:rPr>
              <w:t>293.9 </w:t>
            </w:r>
          </w:p>
        </w:tc>
        <w:tc>
          <w:tcPr>
            <w:tcW w:w="0" w:type="auto"/>
            <w:shd w:val="clear" w:color="auto" w:fill="FFFFFF"/>
            <w:tcMar>
              <w:top w:w="40" w:type="dxa"/>
              <w:left w:w="0" w:type="dxa"/>
              <w:bottom w:w="40" w:type="dxa"/>
              <w:right w:w="20" w:type="dxa"/>
            </w:tcMar>
            <w:vAlign w:val="bottom"/>
          </w:tcPr>
          <w:p w14:paraId="00BAF84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84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84C" w14:textId="77777777" w:rsidR="00871BDF" w:rsidRDefault="005C5088">
            <w:pPr>
              <w:jc w:val="right"/>
              <w:textAlignment w:val="bottom"/>
            </w:pPr>
            <w:r>
              <w:rPr>
                <w:rFonts w:ascii="Times New Roman" w:eastAsia="宋体" w:hAnsi="Times New Roman"/>
                <w:color w:val="000000"/>
                <w:sz w:val="20"/>
                <w:szCs w:val="20"/>
              </w:rPr>
              <w:t>288.0 </w:t>
            </w:r>
          </w:p>
        </w:tc>
        <w:tc>
          <w:tcPr>
            <w:tcW w:w="0" w:type="auto"/>
            <w:shd w:val="clear" w:color="auto" w:fill="FFFFFF"/>
            <w:tcMar>
              <w:top w:w="40" w:type="dxa"/>
              <w:left w:w="0" w:type="dxa"/>
              <w:bottom w:w="40" w:type="dxa"/>
              <w:right w:w="20" w:type="dxa"/>
            </w:tcMar>
            <w:vAlign w:val="bottom"/>
          </w:tcPr>
          <w:p w14:paraId="00BAF84D" w14:textId="77777777" w:rsidR="00871BDF" w:rsidRDefault="00871BDF">
            <w:pPr>
              <w:jc w:val="right"/>
              <w:rPr>
                <w:rFonts w:ascii="宋体"/>
              </w:rPr>
            </w:pPr>
          </w:p>
        </w:tc>
      </w:tr>
      <w:tr w:rsidR="00871BDF" w14:paraId="00BAF855" w14:textId="77777777">
        <w:tc>
          <w:tcPr>
            <w:tcW w:w="0" w:type="auto"/>
            <w:gridSpan w:val="3"/>
            <w:shd w:val="clear" w:color="auto" w:fill="D7E4BC"/>
            <w:tcMar>
              <w:top w:w="40" w:type="dxa"/>
              <w:left w:w="20" w:type="dxa"/>
              <w:bottom w:w="40" w:type="dxa"/>
              <w:right w:w="20" w:type="dxa"/>
            </w:tcMar>
          </w:tcPr>
          <w:p w14:paraId="00BAF84F" w14:textId="77777777" w:rsidR="00871BDF" w:rsidRDefault="005C5088">
            <w:pPr>
              <w:textAlignment w:val="top"/>
            </w:pPr>
            <w:r>
              <w:rPr>
                <w:rFonts w:ascii="Times New Roman" w:eastAsia="宋体" w:hAnsi="Times New Roman"/>
                <w:color w:val="000000"/>
                <w:sz w:val="20"/>
                <w:szCs w:val="20"/>
              </w:rPr>
              <w:t>Packaging and other supplies</w:t>
            </w:r>
          </w:p>
        </w:tc>
        <w:tc>
          <w:tcPr>
            <w:tcW w:w="0" w:type="auto"/>
            <w:gridSpan w:val="2"/>
            <w:shd w:val="clear" w:color="auto" w:fill="D7E4BC"/>
            <w:tcMar>
              <w:top w:w="40" w:type="dxa"/>
              <w:left w:w="20" w:type="dxa"/>
              <w:bottom w:w="40" w:type="dxa"/>
              <w:right w:w="0" w:type="dxa"/>
            </w:tcMar>
            <w:vAlign w:val="bottom"/>
          </w:tcPr>
          <w:p w14:paraId="00BAF850" w14:textId="77777777" w:rsidR="00871BDF" w:rsidRDefault="005C5088">
            <w:pPr>
              <w:jc w:val="right"/>
              <w:textAlignment w:val="bottom"/>
            </w:pPr>
            <w:r>
              <w:rPr>
                <w:rFonts w:ascii="Times New Roman" w:eastAsia="宋体" w:hAnsi="Times New Roman"/>
                <w:color w:val="000000"/>
                <w:sz w:val="20"/>
                <w:szCs w:val="20"/>
              </w:rPr>
              <w:t>369.3 </w:t>
            </w:r>
          </w:p>
        </w:tc>
        <w:tc>
          <w:tcPr>
            <w:tcW w:w="0" w:type="auto"/>
            <w:shd w:val="clear" w:color="auto" w:fill="D7E4BC"/>
            <w:tcMar>
              <w:top w:w="40" w:type="dxa"/>
              <w:left w:w="0" w:type="dxa"/>
              <w:bottom w:w="40" w:type="dxa"/>
              <w:right w:w="20" w:type="dxa"/>
            </w:tcMar>
            <w:vAlign w:val="bottom"/>
          </w:tcPr>
          <w:p w14:paraId="00BAF85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85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853" w14:textId="77777777" w:rsidR="00871BDF" w:rsidRDefault="005C5088">
            <w:pPr>
              <w:jc w:val="right"/>
              <w:textAlignment w:val="bottom"/>
            </w:pPr>
            <w:r>
              <w:rPr>
                <w:rFonts w:ascii="Times New Roman" w:eastAsia="宋体" w:hAnsi="Times New Roman"/>
                <w:color w:val="000000"/>
                <w:sz w:val="20"/>
                <w:szCs w:val="20"/>
              </w:rPr>
              <w:t>308.4 </w:t>
            </w:r>
          </w:p>
        </w:tc>
        <w:tc>
          <w:tcPr>
            <w:tcW w:w="0" w:type="auto"/>
            <w:shd w:val="clear" w:color="auto" w:fill="D7E4BC"/>
            <w:tcMar>
              <w:top w:w="40" w:type="dxa"/>
              <w:left w:w="0" w:type="dxa"/>
              <w:bottom w:w="40" w:type="dxa"/>
              <w:right w:w="20" w:type="dxa"/>
            </w:tcMar>
            <w:vAlign w:val="bottom"/>
          </w:tcPr>
          <w:p w14:paraId="00BAF854" w14:textId="77777777" w:rsidR="00871BDF" w:rsidRDefault="00871BDF">
            <w:pPr>
              <w:jc w:val="right"/>
              <w:rPr>
                <w:rFonts w:ascii="宋体"/>
              </w:rPr>
            </w:pPr>
          </w:p>
        </w:tc>
      </w:tr>
      <w:tr w:rsidR="00871BDF" w14:paraId="00BAF85E" w14:textId="77777777">
        <w:tc>
          <w:tcPr>
            <w:tcW w:w="0" w:type="auto"/>
            <w:gridSpan w:val="3"/>
            <w:shd w:val="clear" w:color="auto" w:fill="FFFFFF"/>
            <w:tcMar>
              <w:top w:w="40" w:type="dxa"/>
              <w:left w:w="20" w:type="dxa"/>
              <w:bottom w:w="40" w:type="dxa"/>
              <w:right w:w="20" w:type="dxa"/>
            </w:tcMar>
          </w:tcPr>
          <w:p w14:paraId="00BAF856" w14:textId="77777777" w:rsidR="00871BDF" w:rsidRDefault="005C5088">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857"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858" w14:textId="77777777" w:rsidR="00871BDF" w:rsidRDefault="005C5088">
            <w:pPr>
              <w:jc w:val="right"/>
              <w:textAlignment w:val="bottom"/>
            </w:pPr>
            <w:r>
              <w:rPr>
                <w:rFonts w:ascii="Times New Roman" w:eastAsia="宋体" w:hAnsi="Times New Roman"/>
                <w:color w:val="000000"/>
                <w:sz w:val="20"/>
                <w:szCs w:val="20"/>
              </w:rPr>
              <w:t>1,551.4 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85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85A"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85B"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85C" w14:textId="77777777" w:rsidR="00871BDF" w:rsidRDefault="005C5088">
            <w:pPr>
              <w:jc w:val="right"/>
              <w:textAlignment w:val="bottom"/>
            </w:pPr>
            <w:r>
              <w:rPr>
                <w:rFonts w:ascii="Times New Roman" w:eastAsia="宋体" w:hAnsi="Times New Roman"/>
                <w:color w:val="000000"/>
                <w:sz w:val="20"/>
                <w:szCs w:val="20"/>
              </w:rPr>
              <w:t>1,529.4 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85D" w14:textId="77777777" w:rsidR="00871BDF" w:rsidRDefault="00871BDF">
            <w:pPr>
              <w:jc w:val="right"/>
              <w:rPr>
                <w:rFonts w:ascii="宋体"/>
              </w:rPr>
            </w:pPr>
          </w:p>
        </w:tc>
      </w:tr>
    </w:tbl>
    <w:p w14:paraId="00BAF85F" w14:textId="77777777" w:rsidR="00871BDF" w:rsidRDefault="005C5088">
      <w:pPr>
        <w:spacing w:before="120"/>
      </w:pPr>
      <w:r>
        <w:rPr>
          <w:rFonts w:ascii="Times New Roman" w:eastAsia="宋体" w:hAnsi="Times New Roman"/>
          <w:color w:val="000000"/>
          <w:sz w:val="20"/>
          <w:szCs w:val="20"/>
        </w:rPr>
        <w:t xml:space="preserve">Other merchandise held for sale includes, among other items, serveware, food and tea. Inventory levels vary due to seasonality, commodity market supply and price fluctuations. </w:t>
      </w:r>
    </w:p>
    <w:p w14:paraId="00BAF860" w14:textId="77777777" w:rsidR="00871BDF" w:rsidRDefault="005C5088">
      <w:pPr>
        <w:spacing w:before="120"/>
      </w:pPr>
      <w:r>
        <w:rPr>
          <w:rFonts w:ascii="Times New Roman" w:eastAsia="宋体" w:hAnsi="Times New Roman"/>
          <w:color w:val="000000"/>
          <w:sz w:val="20"/>
          <w:szCs w:val="20"/>
        </w:rPr>
        <w:t>As of September 27, 2020, we had committed to purchasing green coffee totaling $687 million under fixed-price contracts and an estimated $458 million under price-to-be-fixed contracts. A portion of our price-to-be-fixed contacts are effectively fixed throu</w:t>
      </w:r>
      <w:r>
        <w:rPr>
          <w:rFonts w:ascii="Times New Roman" w:eastAsia="宋体" w:hAnsi="Times New Roman"/>
          <w:color w:val="000000"/>
          <w:sz w:val="20"/>
          <w:szCs w:val="20"/>
        </w:rPr>
        <w:t xml:space="preserve">gh the use of futures. See </w:t>
      </w:r>
      <w:hyperlink r:id="rId209" w:anchor="i54ccc64cb5384be5a4849ef1cdef4dde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Financial Instruments for further discussion. Price-to-</w:t>
      </w:r>
      <w:r>
        <w:rPr>
          <w:rFonts w:ascii="Times New Roman" w:eastAsia="宋体" w:hAnsi="Times New Roman"/>
          <w:color w:val="000000"/>
          <w:sz w:val="20"/>
          <w:szCs w:val="20"/>
        </w:rPr>
        <w:t>be-fixed contracts are purchase commitments whereby the quality, quantity, delivery period and other negotiated terms are agreed upon, but the date, and therefore the price, at which the base “C” coffee commodity price component will be fixed has not yet b</w:t>
      </w:r>
      <w:r>
        <w:rPr>
          <w:rFonts w:ascii="Times New Roman" w:eastAsia="宋体" w:hAnsi="Times New Roman"/>
          <w:color w:val="000000"/>
          <w:sz w:val="20"/>
          <w:szCs w:val="20"/>
        </w:rPr>
        <w:t>een established. For most contracts, either Starbucks or the seller has the option to “fix” the base “C” coffee commodity price prior to the delivery date. For other contracts, Starbucks and the seller may agree upon pricing parameters determined by the ba</w:t>
      </w:r>
      <w:r>
        <w:rPr>
          <w:rFonts w:ascii="Times New Roman" w:eastAsia="宋体" w:hAnsi="Times New Roman"/>
          <w:color w:val="000000"/>
          <w:sz w:val="20"/>
          <w:szCs w:val="20"/>
        </w:rPr>
        <w:t>se “C” coffee commodity price. Until prices are fixed, we estimate the total cost of these purchase commitments. We believe, based on relationships established with our suppliers in the past and continuous monitoring of the business environment, the risk o</w:t>
      </w:r>
      <w:r>
        <w:rPr>
          <w:rFonts w:ascii="Times New Roman" w:eastAsia="宋体" w:hAnsi="Times New Roman"/>
          <w:color w:val="000000"/>
          <w:sz w:val="20"/>
          <w:szCs w:val="20"/>
        </w:rPr>
        <w:t>f non-delivery on these purchase commitments is remote.</w:t>
      </w:r>
    </w:p>
    <w:p w14:paraId="00BAF861" w14:textId="77777777" w:rsidR="00871BDF" w:rsidRDefault="005C5088">
      <w:pPr>
        <w:spacing w:before="120"/>
      </w:pPr>
      <w:r>
        <w:rPr>
          <w:rFonts w:ascii="Times New Roman" w:eastAsia="宋体" w:hAnsi="Times New Roman"/>
          <w:color w:val="000000"/>
          <w:sz w:val="20"/>
          <w:szCs w:val="20"/>
        </w:rPr>
        <w:t>During fiscal 2020, we wrote off approximately $50 million of inventory in the second quarter that was expiring or expected to expire due to COVID-19 related store closures, primarily perishable food and beverage ingredients located at our stores, distribu</w:t>
      </w:r>
      <w:r>
        <w:rPr>
          <w:rFonts w:ascii="Times New Roman" w:eastAsia="宋体" w:hAnsi="Times New Roman"/>
          <w:color w:val="000000"/>
          <w:sz w:val="20"/>
          <w:szCs w:val="20"/>
        </w:rPr>
        <w:t xml:space="preserve">tion centers and suppliers. This was included in product and distribution costs on our consolidated statement of earnings. We did not record significant write-offs related to COVID-19 during the second half of the fiscal year. </w:t>
      </w:r>
    </w:p>
    <w:p w14:paraId="00BAF862" w14:textId="77777777" w:rsidR="00871BDF" w:rsidRDefault="005C5088">
      <w:pPr>
        <w:spacing w:before="120"/>
      </w:pPr>
      <w:r>
        <w:rPr>
          <w:rFonts w:ascii="Times New Roman" w:eastAsia="宋体" w:hAnsi="Times New Roman"/>
          <w:b/>
          <w:bCs/>
          <w:color w:val="000000"/>
          <w:sz w:val="20"/>
          <w:szCs w:val="20"/>
        </w:rPr>
        <w:t>Note 6:    Equity Investment</w:t>
      </w:r>
      <w:r>
        <w:rPr>
          <w:rFonts w:ascii="Times New Roman" w:eastAsia="宋体" w:hAnsi="Times New Roman"/>
          <w:b/>
          <w:bCs/>
          <w:color w:val="000000"/>
          <w:sz w:val="20"/>
          <w:szCs w:val="20"/>
        </w:rPr>
        <w:t>s</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388"/>
        <w:gridCol w:w="36"/>
        <w:gridCol w:w="120"/>
        <w:gridCol w:w="1243"/>
        <w:gridCol w:w="36"/>
        <w:gridCol w:w="36"/>
        <w:gridCol w:w="36"/>
        <w:gridCol w:w="36"/>
        <w:gridCol w:w="120"/>
        <w:gridCol w:w="1208"/>
        <w:gridCol w:w="36"/>
      </w:tblGrid>
      <w:tr w:rsidR="00871BDF" w14:paraId="00BAF86F" w14:textId="77777777">
        <w:tc>
          <w:tcPr>
            <w:tcW w:w="50" w:type="pct"/>
            <w:shd w:val="clear" w:color="auto" w:fill="auto"/>
          </w:tcPr>
          <w:p w14:paraId="00BAF863" w14:textId="77777777" w:rsidR="00871BDF" w:rsidRDefault="00871BDF">
            <w:pPr>
              <w:rPr>
                <w:rFonts w:ascii="宋体"/>
              </w:rPr>
            </w:pPr>
          </w:p>
        </w:tc>
        <w:tc>
          <w:tcPr>
            <w:tcW w:w="3256" w:type="pct"/>
            <w:shd w:val="clear" w:color="auto" w:fill="auto"/>
          </w:tcPr>
          <w:p w14:paraId="00BAF864" w14:textId="77777777" w:rsidR="00871BDF" w:rsidRDefault="00871BDF">
            <w:pPr>
              <w:rPr>
                <w:rFonts w:ascii="宋体"/>
              </w:rPr>
            </w:pPr>
          </w:p>
        </w:tc>
        <w:tc>
          <w:tcPr>
            <w:tcW w:w="5" w:type="pct"/>
            <w:shd w:val="clear" w:color="auto" w:fill="auto"/>
          </w:tcPr>
          <w:p w14:paraId="00BAF865" w14:textId="77777777" w:rsidR="00871BDF" w:rsidRDefault="00871BDF">
            <w:pPr>
              <w:rPr>
                <w:rFonts w:ascii="宋体"/>
              </w:rPr>
            </w:pPr>
          </w:p>
        </w:tc>
        <w:tc>
          <w:tcPr>
            <w:tcW w:w="50" w:type="pct"/>
            <w:shd w:val="clear" w:color="auto" w:fill="auto"/>
          </w:tcPr>
          <w:p w14:paraId="00BAF866" w14:textId="77777777" w:rsidR="00871BDF" w:rsidRDefault="00871BDF">
            <w:pPr>
              <w:rPr>
                <w:rFonts w:ascii="宋体"/>
              </w:rPr>
            </w:pPr>
          </w:p>
        </w:tc>
        <w:tc>
          <w:tcPr>
            <w:tcW w:w="771" w:type="pct"/>
            <w:shd w:val="clear" w:color="auto" w:fill="auto"/>
          </w:tcPr>
          <w:p w14:paraId="00BAF867" w14:textId="77777777" w:rsidR="00871BDF" w:rsidRDefault="00871BDF">
            <w:pPr>
              <w:rPr>
                <w:rFonts w:ascii="宋体"/>
              </w:rPr>
            </w:pPr>
          </w:p>
        </w:tc>
        <w:tc>
          <w:tcPr>
            <w:tcW w:w="5" w:type="pct"/>
            <w:shd w:val="clear" w:color="auto" w:fill="auto"/>
          </w:tcPr>
          <w:p w14:paraId="00BAF868" w14:textId="77777777" w:rsidR="00871BDF" w:rsidRDefault="00871BDF">
            <w:pPr>
              <w:rPr>
                <w:rFonts w:ascii="宋体"/>
              </w:rPr>
            </w:pPr>
          </w:p>
        </w:tc>
        <w:tc>
          <w:tcPr>
            <w:tcW w:w="5" w:type="pct"/>
            <w:shd w:val="clear" w:color="auto" w:fill="auto"/>
          </w:tcPr>
          <w:p w14:paraId="00BAF869" w14:textId="77777777" w:rsidR="00871BDF" w:rsidRDefault="00871BDF">
            <w:pPr>
              <w:rPr>
                <w:rFonts w:ascii="宋体"/>
              </w:rPr>
            </w:pPr>
          </w:p>
        </w:tc>
        <w:tc>
          <w:tcPr>
            <w:tcW w:w="26" w:type="pct"/>
            <w:shd w:val="clear" w:color="auto" w:fill="auto"/>
          </w:tcPr>
          <w:p w14:paraId="00BAF86A" w14:textId="77777777" w:rsidR="00871BDF" w:rsidRDefault="00871BDF">
            <w:pPr>
              <w:rPr>
                <w:rFonts w:ascii="宋体"/>
              </w:rPr>
            </w:pPr>
          </w:p>
        </w:tc>
        <w:tc>
          <w:tcPr>
            <w:tcW w:w="5" w:type="pct"/>
            <w:shd w:val="clear" w:color="auto" w:fill="auto"/>
          </w:tcPr>
          <w:p w14:paraId="00BAF86B" w14:textId="77777777" w:rsidR="00871BDF" w:rsidRDefault="00871BDF">
            <w:pPr>
              <w:rPr>
                <w:rFonts w:ascii="宋体"/>
              </w:rPr>
            </w:pPr>
          </w:p>
        </w:tc>
        <w:tc>
          <w:tcPr>
            <w:tcW w:w="50" w:type="pct"/>
            <w:shd w:val="clear" w:color="auto" w:fill="auto"/>
          </w:tcPr>
          <w:p w14:paraId="00BAF86C" w14:textId="77777777" w:rsidR="00871BDF" w:rsidRDefault="00871BDF">
            <w:pPr>
              <w:rPr>
                <w:rFonts w:ascii="宋体"/>
              </w:rPr>
            </w:pPr>
          </w:p>
        </w:tc>
        <w:tc>
          <w:tcPr>
            <w:tcW w:w="771" w:type="pct"/>
            <w:shd w:val="clear" w:color="auto" w:fill="auto"/>
          </w:tcPr>
          <w:p w14:paraId="00BAF86D" w14:textId="77777777" w:rsidR="00871BDF" w:rsidRDefault="00871BDF">
            <w:pPr>
              <w:rPr>
                <w:rFonts w:ascii="宋体"/>
              </w:rPr>
            </w:pPr>
          </w:p>
        </w:tc>
        <w:tc>
          <w:tcPr>
            <w:tcW w:w="5" w:type="pct"/>
            <w:shd w:val="clear" w:color="auto" w:fill="auto"/>
          </w:tcPr>
          <w:p w14:paraId="00BAF86E" w14:textId="77777777" w:rsidR="00871BDF" w:rsidRDefault="00871BDF">
            <w:pPr>
              <w:rPr>
                <w:rFonts w:ascii="宋体"/>
              </w:rPr>
            </w:pPr>
          </w:p>
        </w:tc>
      </w:tr>
      <w:tr w:rsidR="00871BDF" w14:paraId="00BAF874" w14:textId="77777777">
        <w:tc>
          <w:tcPr>
            <w:tcW w:w="0" w:type="auto"/>
            <w:gridSpan w:val="3"/>
            <w:shd w:val="clear" w:color="auto" w:fill="auto"/>
            <w:tcMar>
              <w:top w:w="0" w:type="dxa"/>
              <w:left w:w="20" w:type="dxa"/>
              <w:bottom w:w="0" w:type="dxa"/>
              <w:right w:w="20" w:type="dxa"/>
            </w:tcMar>
          </w:tcPr>
          <w:p w14:paraId="00BAF87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871"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AF872"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873" w14:textId="77777777" w:rsidR="00871BDF" w:rsidRDefault="005C5088">
            <w:pPr>
              <w:jc w:val="center"/>
              <w:textAlignment w:val="bottom"/>
            </w:pPr>
            <w:r>
              <w:rPr>
                <w:rFonts w:ascii="Times New Roman" w:eastAsia="宋体" w:hAnsi="Times New Roman"/>
                <w:b/>
                <w:bCs/>
                <w:color w:val="FFFFFF"/>
                <w:sz w:val="16"/>
                <w:szCs w:val="16"/>
              </w:rPr>
              <w:t>Sep 29, 2019</w:t>
            </w:r>
          </w:p>
        </w:tc>
      </w:tr>
      <w:tr w:rsidR="00871BDF" w14:paraId="00BAF87D" w14:textId="77777777">
        <w:tc>
          <w:tcPr>
            <w:tcW w:w="0" w:type="auto"/>
            <w:gridSpan w:val="3"/>
            <w:shd w:val="clear" w:color="auto" w:fill="D7E4BC"/>
            <w:tcMar>
              <w:top w:w="40" w:type="dxa"/>
              <w:left w:w="20" w:type="dxa"/>
              <w:bottom w:w="40" w:type="dxa"/>
              <w:right w:w="20" w:type="dxa"/>
            </w:tcMar>
          </w:tcPr>
          <w:p w14:paraId="00BAF875" w14:textId="77777777" w:rsidR="00871BDF" w:rsidRDefault="005C5088">
            <w:pPr>
              <w:textAlignment w:val="top"/>
            </w:pPr>
            <w:r>
              <w:rPr>
                <w:rFonts w:ascii="Times New Roman" w:eastAsia="宋体" w:hAnsi="Times New Roman"/>
                <w:color w:val="000000"/>
                <w:sz w:val="20"/>
                <w:szCs w:val="20"/>
              </w:rPr>
              <w:t>Equity method investments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87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877" w14:textId="77777777" w:rsidR="00871BDF" w:rsidRDefault="005C5088">
            <w:pPr>
              <w:jc w:val="right"/>
              <w:textAlignment w:val="bottom"/>
            </w:pPr>
            <w:r>
              <w:rPr>
                <w:rFonts w:ascii="Times New Roman" w:eastAsia="宋体" w:hAnsi="Times New Roman"/>
                <w:color w:val="000000"/>
                <w:sz w:val="20"/>
                <w:szCs w:val="20"/>
              </w:rPr>
              <w:t>426.4 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87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879"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87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87B" w14:textId="77777777" w:rsidR="00871BDF" w:rsidRDefault="005C5088">
            <w:pPr>
              <w:jc w:val="right"/>
              <w:textAlignment w:val="bottom"/>
            </w:pPr>
            <w:r>
              <w:rPr>
                <w:rFonts w:ascii="Times New Roman" w:eastAsia="宋体" w:hAnsi="Times New Roman"/>
                <w:color w:val="000000"/>
                <w:sz w:val="20"/>
                <w:szCs w:val="20"/>
              </w:rPr>
              <w:t>336.1 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87C" w14:textId="77777777" w:rsidR="00871BDF" w:rsidRDefault="00871BDF">
            <w:pPr>
              <w:jc w:val="right"/>
              <w:rPr>
                <w:rFonts w:ascii="宋体"/>
              </w:rPr>
            </w:pPr>
          </w:p>
        </w:tc>
      </w:tr>
      <w:tr w:rsidR="00871BDF" w14:paraId="00BAF884" w14:textId="77777777">
        <w:tc>
          <w:tcPr>
            <w:tcW w:w="0" w:type="auto"/>
            <w:gridSpan w:val="3"/>
            <w:shd w:val="clear" w:color="auto" w:fill="FFFFFF"/>
            <w:tcMar>
              <w:top w:w="40" w:type="dxa"/>
              <w:left w:w="20" w:type="dxa"/>
              <w:bottom w:w="40" w:type="dxa"/>
              <w:right w:w="20" w:type="dxa"/>
            </w:tcMar>
          </w:tcPr>
          <w:p w14:paraId="00BAF87E" w14:textId="77777777" w:rsidR="00871BDF" w:rsidRDefault="005C5088">
            <w:pPr>
              <w:textAlignment w:val="top"/>
            </w:pPr>
            <w:r>
              <w:rPr>
                <w:rFonts w:ascii="Times New Roman" w:eastAsia="宋体" w:hAnsi="Times New Roman"/>
                <w:color w:val="000000"/>
                <w:sz w:val="20"/>
                <w:szCs w:val="20"/>
              </w:rPr>
              <w:t>Other investments</w:t>
            </w:r>
          </w:p>
        </w:tc>
        <w:tc>
          <w:tcPr>
            <w:tcW w:w="0" w:type="auto"/>
            <w:gridSpan w:val="2"/>
            <w:shd w:val="clear" w:color="auto" w:fill="FFFFFF"/>
            <w:tcMar>
              <w:top w:w="40" w:type="dxa"/>
              <w:left w:w="20" w:type="dxa"/>
              <w:bottom w:w="40" w:type="dxa"/>
              <w:right w:w="0" w:type="dxa"/>
            </w:tcMar>
            <w:vAlign w:val="bottom"/>
          </w:tcPr>
          <w:p w14:paraId="00BAF87F" w14:textId="77777777" w:rsidR="00871BDF" w:rsidRDefault="005C5088">
            <w:pPr>
              <w:jc w:val="right"/>
              <w:textAlignment w:val="bottom"/>
            </w:pPr>
            <w:r>
              <w:rPr>
                <w:rFonts w:ascii="Times New Roman" w:eastAsia="宋体" w:hAnsi="Times New Roman"/>
                <w:color w:val="000000"/>
                <w:sz w:val="20"/>
                <w:szCs w:val="20"/>
              </w:rPr>
              <w:t>52.3 </w:t>
            </w:r>
          </w:p>
        </w:tc>
        <w:tc>
          <w:tcPr>
            <w:tcW w:w="0" w:type="auto"/>
            <w:shd w:val="clear" w:color="auto" w:fill="FFFFFF"/>
            <w:tcMar>
              <w:top w:w="40" w:type="dxa"/>
              <w:left w:w="0" w:type="dxa"/>
              <w:bottom w:w="40" w:type="dxa"/>
              <w:right w:w="20" w:type="dxa"/>
            </w:tcMar>
            <w:vAlign w:val="bottom"/>
          </w:tcPr>
          <w:p w14:paraId="00BAF88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88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882" w14:textId="77777777" w:rsidR="00871BDF" w:rsidRDefault="005C5088">
            <w:pPr>
              <w:jc w:val="right"/>
              <w:textAlignment w:val="bottom"/>
            </w:pPr>
            <w:r>
              <w:rPr>
                <w:rFonts w:ascii="Times New Roman" w:eastAsia="宋体" w:hAnsi="Times New Roman"/>
                <w:color w:val="000000"/>
                <w:sz w:val="20"/>
                <w:szCs w:val="20"/>
              </w:rPr>
              <w:t>59.9 </w:t>
            </w:r>
          </w:p>
        </w:tc>
        <w:tc>
          <w:tcPr>
            <w:tcW w:w="0" w:type="auto"/>
            <w:shd w:val="clear" w:color="auto" w:fill="FFFFFF"/>
            <w:tcMar>
              <w:top w:w="40" w:type="dxa"/>
              <w:left w:w="0" w:type="dxa"/>
              <w:bottom w:w="40" w:type="dxa"/>
              <w:right w:w="20" w:type="dxa"/>
            </w:tcMar>
            <w:vAlign w:val="bottom"/>
          </w:tcPr>
          <w:p w14:paraId="00BAF883" w14:textId="77777777" w:rsidR="00871BDF" w:rsidRDefault="00871BDF">
            <w:pPr>
              <w:jc w:val="right"/>
              <w:rPr>
                <w:rFonts w:ascii="宋体"/>
              </w:rPr>
            </w:pPr>
          </w:p>
        </w:tc>
      </w:tr>
      <w:tr w:rsidR="00871BDF" w14:paraId="00BAF88D" w14:textId="77777777">
        <w:tc>
          <w:tcPr>
            <w:tcW w:w="0" w:type="auto"/>
            <w:gridSpan w:val="3"/>
            <w:shd w:val="clear" w:color="auto" w:fill="D7E4BC"/>
            <w:tcMar>
              <w:top w:w="40" w:type="dxa"/>
              <w:left w:w="20" w:type="dxa"/>
              <w:bottom w:w="40" w:type="dxa"/>
              <w:right w:w="20" w:type="dxa"/>
            </w:tcMar>
          </w:tcPr>
          <w:p w14:paraId="00BAF885" w14:textId="77777777" w:rsidR="00871BDF" w:rsidRDefault="005C5088">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88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887" w14:textId="77777777" w:rsidR="00871BDF" w:rsidRDefault="005C5088">
            <w:pPr>
              <w:jc w:val="right"/>
              <w:textAlignment w:val="bottom"/>
            </w:pPr>
            <w:r>
              <w:rPr>
                <w:rFonts w:ascii="Times New Roman" w:eastAsia="宋体" w:hAnsi="Times New Roman"/>
                <w:color w:val="000000"/>
                <w:sz w:val="20"/>
                <w:szCs w:val="20"/>
              </w:rPr>
              <w:t>478.7 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88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889"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88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88B" w14:textId="77777777" w:rsidR="00871BDF" w:rsidRDefault="005C5088">
            <w:pPr>
              <w:jc w:val="right"/>
              <w:textAlignment w:val="bottom"/>
            </w:pPr>
            <w:r>
              <w:rPr>
                <w:rFonts w:ascii="Times New Roman" w:eastAsia="宋体" w:hAnsi="Times New Roman"/>
                <w:color w:val="000000"/>
                <w:sz w:val="20"/>
                <w:szCs w:val="20"/>
              </w:rPr>
              <w:t>396.0 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88C" w14:textId="77777777" w:rsidR="00871BDF" w:rsidRDefault="00871BDF">
            <w:pPr>
              <w:jc w:val="right"/>
              <w:rPr>
                <w:rFonts w:ascii="宋体"/>
              </w:rPr>
            </w:pPr>
          </w:p>
        </w:tc>
      </w:tr>
    </w:tbl>
    <w:p w14:paraId="00BAF88E" w14:textId="77777777" w:rsidR="00871BDF" w:rsidRDefault="005C5088">
      <w:pPr>
        <w:spacing w:before="120"/>
      </w:pPr>
      <w:r>
        <w:rPr>
          <w:rFonts w:ascii="Times New Roman" w:eastAsia="宋体" w:hAnsi="Times New Roman"/>
          <w:b/>
          <w:bCs/>
          <w:i/>
          <w:iCs/>
          <w:color w:val="000000"/>
          <w:sz w:val="20"/>
          <w:szCs w:val="20"/>
        </w:rPr>
        <w:t>Equity Method Investments</w:t>
      </w:r>
    </w:p>
    <w:p w14:paraId="00BAF88F" w14:textId="77777777" w:rsidR="00871BDF" w:rsidRDefault="005C5088">
      <w:pPr>
        <w:spacing w:before="120"/>
      </w:pPr>
      <w:r>
        <w:rPr>
          <w:rFonts w:ascii="Times New Roman" w:eastAsia="宋体" w:hAnsi="Times New Roman"/>
          <w:color w:val="000000"/>
          <w:sz w:val="20"/>
          <w:szCs w:val="20"/>
        </w:rPr>
        <w:t xml:space="preserve">As of September 27, 2020, we had 50% ownership </w:t>
      </w:r>
      <w:r>
        <w:rPr>
          <w:rFonts w:ascii="Times New Roman" w:eastAsia="宋体" w:hAnsi="Times New Roman"/>
          <w:color w:val="000000"/>
          <w:sz w:val="20"/>
          <w:szCs w:val="20"/>
        </w:rPr>
        <w:t>interests in Starbucks Coffee Korea Co., Ltd. and Tata Starbucks Limited (India). These international entities operate licensed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retail stores. </w:t>
      </w:r>
    </w:p>
    <w:p w14:paraId="00BAF890" w14:textId="77777777" w:rsidR="00871BDF" w:rsidRDefault="005C5088">
      <w:pPr>
        <w:spacing w:before="120"/>
      </w:pPr>
      <w:r>
        <w:rPr>
          <w:rFonts w:ascii="Times New Roman" w:eastAsia="宋体" w:hAnsi="Times New Roman"/>
          <w:color w:val="000000"/>
          <w:sz w:val="20"/>
          <w:szCs w:val="20"/>
        </w:rPr>
        <w:t xml:space="preserve">We also license the rights to produce and distribute Starbucks-branded p roducts to our 50% </w:t>
      </w:r>
      <w:r>
        <w:rPr>
          <w:rFonts w:ascii="Times New Roman" w:eastAsia="宋体" w:hAnsi="Times New Roman"/>
          <w:color w:val="000000"/>
          <w:sz w:val="20"/>
          <w:szCs w:val="20"/>
        </w:rPr>
        <w:t>owned joint venture, The North American Coffee Partnership with the Pepsi-Cola Company, which develops and distributes bottled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beverages, including Frappuccino</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coffee drinks, Starbucks Doubleshot</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espresso drinks, Starbucks Refreshers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beverage</w:t>
      </w:r>
      <w:r>
        <w:rPr>
          <w:rFonts w:ascii="Times New Roman" w:eastAsia="宋体" w:hAnsi="Times New Roman"/>
          <w:color w:val="000000"/>
          <w:sz w:val="20"/>
          <w:szCs w:val="20"/>
        </w:rPr>
        <w:t>s,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Iced Espresso Classics and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Iced Coffee.</w:t>
      </w:r>
    </w:p>
    <w:p w14:paraId="00BAF891" w14:textId="77777777" w:rsidR="00871BDF" w:rsidRDefault="005C5088">
      <w:pPr>
        <w:spacing w:before="120"/>
      </w:pPr>
      <w:r>
        <w:rPr>
          <w:rFonts w:ascii="Times New Roman" w:eastAsia="宋体" w:hAnsi="Times New Roman"/>
          <w:color w:val="000000"/>
          <w:sz w:val="20"/>
          <w:szCs w:val="20"/>
        </w:rPr>
        <w:t>Our share of income and losses from our equity method investments is included in income from equity investees on our consolidated statements of earnings. Also included in this line item is ou</w:t>
      </w:r>
      <w:r>
        <w:rPr>
          <w:rFonts w:ascii="Times New Roman" w:eastAsia="宋体" w:hAnsi="Times New Roman"/>
          <w:color w:val="000000"/>
          <w:sz w:val="20"/>
          <w:szCs w:val="20"/>
        </w:rPr>
        <w:t xml:space="preserve">r proportionate share of gross profit resulting from coffee and other product sales to, and royalty and license fee revenues generated from, equity investees. Revenues generated from these entities were $123.9 million, $130.7 million and $112.8 million in </w:t>
      </w:r>
      <w:r>
        <w:rPr>
          <w:rFonts w:ascii="Times New Roman" w:eastAsia="宋体" w:hAnsi="Times New Roman"/>
          <w:color w:val="000000"/>
          <w:sz w:val="20"/>
          <w:szCs w:val="20"/>
        </w:rPr>
        <w:t xml:space="preserve">fiscal 2020, 2019 and 2018, respectively. Related </w:t>
      </w:r>
    </w:p>
    <w:p w14:paraId="00BAF892" w14:textId="77777777" w:rsidR="00871BDF" w:rsidRDefault="005C5088">
      <w:pPr>
        <w:jc w:val="center"/>
      </w:pPr>
      <w:r>
        <w:rPr>
          <w:rFonts w:ascii="Times New Roman" w:eastAsia="宋体" w:hAnsi="Times New Roman"/>
          <w:color w:val="000000"/>
          <w:sz w:val="20"/>
          <w:szCs w:val="20"/>
        </w:rPr>
        <w:t>71</w:t>
      </w:r>
    </w:p>
    <w:p w14:paraId="00BAF893" w14:textId="77777777" w:rsidR="00871BDF" w:rsidRDefault="005C5088">
      <w:r>
        <w:pict w14:anchorId="00BB14AC">
          <v:rect id="_x0000_i1098" style="width:415.3pt;height:1.5pt" o:hralign="center" o:hrstd="t" o:hr="t" fillcolor="#a0a0a0" stroked="f"/>
        </w:pict>
      </w:r>
    </w:p>
    <w:p w14:paraId="00BAF894" w14:textId="77777777" w:rsidR="00871BDF" w:rsidRDefault="005C5088">
      <w:hyperlink r:id="rId210" w:anchor="i54ccc64cb5384be5a4849ef1cdef4dde_7" w:history="1">
        <w:r>
          <w:rPr>
            <w:rStyle w:val="a5"/>
            <w:rFonts w:ascii="Times New Roman" w:eastAsia="宋体" w:hAnsi="Times New Roman"/>
            <w:sz w:val="20"/>
            <w:szCs w:val="20"/>
          </w:rPr>
          <w:t>Table of Contents</w:t>
        </w:r>
      </w:hyperlink>
    </w:p>
    <w:p w14:paraId="00BAF895" w14:textId="77777777" w:rsidR="00871BDF" w:rsidRDefault="005C5088">
      <w:pPr>
        <w:spacing w:before="120"/>
      </w:pPr>
      <w:r>
        <w:rPr>
          <w:rFonts w:ascii="Times New Roman" w:eastAsia="宋体" w:hAnsi="Times New Roman"/>
          <w:color w:val="000000"/>
          <w:sz w:val="20"/>
          <w:szCs w:val="20"/>
        </w:rPr>
        <w:t xml:space="preserve">product and </w:t>
      </w:r>
      <w:r>
        <w:rPr>
          <w:rFonts w:ascii="Times New Roman" w:eastAsia="宋体" w:hAnsi="Times New Roman"/>
          <w:color w:val="000000"/>
          <w:sz w:val="20"/>
          <w:szCs w:val="20"/>
        </w:rPr>
        <w:t>distribution costs were $79.8 million, $73.2 million and $71.5 million in fiscal 2020, 2019 and 2018, respectively. As of September 27, 2020 and September 29, 2019, there were $28.7 million and $35.5 million of accounts receivable from equity investees, re</w:t>
      </w:r>
      <w:r>
        <w:rPr>
          <w:rFonts w:ascii="Times New Roman" w:eastAsia="宋体" w:hAnsi="Times New Roman"/>
          <w:color w:val="000000"/>
          <w:sz w:val="20"/>
          <w:szCs w:val="20"/>
        </w:rPr>
        <w:t>spectively, on our consolidated balance sheets, primarily related to product sales and royalty revenues.</w:t>
      </w:r>
    </w:p>
    <w:p w14:paraId="00BAF896" w14:textId="77777777" w:rsidR="00871BDF" w:rsidRDefault="005C5088">
      <w:pPr>
        <w:spacing w:before="120"/>
      </w:pPr>
      <w:r>
        <w:rPr>
          <w:rFonts w:ascii="Times New Roman" w:eastAsia="宋体" w:hAnsi="Times New Roman"/>
          <w:b/>
          <w:bCs/>
          <w:i/>
          <w:iCs/>
          <w:color w:val="000000"/>
          <w:sz w:val="20"/>
          <w:szCs w:val="20"/>
        </w:rPr>
        <w:t>Other Investments</w:t>
      </w:r>
    </w:p>
    <w:p w14:paraId="00BAF897" w14:textId="77777777" w:rsidR="00871BDF" w:rsidRDefault="005C5088">
      <w:pPr>
        <w:spacing w:before="120"/>
      </w:pPr>
      <w:r>
        <w:rPr>
          <w:rFonts w:ascii="Times New Roman" w:eastAsia="宋体" w:hAnsi="Times New Roman"/>
          <w:color w:val="000000"/>
          <w:sz w:val="20"/>
          <w:szCs w:val="20"/>
        </w:rPr>
        <w:t>We have equity interests in entities that develop and operate Starbucks licensed stores in several global markets, as well as in comp</w:t>
      </w:r>
      <w:r>
        <w:rPr>
          <w:rFonts w:ascii="Times New Roman" w:eastAsia="宋体" w:hAnsi="Times New Roman"/>
          <w:color w:val="000000"/>
          <w:sz w:val="20"/>
          <w:szCs w:val="20"/>
        </w:rPr>
        <w:t>anies that support our strategic initiatives. We do not have significant influence over these entities and their fair values are not readily determinable. Therefore, we elected to measure these investments at cost with adjustments for observable changes in</w:t>
      </w:r>
      <w:r>
        <w:rPr>
          <w:rFonts w:ascii="Times New Roman" w:eastAsia="宋体" w:hAnsi="Times New Roman"/>
          <w:color w:val="000000"/>
          <w:sz w:val="20"/>
          <w:szCs w:val="20"/>
        </w:rPr>
        <w:t xml:space="preserve"> price or impairment. </w:t>
      </w:r>
    </w:p>
    <w:p w14:paraId="00BAF898" w14:textId="77777777" w:rsidR="00871BDF" w:rsidRDefault="005C5088">
      <w:pPr>
        <w:spacing w:before="120"/>
      </w:pPr>
      <w:r>
        <w:rPr>
          <w:rFonts w:ascii="Times New Roman" w:eastAsia="宋体" w:hAnsi="Times New Roman"/>
          <w:b/>
          <w:bCs/>
          <w:color w:val="000000"/>
          <w:sz w:val="20"/>
          <w:szCs w:val="20"/>
        </w:rPr>
        <w:t>Note 7:    Supplemental Balance Sheet and Statement of Earnings Information</w:t>
      </w:r>
      <w:r>
        <w:rPr>
          <w:rFonts w:ascii="Times New Roman" w:eastAsia="宋体" w:hAnsi="Times New Roman"/>
          <w:i/>
          <w:iCs/>
          <w:color w:val="000000"/>
          <w:sz w:val="20"/>
          <w:szCs w:val="20"/>
        </w:rPr>
        <w:t xml:space="preserve"> (in millions)</w:t>
      </w:r>
    </w:p>
    <w:p w14:paraId="00BAF899" w14:textId="77777777" w:rsidR="00871BDF" w:rsidRDefault="005C5088">
      <w:pPr>
        <w:spacing w:before="120"/>
      </w:pPr>
      <w:r>
        <w:rPr>
          <w:rFonts w:ascii="Times New Roman" w:eastAsia="宋体" w:hAnsi="Times New Roman"/>
          <w:b/>
          <w:bCs/>
          <w:i/>
          <w:iCs/>
          <w:color w:val="000000"/>
          <w:sz w:val="20"/>
          <w:szCs w:val="20"/>
        </w:rPr>
        <w:t>Prepaid Expenses and Other Current Assets</w:t>
      </w:r>
    </w:p>
    <w:tbl>
      <w:tblPr>
        <w:tblW w:w="5000" w:type="pct"/>
        <w:tblCellMar>
          <w:top w:w="15" w:type="dxa"/>
          <w:left w:w="15" w:type="dxa"/>
          <w:bottom w:w="15" w:type="dxa"/>
          <w:right w:w="15" w:type="dxa"/>
        </w:tblCellMar>
        <w:tblLook w:val="04A0" w:firstRow="1" w:lastRow="0" w:firstColumn="1" w:lastColumn="0" w:noHBand="0" w:noVBand="1"/>
      </w:tblPr>
      <w:tblGrid>
        <w:gridCol w:w="40"/>
        <w:gridCol w:w="5388"/>
        <w:gridCol w:w="37"/>
        <w:gridCol w:w="120"/>
        <w:gridCol w:w="1243"/>
        <w:gridCol w:w="36"/>
        <w:gridCol w:w="36"/>
        <w:gridCol w:w="36"/>
        <w:gridCol w:w="36"/>
        <w:gridCol w:w="120"/>
        <w:gridCol w:w="1208"/>
        <w:gridCol w:w="36"/>
      </w:tblGrid>
      <w:tr w:rsidR="00871BDF" w14:paraId="00BAF8A6" w14:textId="77777777">
        <w:tc>
          <w:tcPr>
            <w:tcW w:w="50" w:type="pct"/>
            <w:shd w:val="clear" w:color="auto" w:fill="auto"/>
          </w:tcPr>
          <w:p w14:paraId="00BAF89A" w14:textId="77777777" w:rsidR="00871BDF" w:rsidRDefault="00871BDF">
            <w:pPr>
              <w:rPr>
                <w:rFonts w:ascii="宋体"/>
              </w:rPr>
            </w:pPr>
          </w:p>
        </w:tc>
        <w:tc>
          <w:tcPr>
            <w:tcW w:w="3256" w:type="pct"/>
            <w:shd w:val="clear" w:color="auto" w:fill="auto"/>
          </w:tcPr>
          <w:p w14:paraId="00BAF89B" w14:textId="77777777" w:rsidR="00871BDF" w:rsidRDefault="00871BDF">
            <w:pPr>
              <w:rPr>
                <w:rFonts w:ascii="宋体"/>
              </w:rPr>
            </w:pPr>
          </w:p>
        </w:tc>
        <w:tc>
          <w:tcPr>
            <w:tcW w:w="5" w:type="pct"/>
            <w:shd w:val="clear" w:color="auto" w:fill="auto"/>
          </w:tcPr>
          <w:p w14:paraId="00BAF89C" w14:textId="77777777" w:rsidR="00871BDF" w:rsidRDefault="00871BDF">
            <w:pPr>
              <w:rPr>
                <w:rFonts w:ascii="宋体"/>
              </w:rPr>
            </w:pPr>
          </w:p>
        </w:tc>
        <w:tc>
          <w:tcPr>
            <w:tcW w:w="50" w:type="pct"/>
            <w:shd w:val="clear" w:color="auto" w:fill="auto"/>
          </w:tcPr>
          <w:p w14:paraId="00BAF89D" w14:textId="77777777" w:rsidR="00871BDF" w:rsidRDefault="00871BDF">
            <w:pPr>
              <w:rPr>
                <w:rFonts w:ascii="宋体"/>
              </w:rPr>
            </w:pPr>
          </w:p>
        </w:tc>
        <w:tc>
          <w:tcPr>
            <w:tcW w:w="771" w:type="pct"/>
            <w:shd w:val="clear" w:color="auto" w:fill="auto"/>
          </w:tcPr>
          <w:p w14:paraId="00BAF89E" w14:textId="77777777" w:rsidR="00871BDF" w:rsidRDefault="00871BDF">
            <w:pPr>
              <w:rPr>
                <w:rFonts w:ascii="宋体"/>
              </w:rPr>
            </w:pPr>
          </w:p>
        </w:tc>
        <w:tc>
          <w:tcPr>
            <w:tcW w:w="5" w:type="pct"/>
            <w:shd w:val="clear" w:color="auto" w:fill="auto"/>
          </w:tcPr>
          <w:p w14:paraId="00BAF89F" w14:textId="77777777" w:rsidR="00871BDF" w:rsidRDefault="00871BDF">
            <w:pPr>
              <w:rPr>
                <w:rFonts w:ascii="宋体"/>
              </w:rPr>
            </w:pPr>
          </w:p>
        </w:tc>
        <w:tc>
          <w:tcPr>
            <w:tcW w:w="5" w:type="pct"/>
            <w:shd w:val="clear" w:color="auto" w:fill="auto"/>
          </w:tcPr>
          <w:p w14:paraId="00BAF8A0" w14:textId="77777777" w:rsidR="00871BDF" w:rsidRDefault="00871BDF">
            <w:pPr>
              <w:rPr>
                <w:rFonts w:ascii="宋体"/>
              </w:rPr>
            </w:pPr>
          </w:p>
        </w:tc>
        <w:tc>
          <w:tcPr>
            <w:tcW w:w="26" w:type="pct"/>
            <w:shd w:val="clear" w:color="auto" w:fill="auto"/>
          </w:tcPr>
          <w:p w14:paraId="00BAF8A1" w14:textId="77777777" w:rsidR="00871BDF" w:rsidRDefault="00871BDF">
            <w:pPr>
              <w:rPr>
                <w:rFonts w:ascii="宋体"/>
              </w:rPr>
            </w:pPr>
          </w:p>
        </w:tc>
        <w:tc>
          <w:tcPr>
            <w:tcW w:w="5" w:type="pct"/>
            <w:shd w:val="clear" w:color="auto" w:fill="auto"/>
          </w:tcPr>
          <w:p w14:paraId="00BAF8A2" w14:textId="77777777" w:rsidR="00871BDF" w:rsidRDefault="00871BDF">
            <w:pPr>
              <w:rPr>
                <w:rFonts w:ascii="宋体"/>
              </w:rPr>
            </w:pPr>
          </w:p>
        </w:tc>
        <w:tc>
          <w:tcPr>
            <w:tcW w:w="50" w:type="pct"/>
            <w:shd w:val="clear" w:color="auto" w:fill="auto"/>
          </w:tcPr>
          <w:p w14:paraId="00BAF8A3" w14:textId="77777777" w:rsidR="00871BDF" w:rsidRDefault="00871BDF">
            <w:pPr>
              <w:rPr>
                <w:rFonts w:ascii="宋体"/>
              </w:rPr>
            </w:pPr>
          </w:p>
        </w:tc>
        <w:tc>
          <w:tcPr>
            <w:tcW w:w="771" w:type="pct"/>
            <w:shd w:val="clear" w:color="auto" w:fill="auto"/>
          </w:tcPr>
          <w:p w14:paraId="00BAF8A4" w14:textId="77777777" w:rsidR="00871BDF" w:rsidRDefault="00871BDF">
            <w:pPr>
              <w:rPr>
                <w:rFonts w:ascii="宋体"/>
              </w:rPr>
            </w:pPr>
          </w:p>
        </w:tc>
        <w:tc>
          <w:tcPr>
            <w:tcW w:w="5" w:type="pct"/>
            <w:shd w:val="clear" w:color="auto" w:fill="auto"/>
          </w:tcPr>
          <w:p w14:paraId="00BAF8A5" w14:textId="77777777" w:rsidR="00871BDF" w:rsidRDefault="00871BDF">
            <w:pPr>
              <w:rPr>
                <w:rFonts w:ascii="宋体"/>
              </w:rPr>
            </w:pPr>
          </w:p>
        </w:tc>
      </w:tr>
      <w:tr w:rsidR="00871BDF" w14:paraId="00BAF8AB" w14:textId="77777777">
        <w:tc>
          <w:tcPr>
            <w:tcW w:w="0" w:type="auto"/>
            <w:gridSpan w:val="3"/>
            <w:shd w:val="clear" w:color="auto" w:fill="auto"/>
            <w:tcMar>
              <w:top w:w="0" w:type="dxa"/>
              <w:left w:w="20" w:type="dxa"/>
              <w:bottom w:w="0" w:type="dxa"/>
              <w:right w:w="20" w:type="dxa"/>
            </w:tcMar>
          </w:tcPr>
          <w:p w14:paraId="00BAF8A7"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8A8"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AF8A9"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8AA" w14:textId="77777777" w:rsidR="00871BDF" w:rsidRDefault="005C5088">
            <w:pPr>
              <w:jc w:val="center"/>
              <w:textAlignment w:val="bottom"/>
            </w:pPr>
            <w:r>
              <w:rPr>
                <w:rFonts w:ascii="Times New Roman" w:eastAsia="宋体" w:hAnsi="Times New Roman"/>
                <w:b/>
                <w:bCs/>
                <w:color w:val="FFFFFF"/>
                <w:sz w:val="16"/>
                <w:szCs w:val="16"/>
              </w:rPr>
              <w:t>Sep 29, 2019</w:t>
            </w:r>
          </w:p>
        </w:tc>
      </w:tr>
      <w:tr w:rsidR="00871BDF" w14:paraId="00BAF8B4" w14:textId="77777777">
        <w:tc>
          <w:tcPr>
            <w:tcW w:w="0" w:type="auto"/>
            <w:gridSpan w:val="3"/>
            <w:shd w:val="clear" w:color="auto" w:fill="D7E4BC"/>
            <w:tcMar>
              <w:top w:w="40" w:type="dxa"/>
              <w:left w:w="20" w:type="dxa"/>
              <w:bottom w:w="40" w:type="dxa"/>
              <w:right w:w="20" w:type="dxa"/>
            </w:tcMar>
          </w:tcPr>
          <w:p w14:paraId="00BAF8AC" w14:textId="77777777" w:rsidR="00871BDF" w:rsidRDefault="005C5088">
            <w:pPr>
              <w:textAlignment w:val="top"/>
            </w:pPr>
            <w:r>
              <w:rPr>
                <w:rFonts w:ascii="Times New Roman" w:eastAsia="宋体" w:hAnsi="Times New Roman"/>
                <w:color w:val="000000"/>
                <w:sz w:val="20"/>
                <w:szCs w:val="20"/>
              </w:rPr>
              <w:t>Income tax receivable</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8A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8AE" w14:textId="77777777" w:rsidR="00871BDF" w:rsidRDefault="005C5088">
            <w:pPr>
              <w:jc w:val="right"/>
              <w:textAlignment w:val="bottom"/>
            </w:pPr>
            <w:r>
              <w:rPr>
                <w:rFonts w:ascii="Times New Roman" w:eastAsia="宋体" w:hAnsi="Times New Roman"/>
                <w:color w:val="000000"/>
                <w:sz w:val="20"/>
                <w:szCs w:val="20"/>
              </w:rPr>
              <w:t>356.9 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8A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8B0"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8B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8B2" w14:textId="77777777" w:rsidR="00871BDF" w:rsidRDefault="005C5088">
            <w:pPr>
              <w:jc w:val="right"/>
              <w:textAlignment w:val="bottom"/>
            </w:pPr>
            <w:r>
              <w:rPr>
                <w:rFonts w:ascii="Times New Roman" w:eastAsia="宋体" w:hAnsi="Times New Roman"/>
                <w:color w:val="000000"/>
                <w:sz w:val="20"/>
                <w:szCs w:val="20"/>
              </w:rPr>
              <w:t>141.1 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8B3" w14:textId="77777777" w:rsidR="00871BDF" w:rsidRDefault="00871BDF">
            <w:pPr>
              <w:jc w:val="right"/>
              <w:rPr>
                <w:rFonts w:ascii="宋体"/>
              </w:rPr>
            </w:pPr>
          </w:p>
        </w:tc>
      </w:tr>
      <w:tr w:rsidR="00871BDF" w14:paraId="00BAF8BB" w14:textId="77777777">
        <w:tc>
          <w:tcPr>
            <w:tcW w:w="0" w:type="auto"/>
            <w:gridSpan w:val="3"/>
            <w:shd w:val="clear" w:color="auto" w:fill="FFFFFF"/>
            <w:tcMar>
              <w:top w:w="40" w:type="dxa"/>
              <w:left w:w="20" w:type="dxa"/>
              <w:bottom w:w="40" w:type="dxa"/>
              <w:right w:w="20" w:type="dxa"/>
            </w:tcMar>
            <w:vAlign w:val="bottom"/>
          </w:tcPr>
          <w:p w14:paraId="00BAF8B5" w14:textId="77777777" w:rsidR="00871BDF" w:rsidRDefault="005C5088">
            <w:pPr>
              <w:textAlignment w:val="bottom"/>
            </w:pPr>
            <w:r>
              <w:rPr>
                <w:rFonts w:ascii="Times New Roman" w:eastAsia="宋体" w:hAnsi="Times New Roman"/>
                <w:color w:val="000000"/>
                <w:sz w:val="20"/>
                <w:szCs w:val="20"/>
              </w:rPr>
              <w:t>Government subsidies receivable</w:t>
            </w:r>
          </w:p>
        </w:tc>
        <w:tc>
          <w:tcPr>
            <w:tcW w:w="0" w:type="auto"/>
            <w:gridSpan w:val="2"/>
            <w:shd w:val="clear" w:color="auto" w:fill="FFFFFF"/>
            <w:tcMar>
              <w:top w:w="40" w:type="dxa"/>
              <w:left w:w="20" w:type="dxa"/>
              <w:bottom w:w="40" w:type="dxa"/>
              <w:right w:w="0" w:type="dxa"/>
            </w:tcMar>
            <w:vAlign w:val="bottom"/>
          </w:tcPr>
          <w:p w14:paraId="00BAF8B6" w14:textId="77777777" w:rsidR="00871BDF" w:rsidRDefault="005C5088">
            <w:pPr>
              <w:jc w:val="right"/>
              <w:textAlignment w:val="bottom"/>
            </w:pPr>
            <w:r>
              <w:rPr>
                <w:rFonts w:ascii="Times New Roman" w:eastAsia="宋体" w:hAnsi="Times New Roman"/>
                <w:color w:val="000000"/>
                <w:sz w:val="20"/>
                <w:szCs w:val="20"/>
              </w:rPr>
              <w:t>155.1 </w:t>
            </w:r>
          </w:p>
        </w:tc>
        <w:tc>
          <w:tcPr>
            <w:tcW w:w="0" w:type="auto"/>
            <w:shd w:val="clear" w:color="auto" w:fill="FFFFFF"/>
            <w:tcMar>
              <w:top w:w="40" w:type="dxa"/>
              <w:left w:w="0" w:type="dxa"/>
              <w:bottom w:w="40" w:type="dxa"/>
              <w:right w:w="20" w:type="dxa"/>
            </w:tcMar>
            <w:vAlign w:val="bottom"/>
          </w:tcPr>
          <w:p w14:paraId="00BAF8B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8B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8B9"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8BA" w14:textId="77777777" w:rsidR="00871BDF" w:rsidRDefault="00871BDF">
            <w:pPr>
              <w:jc w:val="right"/>
              <w:rPr>
                <w:rFonts w:ascii="宋体"/>
              </w:rPr>
            </w:pPr>
          </w:p>
        </w:tc>
      </w:tr>
      <w:tr w:rsidR="00871BDF" w14:paraId="00BAF8C2" w14:textId="77777777">
        <w:tc>
          <w:tcPr>
            <w:tcW w:w="0" w:type="auto"/>
            <w:gridSpan w:val="3"/>
            <w:shd w:val="clear" w:color="auto" w:fill="D7E4BC"/>
            <w:tcMar>
              <w:top w:w="40" w:type="dxa"/>
              <w:left w:w="20" w:type="dxa"/>
              <w:bottom w:w="40" w:type="dxa"/>
              <w:right w:w="20" w:type="dxa"/>
            </w:tcMar>
            <w:vAlign w:val="bottom"/>
          </w:tcPr>
          <w:p w14:paraId="00BAF8BC" w14:textId="77777777" w:rsidR="00871BDF" w:rsidRDefault="005C5088">
            <w:pPr>
              <w:textAlignment w:val="bottom"/>
            </w:pPr>
            <w:r>
              <w:rPr>
                <w:rFonts w:ascii="Times New Roman" w:eastAsia="宋体" w:hAnsi="Times New Roman"/>
                <w:color w:val="000000"/>
                <w:sz w:val="20"/>
                <w:szCs w:val="20"/>
              </w:rPr>
              <w:t>Other prepaid expenses and current assets</w:t>
            </w:r>
          </w:p>
        </w:tc>
        <w:tc>
          <w:tcPr>
            <w:tcW w:w="0" w:type="auto"/>
            <w:gridSpan w:val="2"/>
            <w:shd w:val="clear" w:color="auto" w:fill="D7E4BC"/>
            <w:tcMar>
              <w:top w:w="40" w:type="dxa"/>
              <w:left w:w="20" w:type="dxa"/>
              <w:bottom w:w="40" w:type="dxa"/>
              <w:right w:w="0" w:type="dxa"/>
            </w:tcMar>
            <w:vAlign w:val="bottom"/>
          </w:tcPr>
          <w:p w14:paraId="00BAF8BD" w14:textId="77777777" w:rsidR="00871BDF" w:rsidRDefault="005C5088">
            <w:pPr>
              <w:jc w:val="right"/>
              <w:textAlignment w:val="bottom"/>
            </w:pPr>
            <w:r>
              <w:rPr>
                <w:rFonts w:ascii="Times New Roman" w:eastAsia="宋体" w:hAnsi="Times New Roman"/>
                <w:color w:val="000000"/>
                <w:sz w:val="20"/>
                <w:szCs w:val="20"/>
              </w:rPr>
              <w:t>227.5 </w:t>
            </w:r>
          </w:p>
        </w:tc>
        <w:tc>
          <w:tcPr>
            <w:tcW w:w="0" w:type="auto"/>
            <w:shd w:val="clear" w:color="auto" w:fill="D7E4BC"/>
            <w:tcMar>
              <w:top w:w="40" w:type="dxa"/>
              <w:left w:w="0" w:type="dxa"/>
              <w:bottom w:w="40" w:type="dxa"/>
              <w:right w:w="20" w:type="dxa"/>
            </w:tcMar>
            <w:vAlign w:val="bottom"/>
          </w:tcPr>
          <w:p w14:paraId="00BAF8B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8B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8C0" w14:textId="77777777" w:rsidR="00871BDF" w:rsidRDefault="005C5088">
            <w:pPr>
              <w:jc w:val="right"/>
              <w:textAlignment w:val="bottom"/>
            </w:pPr>
            <w:r>
              <w:rPr>
                <w:rFonts w:ascii="Times New Roman" w:eastAsia="宋体" w:hAnsi="Times New Roman"/>
                <w:color w:val="000000"/>
                <w:sz w:val="20"/>
                <w:szCs w:val="20"/>
              </w:rPr>
              <w:t>347.1 </w:t>
            </w:r>
          </w:p>
        </w:tc>
        <w:tc>
          <w:tcPr>
            <w:tcW w:w="0" w:type="auto"/>
            <w:shd w:val="clear" w:color="auto" w:fill="D7E4BC"/>
            <w:tcMar>
              <w:top w:w="40" w:type="dxa"/>
              <w:left w:w="0" w:type="dxa"/>
              <w:bottom w:w="40" w:type="dxa"/>
              <w:right w:w="20" w:type="dxa"/>
            </w:tcMar>
            <w:vAlign w:val="bottom"/>
          </w:tcPr>
          <w:p w14:paraId="00BAF8C1" w14:textId="77777777" w:rsidR="00871BDF" w:rsidRDefault="00871BDF">
            <w:pPr>
              <w:jc w:val="right"/>
              <w:rPr>
                <w:rFonts w:ascii="宋体"/>
              </w:rPr>
            </w:pPr>
          </w:p>
        </w:tc>
      </w:tr>
      <w:tr w:rsidR="00871BDF" w14:paraId="00BAF8CB" w14:textId="77777777">
        <w:tc>
          <w:tcPr>
            <w:tcW w:w="0" w:type="auto"/>
            <w:gridSpan w:val="3"/>
            <w:shd w:val="clear" w:color="auto" w:fill="FFFFFF"/>
            <w:tcMar>
              <w:top w:w="40" w:type="dxa"/>
              <w:left w:w="20" w:type="dxa"/>
              <w:bottom w:w="40" w:type="dxa"/>
              <w:right w:w="20" w:type="dxa"/>
            </w:tcMar>
          </w:tcPr>
          <w:p w14:paraId="00BAF8C3" w14:textId="77777777" w:rsidR="00871BDF" w:rsidRDefault="005C5088">
            <w:pPr>
              <w:textAlignment w:val="top"/>
            </w:pPr>
            <w:r>
              <w:rPr>
                <w:rFonts w:ascii="Times New Roman" w:eastAsia="宋体" w:hAnsi="Times New Roman"/>
                <w:color w:val="000000"/>
                <w:sz w:val="20"/>
                <w:szCs w:val="20"/>
              </w:rPr>
              <w:t>Total prepaid expenses and 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8C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8C5" w14:textId="77777777" w:rsidR="00871BDF" w:rsidRDefault="005C5088">
            <w:pPr>
              <w:jc w:val="right"/>
              <w:textAlignment w:val="bottom"/>
            </w:pPr>
            <w:r>
              <w:rPr>
                <w:rFonts w:ascii="Times New Roman" w:eastAsia="宋体" w:hAnsi="Times New Roman"/>
                <w:color w:val="000000"/>
                <w:sz w:val="20"/>
                <w:szCs w:val="20"/>
              </w:rPr>
              <w:t>739.5 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8C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8C7"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8C8"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8C9" w14:textId="77777777" w:rsidR="00871BDF" w:rsidRDefault="005C5088">
            <w:pPr>
              <w:jc w:val="right"/>
              <w:textAlignment w:val="bottom"/>
            </w:pPr>
            <w:r>
              <w:rPr>
                <w:rFonts w:ascii="Times New Roman" w:eastAsia="宋体" w:hAnsi="Times New Roman"/>
                <w:color w:val="000000"/>
                <w:sz w:val="20"/>
                <w:szCs w:val="20"/>
              </w:rPr>
              <w:t>488.2 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8CA" w14:textId="77777777" w:rsidR="00871BDF" w:rsidRDefault="00871BDF">
            <w:pPr>
              <w:jc w:val="right"/>
              <w:rPr>
                <w:rFonts w:ascii="宋体"/>
              </w:rPr>
            </w:pPr>
          </w:p>
        </w:tc>
      </w:tr>
    </w:tbl>
    <w:p w14:paraId="00BAF8CC" w14:textId="77777777" w:rsidR="00871BDF" w:rsidRDefault="005C5088">
      <w:pPr>
        <w:spacing w:before="120"/>
      </w:pPr>
      <w:r>
        <w:rPr>
          <w:rFonts w:ascii="Times New Roman" w:eastAsia="宋体" w:hAnsi="Times New Roman"/>
          <w:b/>
          <w:bCs/>
          <w:i/>
          <w:iCs/>
          <w:color w:val="000000"/>
          <w:sz w:val="20"/>
          <w:szCs w:val="20"/>
        </w:rPr>
        <w:t>Property, Plant and Equipment, net</w:t>
      </w:r>
    </w:p>
    <w:tbl>
      <w:tblPr>
        <w:tblW w:w="4985" w:type="pct"/>
        <w:tblCellMar>
          <w:top w:w="15" w:type="dxa"/>
          <w:left w:w="15" w:type="dxa"/>
          <w:bottom w:w="15" w:type="dxa"/>
          <w:right w:w="15" w:type="dxa"/>
        </w:tblCellMar>
        <w:tblLook w:val="04A0" w:firstRow="1" w:lastRow="0" w:firstColumn="1" w:lastColumn="0" w:noHBand="0" w:noVBand="1"/>
      </w:tblPr>
      <w:tblGrid>
        <w:gridCol w:w="40"/>
        <w:gridCol w:w="5388"/>
        <w:gridCol w:w="36"/>
        <w:gridCol w:w="120"/>
        <w:gridCol w:w="1231"/>
        <w:gridCol w:w="36"/>
        <w:gridCol w:w="36"/>
        <w:gridCol w:w="36"/>
        <w:gridCol w:w="36"/>
        <w:gridCol w:w="120"/>
        <w:gridCol w:w="1196"/>
        <w:gridCol w:w="36"/>
      </w:tblGrid>
      <w:tr w:rsidR="00871BDF" w14:paraId="00BAF8D9" w14:textId="77777777">
        <w:tc>
          <w:tcPr>
            <w:tcW w:w="50" w:type="pct"/>
            <w:shd w:val="clear" w:color="auto" w:fill="auto"/>
          </w:tcPr>
          <w:p w14:paraId="00BAF8CD" w14:textId="77777777" w:rsidR="00871BDF" w:rsidRDefault="00871BDF">
            <w:pPr>
              <w:rPr>
                <w:rFonts w:ascii="宋体"/>
              </w:rPr>
            </w:pPr>
          </w:p>
        </w:tc>
        <w:tc>
          <w:tcPr>
            <w:tcW w:w="3266" w:type="pct"/>
            <w:shd w:val="clear" w:color="auto" w:fill="auto"/>
          </w:tcPr>
          <w:p w14:paraId="00BAF8CE" w14:textId="77777777" w:rsidR="00871BDF" w:rsidRDefault="00871BDF">
            <w:pPr>
              <w:rPr>
                <w:rFonts w:ascii="宋体"/>
              </w:rPr>
            </w:pPr>
          </w:p>
        </w:tc>
        <w:tc>
          <w:tcPr>
            <w:tcW w:w="5" w:type="pct"/>
            <w:shd w:val="clear" w:color="auto" w:fill="auto"/>
          </w:tcPr>
          <w:p w14:paraId="00BAF8CF" w14:textId="77777777" w:rsidR="00871BDF" w:rsidRDefault="00871BDF">
            <w:pPr>
              <w:rPr>
                <w:rFonts w:ascii="宋体"/>
              </w:rPr>
            </w:pPr>
          </w:p>
        </w:tc>
        <w:tc>
          <w:tcPr>
            <w:tcW w:w="50" w:type="pct"/>
            <w:shd w:val="clear" w:color="auto" w:fill="auto"/>
          </w:tcPr>
          <w:p w14:paraId="00BAF8D0" w14:textId="77777777" w:rsidR="00871BDF" w:rsidRDefault="00871BDF">
            <w:pPr>
              <w:rPr>
                <w:rFonts w:ascii="宋体"/>
              </w:rPr>
            </w:pPr>
          </w:p>
        </w:tc>
        <w:tc>
          <w:tcPr>
            <w:tcW w:w="766" w:type="pct"/>
            <w:shd w:val="clear" w:color="auto" w:fill="auto"/>
          </w:tcPr>
          <w:p w14:paraId="00BAF8D1" w14:textId="77777777" w:rsidR="00871BDF" w:rsidRDefault="00871BDF">
            <w:pPr>
              <w:rPr>
                <w:rFonts w:ascii="宋体"/>
              </w:rPr>
            </w:pPr>
          </w:p>
        </w:tc>
        <w:tc>
          <w:tcPr>
            <w:tcW w:w="5" w:type="pct"/>
            <w:shd w:val="clear" w:color="auto" w:fill="auto"/>
          </w:tcPr>
          <w:p w14:paraId="00BAF8D2" w14:textId="77777777" w:rsidR="00871BDF" w:rsidRDefault="00871BDF">
            <w:pPr>
              <w:rPr>
                <w:rFonts w:ascii="宋体"/>
              </w:rPr>
            </w:pPr>
          </w:p>
        </w:tc>
        <w:tc>
          <w:tcPr>
            <w:tcW w:w="5" w:type="pct"/>
            <w:shd w:val="clear" w:color="auto" w:fill="auto"/>
          </w:tcPr>
          <w:p w14:paraId="00BAF8D3" w14:textId="77777777" w:rsidR="00871BDF" w:rsidRDefault="00871BDF">
            <w:pPr>
              <w:rPr>
                <w:rFonts w:ascii="宋体"/>
              </w:rPr>
            </w:pPr>
          </w:p>
        </w:tc>
        <w:tc>
          <w:tcPr>
            <w:tcW w:w="26" w:type="pct"/>
            <w:shd w:val="clear" w:color="auto" w:fill="auto"/>
          </w:tcPr>
          <w:p w14:paraId="00BAF8D4" w14:textId="77777777" w:rsidR="00871BDF" w:rsidRDefault="00871BDF">
            <w:pPr>
              <w:rPr>
                <w:rFonts w:ascii="宋体"/>
              </w:rPr>
            </w:pPr>
          </w:p>
        </w:tc>
        <w:tc>
          <w:tcPr>
            <w:tcW w:w="5" w:type="pct"/>
            <w:shd w:val="clear" w:color="auto" w:fill="auto"/>
          </w:tcPr>
          <w:p w14:paraId="00BAF8D5" w14:textId="77777777" w:rsidR="00871BDF" w:rsidRDefault="00871BDF">
            <w:pPr>
              <w:rPr>
                <w:rFonts w:ascii="宋体"/>
              </w:rPr>
            </w:pPr>
          </w:p>
        </w:tc>
        <w:tc>
          <w:tcPr>
            <w:tcW w:w="50" w:type="pct"/>
            <w:shd w:val="clear" w:color="auto" w:fill="auto"/>
          </w:tcPr>
          <w:p w14:paraId="00BAF8D6" w14:textId="77777777" w:rsidR="00871BDF" w:rsidRDefault="00871BDF">
            <w:pPr>
              <w:rPr>
                <w:rFonts w:ascii="宋体"/>
              </w:rPr>
            </w:pPr>
          </w:p>
        </w:tc>
        <w:tc>
          <w:tcPr>
            <w:tcW w:w="766" w:type="pct"/>
            <w:shd w:val="clear" w:color="auto" w:fill="auto"/>
          </w:tcPr>
          <w:p w14:paraId="00BAF8D7" w14:textId="77777777" w:rsidR="00871BDF" w:rsidRDefault="00871BDF">
            <w:pPr>
              <w:rPr>
                <w:rFonts w:ascii="宋体"/>
              </w:rPr>
            </w:pPr>
          </w:p>
        </w:tc>
        <w:tc>
          <w:tcPr>
            <w:tcW w:w="5" w:type="pct"/>
            <w:shd w:val="clear" w:color="auto" w:fill="auto"/>
          </w:tcPr>
          <w:p w14:paraId="00BAF8D8" w14:textId="77777777" w:rsidR="00871BDF" w:rsidRDefault="00871BDF">
            <w:pPr>
              <w:rPr>
                <w:rFonts w:ascii="宋体"/>
              </w:rPr>
            </w:pPr>
          </w:p>
        </w:tc>
      </w:tr>
      <w:tr w:rsidR="00871BDF" w14:paraId="00BAF8DE" w14:textId="77777777">
        <w:tc>
          <w:tcPr>
            <w:tcW w:w="0" w:type="auto"/>
            <w:gridSpan w:val="3"/>
            <w:shd w:val="clear" w:color="auto" w:fill="auto"/>
            <w:tcMar>
              <w:top w:w="0" w:type="dxa"/>
              <w:left w:w="20" w:type="dxa"/>
              <w:bottom w:w="0" w:type="dxa"/>
              <w:right w:w="20" w:type="dxa"/>
            </w:tcMar>
          </w:tcPr>
          <w:p w14:paraId="00BAF8D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8DB"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AF8D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8DD" w14:textId="77777777" w:rsidR="00871BDF" w:rsidRDefault="005C5088">
            <w:pPr>
              <w:jc w:val="center"/>
              <w:textAlignment w:val="bottom"/>
            </w:pPr>
            <w:r>
              <w:rPr>
                <w:rFonts w:ascii="Times New Roman" w:eastAsia="宋体" w:hAnsi="Times New Roman"/>
                <w:b/>
                <w:bCs/>
                <w:color w:val="FFFFFF"/>
                <w:sz w:val="16"/>
                <w:szCs w:val="16"/>
              </w:rPr>
              <w:t>Sep 29, 2019</w:t>
            </w:r>
          </w:p>
        </w:tc>
      </w:tr>
      <w:tr w:rsidR="00871BDF" w14:paraId="00BAF8E7" w14:textId="77777777">
        <w:tc>
          <w:tcPr>
            <w:tcW w:w="0" w:type="auto"/>
            <w:gridSpan w:val="3"/>
            <w:shd w:val="clear" w:color="auto" w:fill="D7E4BC"/>
            <w:tcMar>
              <w:top w:w="40" w:type="dxa"/>
              <w:left w:w="20" w:type="dxa"/>
              <w:bottom w:w="40" w:type="dxa"/>
              <w:right w:w="20" w:type="dxa"/>
            </w:tcMar>
          </w:tcPr>
          <w:p w14:paraId="00BAF8DF" w14:textId="77777777" w:rsidR="00871BDF" w:rsidRDefault="005C5088">
            <w:pPr>
              <w:textAlignment w:val="top"/>
            </w:pPr>
            <w:r>
              <w:rPr>
                <w:rFonts w:ascii="Times New Roman" w:eastAsia="宋体" w:hAnsi="Times New Roman"/>
                <w:color w:val="000000"/>
                <w:sz w:val="20"/>
                <w:szCs w:val="20"/>
              </w:rPr>
              <w:t>Land</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8E0"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8E1" w14:textId="77777777" w:rsidR="00871BDF" w:rsidRDefault="005C5088">
            <w:pPr>
              <w:jc w:val="right"/>
              <w:textAlignment w:val="bottom"/>
            </w:pPr>
            <w:r>
              <w:rPr>
                <w:rFonts w:ascii="Times New Roman" w:eastAsia="宋体" w:hAnsi="Times New Roman"/>
                <w:color w:val="000000"/>
                <w:sz w:val="20"/>
                <w:szCs w:val="20"/>
              </w:rPr>
              <w:t>46.0 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8E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8E3"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8E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8E5" w14:textId="77777777" w:rsidR="00871BDF" w:rsidRDefault="005C5088">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8E6" w14:textId="77777777" w:rsidR="00871BDF" w:rsidRDefault="00871BDF">
            <w:pPr>
              <w:jc w:val="right"/>
              <w:rPr>
                <w:rFonts w:ascii="宋体"/>
              </w:rPr>
            </w:pPr>
          </w:p>
        </w:tc>
      </w:tr>
      <w:tr w:rsidR="00871BDF" w14:paraId="00BAF8EE" w14:textId="77777777">
        <w:tc>
          <w:tcPr>
            <w:tcW w:w="0" w:type="auto"/>
            <w:gridSpan w:val="3"/>
            <w:shd w:val="clear" w:color="auto" w:fill="FFFFFF"/>
            <w:tcMar>
              <w:top w:w="40" w:type="dxa"/>
              <w:left w:w="20" w:type="dxa"/>
              <w:bottom w:w="40" w:type="dxa"/>
              <w:right w:w="20" w:type="dxa"/>
            </w:tcMar>
          </w:tcPr>
          <w:p w14:paraId="00BAF8E8" w14:textId="77777777" w:rsidR="00871BDF" w:rsidRDefault="005C5088">
            <w:pPr>
              <w:textAlignment w:val="top"/>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00BAF8E9" w14:textId="77777777" w:rsidR="00871BDF" w:rsidRDefault="005C5088">
            <w:pPr>
              <w:jc w:val="right"/>
              <w:textAlignment w:val="bottom"/>
            </w:pPr>
            <w:r>
              <w:rPr>
                <w:rFonts w:ascii="Times New Roman" w:eastAsia="宋体" w:hAnsi="Times New Roman"/>
                <w:color w:val="000000"/>
                <w:sz w:val="20"/>
                <w:szCs w:val="20"/>
              </w:rPr>
              <w:t>586.8 </w:t>
            </w:r>
          </w:p>
        </w:tc>
        <w:tc>
          <w:tcPr>
            <w:tcW w:w="0" w:type="auto"/>
            <w:shd w:val="clear" w:color="auto" w:fill="FFFFFF"/>
            <w:tcMar>
              <w:top w:w="40" w:type="dxa"/>
              <w:left w:w="0" w:type="dxa"/>
              <w:bottom w:w="40" w:type="dxa"/>
              <w:right w:w="20" w:type="dxa"/>
            </w:tcMar>
            <w:vAlign w:val="bottom"/>
          </w:tcPr>
          <w:p w14:paraId="00BAF8E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8E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8EC" w14:textId="77777777" w:rsidR="00871BDF" w:rsidRDefault="005C5088">
            <w:pPr>
              <w:jc w:val="right"/>
              <w:textAlignment w:val="bottom"/>
            </w:pPr>
            <w:r>
              <w:rPr>
                <w:rFonts w:ascii="Times New Roman" w:eastAsia="宋体" w:hAnsi="Times New Roman"/>
                <w:color w:val="000000"/>
                <w:sz w:val="20"/>
                <w:szCs w:val="20"/>
              </w:rPr>
              <w:t>691.5 </w:t>
            </w:r>
          </w:p>
        </w:tc>
        <w:tc>
          <w:tcPr>
            <w:tcW w:w="0" w:type="auto"/>
            <w:shd w:val="clear" w:color="auto" w:fill="FFFFFF"/>
            <w:tcMar>
              <w:top w:w="40" w:type="dxa"/>
              <w:left w:w="0" w:type="dxa"/>
              <w:bottom w:w="40" w:type="dxa"/>
              <w:right w:w="20" w:type="dxa"/>
            </w:tcMar>
            <w:vAlign w:val="bottom"/>
          </w:tcPr>
          <w:p w14:paraId="00BAF8ED" w14:textId="77777777" w:rsidR="00871BDF" w:rsidRDefault="00871BDF">
            <w:pPr>
              <w:jc w:val="right"/>
              <w:rPr>
                <w:rFonts w:ascii="宋体"/>
              </w:rPr>
            </w:pPr>
          </w:p>
        </w:tc>
      </w:tr>
      <w:tr w:rsidR="00871BDF" w14:paraId="00BAF8F5" w14:textId="77777777">
        <w:tc>
          <w:tcPr>
            <w:tcW w:w="0" w:type="auto"/>
            <w:gridSpan w:val="3"/>
            <w:shd w:val="clear" w:color="auto" w:fill="D7E4BC"/>
            <w:tcMar>
              <w:top w:w="40" w:type="dxa"/>
              <w:left w:w="20" w:type="dxa"/>
              <w:bottom w:w="40" w:type="dxa"/>
              <w:right w:w="20" w:type="dxa"/>
            </w:tcMar>
          </w:tcPr>
          <w:p w14:paraId="00BAF8EF" w14:textId="77777777" w:rsidR="00871BDF" w:rsidRDefault="005C5088">
            <w:pPr>
              <w:textAlignment w:val="top"/>
            </w:pPr>
            <w:r>
              <w:rPr>
                <w:rFonts w:ascii="Times New Roman" w:eastAsia="宋体" w:hAnsi="Times New Roman"/>
                <w:color w:val="000000"/>
                <w:sz w:val="20"/>
                <w:szCs w:val="20"/>
              </w:rPr>
              <w:t>Leasehold improvements</w:t>
            </w:r>
          </w:p>
        </w:tc>
        <w:tc>
          <w:tcPr>
            <w:tcW w:w="0" w:type="auto"/>
            <w:gridSpan w:val="2"/>
            <w:shd w:val="clear" w:color="auto" w:fill="D7E4BC"/>
            <w:tcMar>
              <w:top w:w="40" w:type="dxa"/>
              <w:left w:w="20" w:type="dxa"/>
              <w:bottom w:w="40" w:type="dxa"/>
              <w:right w:w="0" w:type="dxa"/>
            </w:tcMar>
            <w:vAlign w:val="bottom"/>
          </w:tcPr>
          <w:p w14:paraId="00BAF8F0" w14:textId="77777777" w:rsidR="00871BDF" w:rsidRDefault="005C5088">
            <w:pPr>
              <w:jc w:val="right"/>
              <w:textAlignment w:val="bottom"/>
            </w:pPr>
            <w:r>
              <w:rPr>
                <w:rFonts w:ascii="Times New Roman" w:eastAsia="宋体" w:hAnsi="Times New Roman"/>
                <w:color w:val="000000"/>
                <w:sz w:val="20"/>
                <w:szCs w:val="20"/>
              </w:rPr>
              <w:t>8,262.6 </w:t>
            </w:r>
          </w:p>
        </w:tc>
        <w:tc>
          <w:tcPr>
            <w:tcW w:w="0" w:type="auto"/>
            <w:shd w:val="clear" w:color="auto" w:fill="D7E4BC"/>
            <w:tcMar>
              <w:top w:w="40" w:type="dxa"/>
              <w:left w:w="0" w:type="dxa"/>
              <w:bottom w:w="40" w:type="dxa"/>
              <w:right w:w="20" w:type="dxa"/>
            </w:tcMar>
            <w:vAlign w:val="bottom"/>
          </w:tcPr>
          <w:p w14:paraId="00BAF8F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8F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8F3" w14:textId="77777777" w:rsidR="00871BDF" w:rsidRDefault="005C5088">
            <w:pPr>
              <w:jc w:val="right"/>
              <w:textAlignment w:val="bottom"/>
            </w:pPr>
            <w:r>
              <w:rPr>
                <w:rFonts w:ascii="Times New Roman" w:eastAsia="宋体" w:hAnsi="Times New Roman"/>
                <w:color w:val="000000"/>
                <w:sz w:val="20"/>
                <w:szCs w:val="20"/>
              </w:rPr>
              <w:t>7,948.6 </w:t>
            </w:r>
          </w:p>
        </w:tc>
        <w:tc>
          <w:tcPr>
            <w:tcW w:w="0" w:type="auto"/>
            <w:shd w:val="clear" w:color="auto" w:fill="D7E4BC"/>
            <w:tcMar>
              <w:top w:w="40" w:type="dxa"/>
              <w:left w:w="0" w:type="dxa"/>
              <w:bottom w:w="40" w:type="dxa"/>
              <w:right w:w="20" w:type="dxa"/>
            </w:tcMar>
            <w:vAlign w:val="bottom"/>
          </w:tcPr>
          <w:p w14:paraId="00BAF8F4" w14:textId="77777777" w:rsidR="00871BDF" w:rsidRDefault="00871BDF">
            <w:pPr>
              <w:jc w:val="right"/>
              <w:rPr>
                <w:rFonts w:ascii="宋体"/>
              </w:rPr>
            </w:pPr>
          </w:p>
        </w:tc>
      </w:tr>
      <w:tr w:rsidR="00871BDF" w14:paraId="00BAF8FC" w14:textId="77777777">
        <w:tc>
          <w:tcPr>
            <w:tcW w:w="0" w:type="auto"/>
            <w:gridSpan w:val="3"/>
            <w:shd w:val="clear" w:color="auto" w:fill="FFFFFF"/>
            <w:tcMar>
              <w:top w:w="40" w:type="dxa"/>
              <w:left w:w="20" w:type="dxa"/>
              <w:bottom w:w="40" w:type="dxa"/>
              <w:right w:w="20" w:type="dxa"/>
            </w:tcMar>
          </w:tcPr>
          <w:p w14:paraId="00BAF8F6" w14:textId="77777777" w:rsidR="00871BDF" w:rsidRDefault="005C5088">
            <w:pPr>
              <w:textAlignment w:val="top"/>
            </w:pPr>
            <w:r>
              <w:rPr>
                <w:rFonts w:ascii="Times New Roman" w:eastAsia="宋体" w:hAnsi="Times New Roman"/>
                <w:color w:val="000000"/>
                <w:sz w:val="20"/>
                <w:szCs w:val="20"/>
              </w:rPr>
              <w:t>Store equipment</w:t>
            </w:r>
          </w:p>
        </w:tc>
        <w:tc>
          <w:tcPr>
            <w:tcW w:w="0" w:type="auto"/>
            <w:gridSpan w:val="2"/>
            <w:shd w:val="clear" w:color="auto" w:fill="FFFFFF"/>
            <w:tcMar>
              <w:top w:w="40" w:type="dxa"/>
              <w:left w:w="20" w:type="dxa"/>
              <w:bottom w:w="40" w:type="dxa"/>
              <w:right w:w="0" w:type="dxa"/>
            </w:tcMar>
            <w:vAlign w:val="bottom"/>
          </w:tcPr>
          <w:p w14:paraId="00BAF8F7" w14:textId="77777777" w:rsidR="00871BDF" w:rsidRDefault="005C5088">
            <w:pPr>
              <w:jc w:val="right"/>
              <w:textAlignment w:val="bottom"/>
            </w:pPr>
            <w:r>
              <w:rPr>
                <w:rFonts w:ascii="Times New Roman" w:eastAsia="宋体" w:hAnsi="Times New Roman"/>
                <w:color w:val="000000"/>
                <w:sz w:val="20"/>
                <w:szCs w:val="20"/>
              </w:rPr>
              <w:t>2,800.3 </w:t>
            </w:r>
          </w:p>
        </w:tc>
        <w:tc>
          <w:tcPr>
            <w:tcW w:w="0" w:type="auto"/>
            <w:shd w:val="clear" w:color="auto" w:fill="FFFFFF"/>
            <w:tcMar>
              <w:top w:w="40" w:type="dxa"/>
              <w:left w:w="0" w:type="dxa"/>
              <w:bottom w:w="40" w:type="dxa"/>
              <w:right w:w="20" w:type="dxa"/>
            </w:tcMar>
            <w:vAlign w:val="bottom"/>
          </w:tcPr>
          <w:p w14:paraId="00BAF8F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8F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8FA" w14:textId="77777777" w:rsidR="00871BDF" w:rsidRDefault="005C5088">
            <w:pPr>
              <w:jc w:val="right"/>
              <w:textAlignment w:val="bottom"/>
            </w:pPr>
            <w:r>
              <w:rPr>
                <w:rFonts w:ascii="Times New Roman" w:eastAsia="宋体" w:hAnsi="Times New Roman"/>
                <w:color w:val="000000"/>
                <w:sz w:val="20"/>
                <w:szCs w:val="20"/>
              </w:rPr>
              <w:t>2,659.5 </w:t>
            </w:r>
          </w:p>
        </w:tc>
        <w:tc>
          <w:tcPr>
            <w:tcW w:w="0" w:type="auto"/>
            <w:shd w:val="clear" w:color="auto" w:fill="FFFFFF"/>
            <w:tcMar>
              <w:top w:w="40" w:type="dxa"/>
              <w:left w:w="0" w:type="dxa"/>
              <w:bottom w:w="40" w:type="dxa"/>
              <w:right w:w="20" w:type="dxa"/>
            </w:tcMar>
            <w:vAlign w:val="bottom"/>
          </w:tcPr>
          <w:p w14:paraId="00BAF8FB" w14:textId="77777777" w:rsidR="00871BDF" w:rsidRDefault="00871BDF">
            <w:pPr>
              <w:jc w:val="right"/>
              <w:rPr>
                <w:rFonts w:ascii="宋体"/>
              </w:rPr>
            </w:pPr>
          </w:p>
        </w:tc>
      </w:tr>
      <w:tr w:rsidR="00871BDF" w14:paraId="00BAF903" w14:textId="77777777">
        <w:tc>
          <w:tcPr>
            <w:tcW w:w="0" w:type="auto"/>
            <w:gridSpan w:val="3"/>
            <w:shd w:val="clear" w:color="auto" w:fill="D7E4BC"/>
            <w:tcMar>
              <w:top w:w="40" w:type="dxa"/>
              <w:left w:w="20" w:type="dxa"/>
              <w:bottom w:w="40" w:type="dxa"/>
              <w:right w:w="20" w:type="dxa"/>
            </w:tcMar>
          </w:tcPr>
          <w:p w14:paraId="00BAF8FD" w14:textId="77777777" w:rsidR="00871BDF" w:rsidRDefault="005C5088">
            <w:pPr>
              <w:textAlignment w:val="top"/>
            </w:pPr>
            <w:r>
              <w:rPr>
                <w:rFonts w:ascii="Times New Roman" w:eastAsia="宋体" w:hAnsi="Times New Roman"/>
                <w:color w:val="000000"/>
                <w:sz w:val="20"/>
                <w:szCs w:val="20"/>
              </w:rPr>
              <w:t>Roasting equipment</w:t>
            </w:r>
          </w:p>
        </w:tc>
        <w:tc>
          <w:tcPr>
            <w:tcW w:w="0" w:type="auto"/>
            <w:gridSpan w:val="2"/>
            <w:shd w:val="clear" w:color="auto" w:fill="D7E4BC"/>
            <w:tcMar>
              <w:top w:w="40" w:type="dxa"/>
              <w:left w:w="20" w:type="dxa"/>
              <w:bottom w:w="40" w:type="dxa"/>
              <w:right w:w="0" w:type="dxa"/>
            </w:tcMar>
            <w:vAlign w:val="bottom"/>
          </w:tcPr>
          <w:p w14:paraId="00BAF8FE" w14:textId="77777777" w:rsidR="00871BDF" w:rsidRDefault="005C5088">
            <w:pPr>
              <w:jc w:val="right"/>
              <w:textAlignment w:val="bottom"/>
            </w:pPr>
            <w:r>
              <w:rPr>
                <w:rFonts w:ascii="Times New Roman" w:eastAsia="宋体" w:hAnsi="Times New Roman"/>
                <w:color w:val="000000"/>
                <w:sz w:val="20"/>
                <w:szCs w:val="20"/>
              </w:rPr>
              <w:t>796.6 </w:t>
            </w:r>
          </w:p>
        </w:tc>
        <w:tc>
          <w:tcPr>
            <w:tcW w:w="0" w:type="auto"/>
            <w:shd w:val="clear" w:color="auto" w:fill="D7E4BC"/>
            <w:tcMar>
              <w:top w:w="40" w:type="dxa"/>
              <w:left w:w="0" w:type="dxa"/>
              <w:bottom w:w="40" w:type="dxa"/>
              <w:right w:w="20" w:type="dxa"/>
            </w:tcMar>
            <w:vAlign w:val="bottom"/>
          </w:tcPr>
          <w:p w14:paraId="00BAF8F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90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901" w14:textId="77777777" w:rsidR="00871BDF" w:rsidRDefault="005C5088">
            <w:pPr>
              <w:jc w:val="right"/>
              <w:textAlignment w:val="bottom"/>
            </w:pPr>
            <w:r>
              <w:rPr>
                <w:rFonts w:ascii="Times New Roman" w:eastAsia="宋体" w:hAnsi="Times New Roman"/>
                <w:color w:val="000000"/>
                <w:sz w:val="20"/>
                <w:szCs w:val="20"/>
              </w:rPr>
              <w:t>769.6 </w:t>
            </w:r>
          </w:p>
        </w:tc>
        <w:tc>
          <w:tcPr>
            <w:tcW w:w="0" w:type="auto"/>
            <w:shd w:val="clear" w:color="auto" w:fill="D7E4BC"/>
            <w:tcMar>
              <w:top w:w="40" w:type="dxa"/>
              <w:left w:w="0" w:type="dxa"/>
              <w:bottom w:w="40" w:type="dxa"/>
              <w:right w:w="20" w:type="dxa"/>
            </w:tcMar>
            <w:vAlign w:val="bottom"/>
          </w:tcPr>
          <w:p w14:paraId="00BAF902" w14:textId="77777777" w:rsidR="00871BDF" w:rsidRDefault="00871BDF">
            <w:pPr>
              <w:jc w:val="right"/>
              <w:rPr>
                <w:rFonts w:ascii="宋体"/>
              </w:rPr>
            </w:pPr>
          </w:p>
        </w:tc>
      </w:tr>
      <w:tr w:rsidR="00871BDF" w14:paraId="00BAF90A" w14:textId="77777777">
        <w:tc>
          <w:tcPr>
            <w:tcW w:w="0" w:type="auto"/>
            <w:gridSpan w:val="3"/>
            <w:shd w:val="clear" w:color="auto" w:fill="FFFFFF"/>
            <w:tcMar>
              <w:top w:w="40" w:type="dxa"/>
              <w:left w:w="20" w:type="dxa"/>
              <w:bottom w:w="40" w:type="dxa"/>
              <w:right w:w="20" w:type="dxa"/>
            </w:tcMar>
          </w:tcPr>
          <w:p w14:paraId="00BAF904" w14:textId="77777777" w:rsidR="00871BDF" w:rsidRDefault="005C5088">
            <w:pPr>
              <w:textAlignment w:val="top"/>
            </w:pPr>
            <w:r>
              <w:rPr>
                <w:rFonts w:ascii="Times New Roman" w:eastAsia="宋体" w:hAnsi="Times New Roman"/>
                <w:color w:val="000000"/>
                <w:sz w:val="20"/>
                <w:szCs w:val="20"/>
              </w:rPr>
              <w:t>Furniture, fixtures and other</w:t>
            </w:r>
          </w:p>
        </w:tc>
        <w:tc>
          <w:tcPr>
            <w:tcW w:w="0" w:type="auto"/>
            <w:gridSpan w:val="2"/>
            <w:shd w:val="clear" w:color="auto" w:fill="FFFFFF"/>
            <w:tcMar>
              <w:top w:w="40" w:type="dxa"/>
              <w:left w:w="20" w:type="dxa"/>
              <w:bottom w:w="40" w:type="dxa"/>
              <w:right w:w="0" w:type="dxa"/>
            </w:tcMar>
            <w:vAlign w:val="bottom"/>
          </w:tcPr>
          <w:p w14:paraId="00BAF905" w14:textId="77777777" w:rsidR="00871BDF" w:rsidRDefault="005C5088">
            <w:pPr>
              <w:jc w:val="right"/>
              <w:textAlignment w:val="bottom"/>
            </w:pPr>
            <w:r>
              <w:rPr>
                <w:rFonts w:ascii="Times New Roman" w:eastAsia="宋体" w:hAnsi="Times New Roman"/>
                <w:color w:val="000000"/>
                <w:sz w:val="20"/>
                <w:szCs w:val="20"/>
              </w:rPr>
              <w:t>1,285.7 </w:t>
            </w:r>
          </w:p>
        </w:tc>
        <w:tc>
          <w:tcPr>
            <w:tcW w:w="0" w:type="auto"/>
            <w:shd w:val="clear" w:color="auto" w:fill="FFFFFF"/>
            <w:tcMar>
              <w:top w:w="40" w:type="dxa"/>
              <w:left w:w="0" w:type="dxa"/>
              <w:bottom w:w="40" w:type="dxa"/>
              <w:right w:w="20" w:type="dxa"/>
            </w:tcMar>
            <w:vAlign w:val="bottom"/>
          </w:tcPr>
          <w:p w14:paraId="00BAF90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90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908" w14:textId="77777777" w:rsidR="00871BDF" w:rsidRDefault="005C5088">
            <w:pPr>
              <w:jc w:val="right"/>
              <w:textAlignment w:val="bottom"/>
            </w:pPr>
            <w:r>
              <w:rPr>
                <w:rFonts w:ascii="Times New Roman" w:eastAsia="宋体" w:hAnsi="Times New Roman"/>
                <w:color w:val="000000"/>
                <w:sz w:val="20"/>
                <w:szCs w:val="20"/>
              </w:rPr>
              <w:t>1,799.0 </w:t>
            </w:r>
          </w:p>
        </w:tc>
        <w:tc>
          <w:tcPr>
            <w:tcW w:w="0" w:type="auto"/>
            <w:shd w:val="clear" w:color="auto" w:fill="FFFFFF"/>
            <w:tcMar>
              <w:top w:w="40" w:type="dxa"/>
              <w:left w:w="0" w:type="dxa"/>
              <w:bottom w:w="40" w:type="dxa"/>
              <w:right w:w="20" w:type="dxa"/>
            </w:tcMar>
            <w:vAlign w:val="bottom"/>
          </w:tcPr>
          <w:p w14:paraId="00BAF909" w14:textId="77777777" w:rsidR="00871BDF" w:rsidRDefault="00871BDF">
            <w:pPr>
              <w:jc w:val="right"/>
              <w:rPr>
                <w:rFonts w:ascii="宋体"/>
              </w:rPr>
            </w:pPr>
          </w:p>
        </w:tc>
      </w:tr>
      <w:tr w:rsidR="00871BDF" w14:paraId="00BAF911" w14:textId="77777777">
        <w:tc>
          <w:tcPr>
            <w:tcW w:w="0" w:type="auto"/>
            <w:gridSpan w:val="3"/>
            <w:shd w:val="clear" w:color="auto" w:fill="D7E4BC"/>
            <w:tcMar>
              <w:top w:w="40" w:type="dxa"/>
              <w:left w:w="20" w:type="dxa"/>
              <w:bottom w:w="40" w:type="dxa"/>
              <w:right w:w="20" w:type="dxa"/>
            </w:tcMar>
          </w:tcPr>
          <w:p w14:paraId="00BAF90B" w14:textId="77777777" w:rsidR="00871BDF" w:rsidRDefault="005C5088">
            <w:pPr>
              <w:textAlignment w:val="top"/>
            </w:pPr>
            <w:r>
              <w:rPr>
                <w:rFonts w:ascii="Times New Roman" w:eastAsia="宋体" w:hAnsi="Times New Roman"/>
                <w:color w:val="000000"/>
                <w:sz w:val="20"/>
                <w:szCs w:val="20"/>
              </w:rPr>
              <w:t>Work in progress</w:t>
            </w:r>
          </w:p>
        </w:tc>
        <w:tc>
          <w:tcPr>
            <w:tcW w:w="0" w:type="auto"/>
            <w:gridSpan w:val="2"/>
            <w:shd w:val="clear" w:color="auto" w:fill="D7E4BC"/>
            <w:tcMar>
              <w:top w:w="40" w:type="dxa"/>
              <w:left w:w="20" w:type="dxa"/>
              <w:bottom w:w="40" w:type="dxa"/>
              <w:right w:w="0" w:type="dxa"/>
            </w:tcMar>
            <w:vAlign w:val="bottom"/>
          </w:tcPr>
          <w:p w14:paraId="00BAF90C" w14:textId="77777777" w:rsidR="00871BDF" w:rsidRDefault="005C5088">
            <w:pPr>
              <w:jc w:val="right"/>
              <w:textAlignment w:val="bottom"/>
            </w:pPr>
            <w:r>
              <w:rPr>
                <w:rFonts w:ascii="Times New Roman" w:eastAsia="宋体" w:hAnsi="Times New Roman"/>
                <w:color w:val="000000"/>
                <w:sz w:val="20"/>
                <w:szCs w:val="20"/>
              </w:rPr>
              <w:t>377.3 </w:t>
            </w:r>
          </w:p>
        </w:tc>
        <w:tc>
          <w:tcPr>
            <w:tcW w:w="0" w:type="auto"/>
            <w:shd w:val="clear" w:color="auto" w:fill="D7E4BC"/>
            <w:tcMar>
              <w:top w:w="40" w:type="dxa"/>
              <w:left w:w="0" w:type="dxa"/>
              <w:bottom w:w="40" w:type="dxa"/>
              <w:right w:w="20" w:type="dxa"/>
            </w:tcMar>
            <w:vAlign w:val="bottom"/>
          </w:tcPr>
          <w:p w14:paraId="00BAF90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90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90F" w14:textId="77777777" w:rsidR="00871BDF" w:rsidRDefault="005C5088">
            <w:pPr>
              <w:jc w:val="right"/>
              <w:textAlignment w:val="bottom"/>
            </w:pPr>
            <w:r>
              <w:rPr>
                <w:rFonts w:ascii="Times New Roman" w:eastAsia="宋体" w:hAnsi="Times New Roman"/>
                <w:color w:val="000000"/>
                <w:sz w:val="20"/>
                <w:szCs w:val="20"/>
              </w:rPr>
              <w:t>358.5 </w:t>
            </w:r>
          </w:p>
        </w:tc>
        <w:tc>
          <w:tcPr>
            <w:tcW w:w="0" w:type="auto"/>
            <w:shd w:val="clear" w:color="auto" w:fill="D7E4BC"/>
            <w:tcMar>
              <w:top w:w="40" w:type="dxa"/>
              <w:left w:w="0" w:type="dxa"/>
              <w:bottom w:w="40" w:type="dxa"/>
              <w:right w:w="20" w:type="dxa"/>
            </w:tcMar>
            <w:vAlign w:val="bottom"/>
          </w:tcPr>
          <w:p w14:paraId="00BAF910" w14:textId="77777777" w:rsidR="00871BDF" w:rsidRDefault="00871BDF">
            <w:pPr>
              <w:jc w:val="right"/>
              <w:rPr>
                <w:rFonts w:ascii="宋体"/>
              </w:rPr>
            </w:pPr>
          </w:p>
        </w:tc>
      </w:tr>
      <w:tr w:rsidR="00871BDF" w14:paraId="00BAF918" w14:textId="77777777">
        <w:tc>
          <w:tcPr>
            <w:tcW w:w="0" w:type="auto"/>
            <w:gridSpan w:val="3"/>
            <w:shd w:val="clear" w:color="auto" w:fill="FFFFFF"/>
            <w:tcMar>
              <w:top w:w="40" w:type="dxa"/>
              <w:left w:w="20" w:type="dxa"/>
              <w:bottom w:w="40" w:type="dxa"/>
              <w:right w:w="20" w:type="dxa"/>
            </w:tcMar>
          </w:tcPr>
          <w:p w14:paraId="00BAF912" w14:textId="77777777" w:rsidR="00871BDF" w:rsidRDefault="005C5088">
            <w:pPr>
              <w:textAlignment w:val="top"/>
            </w:pPr>
            <w:r>
              <w:rPr>
                <w:rFonts w:ascii="Times New Roman" w:eastAsia="宋体" w:hAnsi="Times New Roman"/>
                <w:color w:val="000000"/>
                <w:sz w:val="20"/>
                <w:szCs w:val="20"/>
              </w:rPr>
              <w:t>Property, plant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913" w14:textId="77777777" w:rsidR="00871BDF" w:rsidRDefault="005C5088">
            <w:pPr>
              <w:jc w:val="right"/>
              <w:textAlignment w:val="bottom"/>
            </w:pPr>
            <w:r>
              <w:rPr>
                <w:rFonts w:ascii="Times New Roman" w:eastAsia="宋体" w:hAnsi="Times New Roman"/>
                <w:color w:val="000000"/>
                <w:sz w:val="20"/>
                <w:szCs w:val="20"/>
              </w:rPr>
              <w:t>14,155.3 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91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915"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AF916" w14:textId="77777777" w:rsidR="00871BDF" w:rsidRDefault="005C5088">
            <w:pPr>
              <w:jc w:val="right"/>
              <w:textAlignment w:val="bottom"/>
            </w:pPr>
            <w:r>
              <w:rPr>
                <w:rFonts w:ascii="Times New Roman" w:eastAsia="宋体" w:hAnsi="Times New Roman"/>
                <w:color w:val="000000"/>
                <w:sz w:val="20"/>
                <w:szCs w:val="20"/>
              </w:rPr>
              <w:t>14,273.5 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AF917" w14:textId="77777777" w:rsidR="00871BDF" w:rsidRDefault="00871BDF">
            <w:pPr>
              <w:jc w:val="right"/>
              <w:rPr>
                <w:rFonts w:ascii="宋体"/>
              </w:rPr>
            </w:pPr>
          </w:p>
        </w:tc>
      </w:tr>
      <w:tr w:rsidR="00871BDF" w14:paraId="00BAF91F" w14:textId="77777777">
        <w:tc>
          <w:tcPr>
            <w:tcW w:w="0" w:type="auto"/>
            <w:gridSpan w:val="3"/>
            <w:shd w:val="clear" w:color="auto" w:fill="D7E4BC"/>
            <w:tcMar>
              <w:top w:w="40" w:type="dxa"/>
              <w:left w:w="20" w:type="dxa"/>
              <w:bottom w:w="40" w:type="dxa"/>
              <w:right w:w="20" w:type="dxa"/>
            </w:tcMar>
          </w:tcPr>
          <w:p w14:paraId="00BAF919" w14:textId="77777777" w:rsidR="00871BDF" w:rsidRDefault="005C5088">
            <w:pPr>
              <w:textAlignment w:val="top"/>
            </w:pPr>
            <w:r>
              <w:rPr>
                <w:rFonts w:ascii="Times New Roman" w:eastAsia="宋体" w:hAnsi="Times New Roman"/>
                <w:color w:val="000000"/>
                <w:sz w:val="20"/>
                <w:szCs w:val="20"/>
              </w:rPr>
              <w:t>Accumulated depreciation</w:t>
            </w:r>
          </w:p>
        </w:tc>
        <w:tc>
          <w:tcPr>
            <w:tcW w:w="0" w:type="auto"/>
            <w:gridSpan w:val="2"/>
            <w:shd w:val="clear" w:color="auto" w:fill="D7E4BC"/>
            <w:tcMar>
              <w:top w:w="40" w:type="dxa"/>
              <w:left w:w="20" w:type="dxa"/>
              <w:bottom w:w="40" w:type="dxa"/>
              <w:right w:w="0" w:type="dxa"/>
            </w:tcMar>
            <w:vAlign w:val="bottom"/>
          </w:tcPr>
          <w:p w14:paraId="00BAF91A" w14:textId="77777777" w:rsidR="00871BDF" w:rsidRDefault="005C5088">
            <w:pPr>
              <w:jc w:val="right"/>
              <w:textAlignment w:val="bottom"/>
            </w:pPr>
            <w:r>
              <w:rPr>
                <w:rFonts w:ascii="Times New Roman" w:eastAsia="宋体" w:hAnsi="Times New Roman"/>
                <w:color w:val="000000"/>
                <w:sz w:val="20"/>
                <w:szCs w:val="20"/>
              </w:rPr>
              <w:t>(7,913.9)</w:t>
            </w:r>
          </w:p>
        </w:tc>
        <w:tc>
          <w:tcPr>
            <w:tcW w:w="0" w:type="auto"/>
            <w:shd w:val="clear" w:color="auto" w:fill="D7E4BC"/>
            <w:tcMar>
              <w:top w:w="40" w:type="dxa"/>
              <w:left w:w="0" w:type="dxa"/>
              <w:bottom w:w="40" w:type="dxa"/>
              <w:right w:w="20" w:type="dxa"/>
            </w:tcMar>
            <w:vAlign w:val="bottom"/>
          </w:tcPr>
          <w:p w14:paraId="00BAF91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91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91D" w14:textId="77777777" w:rsidR="00871BDF" w:rsidRDefault="005C5088">
            <w:pPr>
              <w:jc w:val="right"/>
              <w:textAlignment w:val="bottom"/>
            </w:pPr>
            <w:r>
              <w:rPr>
                <w:rFonts w:ascii="Times New Roman" w:eastAsia="宋体" w:hAnsi="Times New Roman"/>
                <w:color w:val="000000"/>
                <w:sz w:val="20"/>
                <w:szCs w:val="20"/>
              </w:rPr>
              <w:t>(7,841.8)</w:t>
            </w:r>
          </w:p>
        </w:tc>
        <w:tc>
          <w:tcPr>
            <w:tcW w:w="0" w:type="auto"/>
            <w:shd w:val="clear" w:color="auto" w:fill="D7E4BC"/>
            <w:tcMar>
              <w:top w:w="40" w:type="dxa"/>
              <w:left w:w="0" w:type="dxa"/>
              <w:bottom w:w="40" w:type="dxa"/>
              <w:right w:w="20" w:type="dxa"/>
            </w:tcMar>
            <w:vAlign w:val="bottom"/>
          </w:tcPr>
          <w:p w14:paraId="00BAF91E" w14:textId="77777777" w:rsidR="00871BDF" w:rsidRDefault="00871BDF">
            <w:pPr>
              <w:jc w:val="right"/>
              <w:rPr>
                <w:rFonts w:ascii="宋体"/>
              </w:rPr>
            </w:pPr>
          </w:p>
        </w:tc>
      </w:tr>
      <w:tr w:rsidR="00871BDF" w14:paraId="00BAF928" w14:textId="77777777">
        <w:tc>
          <w:tcPr>
            <w:tcW w:w="0" w:type="auto"/>
            <w:gridSpan w:val="3"/>
            <w:shd w:val="clear" w:color="auto" w:fill="FFFFFF"/>
            <w:tcMar>
              <w:top w:w="40" w:type="dxa"/>
              <w:left w:w="20" w:type="dxa"/>
              <w:bottom w:w="40" w:type="dxa"/>
              <w:right w:w="20" w:type="dxa"/>
            </w:tcMar>
          </w:tcPr>
          <w:p w14:paraId="00BAF920" w14:textId="77777777" w:rsidR="00871BDF" w:rsidRDefault="005C5088">
            <w:pPr>
              <w:textAlignment w:val="top"/>
            </w:pPr>
            <w:r>
              <w:rPr>
                <w:rFonts w:ascii="Times New Roman" w:eastAsia="宋体" w:hAnsi="Times New Roman"/>
                <w:color w:val="000000"/>
                <w:sz w:val="20"/>
                <w:szCs w:val="20"/>
              </w:rPr>
              <w:t>Property, plant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92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922" w14:textId="77777777" w:rsidR="00871BDF" w:rsidRDefault="005C5088">
            <w:pPr>
              <w:jc w:val="right"/>
              <w:textAlignment w:val="bottom"/>
            </w:pPr>
            <w:r>
              <w:rPr>
                <w:rFonts w:ascii="Times New Roman" w:eastAsia="宋体" w:hAnsi="Times New Roman"/>
                <w:color w:val="000000"/>
                <w:sz w:val="20"/>
                <w:szCs w:val="20"/>
              </w:rPr>
              <w:t>6,241.4 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92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924"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92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926" w14:textId="77777777" w:rsidR="00871BDF" w:rsidRDefault="005C5088">
            <w:pPr>
              <w:jc w:val="right"/>
              <w:textAlignment w:val="bottom"/>
            </w:pPr>
            <w:r>
              <w:rPr>
                <w:rFonts w:ascii="Times New Roman" w:eastAsia="宋体" w:hAnsi="Times New Roman"/>
                <w:color w:val="000000"/>
                <w:sz w:val="20"/>
                <w:szCs w:val="20"/>
              </w:rPr>
              <w:t>6,431.7 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927" w14:textId="77777777" w:rsidR="00871BDF" w:rsidRDefault="00871BDF">
            <w:pPr>
              <w:jc w:val="right"/>
              <w:rPr>
                <w:rFonts w:ascii="宋体"/>
              </w:rPr>
            </w:pPr>
          </w:p>
        </w:tc>
      </w:tr>
    </w:tbl>
    <w:p w14:paraId="00BAF929" w14:textId="77777777" w:rsidR="00871BDF" w:rsidRDefault="005C5088">
      <w:pPr>
        <w:spacing w:before="120"/>
      </w:pPr>
      <w:r>
        <w:rPr>
          <w:rFonts w:ascii="Times New Roman" w:eastAsia="宋体" w:hAnsi="Times New Roman"/>
          <w:b/>
          <w:bCs/>
          <w:i/>
          <w:iCs/>
          <w:color w:val="000000"/>
          <w:sz w:val="20"/>
          <w:szCs w:val="20"/>
        </w:rPr>
        <w:t>Accrued Liabilities</w:t>
      </w:r>
    </w:p>
    <w:tbl>
      <w:tblPr>
        <w:tblW w:w="4985" w:type="pct"/>
        <w:tblCellMar>
          <w:top w:w="15" w:type="dxa"/>
          <w:left w:w="15" w:type="dxa"/>
          <w:bottom w:w="15" w:type="dxa"/>
          <w:right w:w="15" w:type="dxa"/>
        </w:tblCellMar>
        <w:tblLook w:val="04A0" w:firstRow="1" w:lastRow="0" w:firstColumn="1" w:lastColumn="0" w:noHBand="0" w:noVBand="1"/>
      </w:tblPr>
      <w:tblGrid>
        <w:gridCol w:w="40"/>
        <w:gridCol w:w="5387"/>
        <w:gridCol w:w="38"/>
        <w:gridCol w:w="120"/>
        <w:gridCol w:w="1230"/>
        <w:gridCol w:w="36"/>
        <w:gridCol w:w="36"/>
        <w:gridCol w:w="36"/>
        <w:gridCol w:w="36"/>
        <w:gridCol w:w="120"/>
        <w:gridCol w:w="1196"/>
        <w:gridCol w:w="36"/>
      </w:tblGrid>
      <w:tr w:rsidR="00871BDF" w14:paraId="00BAF936" w14:textId="77777777">
        <w:tc>
          <w:tcPr>
            <w:tcW w:w="50" w:type="pct"/>
            <w:shd w:val="clear" w:color="auto" w:fill="auto"/>
          </w:tcPr>
          <w:p w14:paraId="00BAF92A" w14:textId="77777777" w:rsidR="00871BDF" w:rsidRDefault="00871BDF">
            <w:pPr>
              <w:rPr>
                <w:rFonts w:ascii="宋体"/>
              </w:rPr>
            </w:pPr>
          </w:p>
        </w:tc>
        <w:tc>
          <w:tcPr>
            <w:tcW w:w="3266" w:type="pct"/>
            <w:shd w:val="clear" w:color="auto" w:fill="auto"/>
          </w:tcPr>
          <w:p w14:paraId="00BAF92B" w14:textId="77777777" w:rsidR="00871BDF" w:rsidRDefault="00871BDF">
            <w:pPr>
              <w:rPr>
                <w:rFonts w:ascii="宋体"/>
              </w:rPr>
            </w:pPr>
          </w:p>
        </w:tc>
        <w:tc>
          <w:tcPr>
            <w:tcW w:w="5" w:type="pct"/>
            <w:shd w:val="clear" w:color="auto" w:fill="auto"/>
          </w:tcPr>
          <w:p w14:paraId="00BAF92C" w14:textId="77777777" w:rsidR="00871BDF" w:rsidRDefault="00871BDF">
            <w:pPr>
              <w:rPr>
                <w:rFonts w:ascii="宋体"/>
              </w:rPr>
            </w:pPr>
          </w:p>
        </w:tc>
        <w:tc>
          <w:tcPr>
            <w:tcW w:w="50" w:type="pct"/>
            <w:shd w:val="clear" w:color="auto" w:fill="auto"/>
          </w:tcPr>
          <w:p w14:paraId="00BAF92D" w14:textId="77777777" w:rsidR="00871BDF" w:rsidRDefault="00871BDF">
            <w:pPr>
              <w:rPr>
                <w:rFonts w:ascii="宋体"/>
              </w:rPr>
            </w:pPr>
          </w:p>
        </w:tc>
        <w:tc>
          <w:tcPr>
            <w:tcW w:w="766" w:type="pct"/>
            <w:shd w:val="clear" w:color="auto" w:fill="auto"/>
          </w:tcPr>
          <w:p w14:paraId="00BAF92E" w14:textId="77777777" w:rsidR="00871BDF" w:rsidRDefault="00871BDF">
            <w:pPr>
              <w:rPr>
                <w:rFonts w:ascii="宋体"/>
              </w:rPr>
            </w:pPr>
          </w:p>
        </w:tc>
        <w:tc>
          <w:tcPr>
            <w:tcW w:w="5" w:type="pct"/>
            <w:shd w:val="clear" w:color="auto" w:fill="auto"/>
          </w:tcPr>
          <w:p w14:paraId="00BAF92F" w14:textId="77777777" w:rsidR="00871BDF" w:rsidRDefault="00871BDF">
            <w:pPr>
              <w:rPr>
                <w:rFonts w:ascii="宋体"/>
              </w:rPr>
            </w:pPr>
          </w:p>
        </w:tc>
        <w:tc>
          <w:tcPr>
            <w:tcW w:w="5" w:type="pct"/>
            <w:shd w:val="clear" w:color="auto" w:fill="auto"/>
          </w:tcPr>
          <w:p w14:paraId="00BAF930" w14:textId="77777777" w:rsidR="00871BDF" w:rsidRDefault="00871BDF">
            <w:pPr>
              <w:rPr>
                <w:rFonts w:ascii="宋体"/>
              </w:rPr>
            </w:pPr>
          </w:p>
        </w:tc>
        <w:tc>
          <w:tcPr>
            <w:tcW w:w="26" w:type="pct"/>
            <w:shd w:val="clear" w:color="auto" w:fill="auto"/>
          </w:tcPr>
          <w:p w14:paraId="00BAF931" w14:textId="77777777" w:rsidR="00871BDF" w:rsidRDefault="00871BDF">
            <w:pPr>
              <w:rPr>
                <w:rFonts w:ascii="宋体"/>
              </w:rPr>
            </w:pPr>
          </w:p>
        </w:tc>
        <w:tc>
          <w:tcPr>
            <w:tcW w:w="5" w:type="pct"/>
            <w:shd w:val="clear" w:color="auto" w:fill="auto"/>
          </w:tcPr>
          <w:p w14:paraId="00BAF932" w14:textId="77777777" w:rsidR="00871BDF" w:rsidRDefault="00871BDF">
            <w:pPr>
              <w:rPr>
                <w:rFonts w:ascii="宋体"/>
              </w:rPr>
            </w:pPr>
          </w:p>
        </w:tc>
        <w:tc>
          <w:tcPr>
            <w:tcW w:w="50" w:type="pct"/>
            <w:shd w:val="clear" w:color="auto" w:fill="auto"/>
          </w:tcPr>
          <w:p w14:paraId="00BAF933" w14:textId="77777777" w:rsidR="00871BDF" w:rsidRDefault="00871BDF">
            <w:pPr>
              <w:rPr>
                <w:rFonts w:ascii="宋体"/>
              </w:rPr>
            </w:pPr>
          </w:p>
        </w:tc>
        <w:tc>
          <w:tcPr>
            <w:tcW w:w="766" w:type="pct"/>
            <w:shd w:val="clear" w:color="auto" w:fill="auto"/>
          </w:tcPr>
          <w:p w14:paraId="00BAF934" w14:textId="77777777" w:rsidR="00871BDF" w:rsidRDefault="00871BDF">
            <w:pPr>
              <w:rPr>
                <w:rFonts w:ascii="宋体"/>
              </w:rPr>
            </w:pPr>
          </w:p>
        </w:tc>
        <w:tc>
          <w:tcPr>
            <w:tcW w:w="5" w:type="pct"/>
            <w:shd w:val="clear" w:color="auto" w:fill="auto"/>
          </w:tcPr>
          <w:p w14:paraId="00BAF935" w14:textId="77777777" w:rsidR="00871BDF" w:rsidRDefault="00871BDF">
            <w:pPr>
              <w:rPr>
                <w:rFonts w:ascii="宋体"/>
              </w:rPr>
            </w:pPr>
          </w:p>
        </w:tc>
      </w:tr>
      <w:tr w:rsidR="00871BDF" w14:paraId="00BAF93B" w14:textId="77777777">
        <w:tc>
          <w:tcPr>
            <w:tcW w:w="0" w:type="auto"/>
            <w:gridSpan w:val="3"/>
            <w:shd w:val="clear" w:color="auto" w:fill="FFFFFF"/>
            <w:tcMar>
              <w:top w:w="0" w:type="dxa"/>
              <w:left w:w="20" w:type="dxa"/>
              <w:bottom w:w="0" w:type="dxa"/>
              <w:right w:w="20" w:type="dxa"/>
            </w:tcMar>
          </w:tcPr>
          <w:p w14:paraId="00BAF937"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938"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FFFFFF"/>
            <w:tcMar>
              <w:top w:w="0" w:type="dxa"/>
              <w:left w:w="20" w:type="dxa"/>
              <w:bottom w:w="0" w:type="dxa"/>
              <w:right w:w="20" w:type="dxa"/>
            </w:tcMar>
          </w:tcPr>
          <w:p w14:paraId="00BAF939"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93A" w14:textId="77777777" w:rsidR="00871BDF" w:rsidRDefault="005C5088">
            <w:pPr>
              <w:jc w:val="center"/>
              <w:textAlignment w:val="bottom"/>
            </w:pPr>
            <w:r>
              <w:rPr>
                <w:rFonts w:ascii="Times New Roman" w:eastAsia="宋体" w:hAnsi="Times New Roman"/>
                <w:b/>
                <w:bCs/>
                <w:color w:val="FFFFFF"/>
                <w:sz w:val="16"/>
                <w:szCs w:val="16"/>
              </w:rPr>
              <w:t>Sep 29, 2019</w:t>
            </w:r>
          </w:p>
        </w:tc>
      </w:tr>
      <w:tr w:rsidR="00871BDF" w14:paraId="00BAF940" w14:textId="77777777">
        <w:trPr>
          <w:hidden/>
        </w:trPr>
        <w:tc>
          <w:tcPr>
            <w:tcW w:w="0" w:type="auto"/>
            <w:gridSpan w:val="3"/>
            <w:shd w:val="clear" w:color="auto" w:fill="auto"/>
          </w:tcPr>
          <w:p w14:paraId="00BAF93C" w14:textId="77777777" w:rsidR="00871BDF" w:rsidRDefault="00871BDF">
            <w:pPr>
              <w:rPr>
                <w:rFonts w:ascii="宋体"/>
                <w:vanish/>
              </w:rPr>
            </w:pPr>
          </w:p>
        </w:tc>
        <w:tc>
          <w:tcPr>
            <w:tcW w:w="0" w:type="auto"/>
            <w:gridSpan w:val="3"/>
            <w:shd w:val="clear" w:color="auto" w:fill="auto"/>
          </w:tcPr>
          <w:p w14:paraId="00BAF93D" w14:textId="77777777" w:rsidR="00871BDF" w:rsidRDefault="00871BDF">
            <w:pPr>
              <w:rPr>
                <w:rFonts w:ascii="宋体"/>
                <w:vanish/>
              </w:rPr>
            </w:pPr>
          </w:p>
        </w:tc>
        <w:tc>
          <w:tcPr>
            <w:tcW w:w="0" w:type="auto"/>
            <w:gridSpan w:val="3"/>
            <w:shd w:val="clear" w:color="auto" w:fill="auto"/>
          </w:tcPr>
          <w:p w14:paraId="00BAF93E" w14:textId="77777777" w:rsidR="00871BDF" w:rsidRDefault="00871BDF">
            <w:pPr>
              <w:rPr>
                <w:rFonts w:ascii="宋体"/>
                <w:vanish/>
              </w:rPr>
            </w:pPr>
          </w:p>
        </w:tc>
        <w:tc>
          <w:tcPr>
            <w:tcW w:w="0" w:type="auto"/>
            <w:gridSpan w:val="3"/>
            <w:shd w:val="clear" w:color="auto" w:fill="auto"/>
          </w:tcPr>
          <w:p w14:paraId="00BAF93F" w14:textId="77777777" w:rsidR="00871BDF" w:rsidRDefault="00871BDF">
            <w:pPr>
              <w:rPr>
                <w:rFonts w:ascii="宋体"/>
                <w:vanish/>
              </w:rPr>
            </w:pPr>
          </w:p>
        </w:tc>
      </w:tr>
      <w:tr w:rsidR="00871BDF" w14:paraId="00BAF949" w14:textId="77777777">
        <w:tc>
          <w:tcPr>
            <w:tcW w:w="0" w:type="auto"/>
            <w:gridSpan w:val="3"/>
            <w:shd w:val="clear" w:color="auto" w:fill="D7E4BC"/>
            <w:tcMar>
              <w:top w:w="40" w:type="dxa"/>
              <w:left w:w="20" w:type="dxa"/>
              <w:bottom w:w="40" w:type="dxa"/>
              <w:right w:w="20" w:type="dxa"/>
            </w:tcMar>
          </w:tcPr>
          <w:p w14:paraId="00BAF941" w14:textId="77777777" w:rsidR="00871BDF" w:rsidRDefault="005C5088">
            <w:pPr>
              <w:textAlignment w:val="top"/>
            </w:pPr>
            <w:r>
              <w:rPr>
                <w:rFonts w:ascii="Times New Roman" w:eastAsia="宋体" w:hAnsi="Times New Roman"/>
                <w:color w:val="000000"/>
                <w:sz w:val="20"/>
                <w:szCs w:val="20"/>
              </w:rPr>
              <w:t xml:space="preserve">Accrued </w:t>
            </w:r>
            <w:r>
              <w:rPr>
                <w:rFonts w:ascii="Times New Roman" w:eastAsia="宋体" w:hAnsi="Times New Roman"/>
                <w:color w:val="000000"/>
                <w:sz w:val="20"/>
                <w:szCs w:val="20"/>
              </w:rPr>
              <w:t>occupancy costs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942"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943" w14:textId="77777777" w:rsidR="00871BDF" w:rsidRDefault="005C5088">
            <w:pPr>
              <w:jc w:val="right"/>
              <w:textAlignment w:val="bottom"/>
            </w:pPr>
            <w:r>
              <w:rPr>
                <w:rFonts w:ascii="Times New Roman" w:eastAsia="宋体" w:hAnsi="Times New Roman"/>
                <w:color w:val="000000"/>
                <w:sz w:val="20"/>
                <w:szCs w:val="20"/>
              </w:rPr>
              <w:t>76.9 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94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945"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94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947" w14:textId="77777777" w:rsidR="00871BDF" w:rsidRDefault="005C5088">
            <w:pPr>
              <w:jc w:val="right"/>
              <w:textAlignment w:val="bottom"/>
            </w:pPr>
            <w:r>
              <w:rPr>
                <w:rFonts w:ascii="Times New Roman" w:eastAsia="宋体" w:hAnsi="Times New Roman"/>
                <w:color w:val="000000"/>
                <w:sz w:val="20"/>
                <w:szCs w:val="20"/>
              </w:rPr>
              <w:t>176.9 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948" w14:textId="77777777" w:rsidR="00871BDF" w:rsidRDefault="00871BDF">
            <w:pPr>
              <w:jc w:val="right"/>
              <w:rPr>
                <w:rFonts w:ascii="宋体"/>
              </w:rPr>
            </w:pPr>
          </w:p>
        </w:tc>
      </w:tr>
      <w:tr w:rsidR="00871BDF" w14:paraId="00BAF950" w14:textId="77777777">
        <w:tc>
          <w:tcPr>
            <w:tcW w:w="0" w:type="auto"/>
            <w:gridSpan w:val="3"/>
            <w:shd w:val="clear" w:color="auto" w:fill="FFFFFF"/>
            <w:tcMar>
              <w:top w:w="40" w:type="dxa"/>
              <w:left w:w="20" w:type="dxa"/>
              <w:bottom w:w="40" w:type="dxa"/>
              <w:right w:w="20" w:type="dxa"/>
            </w:tcMar>
          </w:tcPr>
          <w:p w14:paraId="00BAF94A" w14:textId="77777777" w:rsidR="00871BDF" w:rsidRDefault="005C5088">
            <w:pPr>
              <w:textAlignment w:val="top"/>
            </w:pPr>
            <w:r>
              <w:rPr>
                <w:rFonts w:ascii="Times New Roman" w:eastAsia="宋体" w:hAnsi="Times New Roman"/>
                <w:color w:val="000000"/>
                <w:sz w:val="20"/>
                <w:szCs w:val="20"/>
              </w:rPr>
              <w:t>Accrued dividends payable</w:t>
            </w:r>
          </w:p>
        </w:tc>
        <w:tc>
          <w:tcPr>
            <w:tcW w:w="0" w:type="auto"/>
            <w:gridSpan w:val="2"/>
            <w:shd w:val="clear" w:color="auto" w:fill="FFFFFF"/>
            <w:tcMar>
              <w:top w:w="40" w:type="dxa"/>
              <w:left w:w="20" w:type="dxa"/>
              <w:bottom w:w="40" w:type="dxa"/>
              <w:right w:w="0" w:type="dxa"/>
            </w:tcMar>
            <w:vAlign w:val="bottom"/>
          </w:tcPr>
          <w:p w14:paraId="00BAF94B"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94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94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94E" w14:textId="77777777" w:rsidR="00871BDF" w:rsidRDefault="005C5088">
            <w:pPr>
              <w:jc w:val="right"/>
              <w:textAlignment w:val="bottom"/>
            </w:pPr>
            <w:r>
              <w:rPr>
                <w:rFonts w:ascii="Times New Roman" w:eastAsia="宋体" w:hAnsi="Times New Roman"/>
                <w:color w:val="000000"/>
                <w:sz w:val="20"/>
                <w:szCs w:val="20"/>
              </w:rPr>
              <w:t>485.7 </w:t>
            </w:r>
          </w:p>
        </w:tc>
        <w:tc>
          <w:tcPr>
            <w:tcW w:w="0" w:type="auto"/>
            <w:shd w:val="clear" w:color="auto" w:fill="FFFFFF"/>
            <w:tcMar>
              <w:top w:w="40" w:type="dxa"/>
              <w:left w:w="0" w:type="dxa"/>
              <w:bottom w:w="40" w:type="dxa"/>
              <w:right w:w="20" w:type="dxa"/>
            </w:tcMar>
            <w:vAlign w:val="bottom"/>
          </w:tcPr>
          <w:p w14:paraId="00BAF94F" w14:textId="77777777" w:rsidR="00871BDF" w:rsidRDefault="00871BDF">
            <w:pPr>
              <w:jc w:val="right"/>
              <w:rPr>
                <w:rFonts w:ascii="宋体"/>
              </w:rPr>
            </w:pPr>
          </w:p>
        </w:tc>
      </w:tr>
      <w:tr w:rsidR="00871BDF" w14:paraId="00BAF957" w14:textId="77777777">
        <w:tc>
          <w:tcPr>
            <w:tcW w:w="0" w:type="auto"/>
            <w:gridSpan w:val="3"/>
            <w:shd w:val="clear" w:color="auto" w:fill="D7E4BC"/>
            <w:tcMar>
              <w:top w:w="40" w:type="dxa"/>
              <w:left w:w="20" w:type="dxa"/>
              <w:bottom w:w="40" w:type="dxa"/>
              <w:right w:w="20" w:type="dxa"/>
            </w:tcMar>
          </w:tcPr>
          <w:p w14:paraId="00BAF951" w14:textId="77777777" w:rsidR="00871BDF" w:rsidRDefault="005C5088">
            <w:pPr>
              <w:textAlignment w:val="top"/>
            </w:pPr>
            <w:r>
              <w:rPr>
                <w:rFonts w:ascii="Times New Roman" w:eastAsia="宋体" w:hAnsi="Times New Roman"/>
                <w:color w:val="000000"/>
                <w:sz w:val="20"/>
                <w:szCs w:val="20"/>
              </w:rPr>
              <w:t>Accrued capital and other operating expenditures</w:t>
            </w:r>
          </w:p>
        </w:tc>
        <w:tc>
          <w:tcPr>
            <w:tcW w:w="0" w:type="auto"/>
            <w:gridSpan w:val="2"/>
            <w:shd w:val="clear" w:color="auto" w:fill="D7E4BC"/>
            <w:tcMar>
              <w:top w:w="40" w:type="dxa"/>
              <w:left w:w="20" w:type="dxa"/>
              <w:bottom w:w="40" w:type="dxa"/>
              <w:right w:w="0" w:type="dxa"/>
            </w:tcMar>
            <w:vAlign w:val="bottom"/>
          </w:tcPr>
          <w:p w14:paraId="00BAF952" w14:textId="77777777" w:rsidR="00871BDF" w:rsidRDefault="005C5088">
            <w:pPr>
              <w:jc w:val="right"/>
              <w:textAlignment w:val="bottom"/>
            </w:pPr>
            <w:r>
              <w:rPr>
                <w:rFonts w:ascii="Times New Roman" w:eastAsia="宋体" w:hAnsi="Times New Roman"/>
                <w:color w:val="000000"/>
                <w:sz w:val="20"/>
                <w:szCs w:val="20"/>
              </w:rPr>
              <w:t>677.2 </w:t>
            </w:r>
          </w:p>
        </w:tc>
        <w:tc>
          <w:tcPr>
            <w:tcW w:w="0" w:type="auto"/>
            <w:shd w:val="clear" w:color="auto" w:fill="D7E4BC"/>
            <w:tcMar>
              <w:top w:w="40" w:type="dxa"/>
              <w:left w:w="0" w:type="dxa"/>
              <w:bottom w:w="40" w:type="dxa"/>
              <w:right w:w="20" w:type="dxa"/>
            </w:tcMar>
            <w:vAlign w:val="bottom"/>
          </w:tcPr>
          <w:p w14:paraId="00BAF95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95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955" w14:textId="77777777" w:rsidR="00871BDF" w:rsidRDefault="005C5088">
            <w:pPr>
              <w:jc w:val="right"/>
              <w:textAlignment w:val="bottom"/>
            </w:pPr>
            <w:r>
              <w:rPr>
                <w:rFonts w:ascii="Times New Roman" w:eastAsia="宋体" w:hAnsi="Times New Roman"/>
                <w:color w:val="000000"/>
                <w:sz w:val="20"/>
                <w:szCs w:val="20"/>
              </w:rPr>
              <w:t>703.9 </w:t>
            </w:r>
          </w:p>
        </w:tc>
        <w:tc>
          <w:tcPr>
            <w:tcW w:w="0" w:type="auto"/>
            <w:shd w:val="clear" w:color="auto" w:fill="D7E4BC"/>
            <w:tcMar>
              <w:top w:w="40" w:type="dxa"/>
              <w:left w:w="0" w:type="dxa"/>
              <w:bottom w:w="40" w:type="dxa"/>
              <w:right w:w="20" w:type="dxa"/>
            </w:tcMar>
            <w:vAlign w:val="bottom"/>
          </w:tcPr>
          <w:p w14:paraId="00BAF956" w14:textId="77777777" w:rsidR="00871BDF" w:rsidRDefault="00871BDF">
            <w:pPr>
              <w:jc w:val="right"/>
              <w:rPr>
                <w:rFonts w:ascii="宋体"/>
              </w:rPr>
            </w:pPr>
          </w:p>
        </w:tc>
      </w:tr>
      <w:tr w:rsidR="00871BDF" w14:paraId="00BAF95E" w14:textId="77777777">
        <w:tc>
          <w:tcPr>
            <w:tcW w:w="0" w:type="auto"/>
            <w:gridSpan w:val="3"/>
            <w:shd w:val="clear" w:color="auto" w:fill="FFFFFF"/>
            <w:tcMar>
              <w:top w:w="40" w:type="dxa"/>
              <w:left w:w="20" w:type="dxa"/>
              <w:bottom w:w="40" w:type="dxa"/>
              <w:right w:w="20" w:type="dxa"/>
            </w:tcMar>
          </w:tcPr>
          <w:p w14:paraId="00BAF958" w14:textId="77777777" w:rsidR="00871BDF" w:rsidRDefault="005C5088">
            <w:pPr>
              <w:textAlignment w:val="top"/>
            </w:pPr>
            <w:r>
              <w:rPr>
                <w:rFonts w:ascii="Times New Roman" w:eastAsia="宋体" w:hAnsi="Times New Roman"/>
                <w:color w:val="000000"/>
                <w:sz w:val="20"/>
                <w:szCs w:val="20"/>
              </w:rPr>
              <w:t>Self-insurance reserves</w:t>
            </w:r>
          </w:p>
        </w:tc>
        <w:tc>
          <w:tcPr>
            <w:tcW w:w="0" w:type="auto"/>
            <w:gridSpan w:val="2"/>
            <w:shd w:val="clear" w:color="auto" w:fill="FFFFFF"/>
            <w:tcMar>
              <w:top w:w="40" w:type="dxa"/>
              <w:left w:w="20" w:type="dxa"/>
              <w:bottom w:w="40" w:type="dxa"/>
              <w:right w:w="0" w:type="dxa"/>
            </w:tcMar>
            <w:vAlign w:val="bottom"/>
          </w:tcPr>
          <w:p w14:paraId="00BAF959" w14:textId="77777777" w:rsidR="00871BDF" w:rsidRDefault="005C5088">
            <w:pPr>
              <w:jc w:val="right"/>
              <w:textAlignment w:val="bottom"/>
            </w:pPr>
            <w:r>
              <w:rPr>
                <w:rFonts w:ascii="Times New Roman" w:eastAsia="宋体" w:hAnsi="Times New Roman"/>
                <w:color w:val="000000"/>
                <w:sz w:val="20"/>
                <w:szCs w:val="20"/>
              </w:rPr>
              <w:t>243.9 </w:t>
            </w:r>
          </w:p>
        </w:tc>
        <w:tc>
          <w:tcPr>
            <w:tcW w:w="0" w:type="auto"/>
            <w:shd w:val="clear" w:color="auto" w:fill="FFFFFF"/>
            <w:tcMar>
              <w:top w:w="40" w:type="dxa"/>
              <w:left w:w="0" w:type="dxa"/>
              <w:bottom w:w="40" w:type="dxa"/>
              <w:right w:w="20" w:type="dxa"/>
            </w:tcMar>
            <w:vAlign w:val="bottom"/>
          </w:tcPr>
          <w:p w14:paraId="00BAF95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95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95C" w14:textId="77777777" w:rsidR="00871BDF" w:rsidRDefault="005C5088">
            <w:pPr>
              <w:jc w:val="right"/>
              <w:textAlignment w:val="bottom"/>
            </w:pPr>
            <w:r>
              <w:rPr>
                <w:rFonts w:ascii="Times New Roman" w:eastAsia="宋体" w:hAnsi="Times New Roman"/>
                <w:color w:val="000000"/>
                <w:sz w:val="20"/>
                <w:szCs w:val="20"/>
              </w:rPr>
              <w:t>210.5 </w:t>
            </w:r>
          </w:p>
        </w:tc>
        <w:tc>
          <w:tcPr>
            <w:tcW w:w="0" w:type="auto"/>
            <w:shd w:val="clear" w:color="auto" w:fill="FFFFFF"/>
            <w:tcMar>
              <w:top w:w="40" w:type="dxa"/>
              <w:left w:w="0" w:type="dxa"/>
              <w:bottom w:w="40" w:type="dxa"/>
              <w:right w:w="20" w:type="dxa"/>
            </w:tcMar>
            <w:vAlign w:val="bottom"/>
          </w:tcPr>
          <w:p w14:paraId="00BAF95D" w14:textId="77777777" w:rsidR="00871BDF" w:rsidRDefault="00871BDF">
            <w:pPr>
              <w:jc w:val="right"/>
              <w:rPr>
                <w:rFonts w:ascii="宋体"/>
              </w:rPr>
            </w:pPr>
          </w:p>
        </w:tc>
      </w:tr>
      <w:tr w:rsidR="00871BDF" w14:paraId="00BAF965" w14:textId="77777777">
        <w:tc>
          <w:tcPr>
            <w:tcW w:w="0" w:type="auto"/>
            <w:gridSpan w:val="3"/>
            <w:shd w:val="clear" w:color="auto" w:fill="D7E4BC"/>
            <w:tcMar>
              <w:top w:w="40" w:type="dxa"/>
              <w:left w:w="20" w:type="dxa"/>
              <w:bottom w:w="40" w:type="dxa"/>
              <w:right w:w="20" w:type="dxa"/>
            </w:tcMar>
          </w:tcPr>
          <w:p w14:paraId="00BAF95F" w14:textId="77777777" w:rsidR="00871BDF" w:rsidRDefault="005C5088">
            <w:pPr>
              <w:textAlignment w:val="top"/>
            </w:pPr>
            <w:r>
              <w:rPr>
                <w:rFonts w:ascii="Times New Roman" w:eastAsia="宋体" w:hAnsi="Times New Roman"/>
                <w:color w:val="000000"/>
                <w:sz w:val="20"/>
                <w:szCs w:val="20"/>
              </w:rPr>
              <w:t>Accrued business taxes</w:t>
            </w:r>
          </w:p>
        </w:tc>
        <w:tc>
          <w:tcPr>
            <w:tcW w:w="0" w:type="auto"/>
            <w:gridSpan w:val="2"/>
            <w:shd w:val="clear" w:color="auto" w:fill="D7E4BC"/>
            <w:tcMar>
              <w:top w:w="40" w:type="dxa"/>
              <w:left w:w="20" w:type="dxa"/>
              <w:bottom w:w="40" w:type="dxa"/>
              <w:right w:w="0" w:type="dxa"/>
            </w:tcMar>
            <w:vAlign w:val="bottom"/>
          </w:tcPr>
          <w:p w14:paraId="00BAF960" w14:textId="77777777" w:rsidR="00871BDF" w:rsidRDefault="005C5088">
            <w:pPr>
              <w:jc w:val="right"/>
              <w:textAlignment w:val="bottom"/>
            </w:pPr>
            <w:r>
              <w:rPr>
                <w:rFonts w:ascii="Times New Roman" w:eastAsia="宋体" w:hAnsi="Times New Roman"/>
                <w:color w:val="000000"/>
                <w:sz w:val="20"/>
                <w:szCs w:val="20"/>
              </w:rPr>
              <w:t>162.7 </w:t>
            </w:r>
          </w:p>
        </w:tc>
        <w:tc>
          <w:tcPr>
            <w:tcW w:w="0" w:type="auto"/>
            <w:shd w:val="clear" w:color="auto" w:fill="D7E4BC"/>
            <w:tcMar>
              <w:top w:w="40" w:type="dxa"/>
              <w:left w:w="0" w:type="dxa"/>
              <w:bottom w:w="40" w:type="dxa"/>
              <w:right w:w="20" w:type="dxa"/>
            </w:tcMar>
            <w:vAlign w:val="bottom"/>
          </w:tcPr>
          <w:p w14:paraId="00BAF96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96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963" w14:textId="77777777" w:rsidR="00871BDF" w:rsidRDefault="005C5088">
            <w:pPr>
              <w:jc w:val="right"/>
              <w:textAlignment w:val="bottom"/>
            </w:pPr>
            <w:r>
              <w:rPr>
                <w:rFonts w:ascii="Times New Roman" w:eastAsia="宋体" w:hAnsi="Times New Roman"/>
                <w:color w:val="000000"/>
                <w:sz w:val="20"/>
                <w:szCs w:val="20"/>
              </w:rPr>
              <w:t>176.7 </w:t>
            </w:r>
          </w:p>
        </w:tc>
        <w:tc>
          <w:tcPr>
            <w:tcW w:w="0" w:type="auto"/>
            <w:shd w:val="clear" w:color="auto" w:fill="D7E4BC"/>
            <w:tcMar>
              <w:top w:w="40" w:type="dxa"/>
              <w:left w:w="0" w:type="dxa"/>
              <w:bottom w:w="40" w:type="dxa"/>
              <w:right w:w="20" w:type="dxa"/>
            </w:tcMar>
            <w:vAlign w:val="bottom"/>
          </w:tcPr>
          <w:p w14:paraId="00BAF964" w14:textId="77777777" w:rsidR="00871BDF" w:rsidRDefault="00871BDF">
            <w:pPr>
              <w:jc w:val="right"/>
              <w:rPr>
                <w:rFonts w:ascii="宋体"/>
              </w:rPr>
            </w:pPr>
          </w:p>
        </w:tc>
      </w:tr>
      <w:tr w:rsidR="00871BDF" w14:paraId="00BAF96E" w14:textId="77777777">
        <w:tc>
          <w:tcPr>
            <w:tcW w:w="0" w:type="auto"/>
            <w:gridSpan w:val="3"/>
            <w:shd w:val="clear" w:color="auto" w:fill="FFFFFF"/>
            <w:tcMar>
              <w:top w:w="40" w:type="dxa"/>
              <w:left w:w="20" w:type="dxa"/>
              <w:bottom w:w="40" w:type="dxa"/>
              <w:right w:w="20" w:type="dxa"/>
            </w:tcMar>
          </w:tcPr>
          <w:p w14:paraId="00BAF966" w14:textId="77777777" w:rsidR="00871BDF" w:rsidRDefault="005C5088">
            <w:pPr>
              <w:textAlignment w:val="top"/>
            </w:pPr>
            <w:r>
              <w:rPr>
                <w:rFonts w:ascii="Times New Roman" w:eastAsia="宋体" w:hAnsi="Times New Roman"/>
                <w:color w:val="000000"/>
                <w:sz w:val="20"/>
                <w:szCs w:val="20"/>
              </w:rPr>
              <w:t xml:space="preserve">Total accrued </w:t>
            </w:r>
            <w:r>
              <w:rPr>
                <w:rFonts w:ascii="Times New Roman" w:eastAsia="宋体" w:hAnsi="Times New Roman"/>
                <w:color w:val="000000"/>
                <w:sz w:val="20"/>
                <w:szCs w:val="20"/>
              </w:rPr>
              <w:t>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967"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968" w14:textId="77777777" w:rsidR="00871BDF" w:rsidRDefault="005C5088">
            <w:pPr>
              <w:jc w:val="right"/>
              <w:textAlignment w:val="bottom"/>
            </w:pPr>
            <w:r>
              <w:rPr>
                <w:rFonts w:ascii="Times New Roman" w:eastAsia="宋体" w:hAnsi="Times New Roman"/>
                <w:color w:val="000000"/>
                <w:sz w:val="20"/>
                <w:szCs w:val="20"/>
              </w:rPr>
              <w:t>1,160.7 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96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96A"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96B"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96C" w14:textId="77777777" w:rsidR="00871BDF" w:rsidRDefault="005C5088">
            <w:pPr>
              <w:jc w:val="right"/>
              <w:textAlignment w:val="bottom"/>
            </w:pPr>
            <w:r>
              <w:rPr>
                <w:rFonts w:ascii="Times New Roman" w:eastAsia="宋体" w:hAnsi="Times New Roman"/>
                <w:color w:val="000000"/>
                <w:sz w:val="20"/>
                <w:szCs w:val="20"/>
              </w:rPr>
              <w:t>1,753.7 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96D" w14:textId="77777777" w:rsidR="00871BDF" w:rsidRDefault="00871BDF">
            <w:pPr>
              <w:jc w:val="right"/>
              <w:rPr>
                <w:rFonts w:ascii="宋体"/>
              </w:rPr>
            </w:pPr>
          </w:p>
        </w:tc>
      </w:tr>
    </w:tbl>
    <w:p w14:paraId="00BAF96F" w14:textId="77777777" w:rsidR="00871BDF" w:rsidRDefault="005C5088">
      <w:pPr>
        <w:spacing w:before="120"/>
      </w:pPr>
      <w:r>
        <w:rPr>
          <w:rFonts w:ascii="Times New Roman" w:eastAsia="宋体" w:hAnsi="Times New Roman"/>
          <w:b/>
          <w:bCs/>
          <w:i/>
          <w:iCs/>
          <w:color w:val="000000"/>
          <w:sz w:val="20"/>
          <w:szCs w:val="20"/>
        </w:rPr>
        <w:t>Store 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3954"/>
        <w:gridCol w:w="37"/>
        <w:gridCol w:w="36"/>
        <w:gridCol w:w="36"/>
        <w:gridCol w:w="36"/>
        <w:gridCol w:w="120"/>
        <w:gridCol w:w="1171"/>
        <w:gridCol w:w="36"/>
        <w:gridCol w:w="36"/>
        <w:gridCol w:w="36"/>
        <w:gridCol w:w="36"/>
        <w:gridCol w:w="120"/>
        <w:gridCol w:w="1171"/>
        <w:gridCol w:w="36"/>
        <w:gridCol w:w="36"/>
        <w:gridCol w:w="36"/>
        <w:gridCol w:w="36"/>
        <w:gridCol w:w="120"/>
        <w:gridCol w:w="1173"/>
        <w:gridCol w:w="36"/>
      </w:tblGrid>
      <w:tr w:rsidR="00871BDF" w14:paraId="00BAF985" w14:textId="77777777">
        <w:tc>
          <w:tcPr>
            <w:tcW w:w="50" w:type="pct"/>
            <w:shd w:val="clear" w:color="auto" w:fill="auto"/>
          </w:tcPr>
          <w:p w14:paraId="00BAF970" w14:textId="77777777" w:rsidR="00871BDF" w:rsidRDefault="00871BDF">
            <w:pPr>
              <w:rPr>
                <w:rFonts w:ascii="宋体"/>
              </w:rPr>
            </w:pPr>
          </w:p>
        </w:tc>
        <w:tc>
          <w:tcPr>
            <w:tcW w:w="2401" w:type="pct"/>
            <w:shd w:val="clear" w:color="auto" w:fill="auto"/>
          </w:tcPr>
          <w:p w14:paraId="00BAF971" w14:textId="77777777" w:rsidR="00871BDF" w:rsidRDefault="00871BDF">
            <w:pPr>
              <w:rPr>
                <w:rFonts w:ascii="宋体"/>
              </w:rPr>
            </w:pPr>
          </w:p>
        </w:tc>
        <w:tc>
          <w:tcPr>
            <w:tcW w:w="5" w:type="pct"/>
            <w:shd w:val="clear" w:color="auto" w:fill="auto"/>
          </w:tcPr>
          <w:p w14:paraId="00BAF972" w14:textId="77777777" w:rsidR="00871BDF" w:rsidRDefault="00871BDF">
            <w:pPr>
              <w:rPr>
                <w:rFonts w:ascii="宋体"/>
              </w:rPr>
            </w:pPr>
          </w:p>
        </w:tc>
        <w:tc>
          <w:tcPr>
            <w:tcW w:w="5" w:type="pct"/>
            <w:shd w:val="clear" w:color="auto" w:fill="auto"/>
          </w:tcPr>
          <w:p w14:paraId="00BAF973" w14:textId="77777777" w:rsidR="00871BDF" w:rsidRDefault="00871BDF">
            <w:pPr>
              <w:rPr>
                <w:rFonts w:ascii="宋体"/>
              </w:rPr>
            </w:pPr>
          </w:p>
        </w:tc>
        <w:tc>
          <w:tcPr>
            <w:tcW w:w="26" w:type="pct"/>
            <w:shd w:val="clear" w:color="auto" w:fill="auto"/>
          </w:tcPr>
          <w:p w14:paraId="00BAF974" w14:textId="77777777" w:rsidR="00871BDF" w:rsidRDefault="00871BDF">
            <w:pPr>
              <w:rPr>
                <w:rFonts w:ascii="宋体"/>
              </w:rPr>
            </w:pPr>
          </w:p>
        </w:tc>
        <w:tc>
          <w:tcPr>
            <w:tcW w:w="5" w:type="pct"/>
            <w:shd w:val="clear" w:color="auto" w:fill="auto"/>
          </w:tcPr>
          <w:p w14:paraId="00BAF975" w14:textId="77777777" w:rsidR="00871BDF" w:rsidRDefault="00871BDF">
            <w:pPr>
              <w:rPr>
                <w:rFonts w:ascii="宋体"/>
              </w:rPr>
            </w:pPr>
          </w:p>
        </w:tc>
        <w:tc>
          <w:tcPr>
            <w:tcW w:w="50" w:type="pct"/>
            <w:shd w:val="clear" w:color="auto" w:fill="auto"/>
          </w:tcPr>
          <w:p w14:paraId="00BAF976" w14:textId="77777777" w:rsidR="00871BDF" w:rsidRDefault="00871BDF">
            <w:pPr>
              <w:rPr>
                <w:rFonts w:ascii="宋体"/>
              </w:rPr>
            </w:pPr>
          </w:p>
        </w:tc>
        <w:tc>
          <w:tcPr>
            <w:tcW w:w="756" w:type="pct"/>
            <w:shd w:val="clear" w:color="auto" w:fill="auto"/>
          </w:tcPr>
          <w:p w14:paraId="00BAF977" w14:textId="77777777" w:rsidR="00871BDF" w:rsidRDefault="00871BDF">
            <w:pPr>
              <w:rPr>
                <w:rFonts w:ascii="宋体"/>
              </w:rPr>
            </w:pPr>
          </w:p>
        </w:tc>
        <w:tc>
          <w:tcPr>
            <w:tcW w:w="5" w:type="pct"/>
            <w:shd w:val="clear" w:color="auto" w:fill="auto"/>
          </w:tcPr>
          <w:p w14:paraId="00BAF978" w14:textId="77777777" w:rsidR="00871BDF" w:rsidRDefault="00871BDF">
            <w:pPr>
              <w:rPr>
                <w:rFonts w:ascii="宋体"/>
              </w:rPr>
            </w:pPr>
          </w:p>
        </w:tc>
        <w:tc>
          <w:tcPr>
            <w:tcW w:w="5" w:type="pct"/>
            <w:shd w:val="clear" w:color="auto" w:fill="auto"/>
          </w:tcPr>
          <w:p w14:paraId="00BAF979" w14:textId="77777777" w:rsidR="00871BDF" w:rsidRDefault="00871BDF">
            <w:pPr>
              <w:rPr>
                <w:rFonts w:ascii="宋体"/>
              </w:rPr>
            </w:pPr>
          </w:p>
        </w:tc>
        <w:tc>
          <w:tcPr>
            <w:tcW w:w="26" w:type="pct"/>
            <w:shd w:val="clear" w:color="auto" w:fill="auto"/>
          </w:tcPr>
          <w:p w14:paraId="00BAF97A" w14:textId="77777777" w:rsidR="00871BDF" w:rsidRDefault="00871BDF">
            <w:pPr>
              <w:rPr>
                <w:rFonts w:ascii="宋体"/>
              </w:rPr>
            </w:pPr>
          </w:p>
        </w:tc>
        <w:tc>
          <w:tcPr>
            <w:tcW w:w="5" w:type="pct"/>
            <w:shd w:val="clear" w:color="auto" w:fill="auto"/>
          </w:tcPr>
          <w:p w14:paraId="00BAF97B" w14:textId="77777777" w:rsidR="00871BDF" w:rsidRDefault="00871BDF">
            <w:pPr>
              <w:rPr>
                <w:rFonts w:ascii="宋体"/>
              </w:rPr>
            </w:pPr>
          </w:p>
        </w:tc>
        <w:tc>
          <w:tcPr>
            <w:tcW w:w="50" w:type="pct"/>
            <w:shd w:val="clear" w:color="auto" w:fill="auto"/>
          </w:tcPr>
          <w:p w14:paraId="00BAF97C" w14:textId="77777777" w:rsidR="00871BDF" w:rsidRDefault="00871BDF">
            <w:pPr>
              <w:rPr>
                <w:rFonts w:ascii="宋体"/>
              </w:rPr>
            </w:pPr>
          </w:p>
        </w:tc>
        <w:tc>
          <w:tcPr>
            <w:tcW w:w="756" w:type="pct"/>
            <w:shd w:val="clear" w:color="auto" w:fill="auto"/>
          </w:tcPr>
          <w:p w14:paraId="00BAF97D" w14:textId="77777777" w:rsidR="00871BDF" w:rsidRDefault="00871BDF">
            <w:pPr>
              <w:rPr>
                <w:rFonts w:ascii="宋体"/>
              </w:rPr>
            </w:pPr>
          </w:p>
        </w:tc>
        <w:tc>
          <w:tcPr>
            <w:tcW w:w="5" w:type="pct"/>
            <w:shd w:val="clear" w:color="auto" w:fill="auto"/>
          </w:tcPr>
          <w:p w14:paraId="00BAF97E" w14:textId="77777777" w:rsidR="00871BDF" w:rsidRDefault="00871BDF">
            <w:pPr>
              <w:rPr>
                <w:rFonts w:ascii="宋体"/>
              </w:rPr>
            </w:pPr>
          </w:p>
        </w:tc>
        <w:tc>
          <w:tcPr>
            <w:tcW w:w="5" w:type="pct"/>
            <w:shd w:val="clear" w:color="auto" w:fill="auto"/>
          </w:tcPr>
          <w:p w14:paraId="00BAF97F" w14:textId="77777777" w:rsidR="00871BDF" w:rsidRDefault="00871BDF">
            <w:pPr>
              <w:rPr>
                <w:rFonts w:ascii="宋体"/>
              </w:rPr>
            </w:pPr>
          </w:p>
        </w:tc>
        <w:tc>
          <w:tcPr>
            <w:tcW w:w="26" w:type="pct"/>
            <w:shd w:val="clear" w:color="auto" w:fill="auto"/>
          </w:tcPr>
          <w:p w14:paraId="00BAF980" w14:textId="77777777" w:rsidR="00871BDF" w:rsidRDefault="00871BDF">
            <w:pPr>
              <w:rPr>
                <w:rFonts w:ascii="宋体"/>
              </w:rPr>
            </w:pPr>
          </w:p>
        </w:tc>
        <w:tc>
          <w:tcPr>
            <w:tcW w:w="5" w:type="pct"/>
            <w:shd w:val="clear" w:color="auto" w:fill="auto"/>
          </w:tcPr>
          <w:p w14:paraId="00BAF981" w14:textId="77777777" w:rsidR="00871BDF" w:rsidRDefault="00871BDF">
            <w:pPr>
              <w:rPr>
                <w:rFonts w:ascii="宋体"/>
              </w:rPr>
            </w:pPr>
          </w:p>
        </w:tc>
        <w:tc>
          <w:tcPr>
            <w:tcW w:w="50" w:type="pct"/>
            <w:shd w:val="clear" w:color="auto" w:fill="auto"/>
          </w:tcPr>
          <w:p w14:paraId="00BAF982" w14:textId="77777777" w:rsidR="00871BDF" w:rsidRDefault="00871BDF">
            <w:pPr>
              <w:rPr>
                <w:rFonts w:ascii="宋体"/>
              </w:rPr>
            </w:pPr>
          </w:p>
        </w:tc>
        <w:tc>
          <w:tcPr>
            <w:tcW w:w="756" w:type="pct"/>
            <w:shd w:val="clear" w:color="auto" w:fill="auto"/>
          </w:tcPr>
          <w:p w14:paraId="00BAF983" w14:textId="77777777" w:rsidR="00871BDF" w:rsidRDefault="00871BDF">
            <w:pPr>
              <w:rPr>
                <w:rFonts w:ascii="宋体"/>
              </w:rPr>
            </w:pPr>
          </w:p>
        </w:tc>
        <w:tc>
          <w:tcPr>
            <w:tcW w:w="5" w:type="pct"/>
            <w:shd w:val="clear" w:color="auto" w:fill="auto"/>
          </w:tcPr>
          <w:p w14:paraId="00BAF984" w14:textId="77777777" w:rsidR="00871BDF" w:rsidRDefault="00871BDF">
            <w:pPr>
              <w:rPr>
                <w:rFonts w:ascii="宋体"/>
              </w:rPr>
            </w:pPr>
          </w:p>
        </w:tc>
      </w:tr>
      <w:tr w:rsidR="00871BDF" w14:paraId="00BAF989" w14:textId="77777777">
        <w:tc>
          <w:tcPr>
            <w:tcW w:w="0" w:type="auto"/>
            <w:gridSpan w:val="3"/>
            <w:shd w:val="clear" w:color="auto" w:fill="auto"/>
            <w:tcMar>
              <w:top w:w="0" w:type="dxa"/>
              <w:left w:w="20" w:type="dxa"/>
              <w:bottom w:w="0" w:type="dxa"/>
              <w:right w:w="20" w:type="dxa"/>
            </w:tcMar>
          </w:tcPr>
          <w:p w14:paraId="00BAF98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987" w14:textId="77777777" w:rsidR="00871BDF" w:rsidRDefault="00871BDF">
            <w:pPr>
              <w:rPr>
                <w:rFonts w:ascii="宋体"/>
              </w:rPr>
            </w:pPr>
          </w:p>
        </w:tc>
        <w:tc>
          <w:tcPr>
            <w:tcW w:w="0" w:type="auto"/>
            <w:gridSpan w:val="15"/>
            <w:shd w:val="clear" w:color="auto" w:fill="00704A"/>
            <w:tcMar>
              <w:top w:w="40" w:type="dxa"/>
              <w:left w:w="20" w:type="dxa"/>
              <w:bottom w:w="40" w:type="dxa"/>
              <w:right w:w="20" w:type="dxa"/>
            </w:tcMar>
            <w:vAlign w:val="bottom"/>
          </w:tcPr>
          <w:p w14:paraId="00BAF988" w14:textId="77777777" w:rsidR="00871BDF" w:rsidRDefault="005C5088">
            <w:pPr>
              <w:jc w:val="center"/>
              <w:textAlignment w:val="bottom"/>
            </w:pPr>
            <w:r>
              <w:rPr>
                <w:rFonts w:ascii="Times New Roman" w:eastAsia="宋体" w:hAnsi="Times New Roman"/>
                <w:b/>
                <w:bCs/>
                <w:color w:val="FFFFFF"/>
                <w:sz w:val="16"/>
                <w:szCs w:val="16"/>
              </w:rPr>
              <w:t>Year Ended</w:t>
            </w:r>
          </w:p>
        </w:tc>
      </w:tr>
      <w:tr w:rsidR="00871BDF" w14:paraId="00BAF991" w14:textId="77777777">
        <w:tc>
          <w:tcPr>
            <w:tcW w:w="0" w:type="auto"/>
            <w:gridSpan w:val="3"/>
            <w:shd w:val="clear" w:color="auto" w:fill="auto"/>
            <w:tcMar>
              <w:top w:w="0" w:type="dxa"/>
              <w:left w:w="20" w:type="dxa"/>
              <w:bottom w:w="0" w:type="dxa"/>
              <w:right w:w="20" w:type="dxa"/>
            </w:tcMar>
          </w:tcPr>
          <w:p w14:paraId="00BAF98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98B"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98C"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FFFFFF"/>
            <w:tcMar>
              <w:top w:w="0" w:type="dxa"/>
              <w:left w:w="20" w:type="dxa"/>
              <w:bottom w:w="0" w:type="dxa"/>
              <w:right w:w="20" w:type="dxa"/>
            </w:tcMar>
          </w:tcPr>
          <w:p w14:paraId="00BAF98D"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98E" w14:textId="77777777" w:rsidR="00871BDF" w:rsidRDefault="005C5088">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AF98F"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990" w14:textId="77777777" w:rsidR="00871BDF" w:rsidRDefault="005C5088">
            <w:pPr>
              <w:jc w:val="center"/>
              <w:textAlignment w:val="bottom"/>
            </w:pPr>
            <w:r>
              <w:rPr>
                <w:rFonts w:ascii="Times New Roman" w:eastAsia="宋体" w:hAnsi="Times New Roman"/>
                <w:b/>
                <w:bCs/>
                <w:color w:val="FFFFFF"/>
                <w:sz w:val="16"/>
                <w:szCs w:val="16"/>
              </w:rPr>
              <w:t>Sep 30, 2018</w:t>
            </w:r>
          </w:p>
        </w:tc>
      </w:tr>
      <w:tr w:rsidR="00871BDF" w14:paraId="00BAF99F" w14:textId="77777777">
        <w:tc>
          <w:tcPr>
            <w:tcW w:w="0" w:type="auto"/>
            <w:gridSpan w:val="3"/>
            <w:shd w:val="clear" w:color="auto" w:fill="D7E4BC"/>
            <w:tcMar>
              <w:top w:w="40" w:type="dxa"/>
              <w:left w:w="20" w:type="dxa"/>
              <w:bottom w:w="40" w:type="dxa"/>
              <w:right w:w="20" w:type="dxa"/>
            </w:tcMar>
          </w:tcPr>
          <w:p w14:paraId="00BAF992" w14:textId="77777777" w:rsidR="00871BDF" w:rsidRDefault="005C5088">
            <w:pPr>
              <w:textAlignment w:val="top"/>
            </w:pPr>
            <w:r>
              <w:rPr>
                <w:rFonts w:ascii="Times New Roman" w:eastAsia="宋体" w:hAnsi="Times New Roman"/>
                <w:color w:val="000000"/>
                <w:sz w:val="20"/>
                <w:szCs w:val="20"/>
              </w:rPr>
              <w:t>Wages and benefits</w:t>
            </w:r>
          </w:p>
        </w:tc>
        <w:tc>
          <w:tcPr>
            <w:tcW w:w="0" w:type="auto"/>
            <w:gridSpan w:val="3"/>
            <w:shd w:val="clear" w:color="auto" w:fill="D7E4BC"/>
            <w:tcMar>
              <w:top w:w="0" w:type="dxa"/>
              <w:left w:w="20" w:type="dxa"/>
              <w:bottom w:w="0" w:type="dxa"/>
              <w:right w:w="20" w:type="dxa"/>
            </w:tcMar>
          </w:tcPr>
          <w:p w14:paraId="00BAF993"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99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995" w14:textId="77777777" w:rsidR="00871BDF" w:rsidRDefault="005C5088">
            <w:pPr>
              <w:jc w:val="right"/>
              <w:textAlignment w:val="bottom"/>
            </w:pPr>
            <w:r>
              <w:rPr>
                <w:rFonts w:ascii="Times New Roman" w:eastAsia="宋体" w:hAnsi="Times New Roman"/>
                <w:color w:val="000000"/>
                <w:sz w:val="20"/>
                <w:szCs w:val="20"/>
              </w:rPr>
              <w:t>6,131.9 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99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997"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F998"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F999" w14:textId="77777777" w:rsidR="00871BDF" w:rsidRDefault="005C5088">
            <w:pPr>
              <w:jc w:val="right"/>
              <w:textAlignment w:val="bottom"/>
            </w:pPr>
            <w:r>
              <w:rPr>
                <w:rFonts w:ascii="Times New Roman" w:eastAsia="宋体" w:hAnsi="Times New Roman"/>
                <w:color w:val="000000"/>
                <w:sz w:val="20"/>
                <w:szCs w:val="20"/>
              </w:rPr>
              <w:t>5,941.7 </w:t>
            </w:r>
          </w:p>
        </w:tc>
        <w:tc>
          <w:tcPr>
            <w:tcW w:w="0" w:type="auto"/>
            <w:shd w:val="clear" w:color="auto" w:fill="D7E4BC"/>
            <w:tcMar>
              <w:top w:w="40" w:type="dxa"/>
              <w:left w:w="0" w:type="dxa"/>
              <w:bottom w:w="40" w:type="dxa"/>
              <w:right w:w="20" w:type="dxa"/>
            </w:tcMar>
            <w:vAlign w:val="bottom"/>
          </w:tcPr>
          <w:p w14:paraId="00BAF99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99B"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F99C"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F99D" w14:textId="77777777" w:rsidR="00871BDF" w:rsidRDefault="005C5088">
            <w:pPr>
              <w:jc w:val="right"/>
              <w:textAlignment w:val="bottom"/>
            </w:pPr>
            <w:r>
              <w:rPr>
                <w:rFonts w:ascii="Times New Roman" w:eastAsia="宋体" w:hAnsi="Times New Roman"/>
                <w:color w:val="000000"/>
                <w:sz w:val="20"/>
                <w:szCs w:val="20"/>
              </w:rPr>
              <w:t>5,319.2 </w:t>
            </w:r>
          </w:p>
        </w:tc>
        <w:tc>
          <w:tcPr>
            <w:tcW w:w="0" w:type="auto"/>
            <w:shd w:val="clear" w:color="auto" w:fill="D7E4BC"/>
            <w:tcMar>
              <w:top w:w="40" w:type="dxa"/>
              <w:left w:w="0" w:type="dxa"/>
              <w:bottom w:w="40" w:type="dxa"/>
              <w:right w:w="20" w:type="dxa"/>
            </w:tcMar>
            <w:vAlign w:val="bottom"/>
          </w:tcPr>
          <w:p w14:paraId="00BAF99E" w14:textId="77777777" w:rsidR="00871BDF" w:rsidRDefault="00871BDF">
            <w:pPr>
              <w:jc w:val="right"/>
              <w:rPr>
                <w:rFonts w:ascii="宋体"/>
              </w:rPr>
            </w:pPr>
          </w:p>
        </w:tc>
      </w:tr>
      <w:tr w:rsidR="00871BDF" w14:paraId="00BAF9AA" w14:textId="77777777">
        <w:tc>
          <w:tcPr>
            <w:tcW w:w="0" w:type="auto"/>
            <w:gridSpan w:val="3"/>
            <w:shd w:val="clear" w:color="auto" w:fill="FFFFFF"/>
            <w:tcMar>
              <w:top w:w="40" w:type="dxa"/>
              <w:left w:w="20" w:type="dxa"/>
              <w:bottom w:w="40" w:type="dxa"/>
              <w:right w:w="20" w:type="dxa"/>
            </w:tcMar>
          </w:tcPr>
          <w:p w14:paraId="00BAF9A0" w14:textId="77777777" w:rsidR="00871BDF" w:rsidRDefault="005C5088">
            <w:pPr>
              <w:textAlignment w:val="top"/>
            </w:pPr>
            <w:r>
              <w:rPr>
                <w:rFonts w:ascii="Times New Roman" w:eastAsia="宋体" w:hAnsi="Times New Roman"/>
                <w:color w:val="000000"/>
                <w:sz w:val="20"/>
                <w:szCs w:val="20"/>
              </w:rPr>
              <w:t>Occupancy costs</w:t>
            </w:r>
          </w:p>
        </w:tc>
        <w:tc>
          <w:tcPr>
            <w:tcW w:w="0" w:type="auto"/>
            <w:gridSpan w:val="3"/>
            <w:shd w:val="clear" w:color="auto" w:fill="FFFFFF"/>
            <w:tcMar>
              <w:top w:w="0" w:type="dxa"/>
              <w:left w:w="20" w:type="dxa"/>
              <w:bottom w:w="0" w:type="dxa"/>
              <w:right w:w="20" w:type="dxa"/>
            </w:tcMar>
          </w:tcPr>
          <w:p w14:paraId="00BAF9A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9A2" w14:textId="77777777" w:rsidR="00871BDF" w:rsidRDefault="005C5088">
            <w:pPr>
              <w:jc w:val="right"/>
              <w:textAlignment w:val="bottom"/>
            </w:pPr>
            <w:r>
              <w:rPr>
                <w:rFonts w:ascii="Times New Roman" w:eastAsia="宋体" w:hAnsi="Times New Roman"/>
                <w:color w:val="000000"/>
                <w:sz w:val="20"/>
                <w:szCs w:val="20"/>
              </w:rPr>
              <w:t>2,388.0 </w:t>
            </w:r>
          </w:p>
        </w:tc>
        <w:tc>
          <w:tcPr>
            <w:tcW w:w="0" w:type="auto"/>
            <w:shd w:val="clear" w:color="auto" w:fill="FFFFFF"/>
            <w:tcMar>
              <w:top w:w="40" w:type="dxa"/>
              <w:left w:w="0" w:type="dxa"/>
              <w:bottom w:w="40" w:type="dxa"/>
              <w:right w:w="20" w:type="dxa"/>
            </w:tcMar>
            <w:vAlign w:val="bottom"/>
          </w:tcPr>
          <w:p w14:paraId="00BAF9A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9A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9A5" w14:textId="77777777" w:rsidR="00871BDF" w:rsidRDefault="005C5088">
            <w:pPr>
              <w:jc w:val="right"/>
              <w:textAlignment w:val="bottom"/>
            </w:pPr>
            <w:r>
              <w:rPr>
                <w:rFonts w:ascii="Times New Roman" w:eastAsia="宋体" w:hAnsi="Times New Roman"/>
                <w:color w:val="000000"/>
                <w:sz w:val="20"/>
                <w:szCs w:val="20"/>
              </w:rPr>
              <w:t>2,411.2 </w:t>
            </w:r>
          </w:p>
        </w:tc>
        <w:tc>
          <w:tcPr>
            <w:tcW w:w="0" w:type="auto"/>
            <w:shd w:val="clear" w:color="auto" w:fill="FFFFFF"/>
            <w:tcMar>
              <w:top w:w="40" w:type="dxa"/>
              <w:left w:w="0" w:type="dxa"/>
              <w:bottom w:w="40" w:type="dxa"/>
              <w:right w:w="20" w:type="dxa"/>
            </w:tcMar>
            <w:vAlign w:val="bottom"/>
          </w:tcPr>
          <w:p w14:paraId="00BAF9A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9A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9A8" w14:textId="77777777" w:rsidR="00871BDF" w:rsidRDefault="005C5088">
            <w:pPr>
              <w:jc w:val="right"/>
              <w:textAlignment w:val="bottom"/>
            </w:pPr>
            <w:r>
              <w:rPr>
                <w:rFonts w:ascii="Times New Roman" w:eastAsia="宋体" w:hAnsi="Times New Roman"/>
                <w:color w:val="000000"/>
                <w:sz w:val="20"/>
                <w:szCs w:val="20"/>
              </w:rPr>
              <w:t>2,250.5 </w:t>
            </w:r>
          </w:p>
        </w:tc>
        <w:tc>
          <w:tcPr>
            <w:tcW w:w="0" w:type="auto"/>
            <w:shd w:val="clear" w:color="auto" w:fill="FFFFFF"/>
            <w:tcMar>
              <w:top w:w="40" w:type="dxa"/>
              <w:left w:w="0" w:type="dxa"/>
              <w:bottom w:w="40" w:type="dxa"/>
              <w:right w:w="20" w:type="dxa"/>
            </w:tcMar>
            <w:vAlign w:val="bottom"/>
          </w:tcPr>
          <w:p w14:paraId="00BAF9A9" w14:textId="77777777" w:rsidR="00871BDF" w:rsidRDefault="00871BDF">
            <w:pPr>
              <w:jc w:val="right"/>
              <w:rPr>
                <w:rFonts w:ascii="宋体"/>
              </w:rPr>
            </w:pPr>
          </w:p>
        </w:tc>
      </w:tr>
      <w:tr w:rsidR="00871BDF" w14:paraId="00BAF9B5" w14:textId="77777777">
        <w:tc>
          <w:tcPr>
            <w:tcW w:w="0" w:type="auto"/>
            <w:gridSpan w:val="3"/>
            <w:shd w:val="clear" w:color="auto" w:fill="D7E4BC"/>
            <w:tcMar>
              <w:top w:w="40" w:type="dxa"/>
              <w:left w:w="20" w:type="dxa"/>
              <w:bottom w:w="40" w:type="dxa"/>
              <w:right w:w="20" w:type="dxa"/>
            </w:tcMar>
          </w:tcPr>
          <w:p w14:paraId="00BAF9AB" w14:textId="77777777" w:rsidR="00871BDF" w:rsidRDefault="005C5088">
            <w:pPr>
              <w:textAlignment w:val="top"/>
            </w:pPr>
            <w:r>
              <w:rPr>
                <w:rFonts w:ascii="Times New Roman" w:eastAsia="宋体" w:hAnsi="Times New Roman"/>
                <w:color w:val="000000"/>
                <w:sz w:val="20"/>
                <w:szCs w:val="20"/>
              </w:rPr>
              <w:t>Other expenses</w:t>
            </w:r>
          </w:p>
        </w:tc>
        <w:tc>
          <w:tcPr>
            <w:tcW w:w="0" w:type="auto"/>
            <w:gridSpan w:val="3"/>
            <w:shd w:val="clear" w:color="auto" w:fill="D7E4BC"/>
            <w:tcMar>
              <w:top w:w="0" w:type="dxa"/>
              <w:left w:w="20" w:type="dxa"/>
              <w:bottom w:w="0" w:type="dxa"/>
              <w:right w:w="20" w:type="dxa"/>
            </w:tcMar>
          </w:tcPr>
          <w:p w14:paraId="00BAF9A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9AD" w14:textId="77777777" w:rsidR="00871BDF" w:rsidRDefault="005C5088">
            <w:pPr>
              <w:jc w:val="right"/>
              <w:textAlignment w:val="bottom"/>
            </w:pPr>
            <w:r>
              <w:rPr>
                <w:rFonts w:ascii="Times New Roman" w:eastAsia="宋体" w:hAnsi="Times New Roman"/>
                <w:color w:val="000000"/>
                <w:sz w:val="20"/>
                <w:szCs w:val="20"/>
              </w:rPr>
              <w:t>2,244.1 </w:t>
            </w:r>
          </w:p>
        </w:tc>
        <w:tc>
          <w:tcPr>
            <w:tcW w:w="0" w:type="auto"/>
            <w:shd w:val="clear" w:color="auto" w:fill="D7E4BC"/>
            <w:tcMar>
              <w:top w:w="40" w:type="dxa"/>
              <w:left w:w="0" w:type="dxa"/>
              <w:bottom w:w="40" w:type="dxa"/>
              <w:right w:w="20" w:type="dxa"/>
            </w:tcMar>
            <w:vAlign w:val="bottom"/>
          </w:tcPr>
          <w:p w14:paraId="00BAF9A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9A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9B0" w14:textId="77777777" w:rsidR="00871BDF" w:rsidRDefault="005C5088">
            <w:pPr>
              <w:jc w:val="right"/>
              <w:textAlignment w:val="bottom"/>
            </w:pPr>
            <w:r>
              <w:rPr>
                <w:rFonts w:ascii="Times New Roman" w:eastAsia="宋体" w:hAnsi="Times New Roman"/>
                <w:color w:val="000000"/>
                <w:sz w:val="20"/>
                <w:szCs w:val="20"/>
              </w:rPr>
              <w:t>2,140.7 </w:t>
            </w:r>
          </w:p>
        </w:tc>
        <w:tc>
          <w:tcPr>
            <w:tcW w:w="0" w:type="auto"/>
            <w:shd w:val="clear" w:color="auto" w:fill="D7E4BC"/>
            <w:tcMar>
              <w:top w:w="40" w:type="dxa"/>
              <w:left w:w="0" w:type="dxa"/>
              <w:bottom w:w="40" w:type="dxa"/>
              <w:right w:w="20" w:type="dxa"/>
            </w:tcMar>
            <w:vAlign w:val="bottom"/>
          </w:tcPr>
          <w:p w14:paraId="00BAF9B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9B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9B3" w14:textId="77777777" w:rsidR="00871BDF" w:rsidRDefault="005C5088">
            <w:pPr>
              <w:jc w:val="right"/>
              <w:textAlignment w:val="bottom"/>
            </w:pPr>
            <w:r>
              <w:rPr>
                <w:rFonts w:ascii="Times New Roman" w:eastAsia="宋体" w:hAnsi="Times New Roman"/>
                <w:color w:val="000000"/>
                <w:sz w:val="20"/>
                <w:szCs w:val="20"/>
              </w:rPr>
              <w:t>1,902.5 </w:t>
            </w:r>
          </w:p>
        </w:tc>
        <w:tc>
          <w:tcPr>
            <w:tcW w:w="0" w:type="auto"/>
            <w:shd w:val="clear" w:color="auto" w:fill="D7E4BC"/>
            <w:tcMar>
              <w:top w:w="40" w:type="dxa"/>
              <w:left w:w="0" w:type="dxa"/>
              <w:bottom w:w="40" w:type="dxa"/>
              <w:right w:w="20" w:type="dxa"/>
            </w:tcMar>
            <w:vAlign w:val="bottom"/>
          </w:tcPr>
          <w:p w14:paraId="00BAF9B4" w14:textId="77777777" w:rsidR="00871BDF" w:rsidRDefault="00871BDF">
            <w:pPr>
              <w:jc w:val="right"/>
              <w:rPr>
                <w:rFonts w:ascii="宋体"/>
              </w:rPr>
            </w:pPr>
          </w:p>
        </w:tc>
      </w:tr>
      <w:tr w:rsidR="00871BDF" w14:paraId="00BAF9C3" w14:textId="77777777">
        <w:tc>
          <w:tcPr>
            <w:tcW w:w="0" w:type="auto"/>
            <w:gridSpan w:val="3"/>
            <w:shd w:val="clear" w:color="auto" w:fill="FFFFFF"/>
            <w:tcMar>
              <w:top w:w="40" w:type="dxa"/>
              <w:left w:w="20" w:type="dxa"/>
              <w:bottom w:w="40" w:type="dxa"/>
              <w:right w:w="20" w:type="dxa"/>
            </w:tcMar>
          </w:tcPr>
          <w:p w14:paraId="00BAF9B6" w14:textId="77777777" w:rsidR="00871BDF" w:rsidRDefault="005C5088">
            <w:pPr>
              <w:textAlignment w:val="top"/>
            </w:pPr>
            <w:r>
              <w:rPr>
                <w:rFonts w:ascii="Times New Roman" w:eastAsia="宋体" w:hAnsi="Times New Roman"/>
                <w:color w:val="000000"/>
                <w:sz w:val="20"/>
                <w:szCs w:val="20"/>
              </w:rPr>
              <w:t>Total store operating expenses</w:t>
            </w:r>
          </w:p>
        </w:tc>
        <w:tc>
          <w:tcPr>
            <w:tcW w:w="0" w:type="auto"/>
            <w:gridSpan w:val="3"/>
            <w:shd w:val="clear" w:color="auto" w:fill="FFFFFF"/>
            <w:tcMar>
              <w:top w:w="0" w:type="dxa"/>
              <w:left w:w="20" w:type="dxa"/>
              <w:bottom w:w="0" w:type="dxa"/>
              <w:right w:w="20" w:type="dxa"/>
            </w:tcMar>
          </w:tcPr>
          <w:p w14:paraId="00BAF9B7"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9B8"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9B9" w14:textId="77777777" w:rsidR="00871BDF" w:rsidRDefault="005C5088">
            <w:pPr>
              <w:jc w:val="right"/>
              <w:textAlignment w:val="bottom"/>
            </w:pPr>
            <w:r>
              <w:rPr>
                <w:rFonts w:ascii="Times New Roman" w:eastAsia="宋体" w:hAnsi="Times New Roman"/>
                <w:color w:val="000000"/>
                <w:sz w:val="20"/>
                <w:szCs w:val="20"/>
              </w:rPr>
              <w:t>10,764.0 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9B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9BB"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9BC"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9BD" w14:textId="77777777" w:rsidR="00871BDF" w:rsidRDefault="005C5088">
            <w:pPr>
              <w:jc w:val="right"/>
              <w:textAlignment w:val="bottom"/>
            </w:pPr>
            <w:r>
              <w:rPr>
                <w:rFonts w:ascii="Times New Roman" w:eastAsia="宋体" w:hAnsi="Times New Roman"/>
                <w:color w:val="000000"/>
                <w:sz w:val="20"/>
                <w:szCs w:val="20"/>
              </w:rPr>
              <w:t>10,493.6 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9B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9BF"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9C0"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9C1" w14:textId="77777777" w:rsidR="00871BDF" w:rsidRDefault="005C5088">
            <w:pPr>
              <w:jc w:val="right"/>
              <w:textAlignment w:val="bottom"/>
            </w:pPr>
            <w:r>
              <w:rPr>
                <w:rFonts w:ascii="Times New Roman" w:eastAsia="宋体" w:hAnsi="Times New Roman"/>
                <w:color w:val="000000"/>
                <w:sz w:val="20"/>
                <w:szCs w:val="20"/>
              </w:rPr>
              <w:t>9,472.2 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9C2" w14:textId="77777777" w:rsidR="00871BDF" w:rsidRDefault="00871BDF">
            <w:pPr>
              <w:jc w:val="right"/>
              <w:rPr>
                <w:rFonts w:ascii="宋体"/>
              </w:rPr>
            </w:pPr>
          </w:p>
        </w:tc>
      </w:tr>
    </w:tbl>
    <w:p w14:paraId="00BAF9C4" w14:textId="77777777" w:rsidR="00871BDF" w:rsidRDefault="00871BDF">
      <w:pPr>
        <w:spacing w:before="120"/>
      </w:pPr>
    </w:p>
    <w:p w14:paraId="00BAF9C5" w14:textId="77777777" w:rsidR="00871BDF" w:rsidRDefault="005C5088">
      <w:pPr>
        <w:jc w:val="center"/>
      </w:pPr>
      <w:r>
        <w:rPr>
          <w:rFonts w:ascii="Times New Roman" w:eastAsia="宋体" w:hAnsi="Times New Roman"/>
          <w:color w:val="000000"/>
          <w:sz w:val="20"/>
          <w:szCs w:val="20"/>
        </w:rPr>
        <w:t>72</w:t>
      </w:r>
    </w:p>
    <w:p w14:paraId="00BAF9C6" w14:textId="77777777" w:rsidR="00871BDF" w:rsidRDefault="005C5088">
      <w:r>
        <w:pict w14:anchorId="00BB14AD">
          <v:rect id="_x0000_i1099" style="width:415.3pt;height:1.5pt" o:hralign="center" o:hrstd="t" o:hr="t" fillcolor="#a0a0a0" stroked="f"/>
        </w:pict>
      </w:r>
    </w:p>
    <w:p w14:paraId="00BAF9C7" w14:textId="77777777" w:rsidR="00871BDF" w:rsidRDefault="005C5088">
      <w:hyperlink r:id="rId211" w:anchor="i54ccc64cb5384be5a4849ef1cdef4dde_7" w:history="1">
        <w:r>
          <w:rPr>
            <w:rStyle w:val="a5"/>
            <w:rFonts w:ascii="Times New Roman" w:eastAsia="宋体" w:hAnsi="Times New Roman"/>
            <w:sz w:val="20"/>
            <w:szCs w:val="20"/>
          </w:rPr>
          <w:t>Table of Contents</w:t>
        </w:r>
      </w:hyperlink>
    </w:p>
    <w:p w14:paraId="00BAF9C8" w14:textId="77777777" w:rsidR="00871BDF" w:rsidRDefault="005C5088">
      <w:pPr>
        <w:spacing w:before="120"/>
      </w:pPr>
      <w:r>
        <w:rPr>
          <w:rFonts w:ascii="Times New Roman" w:eastAsia="宋体" w:hAnsi="Times New Roman"/>
          <w:b/>
          <w:bCs/>
          <w:color w:val="000000"/>
          <w:sz w:val="20"/>
          <w:szCs w:val="20"/>
        </w:rPr>
        <w:t>Note 8:    Other Intangible Assets and Goodwill</w:t>
      </w:r>
    </w:p>
    <w:p w14:paraId="00BAF9C9" w14:textId="77777777" w:rsidR="00871BDF" w:rsidRDefault="005C5088">
      <w:pPr>
        <w:spacing w:before="120"/>
      </w:pPr>
      <w:r>
        <w:rPr>
          <w:rFonts w:ascii="Times New Roman" w:eastAsia="宋体" w:hAnsi="Times New Roman"/>
          <w:color w:val="000000"/>
          <w:sz w:val="20"/>
          <w:szCs w:val="20"/>
        </w:rPr>
        <w:t>During the third quarter of fiscal 2020, we completed our annual goodwill impairment analysis. The results of our analysis indicated significant excess fair values over carrying values across the different re</w:t>
      </w:r>
      <w:r>
        <w:rPr>
          <w:rFonts w:ascii="Times New Roman" w:eastAsia="宋体" w:hAnsi="Times New Roman"/>
          <w:color w:val="000000"/>
          <w:sz w:val="20"/>
          <w:szCs w:val="20"/>
        </w:rPr>
        <w:t>porting units, and therefore no goodwill impairment was recorded. Due to changes in branding and marketing strategy, certain indefinite-lived intangible assets became definite-lived. As a result, approximately $105.5 million was reclassified primarily into</w:t>
      </w:r>
      <w:r>
        <w:rPr>
          <w:rFonts w:ascii="Times New Roman" w:eastAsia="宋体" w:hAnsi="Times New Roman"/>
          <w:color w:val="000000"/>
          <w:sz w:val="20"/>
          <w:szCs w:val="20"/>
        </w:rPr>
        <w:t xml:space="preserve"> Trade names, trademarks and patents within the Finite-Lived Intangible Assets table below. We estimated the fair values of these assets under an income approach with an average remaining useful life of approximately five years. The analysis indicated that</w:t>
      </w:r>
      <w:r>
        <w:rPr>
          <w:rFonts w:ascii="Times New Roman" w:eastAsia="宋体" w:hAnsi="Times New Roman"/>
          <w:color w:val="000000"/>
          <w:sz w:val="20"/>
          <w:szCs w:val="20"/>
        </w:rPr>
        <w:t xml:space="preserve"> the fair value of one of the assets exceeded its carrying value. As a result, we recorded a charge of $22.1 million to restructuring and impairments on our consolidated statement of earnings during the third quarter of fiscal 2020. For our remaining intan</w:t>
      </w:r>
      <w:r>
        <w:rPr>
          <w:rFonts w:ascii="Times New Roman" w:eastAsia="宋体" w:hAnsi="Times New Roman"/>
          <w:color w:val="000000"/>
          <w:sz w:val="20"/>
          <w:szCs w:val="20"/>
        </w:rPr>
        <w:t>gible assets, our analysis did not indicate further impairment.</w:t>
      </w:r>
    </w:p>
    <w:p w14:paraId="00BAF9CA" w14:textId="77777777" w:rsidR="00871BDF" w:rsidRDefault="005C5088">
      <w:pPr>
        <w:spacing w:before="120"/>
      </w:pPr>
      <w:r>
        <w:rPr>
          <w:rFonts w:ascii="Times New Roman" w:eastAsia="宋体" w:hAnsi="Times New Roman"/>
          <w:b/>
          <w:bCs/>
          <w:i/>
          <w:iCs/>
          <w:color w:val="000000"/>
          <w:sz w:val="20"/>
          <w:szCs w:val="20"/>
        </w:rPr>
        <w:t xml:space="preserve">Indefinite-Lived Intangible Assets </w:t>
      </w:r>
    </w:p>
    <w:tbl>
      <w:tblPr>
        <w:tblW w:w="4985" w:type="pct"/>
        <w:tblCellMar>
          <w:top w:w="15" w:type="dxa"/>
          <w:left w:w="15" w:type="dxa"/>
          <w:bottom w:w="15" w:type="dxa"/>
          <w:right w:w="15" w:type="dxa"/>
        </w:tblCellMar>
        <w:tblLook w:val="04A0" w:firstRow="1" w:lastRow="0" w:firstColumn="1" w:lastColumn="0" w:noHBand="0" w:noVBand="1"/>
      </w:tblPr>
      <w:tblGrid>
        <w:gridCol w:w="40"/>
        <w:gridCol w:w="5387"/>
        <w:gridCol w:w="37"/>
        <w:gridCol w:w="120"/>
        <w:gridCol w:w="1231"/>
        <w:gridCol w:w="36"/>
        <w:gridCol w:w="36"/>
        <w:gridCol w:w="36"/>
        <w:gridCol w:w="36"/>
        <w:gridCol w:w="120"/>
        <w:gridCol w:w="1196"/>
        <w:gridCol w:w="36"/>
      </w:tblGrid>
      <w:tr w:rsidR="00871BDF" w14:paraId="00BAF9D7" w14:textId="77777777">
        <w:tc>
          <w:tcPr>
            <w:tcW w:w="50" w:type="pct"/>
            <w:shd w:val="clear" w:color="auto" w:fill="auto"/>
          </w:tcPr>
          <w:p w14:paraId="00BAF9CB" w14:textId="77777777" w:rsidR="00871BDF" w:rsidRDefault="00871BDF">
            <w:pPr>
              <w:rPr>
                <w:rFonts w:ascii="宋体"/>
              </w:rPr>
            </w:pPr>
          </w:p>
        </w:tc>
        <w:tc>
          <w:tcPr>
            <w:tcW w:w="3266" w:type="pct"/>
            <w:shd w:val="clear" w:color="auto" w:fill="auto"/>
          </w:tcPr>
          <w:p w14:paraId="00BAF9CC" w14:textId="77777777" w:rsidR="00871BDF" w:rsidRDefault="00871BDF">
            <w:pPr>
              <w:rPr>
                <w:rFonts w:ascii="宋体"/>
              </w:rPr>
            </w:pPr>
          </w:p>
        </w:tc>
        <w:tc>
          <w:tcPr>
            <w:tcW w:w="5" w:type="pct"/>
            <w:shd w:val="clear" w:color="auto" w:fill="auto"/>
          </w:tcPr>
          <w:p w14:paraId="00BAF9CD" w14:textId="77777777" w:rsidR="00871BDF" w:rsidRDefault="00871BDF">
            <w:pPr>
              <w:rPr>
                <w:rFonts w:ascii="宋体"/>
              </w:rPr>
            </w:pPr>
          </w:p>
        </w:tc>
        <w:tc>
          <w:tcPr>
            <w:tcW w:w="50" w:type="pct"/>
            <w:shd w:val="clear" w:color="auto" w:fill="auto"/>
          </w:tcPr>
          <w:p w14:paraId="00BAF9CE" w14:textId="77777777" w:rsidR="00871BDF" w:rsidRDefault="00871BDF">
            <w:pPr>
              <w:rPr>
                <w:rFonts w:ascii="宋体"/>
              </w:rPr>
            </w:pPr>
          </w:p>
        </w:tc>
        <w:tc>
          <w:tcPr>
            <w:tcW w:w="766" w:type="pct"/>
            <w:shd w:val="clear" w:color="auto" w:fill="auto"/>
          </w:tcPr>
          <w:p w14:paraId="00BAF9CF" w14:textId="77777777" w:rsidR="00871BDF" w:rsidRDefault="00871BDF">
            <w:pPr>
              <w:rPr>
                <w:rFonts w:ascii="宋体"/>
              </w:rPr>
            </w:pPr>
          </w:p>
        </w:tc>
        <w:tc>
          <w:tcPr>
            <w:tcW w:w="5" w:type="pct"/>
            <w:shd w:val="clear" w:color="auto" w:fill="auto"/>
          </w:tcPr>
          <w:p w14:paraId="00BAF9D0" w14:textId="77777777" w:rsidR="00871BDF" w:rsidRDefault="00871BDF">
            <w:pPr>
              <w:rPr>
                <w:rFonts w:ascii="宋体"/>
              </w:rPr>
            </w:pPr>
          </w:p>
        </w:tc>
        <w:tc>
          <w:tcPr>
            <w:tcW w:w="5" w:type="pct"/>
            <w:shd w:val="clear" w:color="auto" w:fill="auto"/>
          </w:tcPr>
          <w:p w14:paraId="00BAF9D1" w14:textId="77777777" w:rsidR="00871BDF" w:rsidRDefault="00871BDF">
            <w:pPr>
              <w:rPr>
                <w:rFonts w:ascii="宋体"/>
              </w:rPr>
            </w:pPr>
          </w:p>
        </w:tc>
        <w:tc>
          <w:tcPr>
            <w:tcW w:w="26" w:type="pct"/>
            <w:shd w:val="clear" w:color="auto" w:fill="auto"/>
          </w:tcPr>
          <w:p w14:paraId="00BAF9D2" w14:textId="77777777" w:rsidR="00871BDF" w:rsidRDefault="00871BDF">
            <w:pPr>
              <w:rPr>
                <w:rFonts w:ascii="宋体"/>
              </w:rPr>
            </w:pPr>
          </w:p>
        </w:tc>
        <w:tc>
          <w:tcPr>
            <w:tcW w:w="5" w:type="pct"/>
            <w:shd w:val="clear" w:color="auto" w:fill="auto"/>
          </w:tcPr>
          <w:p w14:paraId="00BAF9D3" w14:textId="77777777" w:rsidR="00871BDF" w:rsidRDefault="00871BDF">
            <w:pPr>
              <w:rPr>
                <w:rFonts w:ascii="宋体"/>
              </w:rPr>
            </w:pPr>
          </w:p>
        </w:tc>
        <w:tc>
          <w:tcPr>
            <w:tcW w:w="50" w:type="pct"/>
            <w:shd w:val="clear" w:color="auto" w:fill="auto"/>
          </w:tcPr>
          <w:p w14:paraId="00BAF9D4" w14:textId="77777777" w:rsidR="00871BDF" w:rsidRDefault="00871BDF">
            <w:pPr>
              <w:rPr>
                <w:rFonts w:ascii="宋体"/>
              </w:rPr>
            </w:pPr>
          </w:p>
        </w:tc>
        <w:tc>
          <w:tcPr>
            <w:tcW w:w="766" w:type="pct"/>
            <w:shd w:val="clear" w:color="auto" w:fill="auto"/>
          </w:tcPr>
          <w:p w14:paraId="00BAF9D5" w14:textId="77777777" w:rsidR="00871BDF" w:rsidRDefault="00871BDF">
            <w:pPr>
              <w:rPr>
                <w:rFonts w:ascii="宋体"/>
              </w:rPr>
            </w:pPr>
          </w:p>
        </w:tc>
        <w:tc>
          <w:tcPr>
            <w:tcW w:w="5" w:type="pct"/>
            <w:shd w:val="clear" w:color="auto" w:fill="auto"/>
          </w:tcPr>
          <w:p w14:paraId="00BAF9D6" w14:textId="77777777" w:rsidR="00871BDF" w:rsidRDefault="00871BDF">
            <w:pPr>
              <w:rPr>
                <w:rFonts w:ascii="宋体"/>
              </w:rPr>
            </w:pPr>
          </w:p>
        </w:tc>
      </w:tr>
      <w:tr w:rsidR="00871BDF" w14:paraId="00BAF9DC" w14:textId="77777777">
        <w:tc>
          <w:tcPr>
            <w:tcW w:w="0" w:type="auto"/>
            <w:gridSpan w:val="3"/>
            <w:shd w:val="clear" w:color="auto" w:fill="FFFFFF"/>
            <w:tcMar>
              <w:top w:w="40" w:type="dxa"/>
              <w:left w:w="20" w:type="dxa"/>
              <w:bottom w:w="40" w:type="dxa"/>
              <w:right w:w="20" w:type="dxa"/>
            </w:tcMar>
            <w:vAlign w:val="bottom"/>
          </w:tcPr>
          <w:p w14:paraId="00BAF9D8" w14:textId="77777777" w:rsidR="00871BDF" w:rsidRDefault="005C5088">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00BAF9D9"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FFFFFF"/>
            <w:tcMar>
              <w:top w:w="0" w:type="dxa"/>
              <w:left w:w="20" w:type="dxa"/>
              <w:bottom w:w="0" w:type="dxa"/>
              <w:right w:w="20" w:type="dxa"/>
            </w:tcMar>
          </w:tcPr>
          <w:p w14:paraId="00BAF9D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9DB" w14:textId="77777777" w:rsidR="00871BDF" w:rsidRDefault="005C5088">
            <w:pPr>
              <w:jc w:val="center"/>
              <w:textAlignment w:val="bottom"/>
            </w:pPr>
            <w:r>
              <w:rPr>
                <w:rFonts w:ascii="Times New Roman" w:eastAsia="宋体" w:hAnsi="Times New Roman"/>
                <w:b/>
                <w:bCs/>
                <w:color w:val="FFFFFF"/>
                <w:sz w:val="16"/>
                <w:szCs w:val="16"/>
              </w:rPr>
              <w:t>Sep 29, 2019</w:t>
            </w:r>
          </w:p>
        </w:tc>
      </w:tr>
      <w:tr w:rsidR="00871BDF" w14:paraId="00BAF9E5" w14:textId="77777777">
        <w:tc>
          <w:tcPr>
            <w:tcW w:w="0" w:type="auto"/>
            <w:gridSpan w:val="3"/>
            <w:shd w:val="clear" w:color="auto" w:fill="D7E4BC"/>
            <w:tcMar>
              <w:top w:w="40" w:type="dxa"/>
              <w:left w:w="20" w:type="dxa"/>
              <w:bottom w:w="40" w:type="dxa"/>
              <w:right w:w="20" w:type="dxa"/>
            </w:tcMar>
          </w:tcPr>
          <w:p w14:paraId="00BAF9DD" w14:textId="77777777" w:rsidR="00871BDF" w:rsidRDefault="005C5088">
            <w:pPr>
              <w:textAlignment w:val="top"/>
            </w:pPr>
            <w:r>
              <w:rPr>
                <w:rFonts w:ascii="Times New Roman" w:eastAsia="宋体" w:hAnsi="Times New Roman"/>
                <w:color w:val="000000"/>
                <w:sz w:val="20"/>
                <w:szCs w:val="20"/>
              </w:rPr>
              <w:t>Trade names, trademarks and patents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9D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9DF" w14:textId="77777777" w:rsidR="00871BDF" w:rsidRDefault="005C5088">
            <w:pPr>
              <w:jc w:val="right"/>
              <w:textAlignment w:val="bottom"/>
            </w:pPr>
            <w:r>
              <w:rPr>
                <w:rFonts w:ascii="Times New Roman" w:eastAsia="宋体" w:hAnsi="Times New Roman"/>
                <w:color w:val="000000"/>
                <w:sz w:val="20"/>
                <w:szCs w:val="20"/>
              </w:rPr>
              <w:t>95.0 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9E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9E1"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9E2"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9E3" w14:textId="77777777" w:rsidR="00871BDF" w:rsidRDefault="005C5088">
            <w:pPr>
              <w:jc w:val="right"/>
              <w:textAlignment w:val="bottom"/>
            </w:pPr>
            <w:r>
              <w:rPr>
                <w:rFonts w:ascii="Times New Roman" w:eastAsia="宋体" w:hAnsi="Times New Roman"/>
                <w:color w:val="000000"/>
                <w:sz w:val="20"/>
                <w:szCs w:val="20"/>
              </w:rPr>
              <w:t>203.4 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9E4" w14:textId="77777777" w:rsidR="00871BDF" w:rsidRDefault="00871BDF">
            <w:pPr>
              <w:jc w:val="right"/>
              <w:rPr>
                <w:rFonts w:ascii="宋体"/>
              </w:rPr>
            </w:pPr>
          </w:p>
        </w:tc>
      </w:tr>
      <w:tr w:rsidR="00871BDF" w14:paraId="00BAF9EA" w14:textId="77777777">
        <w:trPr>
          <w:hidden/>
        </w:trPr>
        <w:tc>
          <w:tcPr>
            <w:tcW w:w="0" w:type="auto"/>
            <w:gridSpan w:val="3"/>
            <w:shd w:val="clear" w:color="auto" w:fill="auto"/>
          </w:tcPr>
          <w:p w14:paraId="00BAF9E6" w14:textId="77777777" w:rsidR="00871BDF" w:rsidRDefault="00871BDF">
            <w:pPr>
              <w:rPr>
                <w:rFonts w:ascii="宋体"/>
                <w:vanish/>
              </w:rPr>
            </w:pPr>
          </w:p>
        </w:tc>
        <w:tc>
          <w:tcPr>
            <w:tcW w:w="0" w:type="auto"/>
            <w:gridSpan w:val="3"/>
            <w:shd w:val="clear" w:color="auto" w:fill="auto"/>
          </w:tcPr>
          <w:p w14:paraId="00BAF9E7" w14:textId="77777777" w:rsidR="00871BDF" w:rsidRDefault="00871BDF">
            <w:pPr>
              <w:rPr>
                <w:rFonts w:ascii="宋体"/>
                <w:vanish/>
              </w:rPr>
            </w:pPr>
          </w:p>
        </w:tc>
        <w:tc>
          <w:tcPr>
            <w:tcW w:w="0" w:type="auto"/>
            <w:gridSpan w:val="3"/>
            <w:shd w:val="clear" w:color="auto" w:fill="auto"/>
          </w:tcPr>
          <w:p w14:paraId="00BAF9E8" w14:textId="77777777" w:rsidR="00871BDF" w:rsidRDefault="00871BDF">
            <w:pPr>
              <w:rPr>
                <w:rFonts w:ascii="宋体"/>
                <w:vanish/>
              </w:rPr>
            </w:pPr>
          </w:p>
        </w:tc>
        <w:tc>
          <w:tcPr>
            <w:tcW w:w="0" w:type="auto"/>
            <w:gridSpan w:val="3"/>
            <w:shd w:val="clear" w:color="auto" w:fill="auto"/>
          </w:tcPr>
          <w:p w14:paraId="00BAF9E9" w14:textId="77777777" w:rsidR="00871BDF" w:rsidRDefault="00871BDF">
            <w:pPr>
              <w:rPr>
                <w:rFonts w:ascii="宋体"/>
                <w:vanish/>
              </w:rPr>
            </w:pPr>
          </w:p>
        </w:tc>
      </w:tr>
      <w:tr w:rsidR="00871BDF" w14:paraId="00BAF9EF" w14:textId="77777777">
        <w:trPr>
          <w:hidden/>
        </w:trPr>
        <w:tc>
          <w:tcPr>
            <w:tcW w:w="0" w:type="auto"/>
            <w:gridSpan w:val="3"/>
            <w:shd w:val="clear" w:color="auto" w:fill="auto"/>
          </w:tcPr>
          <w:p w14:paraId="00BAF9EB" w14:textId="77777777" w:rsidR="00871BDF" w:rsidRDefault="00871BDF">
            <w:pPr>
              <w:rPr>
                <w:rFonts w:ascii="宋体"/>
                <w:vanish/>
              </w:rPr>
            </w:pPr>
          </w:p>
        </w:tc>
        <w:tc>
          <w:tcPr>
            <w:tcW w:w="0" w:type="auto"/>
            <w:gridSpan w:val="3"/>
            <w:shd w:val="clear" w:color="auto" w:fill="auto"/>
          </w:tcPr>
          <w:p w14:paraId="00BAF9EC" w14:textId="77777777" w:rsidR="00871BDF" w:rsidRDefault="00871BDF">
            <w:pPr>
              <w:rPr>
                <w:rFonts w:ascii="宋体"/>
                <w:vanish/>
              </w:rPr>
            </w:pPr>
          </w:p>
        </w:tc>
        <w:tc>
          <w:tcPr>
            <w:tcW w:w="0" w:type="auto"/>
            <w:gridSpan w:val="3"/>
            <w:shd w:val="clear" w:color="auto" w:fill="auto"/>
          </w:tcPr>
          <w:p w14:paraId="00BAF9ED" w14:textId="77777777" w:rsidR="00871BDF" w:rsidRDefault="00871BDF">
            <w:pPr>
              <w:rPr>
                <w:rFonts w:ascii="宋体"/>
                <w:vanish/>
              </w:rPr>
            </w:pPr>
          </w:p>
        </w:tc>
        <w:tc>
          <w:tcPr>
            <w:tcW w:w="0" w:type="auto"/>
            <w:gridSpan w:val="3"/>
            <w:shd w:val="clear" w:color="auto" w:fill="auto"/>
          </w:tcPr>
          <w:p w14:paraId="00BAF9EE" w14:textId="77777777" w:rsidR="00871BDF" w:rsidRDefault="00871BDF">
            <w:pPr>
              <w:rPr>
                <w:rFonts w:ascii="宋体"/>
                <w:vanish/>
              </w:rPr>
            </w:pPr>
          </w:p>
        </w:tc>
      </w:tr>
    </w:tbl>
    <w:p w14:paraId="00BAF9F0" w14:textId="77777777" w:rsidR="00871BDF" w:rsidRDefault="005C5088">
      <w:pPr>
        <w:spacing w:before="120"/>
      </w:pPr>
      <w:r>
        <w:rPr>
          <w:rFonts w:ascii="Times New Roman" w:eastAsia="宋体" w:hAnsi="Times New Roman"/>
          <w:color w:val="000000"/>
          <w:sz w:val="20"/>
          <w:szCs w:val="20"/>
        </w:rPr>
        <w:t xml:space="preserve">Additional disclosure regarding changes in our intangible assets due to acquisitions is included at </w:t>
      </w:r>
      <w:hyperlink r:id="rId212" w:anchor="i54ccc64cb5384be5a4849ef1cdef4dde_136" w:history="1">
        <w:r>
          <w:rPr>
            <w:rStyle w:val="a5"/>
            <w:rFonts w:ascii="Times New Roman" w:eastAsia="宋体" w:hAnsi="Times New Roman"/>
            <w:sz w:val="20"/>
            <w:szCs w:val="20"/>
          </w:rPr>
          <w:t>Note</w:t>
        </w:r>
        <w:r>
          <w:rPr>
            <w:rStyle w:val="a5"/>
            <w:rFonts w:ascii="Times New Roman" w:eastAsia="宋体" w:hAnsi="Times New Roman"/>
            <w:sz w:val="20"/>
            <w:szCs w:val="20"/>
          </w:rPr>
          <w:t xml:space="preserve"> 2</w:t>
        </w:r>
      </w:hyperlink>
      <w:r>
        <w:rPr>
          <w:rFonts w:ascii="Times New Roman" w:eastAsia="宋体" w:hAnsi="Times New Roman"/>
          <w:color w:val="000000"/>
          <w:sz w:val="20"/>
          <w:szCs w:val="20"/>
        </w:rPr>
        <w:t>, Acquisitions, Divestitures and Strategic Alliance.</w:t>
      </w:r>
    </w:p>
    <w:p w14:paraId="00BAF9F1" w14:textId="77777777" w:rsidR="00871BDF" w:rsidRDefault="005C5088">
      <w:pPr>
        <w:spacing w:before="120"/>
      </w:pPr>
      <w:r>
        <w:rPr>
          <w:rFonts w:ascii="Times New Roman" w:eastAsia="宋体" w:hAnsi="Times New Roman"/>
          <w:b/>
          <w:bCs/>
          <w:i/>
          <w:iCs/>
          <w:color w:val="000000"/>
          <w:sz w:val="20"/>
          <w:szCs w:val="20"/>
        </w:rPr>
        <w:t xml:space="preserve">Finite-Lived Intangible Assets </w:t>
      </w:r>
    </w:p>
    <w:tbl>
      <w:tblPr>
        <w:tblW w:w="4978" w:type="pct"/>
        <w:tblCellMar>
          <w:top w:w="15" w:type="dxa"/>
          <w:left w:w="15" w:type="dxa"/>
          <w:bottom w:w="15" w:type="dxa"/>
          <w:right w:w="15" w:type="dxa"/>
        </w:tblCellMar>
        <w:tblLook w:val="04A0" w:firstRow="1" w:lastRow="0" w:firstColumn="1" w:lastColumn="0" w:noHBand="0" w:noVBand="1"/>
      </w:tblPr>
      <w:tblGrid>
        <w:gridCol w:w="39"/>
        <w:gridCol w:w="2499"/>
        <w:gridCol w:w="38"/>
        <w:gridCol w:w="120"/>
        <w:gridCol w:w="677"/>
        <w:gridCol w:w="36"/>
        <w:gridCol w:w="36"/>
        <w:gridCol w:w="36"/>
        <w:gridCol w:w="36"/>
        <w:gridCol w:w="121"/>
        <w:gridCol w:w="856"/>
        <w:gridCol w:w="36"/>
        <w:gridCol w:w="36"/>
        <w:gridCol w:w="36"/>
        <w:gridCol w:w="36"/>
        <w:gridCol w:w="121"/>
        <w:gridCol w:w="602"/>
        <w:gridCol w:w="36"/>
        <w:gridCol w:w="36"/>
        <w:gridCol w:w="36"/>
        <w:gridCol w:w="36"/>
        <w:gridCol w:w="120"/>
        <w:gridCol w:w="650"/>
        <w:gridCol w:w="36"/>
        <w:gridCol w:w="36"/>
        <w:gridCol w:w="36"/>
        <w:gridCol w:w="36"/>
        <w:gridCol w:w="121"/>
        <w:gridCol w:w="856"/>
        <w:gridCol w:w="36"/>
        <w:gridCol w:w="36"/>
        <w:gridCol w:w="36"/>
        <w:gridCol w:w="36"/>
        <w:gridCol w:w="121"/>
        <w:gridCol w:w="602"/>
        <w:gridCol w:w="36"/>
      </w:tblGrid>
      <w:tr w:rsidR="00871BDF" w14:paraId="00BAFA16" w14:textId="77777777">
        <w:tc>
          <w:tcPr>
            <w:tcW w:w="50" w:type="pct"/>
            <w:shd w:val="clear" w:color="auto" w:fill="auto"/>
          </w:tcPr>
          <w:p w14:paraId="00BAF9F2" w14:textId="77777777" w:rsidR="00871BDF" w:rsidRDefault="00871BDF">
            <w:pPr>
              <w:rPr>
                <w:rFonts w:ascii="宋体"/>
              </w:rPr>
            </w:pPr>
          </w:p>
        </w:tc>
        <w:tc>
          <w:tcPr>
            <w:tcW w:w="1589" w:type="pct"/>
            <w:shd w:val="clear" w:color="auto" w:fill="auto"/>
          </w:tcPr>
          <w:p w14:paraId="00BAF9F3" w14:textId="77777777" w:rsidR="00871BDF" w:rsidRDefault="00871BDF">
            <w:pPr>
              <w:rPr>
                <w:rFonts w:ascii="宋体"/>
              </w:rPr>
            </w:pPr>
          </w:p>
        </w:tc>
        <w:tc>
          <w:tcPr>
            <w:tcW w:w="5" w:type="pct"/>
            <w:shd w:val="clear" w:color="auto" w:fill="auto"/>
          </w:tcPr>
          <w:p w14:paraId="00BAF9F4" w14:textId="77777777" w:rsidR="00871BDF" w:rsidRDefault="00871BDF">
            <w:pPr>
              <w:rPr>
                <w:rFonts w:ascii="宋体"/>
              </w:rPr>
            </w:pPr>
          </w:p>
        </w:tc>
        <w:tc>
          <w:tcPr>
            <w:tcW w:w="50" w:type="pct"/>
            <w:shd w:val="clear" w:color="auto" w:fill="auto"/>
          </w:tcPr>
          <w:p w14:paraId="00BAF9F5" w14:textId="77777777" w:rsidR="00871BDF" w:rsidRDefault="00871BDF">
            <w:pPr>
              <w:rPr>
                <w:rFonts w:ascii="宋体"/>
              </w:rPr>
            </w:pPr>
          </w:p>
        </w:tc>
        <w:tc>
          <w:tcPr>
            <w:tcW w:w="473" w:type="pct"/>
            <w:shd w:val="clear" w:color="auto" w:fill="auto"/>
          </w:tcPr>
          <w:p w14:paraId="00BAF9F6" w14:textId="77777777" w:rsidR="00871BDF" w:rsidRDefault="00871BDF">
            <w:pPr>
              <w:rPr>
                <w:rFonts w:ascii="宋体"/>
              </w:rPr>
            </w:pPr>
          </w:p>
        </w:tc>
        <w:tc>
          <w:tcPr>
            <w:tcW w:w="5" w:type="pct"/>
            <w:shd w:val="clear" w:color="auto" w:fill="auto"/>
          </w:tcPr>
          <w:p w14:paraId="00BAF9F7" w14:textId="77777777" w:rsidR="00871BDF" w:rsidRDefault="00871BDF">
            <w:pPr>
              <w:rPr>
                <w:rFonts w:ascii="宋体"/>
              </w:rPr>
            </w:pPr>
          </w:p>
        </w:tc>
        <w:tc>
          <w:tcPr>
            <w:tcW w:w="5" w:type="pct"/>
            <w:shd w:val="clear" w:color="auto" w:fill="auto"/>
          </w:tcPr>
          <w:p w14:paraId="00BAF9F8" w14:textId="77777777" w:rsidR="00871BDF" w:rsidRDefault="00871BDF">
            <w:pPr>
              <w:rPr>
                <w:rFonts w:ascii="宋体"/>
              </w:rPr>
            </w:pPr>
          </w:p>
        </w:tc>
        <w:tc>
          <w:tcPr>
            <w:tcW w:w="26" w:type="pct"/>
            <w:shd w:val="clear" w:color="auto" w:fill="auto"/>
          </w:tcPr>
          <w:p w14:paraId="00BAF9F9" w14:textId="77777777" w:rsidR="00871BDF" w:rsidRDefault="00871BDF">
            <w:pPr>
              <w:rPr>
                <w:rFonts w:ascii="宋体"/>
              </w:rPr>
            </w:pPr>
          </w:p>
        </w:tc>
        <w:tc>
          <w:tcPr>
            <w:tcW w:w="5" w:type="pct"/>
            <w:shd w:val="clear" w:color="auto" w:fill="auto"/>
          </w:tcPr>
          <w:p w14:paraId="00BAF9FA" w14:textId="77777777" w:rsidR="00871BDF" w:rsidRDefault="00871BDF">
            <w:pPr>
              <w:rPr>
                <w:rFonts w:ascii="宋体"/>
              </w:rPr>
            </w:pPr>
          </w:p>
        </w:tc>
        <w:tc>
          <w:tcPr>
            <w:tcW w:w="50" w:type="pct"/>
            <w:shd w:val="clear" w:color="auto" w:fill="auto"/>
          </w:tcPr>
          <w:p w14:paraId="00BAF9FB" w14:textId="77777777" w:rsidR="00871BDF" w:rsidRDefault="00871BDF">
            <w:pPr>
              <w:rPr>
                <w:rFonts w:ascii="宋体"/>
              </w:rPr>
            </w:pPr>
          </w:p>
        </w:tc>
        <w:tc>
          <w:tcPr>
            <w:tcW w:w="473" w:type="pct"/>
            <w:shd w:val="clear" w:color="auto" w:fill="auto"/>
          </w:tcPr>
          <w:p w14:paraId="00BAF9FC" w14:textId="77777777" w:rsidR="00871BDF" w:rsidRDefault="00871BDF">
            <w:pPr>
              <w:rPr>
                <w:rFonts w:ascii="宋体"/>
              </w:rPr>
            </w:pPr>
          </w:p>
        </w:tc>
        <w:tc>
          <w:tcPr>
            <w:tcW w:w="5" w:type="pct"/>
            <w:shd w:val="clear" w:color="auto" w:fill="auto"/>
          </w:tcPr>
          <w:p w14:paraId="00BAF9FD" w14:textId="77777777" w:rsidR="00871BDF" w:rsidRDefault="00871BDF">
            <w:pPr>
              <w:rPr>
                <w:rFonts w:ascii="宋体"/>
              </w:rPr>
            </w:pPr>
          </w:p>
        </w:tc>
        <w:tc>
          <w:tcPr>
            <w:tcW w:w="5" w:type="pct"/>
            <w:shd w:val="clear" w:color="auto" w:fill="auto"/>
          </w:tcPr>
          <w:p w14:paraId="00BAF9FE" w14:textId="77777777" w:rsidR="00871BDF" w:rsidRDefault="00871BDF">
            <w:pPr>
              <w:rPr>
                <w:rFonts w:ascii="宋体"/>
              </w:rPr>
            </w:pPr>
          </w:p>
        </w:tc>
        <w:tc>
          <w:tcPr>
            <w:tcW w:w="26" w:type="pct"/>
            <w:shd w:val="clear" w:color="auto" w:fill="auto"/>
          </w:tcPr>
          <w:p w14:paraId="00BAF9FF" w14:textId="77777777" w:rsidR="00871BDF" w:rsidRDefault="00871BDF">
            <w:pPr>
              <w:rPr>
                <w:rFonts w:ascii="宋体"/>
              </w:rPr>
            </w:pPr>
          </w:p>
        </w:tc>
        <w:tc>
          <w:tcPr>
            <w:tcW w:w="5" w:type="pct"/>
            <w:shd w:val="clear" w:color="auto" w:fill="auto"/>
          </w:tcPr>
          <w:p w14:paraId="00BAFA00" w14:textId="77777777" w:rsidR="00871BDF" w:rsidRDefault="00871BDF">
            <w:pPr>
              <w:rPr>
                <w:rFonts w:ascii="宋体"/>
              </w:rPr>
            </w:pPr>
          </w:p>
        </w:tc>
        <w:tc>
          <w:tcPr>
            <w:tcW w:w="50" w:type="pct"/>
            <w:shd w:val="clear" w:color="auto" w:fill="auto"/>
          </w:tcPr>
          <w:p w14:paraId="00BAFA01" w14:textId="77777777" w:rsidR="00871BDF" w:rsidRDefault="00871BDF">
            <w:pPr>
              <w:rPr>
                <w:rFonts w:ascii="宋体"/>
              </w:rPr>
            </w:pPr>
          </w:p>
        </w:tc>
        <w:tc>
          <w:tcPr>
            <w:tcW w:w="473" w:type="pct"/>
            <w:shd w:val="clear" w:color="auto" w:fill="auto"/>
          </w:tcPr>
          <w:p w14:paraId="00BAFA02" w14:textId="77777777" w:rsidR="00871BDF" w:rsidRDefault="00871BDF">
            <w:pPr>
              <w:rPr>
                <w:rFonts w:ascii="宋体"/>
              </w:rPr>
            </w:pPr>
          </w:p>
        </w:tc>
        <w:tc>
          <w:tcPr>
            <w:tcW w:w="5" w:type="pct"/>
            <w:shd w:val="clear" w:color="auto" w:fill="auto"/>
          </w:tcPr>
          <w:p w14:paraId="00BAFA03" w14:textId="77777777" w:rsidR="00871BDF" w:rsidRDefault="00871BDF">
            <w:pPr>
              <w:rPr>
                <w:rFonts w:ascii="宋体"/>
              </w:rPr>
            </w:pPr>
          </w:p>
        </w:tc>
        <w:tc>
          <w:tcPr>
            <w:tcW w:w="5" w:type="pct"/>
            <w:shd w:val="clear" w:color="auto" w:fill="auto"/>
          </w:tcPr>
          <w:p w14:paraId="00BAFA04" w14:textId="77777777" w:rsidR="00871BDF" w:rsidRDefault="00871BDF">
            <w:pPr>
              <w:rPr>
                <w:rFonts w:ascii="宋体"/>
              </w:rPr>
            </w:pPr>
          </w:p>
        </w:tc>
        <w:tc>
          <w:tcPr>
            <w:tcW w:w="26" w:type="pct"/>
            <w:shd w:val="clear" w:color="auto" w:fill="auto"/>
          </w:tcPr>
          <w:p w14:paraId="00BAFA05" w14:textId="77777777" w:rsidR="00871BDF" w:rsidRDefault="00871BDF">
            <w:pPr>
              <w:rPr>
                <w:rFonts w:ascii="宋体"/>
              </w:rPr>
            </w:pPr>
          </w:p>
        </w:tc>
        <w:tc>
          <w:tcPr>
            <w:tcW w:w="5" w:type="pct"/>
            <w:shd w:val="clear" w:color="auto" w:fill="auto"/>
          </w:tcPr>
          <w:p w14:paraId="00BAFA06" w14:textId="77777777" w:rsidR="00871BDF" w:rsidRDefault="00871BDF">
            <w:pPr>
              <w:rPr>
                <w:rFonts w:ascii="宋体"/>
              </w:rPr>
            </w:pPr>
          </w:p>
        </w:tc>
        <w:tc>
          <w:tcPr>
            <w:tcW w:w="50" w:type="pct"/>
            <w:shd w:val="clear" w:color="auto" w:fill="auto"/>
          </w:tcPr>
          <w:p w14:paraId="00BAFA07" w14:textId="77777777" w:rsidR="00871BDF" w:rsidRDefault="00871BDF">
            <w:pPr>
              <w:rPr>
                <w:rFonts w:ascii="宋体"/>
              </w:rPr>
            </w:pPr>
          </w:p>
        </w:tc>
        <w:tc>
          <w:tcPr>
            <w:tcW w:w="473" w:type="pct"/>
            <w:shd w:val="clear" w:color="auto" w:fill="auto"/>
          </w:tcPr>
          <w:p w14:paraId="00BAFA08" w14:textId="77777777" w:rsidR="00871BDF" w:rsidRDefault="00871BDF">
            <w:pPr>
              <w:rPr>
                <w:rFonts w:ascii="宋体"/>
              </w:rPr>
            </w:pPr>
          </w:p>
        </w:tc>
        <w:tc>
          <w:tcPr>
            <w:tcW w:w="5" w:type="pct"/>
            <w:shd w:val="clear" w:color="auto" w:fill="auto"/>
          </w:tcPr>
          <w:p w14:paraId="00BAFA09" w14:textId="77777777" w:rsidR="00871BDF" w:rsidRDefault="00871BDF">
            <w:pPr>
              <w:rPr>
                <w:rFonts w:ascii="宋体"/>
              </w:rPr>
            </w:pPr>
          </w:p>
        </w:tc>
        <w:tc>
          <w:tcPr>
            <w:tcW w:w="5" w:type="pct"/>
            <w:shd w:val="clear" w:color="auto" w:fill="auto"/>
          </w:tcPr>
          <w:p w14:paraId="00BAFA0A" w14:textId="77777777" w:rsidR="00871BDF" w:rsidRDefault="00871BDF">
            <w:pPr>
              <w:rPr>
                <w:rFonts w:ascii="宋体"/>
              </w:rPr>
            </w:pPr>
          </w:p>
        </w:tc>
        <w:tc>
          <w:tcPr>
            <w:tcW w:w="26" w:type="pct"/>
            <w:shd w:val="clear" w:color="auto" w:fill="auto"/>
          </w:tcPr>
          <w:p w14:paraId="00BAFA0B" w14:textId="77777777" w:rsidR="00871BDF" w:rsidRDefault="00871BDF">
            <w:pPr>
              <w:rPr>
                <w:rFonts w:ascii="宋体"/>
              </w:rPr>
            </w:pPr>
          </w:p>
        </w:tc>
        <w:tc>
          <w:tcPr>
            <w:tcW w:w="5" w:type="pct"/>
            <w:shd w:val="clear" w:color="auto" w:fill="auto"/>
          </w:tcPr>
          <w:p w14:paraId="00BAFA0C" w14:textId="77777777" w:rsidR="00871BDF" w:rsidRDefault="00871BDF">
            <w:pPr>
              <w:rPr>
                <w:rFonts w:ascii="宋体"/>
              </w:rPr>
            </w:pPr>
          </w:p>
        </w:tc>
        <w:tc>
          <w:tcPr>
            <w:tcW w:w="50" w:type="pct"/>
            <w:shd w:val="clear" w:color="auto" w:fill="auto"/>
          </w:tcPr>
          <w:p w14:paraId="00BAFA0D" w14:textId="77777777" w:rsidR="00871BDF" w:rsidRDefault="00871BDF">
            <w:pPr>
              <w:rPr>
                <w:rFonts w:ascii="宋体"/>
              </w:rPr>
            </w:pPr>
          </w:p>
        </w:tc>
        <w:tc>
          <w:tcPr>
            <w:tcW w:w="473" w:type="pct"/>
            <w:shd w:val="clear" w:color="auto" w:fill="auto"/>
          </w:tcPr>
          <w:p w14:paraId="00BAFA0E" w14:textId="77777777" w:rsidR="00871BDF" w:rsidRDefault="00871BDF">
            <w:pPr>
              <w:rPr>
                <w:rFonts w:ascii="宋体"/>
              </w:rPr>
            </w:pPr>
          </w:p>
        </w:tc>
        <w:tc>
          <w:tcPr>
            <w:tcW w:w="5" w:type="pct"/>
            <w:shd w:val="clear" w:color="auto" w:fill="auto"/>
          </w:tcPr>
          <w:p w14:paraId="00BAFA0F" w14:textId="77777777" w:rsidR="00871BDF" w:rsidRDefault="00871BDF">
            <w:pPr>
              <w:rPr>
                <w:rFonts w:ascii="宋体"/>
              </w:rPr>
            </w:pPr>
          </w:p>
        </w:tc>
        <w:tc>
          <w:tcPr>
            <w:tcW w:w="5" w:type="pct"/>
            <w:shd w:val="clear" w:color="auto" w:fill="auto"/>
          </w:tcPr>
          <w:p w14:paraId="00BAFA10" w14:textId="77777777" w:rsidR="00871BDF" w:rsidRDefault="00871BDF">
            <w:pPr>
              <w:rPr>
                <w:rFonts w:ascii="宋体"/>
              </w:rPr>
            </w:pPr>
          </w:p>
        </w:tc>
        <w:tc>
          <w:tcPr>
            <w:tcW w:w="26" w:type="pct"/>
            <w:shd w:val="clear" w:color="auto" w:fill="auto"/>
          </w:tcPr>
          <w:p w14:paraId="00BAFA11" w14:textId="77777777" w:rsidR="00871BDF" w:rsidRDefault="00871BDF">
            <w:pPr>
              <w:rPr>
                <w:rFonts w:ascii="宋体"/>
              </w:rPr>
            </w:pPr>
          </w:p>
        </w:tc>
        <w:tc>
          <w:tcPr>
            <w:tcW w:w="5" w:type="pct"/>
            <w:shd w:val="clear" w:color="auto" w:fill="auto"/>
          </w:tcPr>
          <w:p w14:paraId="00BAFA12" w14:textId="77777777" w:rsidR="00871BDF" w:rsidRDefault="00871BDF">
            <w:pPr>
              <w:rPr>
                <w:rFonts w:ascii="宋体"/>
              </w:rPr>
            </w:pPr>
          </w:p>
        </w:tc>
        <w:tc>
          <w:tcPr>
            <w:tcW w:w="50" w:type="pct"/>
            <w:shd w:val="clear" w:color="auto" w:fill="auto"/>
          </w:tcPr>
          <w:p w14:paraId="00BAFA13" w14:textId="77777777" w:rsidR="00871BDF" w:rsidRDefault="00871BDF">
            <w:pPr>
              <w:rPr>
                <w:rFonts w:ascii="宋体"/>
              </w:rPr>
            </w:pPr>
          </w:p>
        </w:tc>
        <w:tc>
          <w:tcPr>
            <w:tcW w:w="473" w:type="pct"/>
            <w:shd w:val="clear" w:color="auto" w:fill="auto"/>
          </w:tcPr>
          <w:p w14:paraId="00BAFA14" w14:textId="77777777" w:rsidR="00871BDF" w:rsidRDefault="00871BDF">
            <w:pPr>
              <w:rPr>
                <w:rFonts w:ascii="宋体"/>
              </w:rPr>
            </w:pPr>
          </w:p>
        </w:tc>
        <w:tc>
          <w:tcPr>
            <w:tcW w:w="5" w:type="pct"/>
            <w:shd w:val="clear" w:color="auto" w:fill="auto"/>
          </w:tcPr>
          <w:p w14:paraId="00BAFA15" w14:textId="77777777" w:rsidR="00871BDF" w:rsidRDefault="00871BDF">
            <w:pPr>
              <w:rPr>
                <w:rFonts w:ascii="宋体"/>
              </w:rPr>
            </w:pPr>
          </w:p>
        </w:tc>
      </w:tr>
      <w:tr w:rsidR="00871BDF" w14:paraId="00BAFA1B" w14:textId="77777777">
        <w:tc>
          <w:tcPr>
            <w:tcW w:w="0" w:type="auto"/>
            <w:gridSpan w:val="3"/>
            <w:shd w:val="clear" w:color="auto" w:fill="auto"/>
            <w:tcMar>
              <w:top w:w="0" w:type="dxa"/>
              <w:left w:w="20" w:type="dxa"/>
              <w:bottom w:w="0" w:type="dxa"/>
              <w:right w:w="20" w:type="dxa"/>
            </w:tcMar>
          </w:tcPr>
          <w:p w14:paraId="00BAFA17" w14:textId="77777777" w:rsidR="00871BDF" w:rsidRDefault="00871BDF">
            <w:pPr>
              <w:rPr>
                <w:rFonts w:ascii="宋体"/>
              </w:rPr>
            </w:pPr>
          </w:p>
        </w:tc>
        <w:tc>
          <w:tcPr>
            <w:tcW w:w="0" w:type="auto"/>
            <w:gridSpan w:val="15"/>
            <w:shd w:val="clear" w:color="auto" w:fill="00704A"/>
            <w:tcMar>
              <w:top w:w="40" w:type="dxa"/>
              <w:left w:w="20" w:type="dxa"/>
              <w:bottom w:w="40" w:type="dxa"/>
              <w:right w:w="20" w:type="dxa"/>
            </w:tcMar>
            <w:vAlign w:val="bottom"/>
          </w:tcPr>
          <w:p w14:paraId="00BAFA18"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AFA19" w14:textId="77777777" w:rsidR="00871BDF" w:rsidRDefault="00871BDF">
            <w:pPr>
              <w:rPr>
                <w:rFonts w:ascii="宋体"/>
              </w:rPr>
            </w:pPr>
          </w:p>
        </w:tc>
        <w:tc>
          <w:tcPr>
            <w:tcW w:w="0" w:type="auto"/>
            <w:gridSpan w:val="15"/>
            <w:shd w:val="clear" w:color="auto" w:fill="00704A"/>
            <w:tcMar>
              <w:top w:w="40" w:type="dxa"/>
              <w:left w:w="20" w:type="dxa"/>
              <w:bottom w:w="40" w:type="dxa"/>
              <w:right w:w="20" w:type="dxa"/>
            </w:tcMar>
            <w:vAlign w:val="bottom"/>
          </w:tcPr>
          <w:p w14:paraId="00BAFA1A" w14:textId="77777777" w:rsidR="00871BDF" w:rsidRDefault="005C5088">
            <w:pPr>
              <w:jc w:val="center"/>
              <w:textAlignment w:val="bottom"/>
            </w:pPr>
            <w:r>
              <w:rPr>
                <w:rFonts w:ascii="Times New Roman" w:eastAsia="宋体" w:hAnsi="Times New Roman"/>
                <w:b/>
                <w:bCs/>
                <w:color w:val="FFFFFF"/>
                <w:sz w:val="16"/>
                <w:szCs w:val="16"/>
              </w:rPr>
              <w:t>Sep 29, 2019</w:t>
            </w:r>
          </w:p>
        </w:tc>
      </w:tr>
      <w:tr w:rsidR="00871BDF" w14:paraId="00BAFA28" w14:textId="77777777">
        <w:tc>
          <w:tcPr>
            <w:tcW w:w="0" w:type="auto"/>
            <w:gridSpan w:val="3"/>
            <w:shd w:val="clear" w:color="auto" w:fill="auto"/>
            <w:tcMar>
              <w:top w:w="40" w:type="dxa"/>
              <w:left w:w="20" w:type="dxa"/>
              <w:bottom w:w="40" w:type="dxa"/>
              <w:right w:w="20" w:type="dxa"/>
            </w:tcMar>
            <w:vAlign w:val="bottom"/>
          </w:tcPr>
          <w:p w14:paraId="00BAFA1C" w14:textId="77777777" w:rsidR="00871BDF" w:rsidRDefault="005C5088">
            <w:pPr>
              <w:textAlignment w:val="bottom"/>
            </w:pPr>
            <w:r>
              <w:rPr>
                <w:rFonts w:ascii="Times New Roman" w:eastAsia="宋体" w:hAnsi="Times New Roman"/>
                <w:i/>
                <w:iCs/>
                <w:color w:val="000000"/>
                <w:sz w:val="20"/>
                <w:szCs w:val="20"/>
              </w:rPr>
              <w:t>(in millions)</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A1D" w14:textId="77777777" w:rsidR="00871BDF" w:rsidRDefault="005C5088">
            <w:pPr>
              <w:jc w:val="center"/>
              <w:textAlignment w:val="bottom"/>
            </w:pPr>
            <w:r>
              <w:rPr>
                <w:rFonts w:ascii="Times New Roman" w:eastAsia="宋体" w:hAnsi="Times New Roman"/>
                <w:b/>
                <w:bCs/>
                <w:color w:val="FFFFFF"/>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tcPr>
          <w:p w14:paraId="00BAFA1E"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A1F" w14:textId="77777777" w:rsidR="00871BDF" w:rsidRDefault="005C5088">
            <w:pPr>
              <w:jc w:val="center"/>
              <w:textAlignment w:val="bottom"/>
            </w:pPr>
            <w:r>
              <w:rPr>
                <w:rFonts w:ascii="Times New Roman" w:eastAsia="宋体" w:hAnsi="Times New Roman"/>
                <w:b/>
                <w:bCs/>
                <w:color w:val="FFFFFF"/>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tcPr>
          <w:p w14:paraId="00BAFA20"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A21" w14:textId="77777777" w:rsidR="00871BDF" w:rsidRDefault="005C5088">
            <w:pPr>
              <w:jc w:val="center"/>
              <w:textAlignment w:val="bottom"/>
            </w:pPr>
            <w:r>
              <w:rPr>
                <w:rFonts w:ascii="Times New Roman" w:eastAsia="宋体" w:hAnsi="Times New Roman"/>
                <w:b/>
                <w:bCs/>
                <w:color w:val="FFFFFF"/>
                <w:sz w:val="16"/>
                <w:szCs w:val="16"/>
              </w:rPr>
              <w:t xml:space="preserve">Net Carrying </w:t>
            </w: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tcPr>
          <w:p w14:paraId="00BAFA22"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A23" w14:textId="77777777" w:rsidR="00871BDF" w:rsidRDefault="005C5088">
            <w:pPr>
              <w:jc w:val="center"/>
              <w:textAlignment w:val="bottom"/>
            </w:pPr>
            <w:r>
              <w:rPr>
                <w:rFonts w:ascii="Times New Roman" w:eastAsia="宋体" w:hAnsi="Times New Roman"/>
                <w:b/>
                <w:bCs/>
                <w:color w:val="FFFFFF"/>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tcPr>
          <w:p w14:paraId="00BAFA24"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A25" w14:textId="77777777" w:rsidR="00871BDF" w:rsidRDefault="005C5088">
            <w:pPr>
              <w:jc w:val="center"/>
              <w:textAlignment w:val="bottom"/>
            </w:pPr>
            <w:r>
              <w:rPr>
                <w:rFonts w:ascii="Times New Roman" w:eastAsia="宋体" w:hAnsi="Times New Roman"/>
                <w:b/>
                <w:bCs/>
                <w:color w:val="FFFFFF"/>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tcPr>
          <w:p w14:paraId="00BAFA26"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A27" w14:textId="77777777" w:rsidR="00871BDF" w:rsidRDefault="005C5088">
            <w:pPr>
              <w:jc w:val="center"/>
              <w:textAlignment w:val="bottom"/>
            </w:pPr>
            <w:r>
              <w:rPr>
                <w:rFonts w:ascii="Times New Roman" w:eastAsia="宋体" w:hAnsi="Times New Roman"/>
                <w:b/>
                <w:bCs/>
                <w:color w:val="FFFFFF"/>
                <w:sz w:val="16"/>
                <w:szCs w:val="16"/>
              </w:rPr>
              <w:t>Net Carrying Amount</w:t>
            </w:r>
          </w:p>
        </w:tc>
      </w:tr>
      <w:tr w:rsidR="00871BDF" w14:paraId="00BAFA41" w14:textId="77777777">
        <w:tc>
          <w:tcPr>
            <w:tcW w:w="0" w:type="auto"/>
            <w:gridSpan w:val="3"/>
            <w:shd w:val="clear" w:color="auto" w:fill="D7E4BC"/>
            <w:tcMar>
              <w:top w:w="40" w:type="dxa"/>
              <w:left w:w="20" w:type="dxa"/>
              <w:bottom w:w="40" w:type="dxa"/>
              <w:right w:w="20" w:type="dxa"/>
            </w:tcMar>
            <w:vAlign w:val="bottom"/>
          </w:tcPr>
          <w:p w14:paraId="00BAFA29" w14:textId="77777777" w:rsidR="00871BDF" w:rsidRDefault="005C5088">
            <w:pPr>
              <w:textAlignment w:val="bottom"/>
            </w:pPr>
            <w:r>
              <w:rPr>
                <w:rFonts w:ascii="Times New Roman" w:eastAsia="宋体" w:hAnsi="Times New Roman"/>
                <w:color w:val="000000"/>
                <w:sz w:val="20"/>
                <w:szCs w:val="20"/>
              </w:rPr>
              <w:t>Acquired and reacquired rights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A2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A2B" w14:textId="77777777" w:rsidR="00871BDF" w:rsidRDefault="005C5088">
            <w:pPr>
              <w:jc w:val="right"/>
              <w:textAlignment w:val="bottom"/>
            </w:pPr>
            <w:r>
              <w:rPr>
                <w:rFonts w:ascii="Times New Roman" w:eastAsia="宋体" w:hAnsi="Times New Roman"/>
                <w:color w:val="000000"/>
                <w:sz w:val="20"/>
                <w:szCs w:val="20"/>
              </w:rPr>
              <w:t>1,116.1 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A2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2D"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A2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A2F" w14:textId="77777777" w:rsidR="00871BDF" w:rsidRDefault="005C5088">
            <w:pPr>
              <w:jc w:val="right"/>
              <w:textAlignment w:val="bottom"/>
            </w:pPr>
            <w:r>
              <w:rPr>
                <w:rFonts w:ascii="Times New Roman" w:eastAsia="宋体" w:hAnsi="Times New Roman"/>
                <w:color w:val="000000"/>
                <w:sz w:val="20"/>
                <w:szCs w:val="20"/>
              </w:rPr>
              <w:t>(765.0)</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A3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31"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A32"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A33" w14:textId="77777777" w:rsidR="00871BDF" w:rsidRDefault="005C5088">
            <w:pPr>
              <w:jc w:val="right"/>
              <w:textAlignment w:val="bottom"/>
            </w:pPr>
            <w:r>
              <w:rPr>
                <w:rFonts w:ascii="Times New Roman" w:eastAsia="宋体" w:hAnsi="Times New Roman"/>
                <w:color w:val="000000"/>
                <w:sz w:val="20"/>
                <w:szCs w:val="20"/>
              </w:rPr>
              <w:t>351.1 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A3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35"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A3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A37" w14:textId="77777777" w:rsidR="00871BDF" w:rsidRDefault="005C5088">
            <w:pPr>
              <w:jc w:val="right"/>
              <w:textAlignment w:val="bottom"/>
            </w:pPr>
            <w:r>
              <w:rPr>
                <w:rFonts w:ascii="Times New Roman" w:eastAsia="宋体" w:hAnsi="Times New Roman"/>
                <w:color w:val="000000"/>
                <w:sz w:val="20"/>
                <w:szCs w:val="20"/>
              </w:rPr>
              <w:t>1,075.0 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A3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39"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A3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A3B" w14:textId="77777777" w:rsidR="00871BDF" w:rsidRDefault="005C5088">
            <w:pPr>
              <w:jc w:val="right"/>
              <w:textAlignment w:val="bottom"/>
            </w:pPr>
            <w:r>
              <w:rPr>
                <w:rFonts w:ascii="Times New Roman" w:eastAsia="宋体" w:hAnsi="Times New Roman"/>
                <w:color w:val="000000"/>
                <w:sz w:val="20"/>
                <w:szCs w:val="20"/>
              </w:rPr>
              <w:t>(537.2)</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A3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3D"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A3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A3F" w14:textId="77777777" w:rsidR="00871BDF" w:rsidRDefault="005C5088">
            <w:pPr>
              <w:jc w:val="right"/>
              <w:textAlignment w:val="bottom"/>
            </w:pPr>
            <w:r>
              <w:rPr>
                <w:rFonts w:ascii="Times New Roman" w:eastAsia="宋体" w:hAnsi="Times New Roman"/>
                <w:color w:val="000000"/>
                <w:sz w:val="20"/>
                <w:szCs w:val="20"/>
              </w:rPr>
              <w:t>537.8 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A40" w14:textId="77777777" w:rsidR="00871BDF" w:rsidRDefault="00871BDF">
            <w:pPr>
              <w:jc w:val="right"/>
              <w:rPr>
                <w:rFonts w:ascii="宋体"/>
              </w:rPr>
            </w:pPr>
          </w:p>
        </w:tc>
      </w:tr>
      <w:tr w:rsidR="00871BDF" w14:paraId="00BAFA54" w14:textId="77777777">
        <w:tc>
          <w:tcPr>
            <w:tcW w:w="0" w:type="auto"/>
            <w:gridSpan w:val="3"/>
            <w:shd w:val="clear" w:color="auto" w:fill="FFFFFF"/>
            <w:tcMar>
              <w:top w:w="40" w:type="dxa"/>
              <w:left w:w="20" w:type="dxa"/>
              <w:bottom w:w="40" w:type="dxa"/>
              <w:right w:w="20" w:type="dxa"/>
            </w:tcMar>
            <w:vAlign w:val="bottom"/>
          </w:tcPr>
          <w:p w14:paraId="00BAFA42" w14:textId="77777777" w:rsidR="00871BDF" w:rsidRDefault="005C5088">
            <w:pPr>
              <w:textAlignment w:val="bottom"/>
            </w:pPr>
            <w:r>
              <w:rPr>
                <w:rFonts w:ascii="Times New Roman" w:eastAsia="宋体" w:hAnsi="Times New Roman"/>
                <w:color w:val="000000"/>
                <w:sz w:val="20"/>
                <w:szCs w:val="20"/>
              </w:rPr>
              <w:t>Acquired trade secrets and processes</w:t>
            </w:r>
          </w:p>
        </w:tc>
        <w:tc>
          <w:tcPr>
            <w:tcW w:w="0" w:type="auto"/>
            <w:gridSpan w:val="2"/>
            <w:shd w:val="clear" w:color="auto" w:fill="FFFFFF"/>
            <w:tcMar>
              <w:top w:w="40" w:type="dxa"/>
              <w:left w:w="20" w:type="dxa"/>
              <w:bottom w:w="40" w:type="dxa"/>
              <w:right w:w="0" w:type="dxa"/>
            </w:tcMar>
            <w:vAlign w:val="bottom"/>
          </w:tcPr>
          <w:p w14:paraId="00BAFA43" w14:textId="77777777" w:rsidR="00871BDF" w:rsidRDefault="005C5088">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00BAFA4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4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A46" w14:textId="77777777" w:rsidR="00871BDF" w:rsidRDefault="005C5088">
            <w:pPr>
              <w:jc w:val="right"/>
              <w:textAlignment w:val="bottom"/>
            </w:pPr>
            <w:r>
              <w:rPr>
                <w:rFonts w:ascii="Times New Roman" w:eastAsia="宋体" w:hAnsi="Times New Roman"/>
                <w:color w:val="000000"/>
                <w:sz w:val="20"/>
                <w:szCs w:val="20"/>
              </w:rPr>
              <w:t>(22.0)</w:t>
            </w:r>
          </w:p>
        </w:tc>
        <w:tc>
          <w:tcPr>
            <w:tcW w:w="0" w:type="auto"/>
            <w:shd w:val="clear" w:color="auto" w:fill="FFFFFF"/>
            <w:tcMar>
              <w:top w:w="40" w:type="dxa"/>
              <w:left w:w="0" w:type="dxa"/>
              <w:bottom w:w="40" w:type="dxa"/>
              <w:right w:w="20" w:type="dxa"/>
            </w:tcMar>
            <w:vAlign w:val="bottom"/>
          </w:tcPr>
          <w:p w14:paraId="00BAFA4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4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A49" w14:textId="77777777" w:rsidR="00871BDF" w:rsidRDefault="005C5088">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00BAFA4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4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A4C" w14:textId="77777777" w:rsidR="00871BDF" w:rsidRDefault="005C5088">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00BAFA4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4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A4F" w14:textId="77777777" w:rsidR="00871BDF" w:rsidRDefault="005C5088">
            <w:pPr>
              <w:jc w:val="right"/>
              <w:textAlignment w:val="bottom"/>
            </w:pPr>
            <w:r>
              <w:rPr>
                <w:rFonts w:ascii="Times New Roman" w:eastAsia="宋体" w:hAnsi="Times New Roman"/>
                <w:color w:val="000000"/>
                <w:sz w:val="20"/>
                <w:szCs w:val="20"/>
              </w:rPr>
              <w:t>(19.2)</w:t>
            </w:r>
          </w:p>
        </w:tc>
        <w:tc>
          <w:tcPr>
            <w:tcW w:w="0" w:type="auto"/>
            <w:shd w:val="clear" w:color="auto" w:fill="FFFFFF"/>
            <w:tcMar>
              <w:top w:w="40" w:type="dxa"/>
              <w:left w:w="0" w:type="dxa"/>
              <w:bottom w:w="40" w:type="dxa"/>
              <w:right w:w="20" w:type="dxa"/>
            </w:tcMar>
            <w:vAlign w:val="bottom"/>
          </w:tcPr>
          <w:p w14:paraId="00BAFA5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5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A52" w14:textId="77777777" w:rsidR="00871BDF" w:rsidRDefault="005C5088">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bottom"/>
          </w:tcPr>
          <w:p w14:paraId="00BAFA53" w14:textId="77777777" w:rsidR="00871BDF" w:rsidRDefault="00871BDF">
            <w:pPr>
              <w:jc w:val="right"/>
              <w:rPr>
                <w:rFonts w:ascii="宋体"/>
              </w:rPr>
            </w:pPr>
          </w:p>
        </w:tc>
      </w:tr>
      <w:tr w:rsidR="00871BDF" w14:paraId="00BAFA67" w14:textId="77777777">
        <w:tc>
          <w:tcPr>
            <w:tcW w:w="0" w:type="auto"/>
            <w:gridSpan w:val="3"/>
            <w:shd w:val="clear" w:color="auto" w:fill="D7E4BC"/>
            <w:tcMar>
              <w:top w:w="40" w:type="dxa"/>
              <w:left w:w="20" w:type="dxa"/>
              <w:bottom w:w="40" w:type="dxa"/>
              <w:right w:w="20" w:type="dxa"/>
            </w:tcMar>
            <w:vAlign w:val="bottom"/>
          </w:tcPr>
          <w:p w14:paraId="00BAFA55" w14:textId="77777777" w:rsidR="00871BDF" w:rsidRDefault="005C5088">
            <w:pPr>
              <w:textAlignment w:val="bottom"/>
            </w:pPr>
            <w:r>
              <w:rPr>
                <w:rFonts w:ascii="Times New Roman" w:eastAsia="宋体" w:hAnsi="Times New Roman"/>
                <w:color w:val="000000"/>
                <w:sz w:val="20"/>
                <w:szCs w:val="20"/>
              </w:rPr>
              <w:t>Trade names, trademarks and patents</w:t>
            </w:r>
          </w:p>
        </w:tc>
        <w:tc>
          <w:tcPr>
            <w:tcW w:w="0" w:type="auto"/>
            <w:gridSpan w:val="2"/>
            <w:shd w:val="clear" w:color="auto" w:fill="D7E4BC"/>
            <w:tcMar>
              <w:top w:w="40" w:type="dxa"/>
              <w:left w:w="20" w:type="dxa"/>
              <w:bottom w:w="40" w:type="dxa"/>
              <w:right w:w="0" w:type="dxa"/>
            </w:tcMar>
            <w:vAlign w:val="bottom"/>
          </w:tcPr>
          <w:p w14:paraId="00BAFA56" w14:textId="77777777" w:rsidR="00871BDF" w:rsidRDefault="005C5088">
            <w:pPr>
              <w:jc w:val="right"/>
              <w:textAlignment w:val="bottom"/>
            </w:pPr>
            <w:r>
              <w:rPr>
                <w:rFonts w:ascii="Times New Roman" w:eastAsia="宋体" w:hAnsi="Times New Roman"/>
                <w:color w:val="000000"/>
                <w:sz w:val="20"/>
                <w:szCs w:val="20"/>
              </w:rPr>
              <w:t>124.8 </w:t>
            </w:r>
          </w:p>
        </w:tc>
        <w:tc>
          <w:tcPr>
            <w:tcW w:w="0" w:type="auto"/>
            <w:shd w:val="clear" w:color="auto" w:fill="D7E4BC"/>
            <w:tcMar>
              <w:top w:w="40" w:type="dxa"/>
              <w:left w:w="0" w:type="dxa"/>
              <w:bottom w:w="40" w:type="dxa"/>
              <w:right w:w="20" w:type="dxa"/>
            </w:tcMar>
            <w:vAlign w:val="bottom"/>
          </w:tcPr>
          <w:p w14:paraId="00BAFA5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5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A59" w14:textId="77777777" w:rsidR="00871BDF" w:rsidRDefault="005C5088">
            <w:pPr>
              <w:jc w:val="right"/>
              <w:textAlignment w:val="bottom"/>
            </w:pPr>
            <w:r>
              <w:rPr>
                <w:rFonts w:ascii="Times New Roman" w:eastAsia="宋体" w:hAnsi="Times New Roman"/>
                <w:color w:val="000000"/>
                <w:sz w:val="20"/>
                <w:szCs w:val="20"/>
              </w:rPr>
              <w:t>(32.1)</w:t>
            </w:r>
          </w:p>
        </w:tc>
        <w:tc>
          <w:tcPr>
            <w:tcW w:w="0" w:type="auto"/>
            <w:shd w:val="clear" w:color="auto" w:fill="D7E4BC"/>
            <w:tcMar>
              <w:top w:w="40" w:type="dxa"/>
              <w:left w:w="0" w:type="dxa"/>
              <w:bottom w:w="40" w:type="dxa"/>
              <w:right w:w="20" w:type="dxa"/>
            </w:tcMar>
            <w:vAlign w:val="bottom"/>
          </w:tcPr>
          <w:p w14:paraId="00BAFA5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5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A5C" w14:textId="77777777" w:rsidR="00871BDF" w:rsidRDefault="005C5088">
            <w:pPr>
              <w:jc w:val="right"/>
              <w:textAlignment w:val="bottom"/>
            </w:pPr>
            <w:r>
              <w:rPr>
                <w:rFonts w:ascii="Times New Roman" w:eastAsia="宋体" w:hAnsi="Times New Roman"/>
                <w:color w:val="000000"/>
                <w:sz w:val="20"/>
                <w:szCs w:val="20"/>
              </w:rPr>
              <w:t>92.7 </w:t>
            </w:r>
          </w:p>
        </w:tc>
        <w:tc>
          <w:tcPr>
            <w:tcW w:w="0" w:type="auto"/>
            <w:shd w:val="clear" w:color="auto" w:fill="D7E4BC"/>
            <w:tcMar>
              <w:top w:w="40" w:type="dxa"/>
              <w:left w:w="0" w:type="dxa"/>
              <w:bottom w:w="40" w:type="dxa"/>
              <w:right w:w="20" w:type="dxa"/>
            </w:tcMar>
            <w:vAlign w:val="bottom"/>
          </w:tcPr>
          <w:p w14:paraId="00BAFA5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5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A5F" w14:textId="77777777" w:rsidR="00871BDF" w:rsidRDefault="005C5088">
            <w:pPr>
              <w:jc w:val="right"/>
              <w:textAlignment w:val="bottom"/>
            </w:pPr>
            <w:r>
              <w:rPr>
                <w:rFonts w:ascii="Times New Roman" w:eastAsia="宋体" w:hAnsi="Times New Roman"/>
                <w:color w:val="000000"/>
                <w:sz w:val="20"/>
                <w:szCs w:val="20"/>
              </w:rPr>
              <w:t>40.6 </w:t>
            </w:r>
          </w:p>
        </w:tc>
        <w:tc>
          <w:tcPr>
            <w:tcW w:w="0" w:type="auto"/>
            <w:shd w:val="clear" w:color="auto" w:fill="D7E4BC"/>
            <w:tcMar>
              <w:top w:w="40" w:type="dxa"/>
              <w:left w:w="0" w:type="dxa"/>
              <w:bottom w:w="40" w:type="dxa"/>
              <w:right w:w="20" w:type="dxa"/>
            </w:tcMar>
            <w:vAlign w:val="bottom"/>
          </w:tcPr>
          <w:p w14:paraId="00BAFA6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6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A62" w14:textId="77777777" w:rsidR="00871BDF" w:rsidRDefault="005C5088">
            <w:pPr>
              <w:jc w:val="right"/>
              <w:textAlignment w:val="bottom"/>
            </w:pPr>
            <w:r>
              <w:rPr>
                <w:rFonts w:ascii="Times New Roman" w:eastAsia="宋体" w:hAnsi="Times New Roman"/>
                <w:color w:val="000000"/>
                <w:sz w:val="20"/>
                <w:szCs w:val="20"/>
              </w:rPr>
              <w:t>(22.9)</w:t>
            </w:r>
          </w:p>
        </w:tc>
        <w:tc>
          <w:tcPr>
            <w:tcW w:w="0" w:type="auto"/>
            <w:shd w:val="clear" w:color="auto" w:fill="D7E4BC"/>
            <w:tcMar>
              <w:top w:w="40" w:type="dxa"/>
              <w:left w:w="0" w:type="dxa"/>
              <w:bottom w:w="40" w:type="dxa"/>
              <w:right w:w="20" w:type="dxa"/>
            </w:tcMar>
            <w:vAlign w:val="bottom"/>
          </w:tcPr>
          <w:p w14:paraId="00BAFA6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6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A65" w14:textId="77777777" w:rsidR="00871BDF" w:rsidRDefault="005C5088">
            <w:pPr>
              <w:jc w:val="right"/>
              <w:textAlignment w:val="bottom"/>
            </w:pPr>
            <w:r>
              <w:rPr>
                <w:rFonts w:ascii="Times New Roman" w:eastAsia="宋体" w:hAnsi="Times New Roman"/>
                <w:color w:val="000000"/>
                <w:sz w:val="20"/>
                <w:szCs w:val="20"/>
              </w:rPr>
              <w:t>17.7 </w:t>
            </w:r>
          </w:p>
        </w:tc>
        <w:tc>
          <w:tcPr>
            <w:tcW w:w="0" w:type="auto"/>
            <w:shd w:val="clear" w:color="auto" w:fill="D7E4BC"/>
            <w:tcMar>
              <w:top w:w="40" w:type="dxa"/>
              <w:left w:w="0" w:type="dxa"/>
              <w:bottom w:w="40" w:type="dxa"/>
              <w:right w:w="20" w:type="dxa"/>
            </w:tcMar>
            <w:vAlign w:val="bottom"/>
          </w:tcPr>
          <w:p w14:paraId="00BAFA66" w14:textId="77777777" w:rsidR="00871BDF" w:rsidRDefault="00871BDF">
            <w:pPr>
              <w:jc w:val="right"/>
              <w:rPr>
                <w:rFonts w:ascii="宋体"/>
              </w:rPr>
            </w:pPr>
          </w:p>
        </w:tc>
      </w:tr>
      <w:tr w:rsidR="00871BDF" w14:paraId="00BAFA7A" w14:textId="77777777">
        <w:tc>
          <w:tcPr>
            <w:tcW w:w="0" w:type="auto"/>
            <w:gridSpan w:val="3"/>
            <w:shd w:val="clear" w:color="auto" w:fill="FFFFFF"/>
            <w:tcMar>
              <w:top w:w="40" w:type="dxa"/>
              <w:left w:w="20" w:type="dxa"/>
              <w:bottom w:w="40" w:type="dxa"/>
              <w:right w:w="20" w:type="dxa"/>
            </w:tcMar>
            <w:vAlign w:val="bottom"/>
          </w:tcPr>
          <w:p w14:paraId="00BAFA68" w14:textId="77777777" w:rsidR="00871BDF" w:rsidRDefault="005C5088">
            <w:pPr>
              <w:textAlignment w:val="bottom"/>
            </w:pPr>
            <w:r>
              <w:rPr>
                <w:rFonts w:ascii="Times New Roman" w:eastAsia="宋体" w:hAnsi="Times New Roman"/>
                <w:color w:val="000000"/>
                <w:sz w:val="20"/>
                <w:szCs w:val="20"/>
              </w:rPr>
              <w:t>Licensing agreements</w:t>
            </w:r>
          </w:p>
        </w:tc>
        <w:tc>
          <w:tcPr>
            <w:tcW w:w="0" w:type="auto"/>
            <w:gridSpan w:val="2"/>
            <w:shd w:val="clear" w:color="auto" w:fill="FFFFFF"/>
            <w:tcMar>
              <w:top w:w="40" w:type="dxa"/>
              <w:left w:w="20" w:type="dxa"/>
              <w:bottom w:w="40" w:type="dxa"/>
              <w:right w:w="0" w:type="dxa"/>
            </w:tcMar>
            <w:vAlign w:val="bottom"/>
          </w:tcPr>
          <w:p w14:paraId="00BAFA69" w14:textId="77777777" w:rsidR="00871BDF" w:rsidRDefault="005C5088">
            <w:pPr>
              <w:jc w:val="right"/>
              <w:textAlignment w:val="bottom"/>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bottom"/>
          </w:tcPr>
          <w:p w14:paraId="00BAFA6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6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A6C" w14:textId="77777777" w:rsidR="00871BDF" w:rsidRDefault="005C5088">
            <w:pPr>
              <w:jc w:val="right"/>
              <w:textAlignment w:val="bottom"/>
            </w:pPr>
            <w:r>
              <w:rPr>
                <w:rFonts w:ascii="Times New Roman" w:eastAsia="宋体" w:hAnsi="Times New Roman"/>
                <w:color w:val="000000"/>
                <w:sz w:val="20"/>
                <w:szCs w:val="20"/>
              </w:rPr>
              <w:t>(15.0)</w:t>
            </w:r>
          </w:p>
        </w:tc>
        <w:tc>
          <w:tcPr>
            <w:tcW w:w="0" w:type="auto"/>
            <w:shd w:val="clear" w:color="auto" w:fill="FFFFFF"/>
            <w:tcMar>
              <w:top w:w="40" w:type="dxa"/>
              <w:left w:w="0" w:type="dxa"/>
              <w:bottom w:w="40" w:type="dxa"/>
              <w:right w:w="20" w:type="dxa"/>
            </w:tcMar>
            <w:vAlign w:val="bottom"/>
          </w:tcPr>
          <w:p w14:paraId="00BAFA6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6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A6F" w14:textId="77777777" w:rsidR="00871BDF" w:rsidRDefault="005C5088">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0BAFA7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7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A72" w14:textId="77777777" w:rsidR="00871BDF" w:rsidRDefault="005C5088">
            <w:pPr>
              <w:jc w:val="right"/>
              <w:textAlignment w:val="bottom"/>
            </w:pPr>
            <w:r>
              <w:rPr>
                <w:rFonts w:ascii="Times New Roman" w:eastAsia="宋体" w:hAnsi="Times New Roman"/>
                <w:color w:val="000000"/>
                <w:sz w:val="20"/>
                <w:szCs w:val="20"/>
              </w:rPr>
              <w:t>16.2 </w:t>
            </w:r>
          </w:p>
        </w:tc>
        <w:tc>
          <w:tcPr>
            <w:tcW w:w="0" w:type="auto"/>
            <w:shd w:val="clear" w:color="auto" w:fill="FFFFFF"/>
            <w:tcMar>
              <w:top w:w="40" w:type="dxa"/>
              <w:left w:w="0" w:type="dxa"/>
              <w:bottom w:w="40" w:type="dxa"/>
              <w:right w:w="20" w:type="dxa"/>
            </w:tcMar>
            <w:vAlign w:val="bottom"/>
          </w:tcPr>
          <w:p w14:paraId="00BAFA7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7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A75" w14:textId="77777777" w:rsidR="00871BDF" w:rsidRDefault="005C5088">
            <w:pPr>
              <w:jc w:val="right"/>
              <w:textAlignment w:val="bottom"/>
            </w:pPr>
            <w:r>
              <w:rPr>
                <w:rFonts w:ascii="Times New Roman" w:eastAsia="宋体" w:hAnsi="Times New Roman"/>
                <w:color w:val="000000"/>
                <w:sz w:val="20"/>
                <w:szCs w:val="20"/>
              </w:rPr>
              <w:t>(12.2)</w:t>
            </w:r>
          </w:p>
        </w:tc>
        <w:tc>
          <w:tcPr>
            <w:tcW w:w="0" w:type="auto"/>
            <w:shd w:val="clear" w:color="auto" w:fill="FFFFFF"/>
            <w:tcMar>
              <w:top w:w="40" w:type="dxa"/>
              <w:left w:w="0" w:type="dxa"/>
              <w:bottom w:w="40" w:type="dxa"/>
              <w:right w:w="20" w:type="dxa"/>
            </w:tcMar>
            <w:vAlign w:val="bottom"/>
          </w:tcPr>
          <w:p w14:paraId="00BAFA7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7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A78" w14:textId="77777777" w:rsidR="00871BDF" w:rsidRDefault="005C5088">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00BAFA79" w14:textId="77777777" w:rsidR="00871BDF" w:rsidRDefault="00871BDF">
            <w:pPr>
              <w:jc w:val="right"/>
              <w:rPr>
                <w:rFonts w:ascii="宋体"/>
              </w:rPr>
            </w:pPr>
          </w:p>
        </w:tc>
      </w:tr>
      <w:tr w:rsidR="00871BDF" w14:paraId="00BAFA8D" w14:textId="77777777">
        <w:tc>
          <w:tcPr>
            <w:tcW w:w="0" w:type="auto"/>
            <w:gridSpan w:val="3"/>
            <w:shd w:val="clear" w:color="auto" w:fill="D7E4BC"/>
            <w:tcMar>
              <w:top w:w="40" w:type="dxa"/>
              <w:left w:w="20" w:type="dxa"/>
              <w:bottom w:w="40" w:type="dxa"/>
              <w:right w:w="20" w:type="dxa"/>
            </w:tcMar>
            <w:vAlign w:val="bottom"/>
          </w:tcPr>
          <w:p w14:paraId="00BAFA7B" w14:textId="77777777" w:rsidR="00871BDF" w:rsidRDefault="005C5088">
            <w:pPr>
              <w:textAlignment w:val="bottom"/>
            </w:pPr>
            <w:r>
              <w:rPr>
                <w:rFonts w:ascii="Times New Roman" w:eastAsia="宋体" w:hAnsi="Times New Roman"/>
                <w:color w:val="000000"/>
                <w:sz w:val="20"/>
                <w:szCs w:val="20"/>
              </w:rPr>
              <w:t>Other finite-lived intangible assets</w:t>
            </w:r>
          </w:p>
        </w:tc>
        <w:tc>
          <w:tcPr>
            <w:tcW w:w="0" w:type="auto"/>
            <w:gridSpan w:val="2"/>
            <w:shd w:val="clear" w:color="auto" w:fill="D7E4BC"/>
            <w:tcMar>
              <w:top w:w="40" w:type="dxa"/>
              <w:left w:w="20" w:type="dxa"/>
              <w:bottom w:w="40" w:type="dxa"/>
              <w:right w:w="0" w:type="dxa"/>
            </w:tcMar>
            <w:vAlign w:val="bottom"/>
          </w:tcPr>
          <w:p w14:paraId="00BAFA7C" w14:textId="77777777" w:rsidR="00871BDF" w:rsidRDefault="005C5088">
            <w:pPr>
              <w:jc w:val="right"/>
              <w:textAlignment w:val="bottom"/>
            </w:pPr>
            <w:r>
              <w:rPr>
                <w:rFonts w:ascii="Times New Roman" w:eastAsia="宋体" w:hAnsi="Times New Roman"/>
                <w:color w:val="000000"/>
                <w:sz w:val="20"/>
                <w:szCs w:val="20"/>
              </w:rPr>
              <w:t>22.8 </w:t>
            </w:r>
          </w:p>
        </w:tc>
        <w:tc>
          <w:tcPr>
            <w:tcW w:w="0" w:type="auto"/>
            <w:shd w:val="clear" w:color="auto" w:fill="D7E4BC"/>
            <w:tcMar>
              <w:top w:w="40" w:type="dxa"/>
              <w:left w:w="0" w:type="dxa"/>
              <w:bottom w:w="40" w:type="dxa"/>
              <w:right w:w="20" w:type="dxa"/>
            </w:tcMar>
            <w:vAlign w:val="bottom"/>
          </w:tcPr>
          <w:p w14:paraId="00BAFA7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7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A7F" w14:textId="77777777" w:rsidR="00871BDF" w:rsidRDefault="005C5088">
            <w:pPr>
              <w:jc w:val="right"/>
              <w:textAlignment w:val="bottom"/>
            </w:pPr>
            <w:r>
              <w:rPr>
                <w:rFonts w:ascii="Times New Roman" w:eastAsia="宋体" w:hAnsi="Times New Roman"/>
                <w:color w:val="000000"/>
                <w:sz w:val="20"/>
                <w:szCs w:val="20"/>
              </w:rPr>
              <w:t>(16.7)</w:t>
            </w:r>
          </w:p>
        </w:tc>
        <w:tc>
          <w:tcPr>
            <w:tcW w:w="0" w:type="auto"/>
            <w:shd w:val="clear" w:color="auto" w:fill="D7E4BC"/>
            <w:tcMar>
              <w:top w:w="40" w:type="dxa"/>
              <w:left w:w="0" w:type="dxa"/>
              <w:bottom w:w="40" w:type="dxa"/>
              <w:right w:w="20" w:type="dxa"/>
            </w:tcMar>
            <w:vAlign w:val="bottom"/>
          </w:tcPr>
          <w:p w14:paraId="00BAFA8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8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A82" w14:textId="77777777" w:rsidR="00871BDF" w:rsidRDefault="005C5088">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00BAFA8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8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A85" w14:textId="77777777" w:rsidR="00871BDF" w:rsidRDefault="005C5088">
            <w:pPr>
              <w:jc w:val="right"/>
              <w:textAlignment w:val="bottom"/>
            </w:pPr>
            <w:r>
              <w:rPr>
                <w:rFonts w:ascii="Times New Roman" w:eastAsia="宋体" w:hAnsi="Times New Roman"/>
                <w:color w:val="000000"/>
                <w:sz w:val="20"/>
                <w:szCs w:val="20"/>
              </w:rPr>
              <w:t>22.0 </w:t>
            </w:r>
          </w:p>
        </w:tc>
        <w:tc>
          <w:tcPr>
            <w:tcW w:w="0" w:type="auto"/>
            <w:shd w:val="clear" w:color="auto" w:fill="D7E4BC"/>
            <w:tcMar>
              <w:top w:w="40" w:type="dxa"/>
              <w:left w:w="0" w:type="dxa"/>
              <w:bottom w:w="40" w:type="dxa"/>
              <w:right w:w="20" w:type="dxa"/>
            </w:tcMar>
            <w:vAlign w:val="bottom"/>
          </w:tcPr>
          <w:p w14:paraId="00BAFA8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8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A88" w14:textId="77777777" w:rsidR="00871BDF" w:rsidRDefault="005C5088">
            <w:pPr>
              <w:jc w:val="right"/>
              <w:textAlignment w:val="bottom"/>
            </w:pPr>
            <w:r>
              <w:rPr>
                <w:rFonts w:ascii="Times New Roman" w:eastAsia="宋体" w:hAnsi="Times New Roman"/>
                <w:color w:val="000000"/>
                <w:sz w:val="20"/>
                <w:szCs w:val="20"/>
              </w:rPr>
              <w:t>(11.5)</w:t>
            </w:r>
          </w:p>
        </w:tc>
        <w:tc>
          <w:tcPr>
            <w:tcW w:w="0" w:type="auto"/>
            <w:shd w:val="clear" w:color="auto" w:fill="D7E4BC"/>
            <w:tcMar>
              <w:top w:w="40" w:type="dxa"/>
              <w:left w:w="0" w:type="dxa"/>
              <w:bottom w:w="40" w:type="dxa"/>
              <w:right w:w="20" w:type="dxa"/>
            </w:tcMar>
            <w:vAlign w:val="bottom"/>
          </w:tcPr>
          <w:p w14:paraId="00BAFA8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A8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A8B" w14:textId="77777777" w:rsidR="00871BDF" w:rsidRDefault="005C5088">
            <w:pPr>
              <w:jc w:val="right"/>
              <w:textAlignment w:val="bottom"/>
            </w:pPr>
            <w:r>
              <w:rPr>
                <w:rFonts w:ascii="Times New Roman" w:eastAsia="宋体" w:hAnsi="Times New Roman"/>
                <w:color w:val="000000"/>
                <w:sz w:val="20"/>
                <w:szCs w:val="20"/>
              </w:rPr>
              <w:t>10.5 </w:t>
            </w:r>
          </w:p>
        </w:tc>
        <w:tc>
          <w:tcPr>
            <w:tcW w:w="0" w:type="auto"/>
            <w:shd w:val="clear" w:color="auto" w:fill="D7E4BC"/>
            <w:tcMar>
              <w:top w:w="40" w:type="dxa"/>
              <w:left w:w="0" w:type="dxa"/>
              <w:bottom w:w="40" w:type="dxa"/>
              <w:right w:w="20" w:type="dxa"/>
            </w:tcMar>
            <w:vAlign w:val="bottom"/>
          </w:tcPr>
          <w:p w14:paraId="00BAFA8C" w14:textId="77777777" w:rsidR="00871BDF" w:rsidRDefault="00871BDF">
            <w:pPr>
              <w:jc w:val="right"/>
              <w:rPr>
                <w:rFonts w:ascii="宋体"/>
              </w:rPr>
            </w:pPr>
          </w:p>
        </w:tc>
      </w:tr>
      <w:tr w:rsidR="00871BDF" w14:paraId="00BAFAA6" w14:textId="77777777">
        <w:tc>
          <w:tcPr>
            <w:tcW w:w="0" w:type="auto"/>
            <w:gridSpan w:val="3"/>
            <w:shd w:val="clear" w:color="auto" w:fill="FFFFFF"/>
            <w:tcMar>
              <w:top w:w="40" w:type="dxa"/>
              <w:left w:w="20" w:type="dxa"/>
              <w:bottom w:w="40" w:type="dxa"/>
              <w:right w:w="20" w:type="dxa"/>
            </w:tcMar>
            <w:vAlign w:val="bottom"/>
          </w:tcPr>
          <w:p w14:paraId="00BAFA8E" w14:textId="77777777" w:rsidR="00871BDF" w:rsidRDefault="005C5088">
            <w:pPr>
              <w:textAlignment w:val="bottom"/>
            </w:pPr>
            <w:r>
              <w:rPr>
                <w:rFonts w:ascii="Times New Roman" w:eastAsia="宋体" w:hAnsi="Times New Roman"/>
                <w:color w:val="000000"/>
                <w:sz w:val="20"/>
                <w:szCs w:val="20"/>
              </w:rPr>
              <w:t>Total finite-lived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A8F"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A90" w14:textId="77777777" w:rsidR="00871BDF" w:rsidRDefault="005C5088">
            <w:pPr>
              <w:jc w:val="right"/>
              <w:textAlignment w:val="bottom"/>
            </w:pPr>
            <w:r>
              <w:rPr>
                <w:rFonts w:ascii="Times New Roman" w:eastAsia="宋体" w:hAnsi="Times New Roman"/>
                <w:color w:val="000000"/>
                <w:sz w:val="20"/>
                <w:szCs w:val="20"/>
              </w:rPr>
              <w:t>1,307.9 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A9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92"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A93"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A94" w14:textId="77777777" w:rsidR="00871BDF" w:rsidRDefault="005C5088">
            <w:pPr>
              <w:jc w:val="right"/>
              <w:textAlignment w:val="bottom"/>
            </w:pPr>
            <w:r>
              <w:rPr>
                <w:rFonts w:ascii="Times New Roman" w:eastAsia="宋体" w:hAnsi="Times New Roman"/>
                <w:color w:val="000000"/>
                <w:sz w:val="20"/>
                <w:szCs w:val="20"/>
              </w:rPr>
              <w:t>(850.8)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A9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96"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A97"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A98" w14:textId="77777777" w:rsidR="00871BDF" w:rsidRDefault="005C5088">
            <w:pPr>
              <w:jc w:val="right"/>
              <w:textAlignment w:val="bottom"/>
            </w:pPr>
            <w:r>
              <w:rPr>
                <w:rFonts w:ascii="Times New Roman" w:eastAsia="宋体" w:hAnsi="Times New Roman"/>
                <w:color w:val="000000"/>
                <w:sz w:val="20"/>
                <w:szCs w:val="20"/>
              </w:rPr>
              <w:t>457.1 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A9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9A"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A9B"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A9C" w14:textId="77777777" w:rsidR="00871BDF" w:rsidRDefault="005C5088">
            <w:pPr>
              <w:jc w:val="right"/>
              <w:textAlignment w:val="bottom"/>
            </w:pPr>
            <w:r>
              <w:rPr>
                <w:rFonts w:ascii="Times New Roman" w:eastAsia="宋体" w:hAnsi="Times New Roman"/>
                <w:color w:val="000000"/>
                <w:sz w:val="20"/>
                <w:szCs w:val="20"/>
              </w:rPr>
              <w:t>1,181.4 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A9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9E"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A9F"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AA0" w14:textId="77777777" w:rsidR="00871BDF" w:rsidRDefault="005C5088">
            <w:pPr>
              <w:jc w:val="right"/>
              <w:textAlignment w:val="bottom"/>
            </w:pPr>
            <w:r>
              <w:rPr>
                <w:rFonts w:ascii="Times New Roman" w:eastAsia="宋体" w:hAnsi="Times New Roman"/>
                <w:color w:val="000000"/>
                <w:sz w:val="20"/>
                <w:szCs w:val="20"/>
              </w:rPr>
              <w:t>(603.0)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AA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AA2"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AA3"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AA4" w14:textId="77777777" w:rsidR="00871BDF" w:rsidRDefault="005C5088">
            <w:pPr>
              <w:jc w:val="right"/>
              <w:textAlignment w:val="bottom"/>
            </w:pPr>
            <w:r>
              <w:rPr>
                <w:rFonts w:ascii="Times New Roman" w:eastAsia="宋体" w:hAnsi="Times New Roman"/>
                <w:color w:val="000000"/>
                <w:sz w:val="20"/>
                <w:szCs w:val="20"/>
              </w:rPr>
              <w:t>578.4 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AA5" w14:textId="77777777" w:rsidR="00871BDF" w:rsidRDefault="00871BDF">
            <w:pPr>
              <w:jc w:val="right"/>
              <w:rPr>
                <w:rFonts w:ascii="宋体"/>
              </w:rPr>
            </w:pPr>
          </w:p>
        </w:tc>
      </w:tr>
    </w:tbl>
    <w:p w14:paraId="00BAFAA7" w14:textId="77777777" w:rsidR="00871BDF" w:rsidRDefault="005C5088">
      <w:pPr>
        <w:spacing w:before="120"/>
      </w:pPr>
      <w:r>
        <w:rPr>
          <w:rFonts w:ascii="Times New Roman" w:eastAsia="宋体" w:hAnsi="Times New Roman"/>
          <w:color w:val="000000"/>
          <w:sz w:val="20"/>
          <w:szCs w:val="20"/>
        </w:rPr>
        <w:t xml:space="preserve">Amortization expense for finite-lived intangible assets was $223.7 million, $232.8 million and $186.5 million during fiscal 2020, 2019 and 2018, respectively. </w:t>
      </w:r>
    </w:p>
    <w:p w14:paraId="00BAFAA8" w14:textId="77777777" w:rsidR="00871BDF" w:rsidRDefault="005C5088">
      <w:pPr>
        <w:spacing w:before="120"/>
      </w:pPr>
      <w:r>
        <w:rPr>
          <w:rFonts w:ascii="Times New Roman" w:eastAsia="宋体" w:hAnsi="Times New Roman"/>
          <w:color w:val="000000"/>
          <w:sz w:val="20"/>
          <w:szCs w:val="20"/>
        </w:rPr>
        <w:t>Estimate</w:t>
      </w:r>
      <w:r>
        <w:rPr>
          <w:rFonts w:ascii="Times New Roman" w:eastAsia="宋体" w:hAnsi="Times New Roman"/>
          <w:color w:val="000000"/>
          <w:sz w:val="20"/>
          <w:szCs w:val="20"/>
        </w:rPr>
        <w:t>d future amortization expense as of September 27, 2020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4993" w:type="pct"/>
        <w:tblCellMar>
          <w:top w:w="15" w:type="dxa"/>
          <w:left w:w="15" w:type="dxa"/>
          <w:bottom w:w="15" w:type="dxa"/>
          <w:right w:w="15" w:type="dxa"/>
        </w:tblCellMar>
        <w:tblLook w:val="04A0" w:firstRow="1" w:lastRow="0" w:firstColumn="1" w:lastColumn="0" w:noHBand="0" w:noVBand="1"/>
      </w:tblPr>
      <w:tblGrid>
        <w:gridCol w:w="51"/>
        <w:gridCol w:w="6886"/>
        <w:gridCol w:w="38"/>
        <w:gridCol w:w="120"/>
        <w:gridCol w:w="1193"/>
        <w:gridCol w:w="36"/>
      </w:tblGrid>
      <w:tr w:rsidR="00871BDF" w14:paraId="00BAFAAF" w14:textId="77777777">
        <w:tc>
          <w:tcPr>
            <w:tcW w:w="50" w:type="pct"/>
            <w:shd w:val="clear" w:color="auto" w:fill="auto"/>
          </w:tcPr>
          <w:p w14:paraId="00BAFAA9" w14:textId="77777777" w:rsidR="00871BDF" w:rsidRDefault="00871BDF">
            <w:pPr>
              <w:rPr>
                <w:rFonts w:ascii="宋体"/>
              </w:rPr>
            </w:pPr>
          </w:p>
        </w:tc>
        <w:tc>
          <w:tcPr>
            <w:tcW w:w="4154" w:type="pct"/>
            <w:shd w:val="clear" w:color="auto" w:fill="auto"/>
          </w:tcPr>
          <w:p w14:paraId="00BAFAAA" w14:textId="77777777" w:rsidR="00871BDF" w:rsidRDefault="00871BDF">
            <w:pPr>
              <w:rPr>
                <w:rFonts w:ascii="宋体"/>
              </w:rPr>
            </w:pPr>
          </w:p>
        </w:tc>
        <w:tc>
          <w:tcPr>
            <w:tcW w:w="5" w:type="pct"/>
            <w:shd w:val="clear" w:color="auto" w:fill="auto"/>
          </w:tcPr>
          <w:p w14:paraId="00BAFAAB" w14:textId="77777777" w:rsidR="00871BDF" w:rsidRDefault="00871BDF">
            <w:pPr>
              <w:rPr>
                <w:rFonts w:ascii="宋体"/>
              </w:rPr>
            </w:pPr>
          </w:p>
        </w:tc>
        <w:tc>
          <w:tcPr>
            <w:tcW w:w="50" w:type="pct"/>
            <w:shd w:val="clear" w:color="auto" w:fill="auto"/>
          </w:tcPr>
          <w:p w14:paraId="00BAFAAC" w14:textId="77777777" w:rsidR="00871BDF" w:rsidRDefault="00871BDF">
            <w:pPr>
              <w:rPr>
                <w:rFonts w:ascii="宋体"/>
              </w:rPr>
            </w:pPr>
          </w:p>
        </w:tc>
        <w:tc>
          <w:tcPr>
            <w:tcW w:w="735" w:type="pct"/>
            <w:shd w:val="clear" w:color="auto" w:fill="auto"/>
          </w:tcPr>
          <w:p w14:paraId="00BAFAAD" w14:textId="77777777" w:rsidR="00871BDF" w:rsidRDefault="00871BDF">
            <w:pPr>
              <w:rPr>
                <w:rFonts w:ascii="宋体"/>
              </w:rPr>
            </w:pPr>
          </w:p>
        </w:tc>
        <w:tc>
          <w:tcPr>
            <w:tcW w:w="5" w:type="pct"/>
            <w:shd w:val="clear" w:color="auto" w:fill="auto"/>
          </w:tcPr>
          <w:p w14:paraId="00BAFAAE" w14:textId="77777777" w:rsidR="00871BDF" w:rsidRDefault="00871BDF">
            <w:pPr>
              <w:rPr>
                <w:rFonts w:ascii="宋体"/>
              </w:rPr>
            </w:pPr>
          </w:p>
        </w:tc>
      </w:tr>
      <w:tr w:rsidR="00871BDF" w14:paraId="00BAFAB2" w14:textId="77777777">
        <w:tc>
          <w:tcPr>
            <w:tcW w:w="0" w:type="auto"/>
            <w:gridSpan w:val="3"/>
            <w:shd w:val="clear" w:color="auto" w:fill="auto"/>
            <w:tcMar>
              <w:top w:w="40" w:type="dxa"/>
              <w:left w:w="20" w:type="dxa"/>
              <w:bottom w:w="40" w:type="dxa"/>
              <w:right w:w="20" w:type="dxa"/>
            </w:tcMar>
            <w:vAlign w:val="bottom"/>
          </w:tcPr>
          <w:p w14:paraId="00BAFAB0" w14:textId="77777777" w:rsidR="00871BDF" w:rsidRDefault="005C5088">
            <w:pPr>
              <w:textAlignment w:val="bottom"/>
            </w:pPr>
            <w:r>
              <w:rPr>
                <w:rFonts w:ascii="Times New Roman" w:eastAsia="宋体" w:hAnsi="Times New Roman"/>
                <w:b/>
                <w:bCs/>
                <w:color w:val="000000"/>
                <w:sz w:val="16"/>
                <w:szCs w:val="16"/>
                <w:u w:val="single"/>
              </w:rPr>
              <w:t>Fiscal Year Ending</w:t>
            </w:r>
          </w:p>
        </w:tc>
        <w:tc>
          <w:tcPr>
            <w:tcW w:w="0" w:type="auto"/>
            <w:gridSpan w:val="3"/>
            <w:shd w:val="clear" w:color="auto" w:fill="FFFFFF"/>
            <w:tcMar>
              <w:top w:w="0" w:type="dxa"/>
              <w:left w:w="20" w:type="dxa"/>
              <w:bottom w:w="0" w:type="dxa"/>
              <w:right w:w="20" w:type="dxa"/>
            </w:tcMar>
          </w:tcPr>
          <w:p w14:paraId="00BAFAB1" w14:textId="77777777" w:rsidR="00871BDF" w:rsidRDefault="00871BDF">
            <w:pPr>
              <w:rPr>
                <w:rFonts w:ascii="宋体"/>
              </w:rPr>
            </w:pPr>
          </w:p>
        </w:tc>
      </w:tr>
      <w:tr w:rsidR="00871BDF" w14:paraId="00BAFAB7" w14:textId="77777777">
        <w:tc>
          <w:tcPr>
            <w:tcW w:w="0" w:type="auto"/>
            <w:gridSpan w:val="3"/>
            <w:shd w:val="clear" w:color="auto" w:fill="D7E4BC"/>
            <w:tcMar>
              <w:top w:w="40" w:type="dxa"/>
              <w:left w:w="20" w:type="dxa"/>
              <w:bottom w:w="40" w:type="dxa"/>
              <w:right w:w="20" w:type="dxa"/>
            </w:tcMar>
            <w:vAlign w:val="bottom"/>
          </w:tcPr>
          <w:p w14:paraId="00BAFAB3" w14:textId="77777777" w:rsidR="00871BDF" w:rsidRDefault="005C5088">
            <w:pPr>
              <w:textAlignment w:val="bottom"/>
            </w:pPr>
            <w:r>
              <w:rPr>
                <w:rFonts w:ascii="Times New Roman" w:eastAsia="宋体" w:hAnsi="Times New Roman"/>
                <w:color w:val="000000"/>
                <w:sz w:val="20"/>
                <w:szCs w:val="20"/>
              </w:rPr>
              <w:t>2021</w:t>
            </w:r>
          </w:p>
        </w:tc>
        <w:tc>
          <w:tcPr>
            <w:tcW w:w="0" w:type="auto"/>
            <w:shd w:val="clear" w:color="auto" w:fill="D7E4BC"/>
            <w:tcMar>
              <w:top w:w="40" w:type="dxa"/>
              <w:left w:w="20" w:type="dxa"/>
              <w:bottom w:w="40" w:type="dxa"/>
              <w:right w:w="0" w:type="dxa"/>
            </w:tcMar>
            <w:vAlign w:val="bottom"/>
          </w:tcPr>
          <w:p w14:paraId="00BAFAB4"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FAB5" w14:textId="77777777" w:rsidR="00871BDF" w:rsidRDefault="005C5088">
            <w:pPr>
              <w:jc w:val="right"/>
              <w:textAlignment w:val="bottom"/>
            </w:pPr>
            <w:r>
              <w:rPr>
                <w:rFonts w:ascii="Times New Roman" w:eastAsia="宋体" w:hAnsi="Times New Roman"/>
                <w:color w:val="000000"/>
                <w:sz w:val="20"/>
                <w:szCs w:val="20"/>
              </w:rPr>
              <w:t>218.8 </w:t>
            </w:r>
          </w:p>
        </w:tc>
        <w:tc>
          <w:tcPr>
            <w:tcW w:w="0" w:type="auto"/>
            <w:shd w:val="clear" w:color="auto" w:fill="D7E4BC"/>
            <w:tcMar>
              <w:top w:w="40" w:type="dxa"/>
              <w:left w:w="0" w:type="dxa"/>
              <w:bottom w:w="40" w:type="dxa"/>
              <w:right w:w="20" w:type="dxa"/>
            </w:tcMar>
            <w:vAlign w:val="bottom"/>
          </w:tcPr>
          <w:p w14:paraId="00BAFAB6" w14:textId="77777777" w:rsidR="00871BDF" w:rsidRDefault="00871BDF">
            <w:pPr>
              <w:jc w:val="right"/>
              <w:rPr>
                <w:rFonts w:ascii="宋体"/>
              </w:rPr>
            </w:pPr>
          </w:p>
        </w:tc>
      </w:tr>
      <w:tr w:rsidR="00871BDF" w14:paraId="00BAFABB" w14:textId="77777777">
        <w:tc>
          <w:tcPr>
            <w:tcW w:w="0" w:type="auto"/>
            <w:gridSpan w:val="3"/>
            <w:shd w:val="clear" w:color="auto" w:fill="FFFFFF"/>
            <w:tcMar>
              <w:top w:w="40" w:type="dxa"/>
              <w:left w:w="20" w:type="dxa"/>
              <w:bottom w:w="40" w:type="dxa"/>
              <w:right w:w="20" w:type="dxa"/>
            </w:tcMar>
            <w:vAlign w:val="bottom"/>
          </w:tcPr>
          <w:p w14:paraId="00BAFAB8" w14:textId="77777777" w:rsidR="00871BDF" w:rsidRDefault="005C5088">
            <w:pPr>
              <w:textAlignment w:val="bottom"/>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00BAFAB9" w14:textId="77777777" w:rsidR="00871BDF" w:rsidRDefault="005C5088">
            <w:pPr>
              <w:jc w:val="right"/>
              <w:textAlignment w:val="bottom"/>
            </w:pPr>
            <w:r>
              <w:rPr>
                <w:rFonts w:ascii="Times New Roman" w:eastAsia="宋体" w:hAnsi="Times New Roman"/>
                <w:color w:val="000000"/>
                <w:sz w:val="20"/>
                <w:szCs w:val="20"/>
              </w:rPr>
              <w:t>183.5 </w:t>
            </w:r>
          </w:p>
        </w:tc>
        <w:tc>
          <w:tcPr>
            <w:tcW w:w="0" w:type="auto"/>
            <w:shd w:val="clear" w:color="auto" w:fill="FFFFFF"/>
            <w:tcMar>
              <w:top w:w="40" w:type="dxa"/>
              <w:left w:w="0" w:type="dxa"/>
              <w:bottom w:w="40" w:type="dxa"/>
              <w:right w:w="20" w:type="dxa"/>
            </w:tcMar>
            <w:vAlign w:val="bottom"/>
          </w:tcPr>
          <w:p w14:paraId="00BAFABA" w14:textId="77777777" w:rsidR="00871BDF" w:rsidRDefault="00871BDF">
            <w:pPr>
              <w:jc w:val="right"/>
              <w:rPr>
                <w:rFonts w:ascii="宋体"/>
              </w:rPr>
            </w:pPr>
          </w:p>
        </w:tc>
      </w:tr>
      <w:tr w:rsidR="00871BDF" w14:paraId="00BAFABF" w14:textId="77777777">
        <w:tc>
          <w:tcPr>
            <w:tcW w:w="0" w:type="auto"/>
            <w:gridSpan w:val="3"/>
            <w:shd w:val="clear" w:color="auto" w:fill="D7E4BC"/>
            <w:tcMar>
              <w:top w:w="40" w:type="dxa"/>
              <w:left w:w="20" w:type="dxa"/>
              <w:bottom w:w="40" w:type="dxa"/>
              <w:right w:w="20" w:type="dxa"/>
            </w:tcMar>
            <w:vAlign w:val="bottom"/>
          </w:tcPr>
          <w:p w14:paraId="00BAFABC" w14:textId="77777777" w:rsidR="00871BDF" w:rsidRDefault="005C5088">
            <w:pPr>
              <w:textAlignment w:val="bottom"/>
            </w:pPr>
            <w:r>
              <w:rPr>
                <w:rFonts w:ascii="Times New Roman" w:eastAsia="宋体" w:hAnsi="Times New Roman"/>
                <w:color w:val="000000"/>
                <w:sz w:val="20"/>
                <w:szCs w:val="20"/>
              </w:rPr>
              <w:t>2023</w:t>
            </w:r>
          </w:p>
        </w:tc>
        <w:tc>
          <w:tcPr>
            <w:tcW w:w="0" w:type="auto"/>
            <w:gridSpan w:val="2"/>
            <w:shd w:val="clear" w:color="auto" w:fill="D7E4BC"/>
            <w:tcMar>
              <w:top w:w="40" w:type="dxa"/>
              <w:left w:w="20" w:type="dxa"/>
              <w:bottom w:w="40" w:type="dxa"/>
              <w:right w:w="0" w:type="dxa"/>
            </w:tcMar>
            <w:vAlign w:val="bottom"/>
          </w:tcPr>
          <w:p w14:paraId="00BAFABD" w14:textId="77777777" w:rsidR="00871BDF" w:rsidRDefault="005C5088">
            <w:pPr>
              <w:jc w:val="right"/>
              <w:textAlignment w:val="bottom"/>
            </w:pPr>
            <w:r>
              <w:rPr>
                <w:rFonts w:ascii="Times New Roman" w:eastAsia="宋体" w:hAnsi="Times New Roman"/>
                <w:color w:val="000000"/>
                <w:sz w:val="20"/>
                <w:szCs w:val="20"/>
              </w:rPr>
              <w:t>19.8 </w:t>
            </w:r>
          </w:p>
        </w:tc>
        <w:tc>
          <w:tcPr>
            <w:tcW w:w="0" w:type="auto"/>
            <w:shd w:val="clear" w:color="auto" w:fill="D7E4BC"/>
            <w:tcMar>
              <w:top w:w="40" w:type="dxa"/>
              <w:left w:w="0" w:type="dxa"/>
              <w:bottom w:w="40" w:type="dxa"/>
              <w:right w:w="20" w:type="dxa"/>
            </w:tcMar>
            <w:vAlign w:val="bottom"/>
          </w:tcPr>
          <w:p w14:paraId="00BAFABE" w14:textId="77777777" w:rsidR="00871BDF" w:rsidRDefault="00871BDF">
            <w:pPr>
              <w:jc w:val="right"/>
              <w:rPr>
                <w:rFonts w:ascii="宋体"/>
              </w:rPr>
            </w:pPr>
          </w:p>
        </w:tc>
      </w:tr>
      <w:tr w:rsidR="00871BDF" w14:paraId="00BAFAC3" w14:textId="77777777">
        <w:tc>
          <w:tcPr>
            <w:tcW w:w="0" w:type="auto"/>
            <w:gridSpan w:val="3"/>
            <w:shd w:val="clear" w:color="auto" w:fill="FFFFFF"/>
            <w:tcMar>
              <w:top w:w="40" w:type="dxa"/>
              <w:left w:w="20" w:type="dxa"/>
              <w:bottom w:w="40" w:type="dxa"/>
              <w:right w:w="20" w:type="dxa"/>
            </w:tcMar>
            <w:vAlign w:val="bottom"/>
          </w:tcPr>
          <w:p w14:paraId="00BAFAC0" w14:textId="77777777" w:rsidR="00871BDF" w:rsidRDefault="005C5088">
            <w:pPr>
              <w:textAlignment w:val="bottom"/>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00BAFAC1" w14:textId="77777777" w:rsidR="00871BDF" w:rsidRDefault="005C5088">
            <w:pPr>
              <w:jc w:val="right"/>
              <w:textAlignment w:val="bottom"/>
            </w:pPr>
            <w:r>
              <w:rPr>
                <w:rFonts w:ascii="Times New Roman" w:eastAsia="宋体" w:hAnsi="Times New Roman"/>
                <w:color w:val="000000"/>
                <w:sz w:val="20"/>
                <w:szCs w:val="20"/>
              </w:rPr>
              <w:t>19.2 </w:t>
            </w:r>
          </w:p>
        </w:tc>
        <w:tc>
          <w:tcPr>
            <w:tcW w:w="0" w:type="auto"/>
            <w:shd w:val="clear" w:color="auto" w:fill="FFFFFF"/>
            <w:tcMar>
              <w:top w:w="40" w:type="dxa"/>
              <w:left w:w="0" w:type="dxa"/>
              <w:bottom w:w="40" w:type="dxa"/>
              <w:right w:w="20" w:type="dxa"/>
            </w:tcMar>
            <w:vAlign w:val="bottom"/>
          </w:tcPr>
          <w:p w14:paraId="00BAFAC2" w14:textId="77777777" w:rsidR="00871BDF" w:rsidRDefault="00871BDF">
            <w:pPr>
              <w:jc w:val="right"/>
              <w:rPr>
                <w:rFonts w:ascii="宋体"/>
              </w:rPr>
            </w:pPr>
          </w:p>
        </w:tc>
      </w:tr>
      <w:tr w:rsidR="00871BDF" w14:paraId="00BAFAC7" w14:textId="77777777">
        <w:tc>
          <w:tcPr>
            <w:tcW w:w="0" w:type="auto"/>
            <w:gridSpan w:val="3"/>
            <w:shd w:val="clear" w:color="auto" w:fill="D7E4BC"/>
            <w:tcMar>
              <w:top w:w="40" w:type="dxa"/>
              <w:left w:w="20" w:type="dxa"/>
              <w:bottom w:w="40" w:type="dxa"/>
              <w:right w:w="20" w:type="dxa"/>
            </w:tcMar>
            <w:vAlign w:val="bottom"/>
          </w:tcPr>
          <w:p w14:paraId="00BAFAC4" w14:textId="77777777" w:rsidR="00871BDF" w:rsidRDefault="005C5088">
            <w:pPr>
              <w:textAlignment w:val="bottom"/>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00BAFAC5" w14:textId="77777777" w:rsidR="00871BDF" w:rsidRDefault="005C5088">
            <w:pPr>
              <w:jc w:val="right"/>
              <w:textAlignment w:val="bottom"/>
            </w:pPr>
            <w:r>
              <w:rPr>
                <w:rFonts w:ascii="Times New Roman" w:eastAsia="宋体" w:hAnsi="Times New Roman"/>
                <w:color w:val="000000"/>
                <w:sz w:val="20"/>
                <w:szCs w:val="20"/>
              </w:rPr>
              <w:t>13.3 </w:t>
            </w:r>
          </w:p>
        </w:tc>
        <w:tc>
          <w:tcPr>
            <w:tcW w:w="0" w:type="auto"/>
            <w:shd w:val="clear" w:color="auto" w:fill="D7E4BC"/>
            <w:tcMar>
              <w:top w:w="40" w:type="dxa"/>
              <w:left w:w="0" w:type="dxa"/>
              <w:bottom w:w="40" w:type="dxa"/>
              <w:right w:w="20" w:type="dxa"/>
            </w:tcMar>
            <w:vAlign w:val="bottom"/>
          </w:tcPr>
          <w:p w14:paraId="00BAFAC6" w14:textId="77777777" w:rsidR="00871BDF" w:rsidRDefault="00871BDF">
            <w:pPr>
              <w:jc w:val="right"/>
              <w:rPr>
                <w:rFonts w:ascii="宋体"/>
              </w:rPr>
            </w:pPr>
          </w:p>
        </w:tc>
      </w:tr>
      <w:tr w:rsidR="00871BDF" w14:paraId="00BAFACB" w14:textId="77777777">
        <w:tc>
          <w:tcPr>
            <w:tcW w:w="0" w:type="auto"/>
            <w:gridSpan w:val="3"/>
            <w:shd w:val="clear" w:color="auto" w:fill="FFFFFF"/>
            <w:tcMar>
              <w:top w:w="40" w:type="dxa"/>
              <w:left w:w="20" w:type="dxa"/>
              <w:bottom w:w="40" w:type="dxa"/>
              <w:right w:w="20" w:type="dxa"/>
            </w:tcMar>
            <w:vAlign w:val="bottom"/>
          </w:tcPr>
          <w:p w14:paraId="00BAFAC8" w14:textId="77777777" w:rsidR="00871BDF" w:rsidRDefault="005C5088">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0BAFAC9" w14:textId="77777777" w:rsidR="00871BDF" w:rsidRDefault="005C5088">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00BAFACA" w14:textId="77777777" w:rsidR="00871BDF" w:rsidRDefault="00871BDF">
            <w:pPr>
              <w:jc w:val="right"/>
              <w:rPr>
                <w:rFonts w:ascii="宋体"/>
              </w:rPr>
            </w:pPr>
          </w:p>
        </w:tc>
      </w:tr>
      <w:tr w:rsidR="00871BDF" w14:paraId="00BAFAD0" w14:textId="77777777">
        <w:tc>
          <w:tcPr>
            <w:tcW w:w="0" w:type="auto"/>
            <w:gridSpan w:val="3"/>
            <w:shd w:val="clear" w:color="auto" w:fill="D7E4BC"/>
            <w:tcMar>
              <w:top w:w="40" w:type="dxa"/>
              <w:left w:w="20" w:type="dxa"/>
              <w:bottom w:w="40" w:type="dxa"/>
              <w:right w:w="20" w:type="dxa"/>
            </w:tcMar>
            <w:vAlign w:val="bottom"/>
          </w:tcPr>
          <w:p w14:paraId="00BAFACC" w14:textId="77777777" w:rsidR="00871BDF" w:rsidRDefault="005C5088">
            <w:pPr>
              <w:textAlignment w:val="bottom"/>
            </w:pPr>
            <w:r>
              <w:rPr>
                <w:rFonts w:ascii="Times New Roman" w:eastAsia="宋体" w:hAnsi="Times New Roman"/>
                <w:color w:val="000000"/>
                <w:sz w:val="20"/>
                <w:szCs w:val="20"/>
              </w:rPr>
              <w:t>Total estimated future amortization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AC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ACE" w14:textId="77777777" w:rsidR="00871BDF" w:rsidRDefault="005C5088">
            <w:pPr>
              <w:jc w:val="right"/>
              <w:textAlignment w:val="bottom"/>
            </w:pPr>
            <w:r>
              <w:rPr>
                <w:rFonts w:ascii="Times New Roman" w:eastAsia="宋体" w:hAnsi="Times New Roman"/>
                <w:color w:val="000000"/>
                <w:sz w:val="20"/>
                <w:szCs w:val="20"/>
              </w:rPr>
              <w:t>457.1 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ACF" w14:textId="77777777" w:rsidR="00871BDF" w:rsidRDefault="00871BDF">
            <w:pPr>
              <w:jc w:val="right"/>
              <w:rPr>
                <w:rFonts w:ascii="宋体"/>
              </w:rPr>
            </w:pPr>
          </w:p>
        </w:tc>
      </w:tr>
    </w:tbl>
    <w:p w14:paraId="00BAFAD1" w14:textId="77777777" w:rsidR="00871BDF" w:rsidRDefault="00871BDF">
      <w:pPr>
        <w:spacing w:before="120"/>
      </w:pPr>
    </w:p>
    <w:p w14:paraId="00BAFAD2" w14:textId="77777777" w:rsidR="00871BDF" w:rsidRDefault="00871BDF">
      <w:pPr>
        <w:spacing w:before="120"/>
      </w:pPr>
    </w:p>
    <w:p w14:paraId="00BAFAD3" w14:textId="77777777" w:rsidR="00871BDF" w:rsidRDefault="00871BDF">
      <w:pPr>
        <w:spacing w:before="120"/>
      </w:pPr>
    </w:p>
    <w:p w14:paraId="00BAFAD4" w14:textId="77777777" w:rsidR="00871BDF" w:rsidRDefault="00871BDF">
      <w:pPr>
        <w:spacing w:before="120"/>
      </w:pPr>
    </w:p>
    <w:p w14:paraId="00BAFAD5" w14:textId="77777777" w:rsidR="00871BDF" w:rsidRDefault="00871BDF">
      <w:pPr>
        <w:spacing w:before="120"/>
      </w:pPr>
    </w:p>
    <w:p w14:paraId="00BAFAD6" w14:textId="77777777" w:rsidR="00871BDF" w:rsidRDefault="00871BDF">
      <w:pPr>
        <w:spacing w:before="120"/>
      </w:pPr>
    </w:p>
    <w:p w14:paraId="00BAFAD7" w14:textId="77777777" w:rsidR="00871BDF" w:rsidRDefault="00871BDF">
      <w:pPr>
        <w:spacing w:before="120"/>
      </w:pPr>
    </w:p>
    <w:p w14:paraId="00BAFAD8" w14:textId="77777777" w:rsidR="00871BDF" w:rsidRDefault="00871BDF">
      <w:pPr>
        <w:spacing w:before="120"/>
      </w:pPr>
    </w:p>
    <w:p w14:paraId="00BAFAD9" w14:textId="77777777" w:rsidR="00871BDF" w:rsidRDefault="00871BDF">
      <w:pPr>
        <w:spacing w:before="120"/>
      </w:pPr>
    </w:p>
    <w:p w14:paraId="00BAFADA" w14:textId="77777777" w:rsidR="00871BDF" w:rsidRDefault="005C5088">
      <w:pPr>
        <w:jc w:val="center"/>
      </w:pPr>
      <w:r>
        <w:rPr>
          <w:rFonts w:ascii="Times New Roman" w:eastAsia="宋体" w:hAnsi="Times New Roman"/>
          <w:color w:val="000000"/>
          <w:sz w:val="20"/>
          <w:szCs w:val="20"/>
        </w:rPr>
        <w:t>73</w:t>
      </w:r>
    </w:p>
    <w:p w14:paraId="00BAFADB" w14:textId="77777777" w:rsidR="00871BDF" w:rsidRDefault="005C5088">
      <w:r>
        <w:pict w14:anchorId="00BB14AE">
          <v:rect id="_x0000_i1100" style="width:415.3pt;height:1.5pt" o:hralign="center" o:hrstd="t" o:hr="t" fillcolor="#a0a0a0" stroked="f"/>
        </w:pict>
      </w:r>
    </w:p>
    <w:p w14:paraId="00BAFADC" w14:textId="77777777" w:rsidR="00871BDF" w:rsidRDefault="005C5088">
      <w:hyperlink r:id="rId213" w:anchor="i54ccc64cb5384be5a4849ef1cdef4dde_7" w:history="1">
        <w:r>
          <w:rPr>
            <w:rStyle w:val="a5"/>
            <w:rFonts w:ascii="Times New Roman" w:eastAsia="宋体" w:hAnsi="Times New Roman"/>
            <w:sz w:val="20"/>
            <w:szCs w:val="20"/>
          </w:rPr>
          <w:t>Table of Contents</w:t>
        </w:r>
      </w:hyperlink>
    </w:p>
    <w:p w14:paraId="00BAFADD" w14:textId="77777777" w:rsidR="00871BDF" w:rsidRDefault="005C5088">
      <w:pPr>
        <w:spacing w:before="120"/>
      </w:pPr>
      <w:r>
        <w:rPr>
          <w:rFonts w:ascii="Times New Roman" w:eastAsia="宋体" w:hAnsi="Times New Roman"/>
          <w:b/>
          <w:bCs/>
          <w:i/>
          <w:iCs/>
          <w:color w:val="000000"/>
          <w:sz w:val="20"/>
          <w:szCs w:val="20"/>
        </w:rPr>
        <w:t>Goodwill</w:t>
      </w:r>
    </w:p>
    <w:p w14:paraId="00BAFADE" w14:textId="77777777" w:rsidR="00871BDF" w:rsidRDefault="005C5088">
      <w:pPr>
        <w:spacing w:before="120"/>
      </w:pPr>
      <w:r>
        <w:rPr>
          <w:rFonts w:ascii="Times New Roman" w:eastAsia="宋体" w:hAnsi="Times New Roman"/>
          <w:color w:val="000000"/>
          <w:sz w:val="20"/>
          <w:szCs w:val="20"/>
        </w:rPr>
        <w:t xml:space="preserve">Changes in the carrying amount of goodwill by reportable operating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56" w:type="pct"/>
        <w:tblCellMar>
          <w:top w:w="15" w:type="dxa"/>
          <w:left w:w="15" w:type="dxa"/>
          <w:bottom w:w="15" w:type="dxa"/>
          <w:right w:w="15" w:type="dxa"/>
        </w:tblCellMar>
        <w:tblLook w:val="04A0" w:firstRow="1" w:lastRow="0" w:firstColumn="1" w:lastColumn="0" w:noHBand="0" w:noVBand="1"/>
      </w:tblPr>
      <w:tblGrid>
        <w:gridCol w:w="47"/>
        <w:gridCol w:w="3348"/>
        <w:gridCol w:w="37"/>
        <w:gridCol w:w="121"/>
        <w:gridCol w:w="615"/>
        <w:gridCol w:w="36"/>
        <w:gridCol w:w="36"/>
        <w:gridCol w:w="36"/>
        <w:gridCol w:w="36"/>
        <w:gridCol w:w="121"/>
        <w:gridCol w:w="844"/>
        <w:gridCol w:w="36"/>
        <w:gridCol w:w="36"/>
        <w:gridCol w:w="36"/>
        <w:gridCol w:w="36"/>
        <w:gridCol w:w="121"/>
        <w:gridCol w:w="836"/>
        <w:gridCol w:w="36"/>
        <w:gridCol w:w="36"/>
        <w:gridCol w:w="36"/>
        <w:gridCol w:w="36"/>
        <w:gridCol w:w="121"/>
        <w:gridCol w:w="670"/>
        <w:gridCol w:w="36"/>
        <w:gridCol w:w="36"/>
        <w:gridCol w:w="36"/>
        <w:gridCol w:w="36"/>
        <w:gridCol w:w="120"/>
        <w:gridCol w:w="650"/>
        <w:gridCol w:w="36"/>
      </w:tblGrid>
      <w:tr w:rsidR="00871BDF" w14:paraId="00BAFAFD" w14:textId="77777777">
        <w:tc>
          <w:tcPr>
            <w:tcW w:w="50" w:type="pct"/>
            <w:shd w:val="clear" w:color="auto" w:fill="auto"/>
          </w:tcPr>
          <w:p w14:paraId="00BAFADF" w14:textId="77777777" w:rsidR="00871BDF" w:rsidRDefault="00871BDF">
            <w:pPr>
              <w:rPr>
                <w:rFonts w:ascii="宋体"/>
              </w:rPr>
            </w:pPr>
          </w:p>
        </w:tc>
        <w:tc>
          <w:tcPr>
            <w:tcW w:w="2253" w:type="pct"/>
            <w:shd w:val="clear" w:color="auto" w:fill="auto"/>
          </w:tcPr>
          <w:p w14:paraId="00BAFAE0" w14:textId="77777777" w:rsidR="00871BDF" w:rsidRDefault="00871BDF">
            <w:pPr>
              <w:rPr>
                <w:rFonts w:ascii="宋体"/>
              </w:rPr>
            </w:pPr>
          </w:p>
        </w:tc>
        <w:tc>
          <w:tcPr>
            <w:tcW w:w="5" w:type="pct"/>
            <w:shd w:val="clear" w:color="auto" w:fill="auto"/>
          </w:tcPr>
          <w:p w14:paraId="00BAFAE1" w14:textId="77777777" w:rsidR="00871BDF" w:rsidRDefault="00871BDF">
            <w:pPr>
              <w:rPr>
                <w:rFonts w:ascii="宋体"/>
              </w:rPr>
            </w:pPr>
          </w:p>
        </w:tc>
        <w:tc>
          <w:tcPr>
            <w:tcW w:w="50" w:type="pct"/>
            <w:shd w:val="clear" w:color="auto" w:fill="auto"/>
          </w:tcPr>
          <w:p w14:paraId="00BAFAE2" w14:textId="77777777" w:rsidR="00871BDF" w:rsidRDefault="00871BDF">
            <w:pPr>
              <w:rPr>
                <w:rFonts w:ascii="宋体"/>
              </w:rPr>
            </w:pPr>
          </w:p>
        </w:tc>
        <w:tc>
          <w:tcPr>
            <w:tcW w:w="453" w:type="pct"/>
            <w:shd w:val="clear" w:color="auto" w:fill="auto"/>
          </w:tcPr>
          <w:p w14:paraId="00BAFAE3" w14:textId="77777777" w:rsidR="00871BDF" w:rsidRDefault="00871BDF">
            <w:pPr>
              <w:rPr>
                <w:rFonts w:ascii="宋体"/>
              </w:rPr>
            </w:pPr>
          </w:p>
        </w:tc>
        <w:tc>
          <w:tcPr>
            <w:tcW w:w="5" w:type="pct"/>
            <w:shd w:val="clear" w:color="auto" w:fill="auto"/>
          </w:tcPr>
          <w:p w14:paraId="00BAFAE4" w14:textId="77777777" w:rsidR="00871BDF" w:rsidRDefault="00871BDF">
            <w:pPr>
              <w:rPr>
                <w:rFonts w:ascii="宋体"/>
              </w:rPr>
            </w:pPr>
          </w:p>
        </w:tc>
        <w:tc>
          <w:tcPr>
            <w:tcW w:w="5" w:type="pct"/>
            <w:shd w:val="clear" w:color="auto" w:fill="auto"/>
          </w:tcPr>
          <w:p w14:paraId="00BAFAE5" w14:textId="77777777" w:rsidR="00871BDF" w:rsidRDefault="00871BDF">
            <w:pPr>
              <w:rPr>
                <w:rFonts w:ascii="宋体"/>
              </w:rPr>
            </w:pPr>
          </w:p>
        </w:tc>
        <w:tc>
          <w:tcPr>
            <w:tcW w:w="26" w:type="pct"/>
            <w:shd w:val="clear" w:color="auto" w:fill="auto"/>
          </w:tcPr>
          <w:p w14:paraId="00BAFAE6" w14:textId="77777777" w:rsidR="00871BDF" w:rsidRDefault="00871BDF">
            <w:pPr>
              <w:rPr>
                <w:rFonts w:ascii="宋体"/>
              </w:rPr>
            </w:pPr>
          </w:p>
        </w:tc>
        <w:tc>
          <w:tcPr>
            <w:tcW w:w="5" w:type="pct"/>
            <w:shd w:val="clear" w:color="auto" w:fill="auto"/>
          </w:tcPr>
          <w:p w14:paraId="00BAFAE7" w14:textId="77777777" w:rsidR="00871BDF" w:rsidRDefault="00871BDF">
            <w:pPr>
              <w:rPr>
                <w:rFonts w:ascii="宋体"/>
              </w:rPr>
            </w:pPr>
          </w:p>
        </w:tc>
        <w:tc>
          <w:tcPr>
            <w:tcW w:w="50" w:type="pct"/>
            <w:shd w:val="clear" w:color="auto" w:fill="auto"/>
          </w:tcPr>
          <w:p w14:paraId="00BAFAE8" w14:textId="77777777" w:rsidR="00871BDF" w:rsidRDefault="00871BDF">
            <w:pPr>
              <w:rPr>
                <w:rFonts w:ascii="宋体"/>
              </w:rPr>
            </w:pPr>
          </w:p>
        </w:tc>
        <w:tc>
          <w:tcPr>
            <w:tcW w:w="453" w:type="pct"/>
            <w:shd w:val="clear" w:color="auto" w:fill="auto"/>
          </w:tcPr>
          <w:p w14:paraId="00BAFAE9" w14:textId="77777777" w:rsidR="00871BDF" w:rsidRDefault="00871BDF">
            <w:pPr>
              <w:rPr>
                <w:rFonts w:ascii="宋体"/>
              </w:rPr>
            </w:pPr>
          </w:p>
        </w:tc>
        <w:tc>
          <w:tcPr>
            <w:tcW w:w="5" w:type="pct"/>
            <w:shd w:val="clear" w:color="auto" w:fill="auto"/>
          </w:tcPr>
          <w:p w14:paraId="00BAFAEA" w14:textId="77777777" w:rsidR="00871BDF" w:rsidRDefault="00871BDF">
            <w:pPr>
              <w:rPr>
                <w:rFonts w:ascii="宋体"/>
              </w:rPr>
            </w:pPr>
          </w:p>
        </w:tc>
        <w:tc>
          <w:tcPr>
            <w:tcW w:w="5" w:type="pct"/>
            <w:shd w:val="clear" w:color="auto" w:fill="auto"/>
          </w:tcPr>
          <w:p w14:paraId="00BAFAEB" w14:textId="77777777" w:rsidR="00871BDF" w:rsidRDefault="00871BDF">
            <w:pPr>
              <w:rPr>
                <w:rFonts w:ascii="宋体"/>
              </w:rPr>
            </w:pPr>
          </w:p>
        </w:tc>
        <w:tc>
          <w:tcPr>
            <w:tcW w:w="26" w:type="pct"/>
            <w:shd w:val="clear" w:color="auto" w:fill="auto"/>
          </w:tcPr>
          <w:p w14:paraId="00BAFAEC" w14:textId="77777777" w:rsidR="00871BDF" w:rsidRDefault="00871BDF">
            <w:pPr>
              <w:rPr>
                <w:rFonts w:ascii="宋体"/>
              </w:rPr>
            </w:pPr>
          </w:p>
        </w:tc>
        <w:tc>
          <w:tcPr>
            <w:tcW w:w="5" w:type="pct"/>
            <w:shd w:val="clear" w:color="auto" w:fill="auto"/>
          </w:tcPr>
          <w:p w14:paraId="00BAFAED" w14:textId="77777777" w:rsidR="00871BDF" w:rsidRDefault="00871BDF">
            <w:pPr>
              <w:rPr>
                <w:rFonts w:ascii="宋体"/>
              </w:rPr>
            </w:pPr>
          </w:p>
        </w:tc>
        <w:tc>
          <w:tcPr>
            <w:tcW w:w="50" w:type="pct"/>
            <w:shd w:val="clear" w:color="auto" w:fill="auto"/>
          </w:tcPr>
          <w:p w14:paraId="00BAFAEE" w14:textId="77777777" w:rsidR="00871BDF" w:rsidRDefault="00871BDF">
            <w:pPr>
              <w:rPr>
                <w:rFonts w:ascii="宋体"/>
              </w:rPr>
            </w:pPr>
          </w:p>
        </w:tc>
        <w:tc>
          <w:tcPr>
            <w:tcW w:w="453" w:type="pct"/>
            <w:shd w:val="clear" w:color="auto" w:fill="auto"/>
          </w:tcPr>
          <w:p w14:paraId="00BAFAEF" w14:textId="77777777" w:rsidR="00871BDF" w:rsidRDefault="00871BDF">
            <w:pPr>
              <w:rPr>
                <w:rFonts w:ascii="宋体"/>
              </w:rPr>
            </w:pPr>
          </w:p>
        </w:tc>
        <w:tc>
          <w:tcPr>
            <w:tcW w:w="5" w:type="pct"/>
            <w:shd w:val="clear" w:color="auto" w:fill="auto"/>
          </w:tcPr>
          <w:p w14:paraId="00BAFAF0" w14:textId="77777777" w:rsidR="00871BDF" w:rsidRDefault="00871BDF">
            <w:pPr>
              <w:rPr>
                <w:rFonts w:ascii="宋体"/>
              </w:rPr>
            </w:pPr>
          </w:p>
        </w:tc>
        <w:tc>
          <w:tcPr>
            <w:tcW w:w="5" w:type="pct"/>
            <w:shd w:val="clear" w:color="auto" w:fill="auto"/>
          </w:tcPr>
          <w:p w14:paraId="00BAFAF1" w14:textId="77777777" w:rsidR="00871BDF" w:rsidRDefault="00871BDF">
            <w:pPr>
              <w:rPr>
                <w:rFonts w:ascii="宋体"/>
              </w:rPr>
            </w:pPr>
          </w:p>
        </w:tc>
        <w:tc>
          <w:tcPr>
            <w:tcW w:w="26" w:type="pct"/>
            <w:shd w:val="clear" w:color="auto" w:fill="auto"/>
          </w:tcPr>
          <w:p w14:paraId="00BAFAF2" w14:textId="77777777" w:rsidR="00871BDF" w:rsidRDefault="00871BDF">
            <w:pPr>
              <w:rPr>
                <w:rFonts w:ascii="宋体"/>
              </w:rPr>
            </w:pPr>
          </w:p>
        </w:tc>
        <w:tc>
          <w:tcPr>
            <w:tcW w:w="5" w:type="pct"/>
            <w:shd w:val="clear" w:color="auto" w:fill="auto"/>
          </w:tcPr>
          <w:p w14:paraId="00BAFAF3" w14:textId="77777777" w:rsidR="00871BDF" w:rsidRDefault="00871BDF">
            <w:pPr>
              <w:rPr>
                <w:rFonts w:ascii="宋体"/>
              </w:rPr>
            </w:pPr>
          </w:p>
        </w:tc>
        <w:tc>
          <w:tcPr>
            <w:tcW w:w="50" w:type="pct"/>
            <w:shd w:val="clear" w:color="auto" w:fill="auto"/>
          </w:tcPr>
          <w:p w14:paraId="00BAFAF4" w14:textId="77777777" w:rsidR="00871BDF" w:rsidRDefault="00871BDF">
            <w:pPr>
              <w:rPr>
                <w:rFonts w:ascii="宋体"/>
              </w:rPr>
            </w:pPr>
          </w:p>
        </w:tc>
        <w:tc>
          <w:tcPr>
            <w:tcW w:w="453" w:type="pct"/>
            <w:shd w:val="clear" w:color="auto" w:fill="auto"/>
          </w:tcPr>
          <w:p w14:paraId="00BAFAF5" w14:textId="77777777" w:rsidR="00871BDF" w:rsidRDefault="00871BDF">
            <w:pPr>
              <w:rPr>
                <w:rFonts w:ascii="宋体"/>
              </w:rPr>
            </w:pPr>
          </w:p>
        </w:tc>
        <w:tc>
          <w:tcPr>
            <w:tcW w:w="5" w:type="pct"/>
            <w:shd w:val="clear" w:color="auto" w:fill="auto"/>
          </w:tcPr>
          <w:p w14:paraId="00BAFAF6" w14:textId="77777777" w:rsidR="00871BDF" w:rsidRDefault="00871BDF">
            <w:pPr>
              <w:rPr>
                <w:rFonts w:ascii="宋体"/>
              </w:rPr>
            </w:pPr>
          </w:p>
        </w:tc>
        <w:tc>
          <w:tcPr>
            <w:tcW w:w="5" w:type="pct"/>
            <w:shd w:val="clear" w:color="auto" w:fill="auto"/>
          </w:tcPr>
          <w:p w14:paraId="00BAFAF7" w14:textId="77777777" w:rsidR="00871BDF" w:rsidRDefault="00871BDF">
            <w:pPr>
              <w:rPr>
                <w:rFonts w:ascii="宋体"/>
              </w:rPr>
            </w:pPr>
          </w:p>
        </w:tc>
        <w:tc>
          <w:tcPr>
            <w:tcW w:w="26" w:type="pct"/>
            <w:shd w:val="clear" w:color="auto" w:fill="auto"/>
          </w:tcPr>
          <w:p w14:paraId="00BAFAF8" w14:textId="77777777" w:rsidR="00871BDF" w:rsidRDefault="00871BDF">
            <w:pPr>
              <w:rPr>
                <w:rFonts w:ascii="宋体"/>
              </w:rPr>
            </w:pPr>
          </w:p>
        </w:tc>
        <w:tc>
          <w:tcPr>
            <w:tcW w:w="5" w:type="pct"/>
            <w:shd w:val="clear" w:color="auto" w:fill="auto"/>
          </w:tcPr>
          <w:p w14:paraId="00BAFAF9" w14:textId="77777777" w:rsidR="00871BDF" w:rsidRDefault="00871BDF">
            <w:pPr>
              <w:rPr>
                <w:rFonts w:ascii="宋体"/>
              </w:rPr>
            </w:pPr>
          </w:p>
        </w:tc>
        <w:tc>
          <w:tcPr>
            <w:tcW w:w="50" w:type="pct"/>
            <w:shd w:val="clear" w:color="auto" w:fill="auto"/>
          </w:tcPr>
          <w:p w14:paraId="00BAFAFA" w14:textId="77777777" w:rsidR="00871BDF" w:rsidRDefault="00871BDF">
            <w:pPr>
              <w:rPr>
                <w:rFonts w:ascii="宋体"/>
              </w:rPr>
            </w:pPr>
          </w:p>
        </w:tc>
        <w:tc>
          <w:tcPr>
            <w:tcW w:w="454" w:type="pct"/>
            <w:shd w:val="clear" w:color="auto" w:fill="auto"/>
          </w:tcPr>
          <w:p w14:paraId="00BAFAFB" w14:textId="77777777" w:rsidR="00871BDF" w:rsidRDefault="00871BDF">
            <w:pPr>
              <w:rPr>
                <w:rFonts w:ascii="宋体"/>
              </w:rPr>
            </w:pPr>
          </w:p>
        </w:tc>
        <w:tc>
          <w:tcPr>
            <w:tcW w:w="5" w:type="pct"/>
            <w:shd w:val="clear" w:color="auto" w:fill="auto"/>
          </w:tcPr>
          <w:p w14:paraId="00BAFAFC" w14:textId="77777777" w:rsidR="00871BDF" w:rsidRDefault="00871BDF">
            <w:pPr>
              <w:rPr>
                <w:rFonts w:ascii="宋体"/>
              </w:rPr>
            </w:pPr>
          </w:p>
        </w:tc>
      </w:tr>
      <w:tr w:rsidR="00871BDF" w14:paraId="00BAFB08" w14:textId="77777777">
        <w:tc>
          <w:tcPr>
            <w:tcW w:w="0" w:type="auto"/>
            <w:gridSpan w:val="3"/>
            <w:shd w:val="clear" w:color="auto" w:fill="auto"/>
            <w:tcMar>
              <w:top w:w="0" w:type="dxa"/>
              <w:left w:w="20" w:type="dxa"/>
              <w:bottom w:w="0" w:type="dxa"/>
              <w:right w:w="20" w:type="dxa"/>
            </w:tcMar>
          </w:tcPr>
          <w:p w14:paraId="00BAFAFE"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AFF" w14:textId="77777777" w:rsidR="00871BDF" w:rsidRDefault="005C5088">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top w:w="0" w:type="dxa"/>
              <w:left w:w="20" w:type="dxa"/>
              <w:bottom w:w="0" w:type="dxa"/>
              <w:right w:w="20" w:type="dxa"/>
            </w:tcMar>
          </w:tcPr>
          <w:p w14:paraId="00BAFB0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B01" w14:textId="77777777" w:rsidR="00871BDF" w:rsidRDefault="005C5088">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tcPr>
          <w:p w14:paraId="00BAFB02"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B03" w14:textId="77777777" w:rsidR="00871BDF" w:rsidRDefault="005C5088">
            <w:pPr>
              <w:jc w:val="center"/>
              <w:textAlignment w:val="bottom"/>
            </w:pPr>
            <w:r>
              <w:rPr>
                <w:rFonts w:ascii="Times New Roman" w:eastAsia="宋体" w:hAnsi="Times New Roman"/>
                <w:b/>
                <w:bCs/>
                <w:color w:val="FFFFFF"/>
                <w:sz w:val="16"/>
                <w:szCs w:val="16"/>
              </w:rPr>
              <w:t>Channel</w:t>
            </w:r>
            <w:r>
              <w:rPr>
                <w:rFonts w:ascii="Times New Roman" w:eastAsia="宋体" w:hAnsi="Times New Roman"/>
                <w:b/>
                <w:bCs/>
                <w:color w:val="FFFFFF"/>
                <w:sz w:val="16"/>
                <w:szCs w:val="16"/>
              </w:rPr>
              <w:br/>
              <w:t>Development</w:t>
            </w:r>
          </w:p>
        </w:tc>
        <w:tc>
          <w:tcPr>
            <w:tcW w:w="0" w:type="auto"/>
            <w:gridSpan w:val="3"/>
            <w:shd w:val="clear" w:color="auto" w:fill="auto"/>
            <w:tcMar>
              <w:top w:w="0" w:type="dxa"/>
              <w:left w:w="20" w:type="dxa"/>
              <w:bottom w:w="0" w:type="dxa"/>
              <w:right w:w="20" w:type="dxa"/>
            </w:tcMar>
          </w:tcPr>
          <w:p w14:paraId="00BAFB04"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B05" w14:textId="77777777" w:rsidR="00871BDF" w:rsidRDefault="005C5088">
            <w:pPr>
              <w:jc w:val="center"/>
              <w:textAlignment w:val="bottom"/>
            </w:pPr>
            <w:r>
              <w:rPr>
                <w:rFonts w:ascii="Times New Roman" w:eastAsia="宋体" w:hAnsi="Times New Roman"/>
                <w:b/>
                <w:bCs/>
                <w:color w:val="FFFFFF"/>
                <w:sz w:val="16"/>
                <w:szCs w:val="16"/>
              </w:rPr>
              <w:t xml:space="preserve">Corporate and Other </w:t>
            </w:r>
          </w:p>
        </w:tc>
        <w:tc>
          <w:tcPr>
            <w:tcW w:w="0" w:type="auto"/>
            <w:gridSpan w:val="3"/>
            <w:shd w:val="clear" w:color="auto" w:fill="auto"/>
            <w:tcMar>
              <w:top w:w="0" w:type="dxa"/>
              <w:left w:w="20" w:type="dxa"/>
              <w:bottom w:w="0" w:type="dxa"/>
              <w:right w:w="20" w:type="dxa"/>
            </w:tcMar>
          </w:tcPr>
          <w:p w14:paraId="00BAFB06"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B07" w14:textId="77777777" w:rsidR="00871BDF" w:rsidRDefault="005C5088">
            <w:pPr>
              <w:jc w:val="center"/>
              <w:textAlignment w:val="bottom"/>
            </w:pPr>
            <w:r>
              <w:rPr>
                <w:rFonts w:ascii="Times New Roman" w:eastAsia="宋体" w:hAnsi="Times New Roman"/>
                <w:b/>
                <w:bCs/>
                <w:color w:val="FFFFFF"/>
                <w:sz w:val="16"/>
                <w:szCs w:val="16"/>
              </w:rPr>
              <w:t>Total</w:t>
            </w:r>
          </w:p>
        </w:tc>
      </w:tr>
      <w:tr w:rsidR="00871BDF" w14:paraId="00BAFB1D" w14:textId="77777777">
        <w:tc>
          <w:tcPr>
            <w:tcW w:w="0" w:type="auto"/>
            <w:gridSpan w:val="3"/>
            <w:shd w:val="clear" w:color="auto" w:fill="D7E4BC"/>
            <w:tcMar>
              <w:top w:w="40" w:type="dxa"/>
              <w:left w:w="20" w:type="dxa"/>
              <w:bottom w:w="40" w:type="dxa"/>
              <w:right w:w="20" w:type="dxa"/>
            </w:tcMar>
            <w:vAlign w:val="bottom"/>
          </w:tcPr>
          <w:p w14:paraId="00BAFB09" w14:textId="77777777" w:rsidR="00871BDF" w:rsidRDefault="005C5088">
            <w:pPr>
              <w:textAlignment w:val="bottom"/>
            </w:pPr>
            <w:r>
              <w:rPr>
                <w:rFonts w:ascii="Times New Roman" w:eastAsia="宋体" w:hAnsi="Times New Roman"/>
                <w:color w:val="000000"/>
                <w:sz w:val="20"/>
                <w:szCs w:val="20"/>
              </w:rPr>
              <w:t>Goodwill balance at September 30, 2018</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B0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B0B" w14:textId="77777777" w:rsidR="00871BDF" w:rsidRDefault="005C5088">
            <w:pPr>
              <w:jc w:val="right"/>
              <w:textAlignment w:val="bottom"/>
            </w:pPr>
            <w:r>
              <w:rPr>
                <w:rFonts w:ascii="Times New Roman" w:eastAsia="宋体" w:hAnsi="Times New Roman"/>
                <w:color w:val="000000"/>
                <w:sz w:val="20"/>
                <w:szCs w:val="20"/>
              </w:rPr>
              <w:t>497.4 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B0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0D"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B0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B0F" w14:textId="77777777" w:rsidR="00871BDF" w:rsidRDefault="005C5088">
            <w:pPr>
              <w:jc w:val="right"/>
              <w:textAlignment w:val="bottom"/>
            </w:pPr>
            <w:r>
              <w:rPr>
                <w:rFonts w:ascii="Times New Roman" w:eastAsia="宋体" w:hAnsi="Times New Roman"/>
                <w:color w:val="000000"/>
                <w:sz w:val="20"/>
                <w:szCs w:val="20"/>
              </w:rPr>
              <w:t>3,003.2 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B1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11"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B12"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B13" w14:textId="77777777" w:rsidR="00871BDF" w:rsidRDefault="005C5088">
            <w:pPr>
              <w:jc w:val="right"/>
              <w:textAlignment w:val="bottom"/>
            </w:pPr>
            <w:r>
              <w:rPr>
                <w:rFonts w:ascii="Times New Roman" w:eastAsia="宋体" w:hAnsi="Times New Roman"/>
                <w:color w:val="000000"/>
                <w:sz w:val="20"/>
                <w:szCs w:val="20"/>
              </w:rPr>
              <w:t>34.7 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B1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15"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B1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B17" w14:textId="77777777" w:rsidR="00871BDF" w:rsidRDefault="005C5088">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B1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19"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B1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B1B" w14:textId="77777777" w:rsidR="00871BDF" w:rsidRDefault="005C5088">
            <w:pPr>
              <w:jc w:val="right"/>
              <w:textAlignment w:val="bottom"/>
            </w:pPr>
            <w:r>
              <w:rPr>
                <w:rFonts w:ascii="Times New Roman" w:eastAsia="宋体" w:hAnsi="Times New Roman"/>
                <w:color w:val="000000"/>
                <w:sz w:val="20"/>
                <w:szCs w:val="20"/>
              </w:rPr>
              <w:t>3,541.6 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B1C" w14:textId="77777777" w:rsidR="00871BDF" w:rsidRDefault="00871BDF">
            <w:pPr>
              <w:jc w:val="right"/>
              <w:rPr>
                <w:rFonts w:ascii="宋体"/>
              </w:rPr>
            </w:pPr>
          </w:p>
        </w:tc>
      </w:tr>
      <w:tr w:rsidR="00871BDF" w14:paraId="00BAFB2D" w14:textId="77777777">
        <w:tc>
          <w:tcPr>
            <w:tcW w:w="0" w:type="auto"/>
            <w:gridSpan w:val="3"/>
            <w:shd w:val="clear" w:color="auto" w:fill="FFFFFF"/>
            <w:tcMar>
              <w:top w:w="40" w:type="dxa"/>
              <w:left w:w="155" w:type="dxa"/>
              <w:bottom w:w="40" w:type="dxa"/>
              <w:right w:w="20" w:type="dxa"/>
            </w:tcMar>
            <w:vAlign w:val="bottom"/>
          </w:tcPr>
          <w:p w14:paraId="00BAFB1E" w14:textId="77777777" w:rsidR="00871BDF" w:rsidRDefault="005C5088">
            <w:pPr>
              <w:textAlignment w:val="bottom"/>
            </w:pPr>
            <w:r>
              <w:rPr>
                <w:rFonts w:ascii="Times New Roman" w:eastAsia="宋体" w:hAnsi="Times New Roman"/>
                <w:color w:val="000000"/>
                <w:sz w:val="20"/>
                <w:szCs w:val="20"/>
              </w:rPr>
              <w:t>Acquisition/(divestiture)</w:t>
            </w:r>
          </w:p>
        </w:tc>
        <w:tc>
          <w:tcPr>
            <w:tcW w:w="0" w:type="auto"/>
            <w:gridSpan w:val="2"/>
            <w:shd w:val="clear" w:color="auto" w:fill="FFFFFF"/>
            <w:tcMar>
              <w:top w:w="40" w:type="dxa"/>
              <w:left w:w="20" w:type="dxa"/>
              <w:bottom w:w="40" w:type="dxa"/>
              <w:right w:w="0" w:type="dxa"/>
            </w:tcMar>
            <w:vAlign w:val="bottom"/>
          </w:tcPr>
          <w:p w14:paraId="00BAFB1F"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B2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2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22" w14:textId="77777777" w:rsidR="00871BDF" w:rsidRDefault="005C5088">
            <w:pPr>
              <w:jc w:val="right"/>
              <w:textAlignment w:val="bottom"/>
            </w:pPr>
            <w:r>
              <w:rPr>
                <w:rFonts w:ascii="Times New Roman" w:eastAsia="宋体" w:hAnsi="Times New Roman"/>
                <w:color w:val="000000"/>
                <w:sz w:val="20"/>
                <w:szCs w:val="20"/>
              </w:rPr>
              <w:t>(5.5)</w:t>
            </w:r>
          </w:p>
        </w:tc>
        <w:tc>
          <w:tcPr>
            <w:tcW w:w="0" w:type="auto"/>
            <w:shd w:val="clear" w:color="auto" w:fill="FFFFFF"/>
            <w:tcMar>
              <w:top w:w="40" w:type="dxa"/>
              <w:left w:w="0" w:type="dxa"/>
              <w:bottom w:w="40" w:type="dxa"/>
              <w:right w:w="20" w:type="dxa"/>
            </w:tcMar>
            <w:vAlign w:val="bottom"/>
          </w:tcPr>
          <w:p w14:paraId="00BAFB2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2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25"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B2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2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2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B2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2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2B" w14:textId="77777777" w:rsidR="00871BDF" w:rsidRDefault="005C5088">
            <w:pPr>
              <w:jc w:val="right"/>
              <w:textAlignment w:val="bottom"/>
            </w:pPr>
            <w:r>
              <w:rPr>
                <w:rFonts w:ascii="Times New Roman" w:eastAsia="宋体" w:hAnsi="Times New Roman"/>
                <w:color w:val="000000"/>
                <w:sz w:val="20"/>
                <w:szCs w:val="20"/>
              </w:rPr>
              <w:t>(5.5)</w:t>
            </w:r>
          </w:p>
        </w:tc>
        <w:tc>
          <w:tcPr>
            <w:tcW w:w="0" w:type="auto"/>
            <w:shd w:val="clear" w:color="auto" w:fill="FFFFFF"/>
            <w:tcMar>
              <w:top w:w="40" w:type="dxa"/>
              <w:left w:w="0" w:type="dxa"/>
              <w:bottom w:w="40" w:type="dxa"/>
              <w:right w:w="20" w:type="dxa"/>
            </w:tcMar>
            <w:vAlign w:val="bottom"/>
          </w:tcPr>
          <w:p w14:paraId="00BAFB2C" w14:textId="77777777" w:rsidR="00871BDF" w:rsidRDefault="00871BDF">
            <w:pPr>
              <w:jc w:val="right"/>
              <w:rPr>
                <w:rFonts w:ascii="宋体"/>
              </w:rPr>
            </w:pPr>
          </w:p>
        </w:tc>
      </w:tr>
      <w:tr w:rsidR="00871BDF" w14:paraId="00BAFB3D" w14:textId="77777777">
        <w:tc>
          <w:tcPr>
            <w:tcW w:w="0" w:type="auto"/>
            <w:gridSpan w:val="3"/>
            <w:shd w:val="clear" w:color="auto" w:fill="D7E4BC"/>
            <w:tcMar>
              <w:top w:w="40" w:type="dxa"/>
              <w:left w:w="155" w:type="dxa"/>
              <w:bottom w:w="40" w:type="dxa"/>
              <w:right w:w="20" w:type="dxa"/>
            </w:tcMar>
            <w:vAlign w:val="bottom"/>
          </w:tcPr>
          <w:p w14:paraId="00BAFB2E" w14:textId="77777777" w:rsidR="00871BDF" w:rsidRDefault="005C5088">
            <w:pPr>
              <w:textAlignment w:val="bottom"/>
            </w:pPr>
            <w:r>
              <w:rPr>
                <w:rFonts w:ascii="Times New Roman" w:eastAsia="宋体" w:hAnsi="Times New Roman"/>
                <w:color w:val="000000"/>
                <w:sz w:val="20"/>
                <w:szCs w:val="20"/>
              </w:rPr>
              <w:t>Impairment</w:t>
            </w:r>
          </w:p>
        </w:tc>
        <w:tc>
          <w:tcPr>
            <w:tcW w:w="0" w:type="auto"/>
            <w:gridSpan w:val="2"/>
            <w:shd w:val="clear" w:color="auto" w:fill="D7E4BC"/>
            <w:tcMar>
              <w:top w:w="40" w:type="dxa"/>
              <w:left w:w="20" w:type="dxa"/>
              <w:bottom w:w="40" w:type="dxa"/>
              <w:right w:w="0" w:type="dxa"/>
            </w:tcMar>
            <w:vAlign w:val="bottom"/>
          </w:tcPr>
          <w:p w14:paraId="00BAFB2F"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B3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3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B32" w14:textId="77777777" w:rsidR="00871BDF" w:rsidRDefault="005C5088">
            <w:pPr>
              <w:jc w:val="right"/>
              <w:textAlignment w:val="bottom"/>
            </w:pPr>
            <w:r>
              <w:rPr>
                <w:rFonts w:ascii="Times New Roman" w:eastAsia="宋体" w:hAnsi="Times New Roman"/>
                <w:color w:val="000000"/>
                <w:sz w:val="20"/>
                <w:szCs w:val="20"/>
              </w:rPr>
              <w:t>(5.3)</w:t>
            </w:r>
          </w:p>
        </w:tc>
        <w:tc>
          <w:tcPr>
            <w:tcW w:w="0" w:type="auto"/>
            <w:shd w:val="clear" w:color="auto" w:fill="D7E4BC"/>
            <w:tcMar>
              <w:top w:w="40" w:type="dxa"/>
              <w:left w:w="0" w:type="dxa"/>
              <w:bottom w:w="40" w:type="dxa"/>
              <w:right w:w="20" w:type="dxa"/>
            </w:tcMar>
            <w:vAlign w:val="bottom"/>
          </w:tcPr>
          <w:p w14:paraId="00BAFB3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3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B35"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B3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3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B38" w14:textId="77777777" w:rsidR="00871BDF" w:rsidRDefault="005C5088">
            <w:pPr>
              <w:jc w:val="right"/>
              <w:textAlignment w:val="bottom"/>
            </w:pPr>
            <w:r>
              <w:rPr>
                <w:rFonts w:ascii="Times New Roman" w:eastAsia="宋体" w:hAnsi="Times New Roman"/>
                <w:color w:val="000000"/>
                <w:sz w:val="20"/>
                <w:szCs w:val="20"/>
              </w:rPr>
              <w:t>(5.2)</w:t>
            </w:r>
          </w:p>
        </w:tc>
        <w:tc>
          <w:tcPr>
            <w:tcW w:w="0" w:type="auto"/>
            <w:shd w:val="clear" w:color="auto" w:fill="D7E4BC"/>
            <w:tcMar>
              <w:top w:w="40" w:type="dxa"/>
              <w:left w:w="0" w:type="dxa"/>
              <w:bottom w:w="40" w:type="dxa"/>
              <w:right w:w="20" w:type="dxa"/>
            </w:tcMar>
            <w:vAlign w:val="bottom"/>
          </w:tcPr>
          <w:p w14:paraId="00BAFB3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3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B3B" w14:textId="77777777" w:rsidR="00871BDF" w:rsidRDefault="005C5088">
            <w:pPr>
              <w:jc w:val="right"/>
              <w:textAlignment w:val="bottom"/>
            </w:pPr>
            <w:r>
              <w:rPr>
                <w:rFonts w:ascii="Times New Roman" w:eastAsia="宋体" w:hAnsi="Times New Roman"/>
                <w:color w:val="000000"/>
                <w:sz w:val="20"/>
                <w:szCs w:val="20"/>
              </w:rPr>
              <w:t>(10.5)</w:t>
            </w:r>
          </w:p>
        </w:tc>
        <w:tc>
          <w:tcPr>
            <w:tcW w:w="0" w:type="auto"/>
            <w:shd w:val="clear" w:color="auto" w:fill="D7E4BC"/>
            <w:tcMar>
              <w:top w:w="40" w:type="dxa"/>
              <w:left w:w="0" w:type="dxa"/>
              <w:bottom w:w="40" w:type="dxa"/>
              <w:right w:w="20" w:type="dxa"/>
            </w:tcMar>
            <w:vAlign w:val="bottom"/>
          </w:tcPr>
          <w:p w14:paraId="00BAFB3C" w14:textId="77777777" w:rsidR="00871BDF" w:rsidRDefault="00871BDF">
            <w:pPr>
              <w:jc w:val="right"/>
              <w:rPr>
                <w:rFonts w:ascii="宋体"/>
              </w:rPr>
            </w:pPr>
          </w:p>
        </w:tc>
      </w:tr>
      <w:tr w:rsidR="00871BDF" w14:paraId="00BAFB4D" w14:textId="77777777">
        <w:tc>
          <w:tcPr>
            <w:tcW w:w="0" w:type="auto"/>
            <w:gridSpan w:val="3"/>
            <w:shd w:val="clear" w:color="auto" w:fill="FFFFFF"/>
            <w:tcMar>
              <w:top w:w="40" w:type="dxa"/>
              <w:left w:w="20" w:type="dxa"/>
              <w:bottom w:w="40" w:type="dxa"/>
              <w:right w:w="20" w:type="dxa"/>
            </w:tcMar>
            <w:vAlign w:val="bottom"/>
          </w:tcPr>
          <w:p w14:paraId="00BAFB3E" w14:textId="77777777" w:rsidR="00871BDF" w:rsidRDefault="005C5088">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0BAFB3F" w14:textId="77777777" w:rsidR="00871BDF" w:rsidRDefault="005C5088">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left w:w="0" w:type="dxa"/>
              <w:bottom w:w="40" w:type="dxa"/>
              <w:right w:w="20" w:type="dxa"/>
            </w:tcMar>
            <w:vAlign w:val="bottom"/>
          </w:tcPr>
          <w:p w14:paraId="00BAFB4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4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42" w14:textId="77777777" w:rsidR="00871BDF" w:rsidRDefault="005C5088">
            <w:pPr>
              <w:jc w:val="right"/>
              <w:textAlignment w:val="bottom"/>
            </w:pPr>
            <w:r>
              <w:rPr>
                <w:rFonts w:ascii="Times New Roman" w:eastAsia="宋体" w:hAnsi="Times New Roman"/>
                <w:color w:val="000000"/>
                <w:sz w:val="20"/>
                <w:szCs w:val="20"/>
              </w:rPr>
              <w:t>(34.0)</w:t>
            </w:r>
          </w:p>
        </w:tc>
        <w:tc>
          <w:tcPr>
            <w:tcW w:w="0" w:type="auto"/>
            <w:shd w:val="clear" w:color="auto" w:fill="FFFFFF"/>
            <w:tcMar>
              <w:top w:w="40" w:type="dxa"/>
              <w:left w:w="0" w:type="dxa"/>
              <w:bottom w:w="40" w:type="dxa"/>
              <w:right w:w="20" w:type="dxa"/>
            </w:tcMar>
            <w:vAlign w:val="bottom"/>
          </w:tcPr>
          <w:p w14:paraId="00BAFB4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4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45"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B4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4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48" w14:textId="77777777" w:rsidR="00871BDF" w:rsidRDefault="005C5088">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00BAFB4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4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4B" w14:textId="77777777" w:rsidR="00871BDF" w:rsidRDefault="005C5088">
            <w:pPr>
              <w:jc w:val="right"/>
              <w:textAlignment w:val="bottom"/>
            </w:pPr>
            <w:r>
              <w:rPr>
                <w:rFonts w:ascii="Times New Roman" w:eastAsia="宋体" w:hAnsi="Times New Roman"/>
                <w:color w:val="000000"/>
                <w:sz w:val="20"/>
                <w:szCs w:val="20"/>
              </w:rPr>
              <w:t>(34.8)</w:t>
            </w:r>
          </w:p>
        </w:tc>
        <w:tc>
          <w:tcPr>
            <w:tcW w:w="0" w:type="auto"/>
            <w:shd w:val="clear" w:color="auto" w:fill="FFFFFF"/>
            <w:tcMar>
              <w:top w:w="40" w:type="dxa"/>
              <w:left w:w="0" w:type="dxa"/>
              <w:bottom w:w="40" w:type="dxa"/>
              <w:right w:w="20" w:type="dxa"/>
            </w:tcMar>
            <w:vAlign w:val="bottom"/>
          </w:tcPr>
          <w:p w14:paraId="00BAFB4C" w14:textId="77777777" w:rsidR="00871BDF" w:rsidRDefault="00871BDF">
            <w:pPr>
              <w:jc w:val="right"/>
              <w:rPr>
                <w:rFonts w:ascii="宋体"/>
              </w:rPr>
            </w:pPr>
          </w:p>
        </w:tc>
      </w:tr>
      <w:tr w:rsidR="00871BDF" w14:paraId="00BAFB62" w14:textId="77777777">
        <w:tc>
          <w:tcPr>
            <w:tcW w:w="0" w:type="auto"/>
            <w:gridSpan w:val="3"/>
            <w:shd w:val="clear" w:color="auto" w:fill="D7E4BC"/>
            <w:tcMar>
              <w:top w:w="40" w:type="dxa"/>
              <w:left w:w="20" w:type="dxa"/>
              <w:bottom w:w="40" w:type="dxa"/>
              <w:right w:w="20" w:type="dxa"/>
            </w:tcMar>
            <w:vAlign w:val="bottom"/>
          </w:tcPr>
          <w:p w14:paraId="00BAFB4E" w14:textId="77777777" w:rsidR="00871BDF" w:rsidRDefault="005C5088">
            <w:pPr>
              <w:textAlignment w:val="bottom"/>
            </w:pPr>
            <w:r>
              <w:rPr>
                <w:rFonts w:ascii="Times New Roman" w:eastAsia="宋体" w:hAnsi="Times New Roman"/>
                <w:color w:val="000000"/>
                <w:sz w:val="20"/>
                <w:szCs w:val="20"/>
              </w:rPr>
              <w:t>Goodwill balance at September 29, 2019</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B4F"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B50" w14:textId="77777777" w:rsidR="00871BDF" w:rsidRDefault="005C5088">
            <w:pPr>
              <w:jc w:val="right"/>
              <w:textAlignment w:val="bottom"/>
            </w:pPr>
            <w:r>
              <w:rPr>
                <w:rFonts w:ascii="Times New Roman" w:eastAsia="宋体" w:hAnsi="Times New Roman"/>
                <w:color w:val="000000"/>
                <w:sz w:val="20"/>
                <w:szCs w:val="20"/>
              </w:rPr>
              <w:t>496.7 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B5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52"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B53"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B54" w14:textId="77777777" w:rsidR="00871BDF" w:rsidRDefault="005C5088">
            <w:pPr>
              <w:jc w:val="right"/>
              <w:textAlignment w:val="bottom"/>
            </w:pPr>
            <w:r>
              <w:rPr>
                <w:rFonts w:ascii="Times New Roman" w:eastAsia="宋体" w:hAnsi="Times New Roman"/>
                <w:color w:val="000000"/>
                <w:sz w:val="20"/>
                <w:szCs w:val="20"/>
              </w:rPr>
              <w:t>2,958.4 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B5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56"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B57"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B58" w14:textId="77777777" w:rsidR="00871BDF" w:rsidRDefault="005C5088">
            <w:pPr>
              <w:jc w:val="right"/>
              <w:textAlignment w:val="bottom"/>
            </w:pPr>
            <w:r>
              <w:rPr>
                <w:rFonts w:ascii="Times New Roman" w:eastAsia="宋体" w:hAnsi="Times New Roman"/>
                <w:color w:val="000000"/>
                <w:sz w:val="20"/>
                <w:szCs w:val="20"/>
              </w:rPr>
              <w:t>34.7 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B5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5A"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B5B"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B5C" w14:textId="77777777" w:rsidR="00871BDF" w:rsidRDefault="005C5088">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B5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5E"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B5F"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B60" w14:textId="77777777" w:rsidR="00871BDF" w:rsidRDefault="005C5088">
            <w:pPr>
              <w:jc w:val="right"/>
              <w:textAlignment w:val="bottom"/>
            </w:pPr>
            <w:r>
              <w:rPr>
                <w:rFonts w:ascii="Times New Roman" w:eastAsia="宋体" w:hAnsi="Times New Roman"/>
                <w:color w:val="000000"/>
                <w:sz w:val="20"/>
                <w:szCs w:val="20"/>
              </w:rPr>
              <w:t>3,490.8 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B61" w14:textId="77777777" w:rsidR="00871BDF" w:rsidRDefault="00871BDF">
            <w:pPr>
              <w:jc w:val="right"/>
              <w:rPr>
                <w:rFonts w:ascii="宋体"/>
              </w:rPr>
            </w:pPr>
          </w:p>
        </w:tc>
      </w:tr>
      <w:tr w:rsidR="00871BDF" w14:paraId="00BAFB72" w14:textId="77777777">
        <w:tc>
          <w:tcPr>
            <w:tcW w:w="0" w:type="auto"/>
            <w:gridSpan w:val="3"/>
            <w:shd w:val="clear" w:color="auto" w:fill="FFFFFF"/>
            <w:tcMar>
              <w:top w:w="40" w:type="dxa"/>
              <w:left w:w="155" w:type="dxa"/>
              <w:bottom w:w="40" w:type="dxa"/>
              <w:right w:w="20" w:type="dxa"/>
            </w:tcMar>
            <w:vAlign w:val="bottom"/>
          </w:tcPr>
          <w:p w14:paraId="00BAFB63" w14:textId="77777777" w:rsidR="00871BDF" w:rsidRDefault="005C5088">
            <w:pPr>
              <w:textAlignment w:val="bottom"/>
            </w:pPr>
            <w:r>
              <w:rPr>
                <w:rFonts w:ascii="Times New Roman" w:eastAsia="宋体" w:hAnsi="Times New Roman"/>
                <w:color w:val="000000"/>
                <w:sz w:val="20"/>
                <w:szCs w:val="20"/>
              </w:rPr>
              <w:t>Acquisition/(divestiture)</w:t>
            </w:r>
          </w:p>
        </w:tc>
        <w:tc>
          <w:tcPr>
            <w:tcW w:w="0" w:type="auto"/>
            <w:gridSpan w:val="2"/>
            <w:shd w:val="clear" w:color="auto" w:fill="FFFFFF"/>
            <w:tcMar>
              <w:top w:w="40" w:type="dxa"/>
              <w:left w:w="20" w:type="dxa"/>
              <w:bottom w:w="40" w:type="dxa"/>
              <w:right w:w="0" w:type="dxa"/>
            </w:tcMar>
            <w:vAlign w:val="bottom"/>
          </w:tcPr>
          <w:p w14:paraId="00BAFB6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B6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6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6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B6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6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6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B6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6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6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B6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6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70"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B71" w14:textId="77777777" w:rsidR="00871BDF" w:rsidRDefault="00871BDF">
            <w:pPr>
              <w:jc w:val="right"/>
              <w:rPr>
                <w:rFonts w:ascii="宋体"/>
              </w:rPr>
            </w:pPr>
          </w:p>
        </w:tc>
      </w:tr>
      <w:tr w:rsidR="00871BDF" w14:paraId="00BAFB82" w14:textId="77777777">
        <w:tc>
          <w:tcPr>
            <w:tcW w:w="0" w:type="auto"/>
            <w:gridSpan w:val="3"/>
            <w:shd w:val="clear" w:color="auto" w:fill="D7E4BC"/>
            <w:tcMar>
              <w:top w:w="40" w:type="dxa"/>
              <w:left w:w="155" w:type="dxa"/>
              <w:bottom w:w="40" w:type="dxa"/>
              <w:right w:w="20" w:type="dxa"/>
            </w:tcMar>
            <w:vAlign w:val="bottom"/>
          </w:tcPr>
          <w:p w14:paraId="00BAFB73" w14:textId="77777777" w:rsidR="00871BDF" w:rsidRDefault="005C5088">
            <w:pPr>
              <w:textAlignment w:val="bottom"/>
            </w:pPr>
            <w:r>
              <w:rPr>
                <w:rFonts w:ascii="Times New Roman" w:eastAsia="宋体" w:hAnsi="Times New Roman"/>
                <w:color w:val="000000"/>
                <w:sz w:val="20"/>
                <w:szCs w:val="20"/>
              </w:rPr>
              <w:t>Impairment</w:t>
            </w:r>
          </w:p>
        </w:tc>
        <w:tc>
          <w:tcPr>
            <w:tcW w:w="0" w:type="auto"/>
            <w:gridSpan w:val="2"/>
            <w:shd w:val="clear" w:color="auto" w:fill="D7E4BC"/>
            <w:tcMar>
              <w:top w:w="40" w:type="dxa"/>
              <w:left w:w="20" w:type="dxa"/>
              <w:bottom w:w="40" w:type="dxa"/>
              <w:right w:w="0" w:type="dxa"/>
            </w:tcMar>
            <w:vAlign w:val="bottom"/>
          </w:tcPr>
          <w:p w14:paraId="00BAFB7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B7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7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B7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B7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7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B7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B7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7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B7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B7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7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B80"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B81" w14:textId="77777777" w:rsidR="00871BDF" w:rsidRDefault="00871BDF">
            <w:pPr>
              <w:jc w:val="right"/>
              <w:rPr>
                <w:rFonts w:ascii="宋体"/>
              </w:rPr>
            </w:pPr>
          </w:p>
        </w:tc>
      </w:tr>
      <w:tr w:rsidR="00871BDF" w14:paraId="00BAFB92" w14:textId="77777777">
        <w:tc>
          <w:tcPr>
            <w:tcW w:w="0" w:type="auto"/>
            <w:gridSpan w:val="3"/>
            <w:shd w:val="clear" w:color="auto" w:fill="FFFFFF"/>
            <w:tcMar>
              <w:top w:w="40" w:type="dxa"/>
              <w:left w:w="20" w:type="dxa"/>
              <w:bottom w:w="40" w:type="dxa"/>
              <w:right w:w="20" w:type="dxa"/>
            </w:tcMar>
            <w:vAlign w:val="bottom"/>
          </w:tcPr>
          <w:p w14:paraId="00BAFB83" w14:textId="77777777" w:rsidR="00871BDF" w:rsidRDefault="005C5088">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0BAFB84" w14:textId="77777777" w:rsidR="00871BDF" w:rsidRDefault="005C5088">
            <w:pPr>
              <w:jc w:val="right"/>
              <w:textAlignment w:val="bottom"/>
            </w:pPr>
            <w:r>
              <w:rPr>
                <w:rFonts w:ascii="Times New Roman" w:eastAsia="宋体" w:hAnsi="Times New Roman"/>
                <w:color w:val="000000"/>
                <w:sz w:val="20"/>
                <w:szCs w:val="20"/>
              </w:rPr>
              <w:t>(0.2)</w:t>
            </w:r>
          </w:p>
        </w:tc>
        <w:tc>
          <w:tcPr>
            <w:tcW w:w="0" w:type="auto"/>
            <w:shd w:val="clear" w:color="auto" w:fill="FFFFFF"/>
            <w:tcMar>
              <w:top w:w="40" w:type="dxa"/>
              <w:left w:w="0" w:type="dxa"/>
              <w:bottom w:w="40" w:type="dxa"/>
              <w:right w:w="20" w:type="dxa"/>
            </w:tcMar>
            <w:vAlign w:val="bottom"/>
          </w:tcPr>
          <w:p w14:paraId="00BAFB8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8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87" w14:textId="77777777" w:rsidR="00871BDF" w:rsidRDefault="005C5088">
            <w:pPr>
              <w:jc w:val="right"/>
              <w:textAlignment w:val="bottom"/>
            </w:pPr>
            <w:r>
              <w:rPr>
                <w:rFonts w:ascii="Times New Roman" w:eastAsia="宋体" w:hAnsi="Times New Roman"/>
                <w:color w:val="000000"/>
                <w:sz w:val="20"/>
                <w:szCs w:val="20"/>
              </w:rPr>
              <w:t>106.6 </w:t>
            </w:r>
          </w:p>
        </w:tc>
        <w:tc>
          <w:tcPr>
            <w:tcW w:w="0" w:type="auto"/>
            <w:shd w:val="clear" w:color="auto" w:fill="FFFFFF"/>
            <w:tcMar>
              <w:top w:w="40" w:type="dxa"/>
              <w:left w:w="0" w:type="dxa"/>
              <w:bottom w:w="40" w:type="dxa"/>
              <w:right w:w="20" w:type="dxa"/>
            </w:tcMar>
            <w:vAlign w:val="bottom"/>
          </w:tcPr>
          <w:p w14:paraId="00BAFB8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8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8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B8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8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8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B8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B8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B90" w14:textId="77777777" w:rsidR="00871BDF" w:rsidRDefault="005C5088">
            <w:pPr>
              <w:jc w:val="right"/>
              <w:textAlignment w:val="bottom"/>
            </w:pPr>
            <w:r>
              <w:rPr>
                <w:rFonts w:ascii="Times New Roman" w:eastAsia="宋体" w:hAnsi="Times New Roman"/>
                <w:color w:val="000000"/>
                <w:sz w:val="20"/>
                <w:szCs w:val="20"/>
              </w:rPr>
              <w:t>106.4 </w:t>
            </w:r>
          </w:p>
        </w:tc>
        <w:tc>
          <w:tcPr>
            <w:tcW w:w="0" w:type="auto"/>
            <w:shd w:val="clear" w:color="auto" w:fill="FFFFFF"/>
            <w:tcMar>
              <w:top w:w="40" w:type="dxa"/>
              <w:left w:w="0" w:type="dxa"/>
              <w:bottom w:w="40" w:type="dxa"/>
              <w:right w:w="20" w:type="dxa"/>
            </w:tcMar>
            <w:vAlign w:val="bottom"/>
          </w:tcPr>
          <w:p w14:paraId="00BAFB91" w14:textId="77777777" w:rsidR="00871BDF" w:rsidRDefault="00871BDF">
            <w:pPr>
              <w:jc w:val="right"/>
              <w:rPr>
                <w:rFonts w:ascii="宋体"/>
              </w:rPr>
            </w:pPr>
          </w:p>
        </w:tc>
      </w:tr>
      <w:tr w:rsidR="00871BDF" w14:paraId="00BAFBA7" w14:textId="77777777">
        <w:tc>
          <w:tcPr>
            <w:tcW w:w="0" w:type="auto"/>
            <w:gridSpan w:val="3"/>
            <w:shd w:val="clear" w:color="auto" w:fill="D7E4BC"/>
            <w:tcMar>
              <w:top w:w="40" w:type="dxa"/>
              <w:left w:w="20" w:type="dxa"/>
              <w:bottom w:w="40" w:type="dxa"/>
              <w:right w:w="20" w:type="dxa"/>
            </w:tcMar>
            <w:vAlign w:val="bottom"/>
          </w:tcPr>
          <w:p w14:paraId="00BAFB93" w14:textId="77777777" w:rsidR="00871BDF" w:rsidRDefault="005C5088">
            <w:pPr>
              <w:textAlignment w:val="bottom"/>
            </w:pPr>
            <w:r>
              <w:rPr>
                <w:rFonts w:ascii="Times New Roman" w:eastAsia="宋体" w:hAnsi="Times New Roman"/>
                <w:color w:val="000000"/>
                <w:sz w:val="20"/>
                <w:szCs w:val="20"/>
              </w:rPr>
              <w:t>Goodwill balance at September 27, 2020</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B9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B95" w14:textId="77777777" w:rsidR="00871BDF" w:rsidRDefault="005C5088">
            <w:pPr>
              <w:jc w:val="right"/>
              <w:textAlignment w:val="bottom"/>
            </w:pPr>
            <w:r>
              <w:rPr>
                <w:rFonts w:ascii="Times New Roman" w:eastAsia="宋体" w:hAnsi="Times New Roman"/>
                <w:color w:val="000000"/>
                <w:sz w:val="20"/>
                <w:szCs w:val="20"/>
              </w:rPr>
              <w:t>496.5 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B9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97"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B98"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B99" w14:textId="77777777" w:rsidR="00871BDF" w:rsidRDefault="005C5088">
            <w:pPr>
              <w:jc w:val="right"/>
              <w:textAlignment w:val="bottom"/>
            </w:pPr>
            <w:r>
              <w:rPr>
                <w:rFonts w:ascii="Times New Roman" w:eastAsia="宋体" w:hAnsi="Times New Roman"/>
                <w:color w:val="000000"/>
                <w:sz w:val="20"/>
                <w:szCs w:val="20"/>
              </w:rPr>
              <w:t>3,065.0 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B9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9B"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B9C"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B9D" w14:textId="77777777" w:rsidR="00871BDF" w:rsidRDefault="005C5088">
            <w:pPr>
              <w:jc w:val="right"/>
              <w:textAlignment w:val="bottom"/>
            </w:pPr>
            <w:r>
              <w:rPr>
                <w:rFonts w:ascii="Times New Roman" w:eastAsia="宋体" w:hAnsi="Times New Roman"/>
                <w:color w:val="000000"/>
                <w:sz w:val="20"/>
                <w:szCs w:val="20"/>
              </w:rPr>
              <w:t>34.7 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B9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9F"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BA0"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BA1" w14:textId="77777777" w:rsidR="00871BDF" w:rsidRDefault="005C5088">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BA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A3"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BA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BA5" w14:textId="77777777" w:rsidR="00871BDF" w:rsidRDefault="005C5088">
            <w:pPr>
              <w:jc w:val="right"/>
              <w:textAlignment w:val="bottom"/>
            </w:pPr>
            <w:r>
              <w:rPr>
                <w:rFonts w:ascii="Times New Roman" w:eastAsia="宋体" w:hAnsi="Times New Roman"/>
                <w:color w:val="000000"/>
                <w:sz w:val="20"/>
                <w:szCs w:val="20"/>
              </w:rPr>
              <w:t>3,597.2 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BA6" w14:textId="77777777" w:rsidR="00871BDF" w:rsidRDefault="00871BDF">
            <w:pPr>
              <w:jc w:val="right"/>
              <w:rPr>
                <w:rFonts w:ascii="宋体"/>
              </w:rPr>
            </w:pPr>
          </w:p>
        </w:tc>
      </w:tr>
    </w:tbl>
    <w:p w14:paraId="00BAFBA8" w14:textId="77777777" w:rsidR="00871BDF" w:rsidRDefault="005C5088">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For f</w:t>
      </w:r>
      <w:r>
        <w:rPr>
          <w:rFonts w:ascii="Times New Roman" w:eastAsia="宋体" w:hAnsi="Times New Roman"/>
          <w:color w:val="000000"/>
          <w:sz w:val="20"/>
          <w:szCs w:val="20"/>
        </w:rPr>
        <w:t xml:space="preserve">iscal 2020 and 2019, “Other” primarily consists of foreign currency translation. </w:t>
      </w:r>
    </w:p>
    <w:p w14:paraId="00BAFBA9" w14:textId="77777777" w:rsidR="00871BDF" w:rsidRDefault="005C5088">
      <w:pPr>
        <w:spacing w:before="120"/>
      </w:pPr>
      <w:r>
        <w:rPr>
          <w:rFonts w:ascii="Times New Roman" w:eastAsia="宋体" w:hAnsi="Times New Roman"/>
          <w:b/>
          <w:bCs/>
          <w:color w:val="000000"/>
          <w:sz w:val="20"/>
          <w:szCs w:val="20"/>
        </w:rPr>
        <w:t>Note 9:    Debt</w:t>
      </w:r>
      <w:r>
        <w:rPr>
          <w:rFonts w:ascii="Times New Roman" w:eastAsia="宋体" w:hAnsi="Times New Roman"/>
          <w:color w:val="000000"/>
          <w:sz w:val="20"/>
          <w:szCs w:val="20"/>
        </w:rPr>
        <w:t xml:space="preserve"> </w:t>
      </w:r>
    </w:p>
    <w:p w14:paraId="00BAFBAA" w14:textId="77777777" w:rsidR="00871BDF" w:rsidRDefault="005C5088">
      <w:pPr>
        <w:spacing w:before="120"/>
      </w:pPr>
      <w:r>
        <w:rPr>
          <w:rFonts w:ascii="Times New Roman" w:eastAsia="宋体" w:hAnsi="Times New Roman"/>
          <w:b/>
          <w:bCs/>
          <w:i/>
          <w:iCs/>
          <w:color w:val="000000"/>
          <w:sz w:val="20"/>
          <w:szCs w:val="20"/>
        </w:rPr>
        <w:t xml:space="preserve">Revolving Credit Facility </w:t>
      </w:r>
    </w:p>
    <w:p w14:paraId="00BAFBAB" w14:textId="77777777" w:rsidR="00871BDF" w:rsidRDefault="005C5088">
      <w:pPr>
        <w:spacing w:before="120"/>
      </w:pPr>
      <w:r>
        <w:rPr>
          <w:rFonts w:ascii="Times New Roman" w:eastAsia="宋体" w:hAnsi="Times New Roman"/>
          <w:color w:val="000000"/>
          <w:sz w:val="20"/>
          <w:szCs w:val="20"/>
        </w:rPr>
        <w:t>Our $2.0 billion unsecured 5-year revolving credit facility (the “2018 credit facility”) and our $1.0 billion unsecured 364-Day cr</w:t>
      </w:r>
      <w:r>
        <w:rPr>
          <w:rFonts w:ascii="Times New Roman" w:eastAsia="宋体" w:hAnsi="Times New Roman"/>
          <w:color w:val="000000"/>
          <w:sz w:val="20"/>
          <w:szCs w:val="20"/>
        </w:rPr>
        <w:t xml:space="preserve">edit facility (the “364-day credit facility”) are available for working capital, capital expenditures and other corporate purposes, including acquisitions and share repurchases. </w:t>
      </w:r>
    </w:p>
    <w:p w14:paraId="00BAFBAC" w14:textId="77777777" w:rsidR="00871BDF" w:rsidRDefault="005C5088">
      <w:pPr>
        <w:spacing w:before="120"/>
      </w:pPr>
      <w:r>
        <w:rPr>
          <w:rFonts w:ascii="Times New Roman" w:eastAsia="宋体" w:hAnsi="Times New Roman"/>
          <w:color w:val="000000"/>
          <w:sz w:val="20"/>
          <w:szCs w:val="20"/>
        </w:rPr>
        <w:t xml:space="preserve">The 2018 credit facility, of which $150 million may be used for issuances of </w:t>
      </w:r>
      <w:r>
        <w:rPr>
          <w:rFonts w:ascii="Times New Roman" w:eastAsia="宋体" w:hAnsi="Times New Roman"/>
          <w:color w:val="000000"/>
          <w:sz w:val="20"/>
          <w:szCs w:val="20"/>
        </w:rPr>
        <w:t>letters of credit, is currently set to mature on October 25, 2022. We have the option, subject to negotiation and agreement with the related banks, to increase the maximum commitment amount by an additional $500 million. Borrowings under the credit facilit</w:t>
      </w:r>
      <w:r>
        <w:rPr>
          <w:rFonts w:ascii="Times New Roman" w:eastAsia="宋体" w:hAnsi="Times New Roman"/>
          <w:color w:val="000000"/>
          <w:sz w:val="20"/>
          <w:szCs w:val="20"/>
        </w:rPr>
        <w:t>y will bear interest at a variable rate based on LIBOR, and, for U.S. dollar-denominated loans under certain circumstances, a Base Rate (as defined in the credit facility), in each case plus an applicable margin. The applicable margin is based on the bette</w:t>
      </w:r>
      <w:r>
        <w:rPr>
          <w:rFonts w:ascii="Times New Roman" w:eastAsia="宋体" w:hAnsi="Times New Roman"/>
          <w:color w:val="000000"/>
          <w:sz w:val="20"/>
          <w:szCs w:val="20"/>
        </w:rPr>
        <w:t>r of (i) the Company's long-term credit ratings assigned by Moody's and Standard &amp; Poor's rating agencies and (ii) the Company's fixed charge coverage ratio, pursuant to a pricing grid set forth in the five-year credit agreement. The current applicable mar</w:t>
      </w:r>
      <w:r>
        <w:rPr>
          <w:rFonts w:ascii="Times New Roman" w:eastAsia="宋体" w:hAnsi="Times New Roman"/>
          <w:color w:val="000000"/>
          <w:sz w:val="20"/>
          <w:szCs w:val="20"/>
        </w:rPr>
        <w:t>gin is 1.100% for Eurocurrency Rate Loans and 0.000% (nil) for Base Rate Loans.</w:t>
      </w:r>
    </w:p>
    <w:p w14:paraId="00BAFBAD" w14:textId="77777777" w:rsidR="00871BDF" w:rsidRDefault="005C5088">
      <w:pPr>
        <w:spacing w:before="120"/>
      </w:pPr>
      <w:r>
        <w:rPr>
          <w:rFonts w:ascii="Times New Roman" w:eastAsia="宋体" w:hAnsi="Times New Roman"/>
          <w:color w:val="000000"/>
          <w:sz w:val="20"/>
          <w:szCs w:val="20"/>
        </w:rPr>
        <w:t>The 364-day credit facility, of which no amount may be used for issuances of letters of credit, has been extended to mature on September 22, 2021. We have the option, subject t</w:t>
      </w:r>
      <w:r>
        <w:rPr>
          <w:rFonts w:ascii="Times New Roman" w:eastAsia="宋体" w:hAnsi="Times New Roman"/>
          <w:color w:val="000000"/>
          <w:sz w:val="20"/>
          <w:szCs w:val="20"/>
        </w:rPr>
        <w:t xml:space="preserve">o negotiation and agreement with the related banks, to increase the maximum commitment amount by an additional $500 million. Borrowings under the credit facility bear interest at a variable rate based on LIBOR, and, for U.S. dollar-denominated loans under </w:t>
      </w:r>
      <w:r>
        <w:rPr>
          <w:rFonts w:ascii="Times New Roman" w:eastAsia="宋体" w:hAnsi="Times New Roman"/>
          <w:color w:val="000000"/>
          <w:sz w:val="20"/>
          <w:szCs w:val="20"/>
        </w:rPr>
        <w:t>certain circumstances, a Base Rate (as defined in the credit facility), in each case plus an applicable margin. The applicable margin is based on the better of (i) the Company's long-term credit ratings assigned by Moody's and Standard &amp; Poor's rating agen</w:t>
      </w:r>
      <w:r>
        <w:rPr>
          <w:rFonts w:ascii="Times New Roman" w:eastAsia="宋体" w:hAnsi="Times New Roman"/>
          <w:color w:val="000000"/>
          <w:sz w:val="20"/>
          <w:szCs w:val="20"/>
        </w:rPr>
        <w:t>cies and (ii) the Company's fixed charge coverage ratio, pursuant to a pricing grid set forth in the 364-day credit agreement. The applicable margin is 1.150% for Eurocurrency Rate Loans and 0.150% for Base Rate Loans.</w:t>
      </w:r>
    </w:p>
    <w:p w14:paraId="00BAFBAE" w14:textId="77777777" w:rsidR="00871BDF" w:rsidRDefault="005C5088">
      <w:pPr>
        <w:spacing w:before="120"/>
      </w:pPr>
      <w:r>
        <w:rPr>
          <w:rFonts w:ascii="Times New Roman" w:eastAsia="宋体" w:hAnsi="Times New Roman"/>
          <w:color w:val="000000"/>
          <w:sz w:val="20"/>
          <w:szCs w:val="20"/>
        </w:rPr>
        <w:t>Both credit facilities contain provis</w:t>
      </w:r>
      <w:r>
        <w:rPr>
          <w:rFonts w:ascii="Times New Roman" w:eastAsia="宋体" w:hAnsi="Times New Roman"/>
          <w:color w:val="000000"/>
          <w:sz w:val="20"/>
          <w:szCs w:val="20"/>
        </w:rPr>
        <w:t>ions requiring us to maintain compliance with certain covenants, including a minimum fixed charge coverage ratio, which measures our ability to cover financing expenses. As of September 27, 2020, we were in compliance with all applicable covenants. No amou</w:t>
      </w:r>
      <w:r>
        <w:rPr>
          <w:rFonts w:ascii="Times New Roman" w:eastAsia="宋体" w:hAnsi="Times New Roman"/>
          <w:color w:val="000000"/>
          <w:sz w:val="20"/>
          <w:szCs w:val="20"/>
        </w:rPr>
        <w:t>nts were outstanding under our 2018 credit facility or our 364-day credit facility as of September 27, 2020.</w:t>
      </w:r>
    </w:p>
    <w:p w14:paraId="00BAFBAF" w14:textId="77777777" w:rsidR="00871BDF" w:rsidRDefault="005C5088">
      <w:pPr>
        <w:spacing w:before="120"/>
      </w:pPr>
      <w:r>
        <w:rPr>
          <w:rFonts w:ascii="Times New Roman" w:eastAsia="宋体" w:hAnsi="Times New Roman"/>
          <w:b/>
          <w:bCs/>
          <w:i/>
          <w:iCs/>
          <w:color w:val="000000"/>
          <w:sz w:val="20"/>
          <w:szCs w:val="20"/>
        </w:rPr>
        <w:t>Short-term Debt</w:t>
      </w:r>
    </w:p>
    <w:p w14:paraId="00BAFBB0" w14:textId="77777777" w:rsidR="00871BDF" w:rsidRDefault="005C5088">
      <w:pPr>
        <w:spacing w:before="120"/>
      </w:pPr>
      <w:r>
        <w:rPr>
          <w:rFonts w:ascii="Times New Roman" w:eastAsia="宋体" w:hAnsi="Times New Roman"/>
          <w:color w:val="000000"/>
          <w:sz w:val="20"/>
          <w:szCs w:val="20"/>
        </w:rPr>
        <w:t>Under our commercial paper program, we may issue unsecured commercial paper notes up to a maximum aggregate amount outstanding at a</w:t>
      </w:r>
      <w:r>
        <w:rPr>
          <w:rFonts w:ascii="Times New Roman" w:eastAsia="宋体" w:hAnsi="Times New Roman"/>
          <w:color w:val="000000"/>
          <w:sz w:val="20"/>
          <w:szCs w:val="20"/>
        </w:rPr>
        <w:t>ny time of $3.0 billion, with individual maturities that may vary but not exceed 397 days from the date of issue. Amounts outstanding under the commercial paper program are required to be backstopped by available commitments under our credit facility discu</w:t>
      </w:r>
      <w:r>
        <w:rPr>
          <w:rFonts w:ascii="Times New Roman" w:eastAsia="宋体" w:hAnsi="Times New Roman"/>
          <w:color w:val="000000"/>
          <w:sz w:val="20"/>
          <w:szCs w:val="20"/>
        </w:rPr>
        <w:t>ssed above. The proceeds from borrowings under our commercial paper program may be used for working capital needs, capital expenditures and other corporate purposes, including, but not limited to, business expansion, payment of cash dividends on our common</w:t>
      </w:r>
      <w:r>
        <w:rPr>
          <w:rFonts w:ascii="Times New Roman" w:eastAsia="宋体" w:hAnsi="Times New Roman"/>
          <w:color w:val="000000"/>
          <w:sz w:val="20"/>
          <w:szCs w:val="20"/>
        </w:rPr>
        <w:t xml:space="preserve"> stock and share repurchases. As of September 27, 2020, we had $296.5 million borrowings outstanding under the program, net of unamortized discount, of which a majority matures in the second quarter of fiscal 2021.</w:t>
      </w:r>
    </w:p>
    <w:p w14:paraId="00BAFBB1" w14:textId="77777777" w:rsidR="00871BDF" w:rsidRDefault="005C5088">
      <w:pPr>
        <w:spacing w:before="120"/>
      </w:pPr>
      <w:r>
        <w:rPr>
          <w:rFonts w:ascii="Times New Roman" w:eastAsia="宋体" w:hAnsi="Times New Roman"/>
          <w:color w:val="000000"/>
          <w:sz w:val="20"/>
          <w:szCs w:val="20"/>
        </w:rPr>
        <w:t xml:space="preserve">During the third quarter of fiscal 2020, </w:t>
      </w:r>
      <w:r>
        <w:rPr>
          <w:rFonts w:ascii="Times New Roman" w:eastAsia="宋体" w:hAnsi="Times New Roman"/>
          <w:color w:val="000000"/>
          <w:sz w:val="20"/>
          <w:szCs w:val="20"/>
        </w:rPr>
        <w:t>we expanded our ¥1 billion unsecured credit facility to ¥5 billion, or $47.4 million. This facility is currently set to mature on December 31, 2020. Borrowings under the credit facility are subject to terms defined within the facility and will bear interes</w:t>
      </w:r>
      <w:r>
        <w:rPr>
          <w:rFonts w:ascii="Times New Roman" w:eastAsia="宋体" w:hAnsi="Times New Roman"/>
          <w:color w:val="000000"/>
          <w:sz w:val="20"/>
          <w:szCs w:val="20"/>
        </w:rPr>
        <w:t xml:space="preserve">t at a variable rate based on TIBOR plus an applicable margin of 0.400%. Additionally during the third quarter, we expanded our ¥2 billion unsecured credit facility to ¥10 billion, or $94.9 million. This facility is currently </w:t>
      </w:r>
    </w:p>
    <w:p w14:paraId="00BAFBB2" w14:textId="77777777" w:rsidR="00871BDF" w:rsidRDefault="005C5088">
      <w:pPr>
        <w:jc w:val="center"/>
      </w:pPr>
      <w:r>
        <w:rPr>
          <w:rFonts w:ascii="Times New Roman" w:eastAsia="宋体" w:hAnsi="Times New Roman"/>
          <w:color w:val="000000"/>
          <w:sz w:val="20"/>
          <w:szCs w:val="20"/>
        </w:rPr>
        <w:t>74</w:t>
      </w:r>
    </w:p>
    <w:p w14:paraId="00BAFBB3" w14:textId="77777777" w:rsidR="00871BDF" w:rsidRDefault="005C5088">
      <w:r>
        <w:pict w14:anchorId="00BB14AF">
          <v:rect id="_x0000_i1101" style="width:415.3pt;height:1.5pt" o:hralign="center" o:hrstd="t" o:hr="t" fillcolor="#a0a0a0" stroked="f"/>
        </w:pict>
      </w:r>
    </w:p>
    <w:p w14:paraId="00BAFBB4" w14:textId="77777777" w:rsidR="00871BDF" w:rsidRDefault="005C5088">
      <w:hyperlink r:id="rId214" w:anchor="i54ccc64cb5384be5a4849ef1cdef4dde_7" w:history="1">
        <w:r>
          <w:rPr>
            <w:rStyle w:val="a5"/>
            <w:rFonts w:ascii="Times New Roman" w:eastAsia="宋体" w:hAnsi="Times New Roman"/>
            <w:sz w:val="20"/>
            <w:szCs w:val="20"/>
          </w:rPr>
          <w:t>Table of Contents</w:t>
        </w:r>
      </w:hyperlink>
    </w:p>
    <w:p w14:paraId="00BAFBB5" w14:textId="77777777" w:rsidR="00871BDF" w:rsidRDefault="005C5088">
      <w:pPr>
        <w:spacing w:before="120"/>
      </w:pPr>
      <w:r>
        <w:rPr>
          <w:rFonts w:ascii="Times New Roman" w:eastAsia="宋体" w:hAnsi="Times New Roman"/>
          <w:color w:val="000000"/>
          <w:sz w:val="20"/>
          <w:szCs w:val="20"/>
        </w:rPr>
        <w:t xml:space="preserve">set to mature on March 26, 2021. Borrowings under the credit facility are subject to </w:t>
      </w:r>
      <w:r>
        <w:rPr>
          <w:rFonts w:ascii="Times New Roman" w:eastAsia="宋体" w:hAnsi="Times New Roman"/>
          <w:color w:val="000000"/>
          <w:sz w:val="20"/>
          <w:szCs w:val="20"/>
        </w:rPr>
        <w:t>terms defined within the facility and will bear interest at a variable rate based on TIBOR plus 0.300%. As of September 27, 2020, we had ¥15 billion, or $142.3 million, of borrowings outstanding under these Japanese Yen-denominated credit facilities.</w:t>
      </w:r>
    </w:p>
    <w:p w14:paraId="00BAFBB6" w14:textId="77777777" w:rsidR="00871BDF" w:rsidRDefault="005C5088">
      <w:pPr>
        <w:jc w:val="center"/>
      </w:pPr>
      <w:r>
        <w:rPr>
          <w:rFonts w:ascii="Times New Roman" w:eastAsia="宋体" w:hAnsi="Times New Roman"/>
          <w:color w:val="000000"/>
          <w:sz w:val="20"/>
          <w:szCs w:val="20"/>
        </w:rPr>
        <w:t>75</w:t>
      </w:r>
    </w:p>
    <w:p w14:paraId="00BAFBB7" w14:textId="77777777" w:rsidR="00871BDF" w:rsidRDefault="005C5088">
      <w:r>
        <w:pict w14:anchorId="00BB14B0">
          <v:rect id="_x0000_i1102" style="width:415.3pt;height:1.5pt" o:hralign="center" o:hrstd="t" o:hr="t" fillcolor="#a0a0a0" stroked="f"/>
        </w:pict>
      </w:r>
    </w:p>
    <w:p w14:paraId="00BAFBB8" w14:textId="77777777" w:rsidR="00871BDF" w:rsidRDefault="005C5088">
      <w:hyperlink r:id="rId215" w:anchor="i54ccc64cb5384be5a4849ef1cdef4dde_7" w:history="1">
        <w:r>
          <w:rPr>
            <w:rStyle w:val="a5"/>
            <w:rFonts w:ascii="Times New Roman" w:eastAsia="宋体" w:hAnsi="Times New Roman"/>
            <w:sz w:val="20"/>
            <w:szCs w:val="20"/>
          </w:rPr>
          <w:t>Table of Contents</w:t>
        </w:r>
      </w:hyperlink>
    </w:p>
    <w:p w14:paraId="00BAFBB9" w14:textId="77777777" w:rsidR="00871BDF" w:rsidRDefault="00871BDF">
      <w:pPr>
        <w:spacing w:before="120"/>
      </w:pPr>
    </w:p>
    <w:p w14:paraId="00BAFBBA" w14:textId="77777777" w:rsidR="00871BDF" w:rsidRDefault="005C5088">
      <w:pPr>
        <w:spacing w:before="120"/>
      </w:pPr>
      <w:r>
        <w:rPr>
          <w:rFonts w:ascii="Times New Roman" w:eastAsia="宋体" w:hAnsi="Times New Roman"/>
          <w:b/>
          <w:bCs/>
          <w:i/>
          <w:iCs/>
          <w:color w:val="000000"/>
          <w:sz w:val="20"/>
          <w:szCs w:val="20"/>
        </w:rPr>
        <w:t>Long-term Debt</w:t>
      </w:r>
    </w:p>
    <w:p w14:paraId="00BAFBBB" w14:textId="77777777" w:rsidR="00871BDF" w:rsidRDefault="005C5088">
      <w:pPr>
        <w:spacing w:before="120"/>
      </w:pPr>
      <w:r>
        <w:rPr>
          <w:rFonts w:ascii="Times New Roman" w:eastAsia="宋体" w:hAnsi="Times New Roman"/>
          <w:color w:val="000000"/>
          <w:sz w:val="20"/>
          <w:szCs w:val="20"/>
        </w:rPr>
        <w:t xml:space="preserve">Components of long-term debt including the associated </w:t>
      </w:r>
      <w:r>
        <w:rPr>
          <w:rFonts w:ascii="Times New Roman" w:eastAsia="宋体" w:hAnsi="Times New Roman"/>
          <w:color w:val="000000"/>
          <w:sz w:val="20"/>
          <w:szCs w:val="20"/>
        </w:rPr>
        <w:t>interest rates and related fair values by calendar maturity (</w:t>
      </w:r>
      <w:r>
        <w:rPr>
          <w:rFonts w:ascii="Times New Roman" w:eastAsia="宋体" w:hAnsi="Times New Roman"/>
          <w:i/>
          <w:iCs/>
          <w:color w:val="000000"/>
          <w:sz w:val="20"/>
          <w:szCs w:val="20"/>
        </w:rPr>
        <w:t>in millions, except interest rates):</w:t>
      </w:r>
    </w:p>
    <w:tbl>
      <w:tblPr>
        <w:tblW w:w="4971" w:type="pct"/>
        <w:tblCellMar>
          <w:top w:w="15" w:type="dxa"/>
          <w:left w:w="15" w:type="dxa"/>
          <w:bottom w:w="15" w:type="dxa"/>
          <w:right w:w="15" w:type="dxa"/>
        </w:tblCellMar>
        <w:tblLook w:val="04A0" w:firstRow="1" w:lastRow="0" w:firstColumn="1" w:lastColumn="0" w:noHBand="0" w:noVBand="1"/>
      </w:tblPr>
      <w:tblGrid>
        <w:gridCol w:w="63"/>
        <w:gridCol w:w="2074"/>
        <w:gridCol w:w="37"/>
        <w:gridCol w:w="120"/>
        <w:gridCol w:w="848"/>
        <w:gridCol w:w="36"/>
        <w:gridCol w:w="62"/>
        <w:gridCol w:w="820"/>
        <w:gridCol w:w="36"/>
        <w:gridCol w:w="36"/>
        <w:gridCol w:w="36"/>
        <w:gridCol w:w="36"/>
        <w:gridCol w:w="120"/>
        <w:gridCol w:w="806"/>
        <w:gridCol w:w="36"/>
        <w:gridCol w:w="62"/>
        <w:gridCol w:w="820"/>
        <w:gridCol w:w="36"/>
        <w:gridCol w:w="36"/>
        <w:gridCol w:w="36"/>
        <w:gridCol w:w="36"/>
        <w:gridCol w:w="49"/>
        <w:gridCol w:w="791"/>
        <w:gridCol w:w="187"/>
        <w:gridCol w:w="55"/>
        <w:gridCol w:w="827"/>
        <w:gridCol w:w="187"/>
      </w:tblGrid>
      <w:tr w:rsidR="00871BDF" w14:paraId="00BAFBD7" w14:textId="77777777">
        <w:tc>
          <w:tcPr>
            <w:tcW w:w="50" w:type="pct"/>
            <w:shd w:val="clear" w:color="auto" w:fill="auto"/>
          </w:tcPr>
          <w:p w14:paraId="00BAFBBC" w14:textId="77777777" w:rsidR="00871BDF" w:rsidRDefault="00871BDF">
            <w:pPr>
              <w:rPr>
                <w:rFonts w:ascii="宋体"/>
              </w:rPr>
            </w:pPr>
          </w:p>
        </w:tc>
        <w:tc>
          <w:tcPr>
            <w:tcW w:w="1297" w:type="pct"/>
            <w:shd w:val="clear" w:color="auto" w:fill="auto"/>
          </w:tcPr>
          <w:p w14:paraId="00BAFBBD" w14:textId="77777777" w:rsidR="00871BDF" w:rsidRDefault="00871BDF">
            <w:pPr>
              <w:rPr>
                <w:rFonts w:ascii="宋体"/>
              </w:rPr>
            </w:pPr>
          </w:p>
        </w:tc>
        <w:tc>
          <w:tcPr>
            <w:tcW w:w="5" w:type="pct"/>
            <w:shd w:val="clear" w:color="auto" w:fill="auto"/>
          </w:tcPr>
          <w:p w14:paraId="00BAFBBE" w14:textId="77777777" w:rsidR="00871BDF" w:rsidRDefault="00871BDF">
            <w:pPr>
              <w:rPr>
                <w:rFonts w:ascii="宋体"/>
              </w:rPr>
            </w:pPr>
          </w:p>
        </w:tc>
        <w:tc>
          <w:tcPr>
            <w:tcW w:w="50" w:type="pct"/>
            <w:shd w:val="clear" w:color="auto" w:fill="auto"/>
          </w:tcPr>
          <w:p w14:paraId="00BAFBBF" w14:textId="77777777" w:rsidR="00871BDF" w:rsidRDefault="00871BDF">
            <w:pPr>
              <w:rPr>
                <w:rFonts w:ascii="宋体"/>
              </w:rPr>
            </w:pPr>
          </w:p>
        </w:tc>
        <w:tc>
          <w:tcPr>
            <w:tcW w:w="540" w:type="pct"/>
            <w:shd w:val="clear" w:color="auto" w:fill="auto"/>
          </w:tcPr>
          <w:p w14:paraId="00BAFBC0" w14:textId="77777777" w:rsidR="00871BDF" w:rsidRDefault="00871BDF">
            <w:pPr>
              <w:rPr>
                <w:rFonts w:ascii="宋体"/>
              </w:rPr>
            </w:pPr>
          </w:p>
        </w:tc>
        <w:tc>
          <w:tcPr>
            <w:tcW w:w="5" w:type="pct"/>
            <w:shd w:val="clear" w:color="auto" w:fill="auto"/>
          </w:tcPr>
          <w:p w14:paraId="00BAFBC1" w14:textId="77777777" w:rsidR="00871BDF" w:rsidRDefault="00871BDF">
            <w:pPr>
              <w:rPr>
                <w:rFonts w:ascii="宋体"/>
              </w:rPr>
            </w:pPr>
          </w:p>
        </w:tc>
        <w:tc>
          <w:tcPr>
            <w:tcW w:w="50" w:type="pct"/>
            <w:shd w:val="clear" w:color="auto" w:fill="auto"/>
          </w:tcPr>
          <w:p w14:paraId="00BAFBC2" w14:textId="77777777" w:rsidR="00871BDF" w:rsidRDefault="00871BDF">
            <w:pPr>
              <w:rPr>
                <w:rFonts w:ascii="宋体"/>
              </w:rPr>
            </w:pPr>
          </w:p>
        </w:tc>
        <w:tc>
          <w:tcPr>
            <w:tcW w:w="540" w:type="pct"/>
            <w:shd w:val="clear" w:color="auto" w:fill="auto"/>
          </w:tcPr>
          <w:p w14:paraId="00BAFBC3" w14:textId="77777777" w:rsidR="00871BDF" w:rsidRDefault="00871BDF">
            <w:pPr>
              <w:rPr>
                <w:rFonts w:ascii="宋体"/>
              </w:rPr>
            </w:pPr>
          </w:p>
        </w:tc>
        <w:tc>
          <w:tcPr>
            <w:tcW w:w="5" w:type="pct"/>
            <w:shd w:val="clear" w:color="auto" w:fill="auto"/>
          </w:tcPr>
          <w:p w14:paraId="00BAFBC4" w14:textId="77777777" w:rsidR="00871BDF" w:rsidRDefault="00871BDF">
            <w:pPr>
              <w:rPr>
                <w:rFonts w:ascii="宋体"/>
              </w:rPr>
            </w:pPr>
          </w:p>
        </w:tc>
        <w:tc>
          <w:tcPr>
            <w:tcW w:w="5" w:type="pct"/>
            <w:shd w:val="clear" w:color="auto" w:fill="auto"/>
          </w:tcPr>
          <w:p w14:paraId="00BAFBC5" w14:textId="77777777" w:rsidR="00871BDF" w:rsidRDefault="00871BDF">
            <w:pPr>
              <w:rPr>
                <w:rFonts w:ascii="宋体"/>
              </w:rPr>
            </w:pPr>
          </w:p>
        </w:tc>
        <w:tc>
          <w:tcPr>
            <w:tcW w:w="26" w:type="pct"/>
            <w:shd w:val="clear" w:color="auto" w:fill="auto"/>
          </w:tcPr>
          <w:p w14:paraId="00BAFBC6" w14:textId="77777777" w:rsidR="00871BDF" w:rsidRDefault="00871BDF">
            <w:pPr>
              <w:rPr>
                <w:rFonts w:ascii="宋体"/>
              </w:rPr>
            </w:pPr>
          </w:p>
        </w:tc>
        <w:tc>
          <w:tcPr>
            <w:tcW w:w="5" w:type="pct"/>
            <w:shd w:val="clear" w:color="auto" w:fill="auto"/>
          </w:tcPr>
          <w:p w14:paraId="00BAFBC7" w14:textId="77777777" w:rsidR="00871BDF" w:rsidRDefault="00871BDF">
            <w:pPr>
              <w:rPr>
                <w:rFonts w:ascii="宋体"/>
              </w:rPr>
            </w:pPr>
          </w:p>
        </w:tc>
        <w:tc>
          <w:tcPr>
            <w:tcW w:w="50" w:type="pct"/>
            <w:shd w:val="clear" w:color="auto" w:fill="auto"/>
          </w:tcPr>
          <w:p w14:paraId="00BAFBC8" w14:textId="77777777" w:rsidR="00871BDF" w:rsidRDefault="00871BDF">
            <w:pPr>
              <w:rPr>
                <w:rFonts w:ascii="宋体"/>
              </w:rPr>
            </w:pPr>
          </w:p>
        </w:tc>
        <w:tc>
          <w:tcPr>
            <w:tcW w:w="540" w:type="pct"/>
            <w:shd w:val="clear" w:color="auto" w:fill="auto"/>
          </w:tcPr>
          <w:p w14:paraId="00BAFBC9" w14:textId="77777777" w:rsidR="00871BDF" w:rsidRDefault="00871BDF">
            <w:pPr>
              <w:rPr>
                <w:rFonts w:ascii="宋体"/>
              </w:rPr>
            </w:pPr>
          </w:p>
        </w:tc>
        <w:tc>
          <w:tcPr>
            <w:tcW w:w="5" w:type="pct"/>
            <w:shd w:val="clear" w:color="auto" w:fill="auto"/>
          </w:tcPr>
          <w:p w14:paraId="00BAFBCA" w14:textId="77777777" w:rsidR="00871BDF" w:rsidRDefault="00871BDF">
            <w:pPr>
              <w:rPr>
                <w:rFonts w:ascii="宋体"/>
              </w:rPr>
            </w:pPr>
          </w:p>
        </w:tc>
        <w:tc>
          <w:tcPr>
            <w:tcW w:w="50" w:type="pct"/>
            <w:shd w:val="clear" w:color="auto" w:fill="auto"/>
          </w:tcPr>
          <w:p w14:paraId="00BAFBCB" w14:textId="77777777" w:rsidR="00871BDF" w:rsidRDefault="00871BDF">
            <w:pPr>
              <w:rPr>
                <w:rFonts w:ascii="宋体"/>
              </w:rPr>
            </w:pPr>
          </w:p>
        </w:tc>
        <w:tc>
          <w:tcPr>
            <w:tcW w:w="540" w:type="pct"/>
            <w:shd w:val="clear" w:color="auto" w:fill="auto"/>
          </w:tcPr>
          <w:p w14:paraId="00BAFBCC" w14:textId="77777777" w:rsidR="00871BDF" w:rsidRDefault="00871BDF">
            <w:pPr>
              <w:rPr>
                <w:rFonts w:ascii="宋体"/>
              </w:rPr>
            </w:pPr>
          </w:p>
        </w:tc>
        <w:tc>
          <w:tcPr>
            <w:tcW w:w="5" w:type="pct"/>
            <w:shd w:val="clear" w:color="auto" w:fill="auto"/>
          </w:tcPr>
          <w:p w14:paraId="00BAFBCD" w14:textId="77777777" w:rsidR="00871BDF" w:rsidRDefault="00871BDF">
            <w:pPr>
              <w:rPr>
                <w:rFonts w:ascii="宋体"/>
              </w:rPr>
            </w:pPr>
          </w:p>
        </w:tc>
        <w:tc>
          <w:tcPr>
            <w:tcW w:w="5" w:type="pct"/>
            <w:shd w:val="clear" w:color="auto" w:fill="auto"/>
          </w:tcPr>
          <w:p w14:paraId="00BAFBCE" w14:textId="77777777" w:rsidR="00871BDF" w:rsidRDefault="00871BDF">
            <w:pPr>
              <w:rPr>
                <w:rFonts w:ascii="宋体"/>
              </w:rPr>
            </w:pPr>
          </w:p>
        </w:tc>
        <w:tc>
          <w:tcPr>
            <w:tcW w:w="26" w:type="pct"/>
            <w:shd w:val="clear" w:color="auto" w:fill="auto"/>
          </w:tcPr>
          <w:p w14:paraId="00BAFBCF" w14:textId="77777777" w:rsidR="00871BDF" w:rsidRDefault="00871BDF">
            <w:pPr>
              <w:rPr>
                <w:rFonts w:ascii="宋体"/>
              </w:rPr>
            </w:pPr>
          </w:p>
        </w:tc>
        <w:tc>
          <w:tcPr>
            <w:tcW w:w="5" w:type="pct"/>
            <w:shd w:val="clear" w:color="auto" w:fill="auto"/>
          </w:tcPr>
          <w:p w14:paraId="00BAFBD0" w14:textId="77777777" w:rsidR="00871BDF" w:rsidRDefault="00871BDF">
            <w:pPr>
              <w:rPr>
                <w:rFonts w:ascii="宋体"/>
              </w:rPr>
            </w:pPr>
          </w:p>
        </w:tc>
        <w:tc>
          <w:tcPr>
            <w:tcW w:w="50" w:type="pct"/>
            <w:shd w:val="clear" w:color="auto" w:fill="auto"/>
          </w:tcPr>
          <w:p w14:paraId="00BAFBD1" w14:textId="77777777" w:rsidR="00871BDF" w:rsidRDefault="00871BDF">
            <w:pPr>
              <w:rPr>
                <w:rFonts w:ascii="宋体"/>
              </w:rPr>
            </w:pPr>
          </w:p>
        </w:tc>
        <w:tc>
          <w:tcPr>
            <w:tcW w:w="540" w:type="pct"/>
            <w:shd w:val="clear" w:color="auto" w:fill="auto"/>
          </w:tcPr>
          <w:p w14:paraId="00BAFBD2" w14:textId="77777777" w:rsidR="00871BDF" w:rsidRDefault="00871BDF">
            <w:pPr>
              <w:rPr>
                <w:rFonts w:ascii="宋体"/>
              </w:rPr>
            </w:pPr>
          </w:p>
        </w:tc>
        <w:tc>
          <w:tcPr>
            <w:tcW w:w="5" w:type="pct"/>
            <w:shd w:val="clear" w:color="auto" w:fill="auto"/>
          </w:tcPr>
          <w:p w14:paraId="00BAFBD3" w14:textId="77777777" w:rsidR="00871BDF" w:rsidRDefault="00871BDF">
            <w:pPr>
              <w:rPr>
                <w:rFonts w:ascii="宋体"/>
              </w:rPr>
            </w:pPr>
          </w:p>
        </w:tc>
        <w:tc>
          <w:tcPr>
            <w:tcW w:w="50" w:type="pct"/>
            <w:shd w:val="clear" w:color="auto" w:fill="auto"/>
          </w:tcPr>
          <w:p w14:paraId="00BAFBD4" w14:textId="77777777" w:rsidR="00871BDF" w:rsidRDefault="00871BDF">
            <w:pPr>
              <w:rPr>
                <w:rFonts w:ascii="宋体"/>
              </w:rPr>
            </w:pPr>
          </w:p>
        </w:tc>
        <w:tc>
          <w:tcPr>
            <w:tcW w:w="540" w:type="pct"/>
            <w:shd w:val="clear" w:color="auto" w:fill="auto"/>
          </w:tcPr>
          <w:p w14:paraId="00BAFBD5" w14:textId="77777777" w:rsidR="00871BDF" w:rsidRDefault="00871BDF">
            <w:pPr>
              <w:rPr>
                <w:rFonts w:ascii="宋体"/>
              </w:rPr>
            </w:pPr>
          </w:p>
        </w:tc>
        <w:tc>
          <w:tcPr>
            <w:tcW w:w="5" w:type="pct"/>
            <w:shd w:val="clear" w:color="auto" w:fill="auto"/>
          </w:tcPr>
          <w:p w14:paraId="00BAFBD6" w14:textId="77777777" w:rsidR="00871BDF" w:rsidRDefault="00871BDF">
            <w:pPr>
              <w:rPr>
                <w:rFonts w:ascii="宋体"/>
              </w:rPr>
            </w:pPr>
          </w:p>
        </w:tc>
      </w:tr>
      <w:tr w:rsidR="00871BDF" w14:paraId="00BAFBDF" w14:textId="77777777">
        <w:trPr>
          <w:trHeight w:val="300"/>
        </w:trPr>
        <w:tc>
          <w:tcPr>
            <w:tcW w:w="0" w:type="auto"/>
            <w:gridSpan w:val="3"/>
            <w:shd w:val="clear" w:color="auto" w:fill="auto"/>
            <w:tcMar>
              <w:top w:w="0" w:type="dxa"/>
              <w:left w:w="20" w:type="dxa"/>
              <w:bottom w:w="0" w:type="dxa"/>
              <w:right w:w="20" w:type="dxa"/>
            </w:tcMar>
          </w:tcPr>
          <w:p w14:paraId="00BAFBD8" w14:textId="77777777" w:rsidR="00871BDF" w:rsidRDefault="00871BDF">
            <w:pPr>
              <w:rPr>
                <w:rFonts w:ascii="宋体"/>
              </w:rPr>
            </w:pPr>
          </w:p>
        </w:tc>
        <w:tc>
          <w:tcPr>
            <w:tcW w:w="0" w:type="auto"/>
            <w:gridSpan w:val="6"/>
            <w:shd w:val="clear" w:color="auto" w:fill="00704A"/>
            <w:tcMar>
              <w:top w:w="40" w:type="dxa"/>
              <w:left w:w="20" w:type="dxa"/>
              <w:bottom w:w="40" w:type="dxa"/>
              <w:right w:w="20" w:type="dxa"/>
            </w:tcMar>
            <w:vAlign w:val="bottom"/>
          </w:tcPr>
          <w:p w14:paraId="00BAFBD9"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AFBDA" w14:textId="77777777" w:rsidR="00871BDF" w:rsidRDefault="00871BDF">
            <w:pPr>
              <w:rPr>
                <w:rFonts w:ascii="宋体"/>
              </w:rPr>
            </w:pPr>
          </w:p>
        </w:tc>
        <w:tc>
          <w:tcPr>
            <w:tcW w:w="0" w:type="auto"/>
            <w:gridSpan w:val="6"/>
            <w:shd w:val="clear" w:color="auto" w:fill="00704A"/>
            <w:tcMar>
              <w:top w:w="40" w:type="dxa"/>
              <w:left w:w="20" w:type="dxa"/>
              <w:bottom w:w="40" w:type="dxa"/>
              <w:right w:w="20" w:type="dxa"/>
            </w:tcMar>
            <w:vAlign w:val="bottom"/>
          </w:tcPr>
          <w:p w14:paraId="00BAFBDB" w14:textId="77777777" w:rsidR="00871BDF" w:rsidRDefault="005C5088">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AFBDC"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0BAFBDD" w14:textId="77777777" w:rsidR="00871BDF" w:rsidRDefault="005C5088">
            <w:pPr>
              <w:jc w:val="center"/>
              <w:textAlignment w:val="bottom"/>
            </w:pPr>
            <w:r>
              <w:rPr>
                <w:rFonts w:ascii="Times New Roman" w:eastAsia="宋体" w:hAnsi="Times New Roman"/>
                <w:b/>
                <w:bCs/>
                <w:color w:val="FFFFFF"/>
                <w:sz w:val="16"/>
                <w:szCs w:val="16"/>
              </w:rPr>
              <w:t>Stated Interest Rate</w:t>
            </w:r>
          </w:p>
        </w:tc>
        <w:tc>
          <w:tcPr>
            <w:tcW w:w="0" w:type="auto"/>
            <w:gridSpan w:val="3"/>
            <w:vMerge w:val="restart"/>
            <w:shd w:val="clear" w:color="auto" w:fill="00704A"/>
            <w:tcMar>
              <w:top w:w="40" w:type="dxa"/>
              <w:left w:w="20" w:type="dxa"/>
              <w:bottom w:w="40" w:type="dxa"/>
              <w:right w:w="20" w:type="dxa"/>
            </w:tcMar>
            <w:vAlign w:val="bottom"/>
          </w:tcPr>
          <w:p w14:paraId="00BAFBDE" w14:textId="77777777" w:rsidR="00871BDF" w:rsidRDefault="005C5088">
            <w:pPr>
              <w:jc w:val="center"/>
              <w:textAlignment w:val="bottom"/>
            </w:pPr>
            <w:r>
              <w:rPr>
                <w:rFonts w:ascii="Times New Roman" w:eastAsia="宋体" w:hAnsi="Times New Roman"/>
                <w:b/>
                <w:bCs/>
                <w:color w:val="FFFFFF"/>
                <w:sz w:val="16"/>
                <w:szCs w:val="16"/>
              </w:rPr>
              <w:t xml:space="preserve">Effective Interest Rate </w:t>
            </w:r>
            <w:r>
              <w:rPr>
                <w:rFonts w:ascii="Times New Roman" w:eastAsia="宋体" w:hAnsi="Times New Roman"/>
                <w:b/>
                <w:bCs/>
                <w:color w:val="FFFFFF"/>
                <w:sz w:val="10"/>
                <w:szCs w:val="10"/>
              </w:rPr>
              <w:t>(1)</w:t>
            </w:r>
          </w:p>
        </w:tc>
      </w:tr>
      <w:tr w:rsidR="00871BDF" w14:paraId="00BAFBE9" w14:textId="77777777">
        <w:trPr>
          <w:trHeight w:val="480"/>
        </w:trPr>
        <w:tc>
          <w:tcPr>
            <w:tcW w:w="0" w:type="auto"/>
            <w:gridSpan w:val="3"/>
            <w:shd w:val="clear" w:color="auto" w:fill="FFFFFF"/>
            <w:tcMar>
              <w:top w:w="40" w:type="dxa"/>
              <w:left w:w="20" w:type="dxa"/>
              <w:bottom w:w="40" w:type="dxa"/>
              <w:right w:w="20" w:type="dxa"/>
            </w:tcMar>
            <w:vAlign w:val="bottom"/>
          </w:tcPr>
          <w:p w14:paraId="00BAFBE0" w14:textId="77777777" w:rsidR="00871BDF" w:rsidRDefault="005C5088">
            <w:pPr>
              <w:textAlignment w:val="bottom"/>
            </w:pPr>
            <w:r>
              <w:rPr>
                <w:rFonts w:ascii="Times New Roman" w:eastAsia="宋体" w:hAnsi="Times New Roman"/>
                <w:b/>
                <w:bCs/>
                <w:color w:val="000000"/>
                <w:sz w:val="20"/>
                <w:szCs w:val="20"/>
                <w:u w:val="single"/>
              </w:rPr>
              <w:t>Issuance</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BE1" w14:textId="77777777" w:rsidR="00871BDF" w:rsidRDefault="005C5088">
            <w:pPr>
              <w:jc w:val="center"/>
              <w:textAlignment w:val="bottom"/>
            </w:pPr>
            <w:r>
              <w:rPr>
                <w:rFonts w:ascii="Times New Roman" w:eastAsia="宋体" w:hAnsi="Times New Roman"/>
                <w:b/>
                <w:bCs/>
                <w:color w:val="FFFFFF"/>
                <w:sz w:val="16"/>
                <w:szCs w:val="16"/>
              </w:rPr>
              <w:t>Face Value</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BE2" w14:textId="77777777" w:rsidR="00871BDF" w:rsidRDefault="005C5088">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tcPr>
          <w:p w14:paraId="00BAFBE3"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BE4" w14:textId="77777777" w:rsidR="00871BDF" w:rsidRDefault="005C5088">
            <w:pPr>
              <w:jc w:val="center"/>
              <w:textAlignment w:val="bottom"/>
            </w:pPr>
            <w:r>
              <w:rPr>
                <w:rFonts w:ascii="Times New Roman" w:eastAsia="宋体" w:hAnsi="Times New Roman"/>
                <w:b/>
                <w:bCs/>
                <w:color w:val="FFFFFF"/>
                <w:sz w:val="16"/>
                <w:szCs w:val="16"/>
              </w:rPr>
              <w:t>Face Value</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AFBE5" w14:textId="77777777" w:rsidR="00871BDF" w:rsidRDefault="005C5088">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tcPr>
          <w:p w14:paraId="00BAFBE6"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bottom"/>
          </w:tcPr>
          <w:p w14:paraId="00BAFBE7" w14:textId="77777777" w:rsidR="00871BDF" w:rsidRDefault="00871BDF">
            <w:pPr>
              <w:jc w:val="center"/>
              <w:rPr>
                <w:rFonts w:ascii="宋体"/>
              </w:rPr>
            </w:pPr>
          </w:p>
        </w:tc>
        <w:tc>
          <w:tcPr>
            <w:tcW w:w="0" w:type="auto"/>
            <w:gridSpan w:val="3"/>
            <w:vMerge/>
            <w:shd w:val="clear" w:color="auto" w:fill="00704A"/>
            <w:tcMar>
              <w:top w:w="40" w:type="dxa"/>
              <w:left w:w="20" w:type="dxa"/>
              <w:bottom w:w="40" w:type="dxa"/>
              <w:right w:w="20" w:type="dxa"/>
            </w:tcMar>
            <w:vAlign w:val="bottom"/>
          </w:tcPr>
          <w:p w14:paraId="00BAFBE8" w14:textId="77777777" w:rsidR="00871BDF" w:rsidRDefault="00871BDF">
            <w:pPr>
              <w:rPr>
                <w:rFonts w:ascii="宋体"/>
              </w:rPr>
            </w:pPr>
          </w:p>
        </w:tc>
      </w:tr>
      <w:tr w:rsidR="00871BDF" w14:paraId="00BAFBFB" w14:textId="77777777">
        <w:tc>
          <w:tcPr>
            <w:tcW w:w="0" w:type="auto"/>
            <w:gridSpan w:val="3"/>
            <w:shd w:val="clear" w:color="auto" w:fill="D7E4BC"/>
            <w:tcMar>
              <w:top w:w="40" w:type="dxa"/>
              <w:left w:w="20" w:type="dxa"/>
              <w:bottom w:w="40" w:type="dxa"/>
              <w:right w:w="20" w:type="dxa"/>
            </w:tcMar>
            <w:vAlign w:val="bottom"/>
          </w:tcPr>
          <w:p w14:paraId="00BAFBEA" w14:textId="77777777" w:rsidR="00871BDF" w:rsidRDefault="005C5088">
            <w:pPr>
              <w:textAlignment w:val="bottom"/>
            </w:pPr>
            <w:r>
              <w:rPr>
                <w:rFonts w:ascii="Times New Roman" w:eastAsia="宋体" w:hAnsi="Times New Roman"/>
                <w:color w:val="000000"/>
                <w:sz w:val="20"/>
                <w:szCs w:val="20"/>
              </w:rPr>
              <w:t>November 2020 notes</w:t>
            </w:r>
          </w:p>
        </w:tc>
        <w:tc>
          <w:tcPr>
            <w:tcW w:w="0" w:type="auto"/>
            <w:shd w:val="clear" w:color="auto" w:fill="D7E4BC"/>
            <w:tcMar>
              <w:top w:w="40" w:type="dxa"/>
              <w:left w:w="20" w:type="dxa"/>
              <w:bottom w:w="40" w:type="dxa"/>
              <w:right w:w="0" w:type="dxa"/>
            </w:tcMar>
            <w:vAlign w:val="bottom"/>
          </w:tcPr>
          <w:p w14:paraId="00BAFBE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FBEC" w14:textId="77777777" w:rsidR="00871BDF" w:rsidRDefault="005C5088">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00BAFBED"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BEE" w14:textId="77777777" w:rsidR="00871BDF" w:rsidRDefault="005C5088">
            <w:pPr>
              <w:jc w:val="right"/>
              <w:textAlignment w:val="bottom"/>
            </w:pPr>
            <w:r>
              <w:rPr>
                <w:rFonts w:ascii="Times New Roman" w:eastAsia="宋体" w:hAnsi="Times New Roman"/>
                <w:color w:val="000000"/>
                <w:sz w:val="20"/>
                <w:szCs w:val="20"/>
              </w:rPr>
              <w:t>501 </w:t>
            </w:r>
          </w:p>
        </w:tc>
        <w:tc>
          <w:tcPr>
            <w:tcW w:w="0" w:type="auto"/>
            <w:shd w:val="clear" w:color="auto" w:fill="D7E4BC"/>
            <w:tcMar>
              <w:top w:w="40" w:type="dxa"/>
              <w:left w:w="0" w:type="dxa"/>
              <w:bottom w:w="40" w:type="dxa"/>
              <w:right w:w="20" w:type="dxa"/>
            </w:tcMar>
            <w:vAlign w:val="bottom"/>
          </w:tcPr>
          <w:p w14:paraId="00BAFBE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F0"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AFBF1"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FBF2" w14:textId="77777777" w:rsidR="00871BDF" w:rsidRDefault="005C5088">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00BAFBF3"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BF4" w14:textId="77777777" w:rsidR="00871BDF" w:rsidRDefault="005C5088">
            <w:pPr>
              <w:jc w:val="right"/>
              <w:textAlignment w:val="bottom"/>
            </w:pPr>
            <w:r>
              <w:rPr>
                <w:rFonts w:ascii="Times New Roman" w:eastAsia="宋体" w:hAnsi="Times New Roman"/>
                <w:color w:val="000000"/>
                <w:sz w:val="20"/>
                <w:szCs w:val="20"/>
              </w:rPr>
              <w:t>501 </w:t>
            </w:r>
          </w:p>
        </w:tc>
        <w:tc>
          <w:tcPr>
            <w:tcW w:w="0" w:type="auto"/>
            <w:shd w:val="clear" w:color="auto" w:fill="D7E4BC"/>
            <w:tcMar>
              <w:top w:w="40" w:type="dxa"/>
              <w:left w:w="0" w:type="dxa"/>
              <w:bottom w:w="40" w:type="dxa"/>
              <w:right w:w="20" w:type="dxa"/>
            </w:tcMar>
            <w:vAlign w:val="bottom"/>
          </w:tcPr>
          <w:p w14:paraId="00BAFBF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BF6"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BF7" w14:textId="77777777" w:rsidR="00871BDF" w:rsidRDefault="005C5088">
            <w:pPr>
              <w:jc w:val="right"/>
              <w:textAlignment w:val="bottom"/>
            </w:pPr>
            <w:r>
              <w:rPr>
                <w:rFonts w:ascii="Times New Roman" w:eastAsia="宋体" w:hAnsi="Times New Roman"/>
                <w:color w:val="000000"/>
                <w:sz w:val="20"/>
                <w:szCs w:val="20"/>
              </w:rPr>
              <w:t>2.200 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BF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BF9" w14:textId="77777777" w:rsidR="00871BDF" w:rsidRDefault="005C5088">
            <w:pPr>
              <w:jc w:val="right"/>
              <w:textAlignment w:val="bottom"/>
            </w:pPr>
            <w:r>
              <w:rPr>
                <w:rFonts w:ascii="Times New Roman" w:eastAsia="宋体" w:hAnsi="Times New Roman"/>
                <w:color w:val="000000"/>
                <w:sz w:val="20"/>
                <w:szCs w:val="20"/>
              </w:rPr>
              <w:t>2.228 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BF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0B" w14:textId="77777777">
        <w:tc>
          <w:tcPr>
            <w:tcW w:w="0" w:type="auto"/>
            <w:gridSpan w:val="3"/>
            <w:shd w:val="clear" w:color="auto" w:fill="FFFFFF"/>
            <w:tcMar>
              <w:top w:w="40" w:type="dxa"/>
              <w:left w:w="20" w:type="dxa"/>
              <w:bottom w:w="40" w:type="dxa"/>
              <w:right w:w="20" w:type="dxa"/>
            </w:tcMar>
            <w:vAlign w:val="bottom"/>
          </w:tcPr>
          <w:p w14:paraId="00BAFBFC" w14:textId="77777777" w:rsidR="00871BDF" w:rsidRDefault="005C5088">
            <w:pPr>
              <w:textAlignment w:val="bottom"/>
            </w:pPr>
            <w:r>
              <w:rPr>
                <w:rFonts w:ascii="Times New Roman" w:eastAsia="宋体" w:hAnsi="Times New Roman"/>
                <w:color w:val="000000"/>
                <w:sz w:val="20"/>
                <w:szCs w:val="20"/>
              </w:rPr>
              <w:t>February 2021 notes</w:t>
            </w:r>
          </w:p>
        </w:tc>
        <w:tc>
          <w:tcPr>
            <w:tcW w:w="0" w:type="auto"/>
            <w:gridSpan w:val="2"/>
            <w:shd w:val="clear" w:color="auto" w:fill="FFFFFF"/>
            <w:tcMar>
              <w:top w:w="40" w:type="dxa"/>
              <w:left w:w="20" w:type="dxa"/>
              <w:bottom w:w="40" w:type="dxa"/>
              <w:right w:w="0" w:type="dxa"/>
            </w:tcMar>
            <w:vAlign w:val="bottom"/>
          </w:tcPr>
          <w:p w14:paraId="00BAFBFD" w14:textId="77777777" w:rsidR="00871BDF" w:rsidRDefault="005C5088">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0BAFBFE"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BFF" w14:textId="77777777" w:rsidR="00871BDF" w:rsidRDefault="005C5088">
            <w:pPr>
              <w:jc w:val="right"/>
              <w:textAlignment w:val="bottom"/>
            </w:pPr>
            <w:r>
              <w:rPr>
                <w:rFonts w:ascii="Times New Roman" w:eastAsia="宋体" w:hAnsi="Times New Roman"/>
                <w:color w:val="000000"/>
                <w:sz w:val="20"/>
                <w:szCs w:val="20"/>
              </w:rPr>
              <w:t>502 </w:t>
            </w:r>
          </w:p>
        </w:tc>
        <w:tc>
          <w:tcPr>
            <w:tcW w:w="0" w:type="auto"/>
            <w:shd w:val="clear" w:color="auto" w:fill="FFFFFF"/>
            <w:tcMar>
              <w:top w:w="40" w:type="dxa"/>
              <w:left w:w="0" w:type="dxa"/>
              <w:bottom w:w="40" w:type="dxa"/>
              <w:right w:w="20" w:type="dxa"/>
            </w:tcMar>
            <w:vAlign w:val="bottom"/>
          </w:tcPr>
          <w:p w14:paraId="00BAFC0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0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02" w14:textId="77777777" w:rsidR="00871BDF" w:rsidRDefault="005C5088">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0BAFC03"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04" w14:textId="77777777" w:rsidR="00871BDF" w:rsidRDefault="005C5088">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00BAFC0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0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07" w14:textId="77777777" w:rsidR="00871BDF" w:rsidRDefault="005C5088">
            <w:pPr>
              <w:jc w:val="right"/>
              <w:textAlignment w:val="bottom"/>
            </w:pPr>
            <w:r>
              <w:rPr>
                <w:rFonts w:ascii="Times New Roman" w:eastAsia="宋体" w:hAnsi="Times New Roman"/>
                <w:color w:val="000000"/>
                <w:sz w:val="20"/>
                <w:szCs w:val="20"/>
              </w:rPr>
              <w:t>2.100 </w:t>
            </w:r>
          </w:p>
        </w:tc>
        <w:tc>
          <w:tcPr>
            <w:tcW w:w="0" w:type="auto"/>
            <w:shd w:val="clear" w:color="auto" w:fill="FFFFFF"/>
            <w:tcMar>
              <w:top w:w="40" w:type="dxa"/>
              <w:left w:w="0" w:type="dxa"/>
              <w:bottom w:w="40" w:type="dxa"/>
              <w:right w:w="20" w:type="dxa"/>
            </w:tcMar>
            <w:vAlign w:val="bottom"/>
          </w:tcPr>
          <w:p w14:paraId="00BAFC0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0BAFC09" w14:textId="77777777" w:rsidR="00871BDF" w:rsidRDefault="005C5088">
            <w:pPr>
              <w:jc w:val="right"/>
              <w:textAlignment w:val="bottom"/>
            </w:pPr>
            <w:r>
              <w:rPr>
                <w:rFonts w:ascii="Times New Roman" w:eastAsia="宋体" w:hAnsi="Times New Roman"/>
                <w:color w:val="000000"/>
                <w:sz w:val="20"/>
                <w:szCs w:val="20"/>
              </w:rPr>
              <w:t>2.293 </w:t>
            </w:r>
          </w:p>
        </w:tc>
        <w:tc>
          <w:tcPr>
            <w:tcW w:w="0" w:type="auto"/>
            <w:shd w:val="clear" w:color="auto" w:fill="FFFFFF"/>
            <w:tcMar>
              <w:top w:w="40" w:type="dxa"/>
              <w:left w:w="0" w:type="dxa"/>
              <w:bottom w:w="40" w:type="dxa"/>
              <w:right w:w="20" w:type="dxa"/>
            </w:tcMar>
            <w:vAlign w:val="bottom"/>
          </w:tcPr>
          <w:p w14:paraId="00BAFC0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1B" w14:textId="77777777">
        <w:tc>
          <w:tcPr>
            <w:tcW w:w="0" w:type="auto"/>
            <w:gridSpan w:val="3"/>
            <w:shd w:val="clear" w:color="auto" w:fill="D7E4BC"/>
            <w:tcMar>
              <w:top w:w="40" w:type="dxa"/>
              <w:left w:w="20" w:type="dxa"/>
              <w:bottom w:w="40" w:type="dxa"/>
              <w:right w:w="20" w:type="dxa"/>
            </w:tcMar>
            <w:vAlign w:val="bottom"/>
          </w:tcPr>
          <w:p w14:paraId="00BAFC0C" w14:textId="77777777" w:rsidR="00871BDF" w:rsidRDefault="005C5088">
            <w:pPr>
              <w:textAlignment w:val="bottom"/>
            </w:pPr>
            <w:r>
              <w:rPr>
                <w:rFonts w:ascii="Times New Roman" w:eastAsia="宋体" w:hAnsi="Times New Roman"/>
                <w:color w:val="000000"/>
                <w:sz w:val="20"/>
                <w:szCs w:val="20"/>
              </w:rPr>
              <w:t>February 2021 notes</w:t>
            </w:r>
          </w:p>
        </w:tc>
        <w:tc>
          <w:tcPr>
            <w:tcW w:w="0" w:type="auto"/>
            <w:gridSpan w:val="2"/>
            <w:shd w:val="clear" w:color="auto" w:fill="D7E4BC"/>
            <w:tcMar>
              <w:top w:w="40" w:type="dxa"/>
              <w:left w:w="20" w:type="dxa"/>
              <w:bottom w:w="40" w:type="dxa"/>
              <w:right w:w="0" w:type="dxa"/>
            </w:tcMar>
            <w:vAlign w:val="bottom"/>
          </w:tcPr>
          <w:p w14:paraId="00BAFC0D" w14:textId="77777777" w:rsidR="00871BDF" w:rsidRDefault="005C5088">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left w:w="0" w:type="dxa"/>
              <w:bottom w:w="40" w:type="dxa"/>
              <w:right w:w="20" w:type="dxa"/>
            </w:tcMar>
            <w:vAlign w:val="bottom"/>
          </w:tcPr>
          <w:p w14:paraId="00BAFC0E"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0F" w14:textId="77777777" w:rsidR="00871BDF" w:rsidRDefault="005C5088">
            <w:pPr>
              <w:jc w:val="right"/>
              <w:textAlignment w:val="bottom"/>
            </w:pPr>
            <w:r>
              <w:rPr>
                <w:rFonts w:ascii="Times New Roman" w:eastAsia="宋体" w:hAnsi="Times New Roman"/>
                <w:color w:val="000000"/>
                <w:sz w:val="20"/>
                <w:szCs w:val="20"/>
              </w:rPr>
              <w:t>251 </w:t>
            </w:r>
          </w:p>
        </w:tc>
        <w:tc>
          <w:tcPr>
            <w:tcW w:w="0" w:type="auto"/>
            <w:shd w:val="clear" w:color="auto" w:fill="D7E4BC"/>
            <w:tcMar>
              <w:top w:w="40" w:type="dxa"/>
              <w:left w:w="0" w:type="dxa"/>
              <w:bottom w:w="40" w:type="dxa"/>
              <w:right w:w="20" w:type="dxa"/>
            </w:tcMar>
            <w:vAlign w:val="bottom"/>
          </w:tcPr>
          <w:p w14:paraId="00BAFC1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1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12" w14:textId="77777777" w:rsidR="00871BDF" w:rsidRDefault="005C5088">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left w:w="0" w:type="dxa"/>
              <w:bottom w:w="40" w:type="dxa"/>
              <w:right w:w="20" w:type="dxa"/>
            </w:tcMar>
            <w:vAlign w:val="bottom"/>
          </w:tcPr>
          <w:p w14:paraId="00BAFC13"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14" w14:textId="77777777" w:rsidR="00871BDF" w:rsidRDefault="005C5088">
            <w:pPr>
              <w:jc w:val="right"/>
              <w:textAlignment w:val="bottom"/>
            </w:pPr>
            <w:r>
              <w:rPr>
                <w:rFonts w:ascii="Times New Roman" w:eastAsia="宋体" w:hAnsi="Times New Roman"/>
                <w:color w:val="000000"/>
                <w:sz w:val="20"/>
                <w:szCs w:val="20"/>
              </w:rPr>
              <w:t>250 </w:t>
            </w:r>
          </w:p>
        </w:tc>
        <w:tc>
          <w:tcPr>
            <w:tcW w:w="0" w:type="auto"/>
            <w:shd w:val="clear" w:color="auto" w:fill="D7E4BC"/>
            <w:tcMar>
              <w:top w:w="40" w:type="dxa"/>
              <w:left w:w="0" w:type="dxa"/>
              <w:bottom w:w="40" w:type="dxa"/>
              <w:right w:w="20" w:type="dxa"/>
            </w:tcMar>
            <w:vAlign w:val="bottom"/>
          </w:tcPr>
          <w:p w14:paraId="00BAFC1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1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17" w14:textId="77777777" w:rsidR="00871BDF" w:rsidRDefault="005C5088">
            <w:pPr>
              <w:jc w:val="right"/>
              <w:textAlignment w:val="bottom"/>
            </w:pPr>
            <w:r>
              <w:rPr>
                <w:rFonts w:ascii="Times New Roman" w:eastAsia="宋体" w:hAnsi="Times New Roman"/>
                <w:color w:val="000000"/>
                <w:sz w:val="20"/>
                <w:szCs w:val="20"/>
              </w:rPr>
              <w:t>2.100 </w:t>
            </w:r>
          </w:p>
        </w:tc>
        <w:tc>
          <w:tcPr>
            <w:tcW w:w="0" w:type="auto"/>
            <w:shd w:val="clear" w:color="auto" w:fill="D7E4BC"/>
            <w:tcMar>
              <w:top w:w="40" w:type="dxa"/>
              <w:left w:w="0" w:type="dxa"/>
              <w:bottom w:w="40" w:type="dxa"/>
              <w:right w:w="20" w:type="dxa"/>
            </w:tcMar>
            <w:vAlign w:val="bottom"/>
          </w:tcPr>
          <w:p w14:paraId="00BAFC1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0BAFC19" w14:textId="77777777" w:rsidR="00871BDF" w:rsidRDefault="005C5088">
            <w:pPr>
              <w:jc w:val="right"/>
              <w:textAlignment w:val="bottom"/>
            </w:pPr>
            <w:r>
              <w:rPr>
                <w:rFonts w:ascii="Times New Roman" w:eastAsia="宋体" w:hAnsi="Times New Roman"/>
                <w:color w:val="000000"/>
                <w:sz w:val="20"/>
                <w:szCs w:val="20"/>
              </w:rPr>
              <w:t>1.600 </w:t>
            </w:r>
          </w:p>
        </w:tc>
        <w:tc>
          <w:tcPr>
            <w:tcW w:w="0" w:type="auto"/>
            <w:shd w:val="clear" w:color="auto" w:fill="D7E4BC"/>
            <w:tcMar>
              <w:top w:w="40" w:type="dxa"/>
              <w:left w:w="0" w:type="dxa"/>
              <w:bottom w:w="40" w:type="dxa"/>
              <w:right w:w="20" w:type="dxa"/>
            </w:tcMar>
            <w:vAlign w:val="bottom"/>
          </w:tcPr>
          <w:p w14:paraId="00BAFC1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2B" w14:textId="77777777">
        <w:tc>
          <w:tcPr>
            <w:tcW w:w="0" w:type="auto"/>
            <w:gridSpan w:val="3"/>
            <w:shd w:val="clear" w:color="auto" w:fill="FFFFFF"/>
            <w:tcMar>
              <w:top w:w="40" w:type="dxa"/>
              <w:left w:w="20" w:type="dxa"/>
              <w:bottom w:w="40" w:type="dxa"/>
              <w:right w:w="20" w:type="dxa"/>
            </w:tcMar>
            <w:vAlign w:val="bottom"/>
          </w:tcPr>
          <w:p w14:paraId="00BAFC1C" w14:textId="77777777" w:rsidR="00871BDF" w:rsidRDefault="005C5088">
            <w:pPr>
              <w:textAlignment w:val="bottom"/>
            </w:pPr>
            <w:r>
              <w:rPr>
                <w:rFonts w:ascii="Times New Roman" w:eastAsia="宋体" w:hAnsi="Times New Roman"/>
                <w:color w:val="000000"/>
                <w:sz w:val="20"/>
                <w:szCs w:val="20"/>
              </w:rPr>
              <w:t>May 2022 notes</w:t>
            </w:r>
            <w:r>
              <w:rPr>
                <w:rFonts w:ascii="Times New Roman" w:eastAsia="宋体" w:hAnsi="Times New Roman"/>
                <w:color w:val="000000"/>
                <w:sz w:val="13"/>
                <w:szCs w:val="13"/>
              </w:rPr>
              <w:t>(5)</w:t>
            </w:r>
          </w:p>
        </w:tc>
        <w:tc>
          <w:tcPr>
            <w:tcW w:w="0" w:type="auto"/>
            <w:gridSpan w:val="2"/>
            <w:shd w:val="clear" w:color="auto" w:fill="FFFFFF"/>
            <w:tcMar>
              <w:top w:w="40" w:type="dxa"/>
              <w:left w:w="20" w:type="dxa"/>
              <w:bottom w:w="40" w:type="dxa"/>
              <w:right w:w="0" w:type="dxa"/>
            </w:tcMar>
            <w:vAlign w:val="bottom"/>
          </w:tcPr>
          <w:p w14:paraId="00BAFC1D" w14:textId="77777777" w:rsidR="00871BDF" w:rsidRDefault="005C5088">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0BAFC1E"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1F" w14:textId="77777777" w:rsidR="00871BDF" w:rsidRDefault="005C5088">
            <w:pPr>
              <w:jc w:val="right"/>
              <w:textAlignment w:val="bottom"/>
            </w:pPr>
            <w:r>
              <w:rPr>
                <w:rFonts w:ascii="Times New Roman" w:eastAsia="宋体" w:hAnsi="Times New Roman"/>
                <w:color w:val="000000"/>
                <w:sz w:val="20"/>
                <w:szCs w:val="20"/>
              </w:rPr>
              <w:t>506 </w:t>
            </w:r>
          </w:p>
        </w:tc>
        <w:tc>
          <w:tcPr>
            <w:tcW w:w="0" w:type="auto"/>
            <w:shd w:val="clear" w:color="auto" w:fill="FFFFFF"/>
            <w:tcMar>
              <w:top w:w="40" w:type="dxa"/>
              <w:left w:w="0" w:type="dxa"/>
              <w:bottom w:w="40" w:type="dxa"/>
              <w:right w:w="20" w:type="dxa"/>
            </w:tcMar>
            <w:vAlign w:val="bottom"/>
          </w:tcPr>
          <w:p w14:paraId="00BAFC2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2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22"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C23"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2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C2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2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27" w14:textId="77777777" w:rsidR="00871BDF" w:rsidRDefault="005C5088">
            <w:pPr>
              <w:jc w:val="right"/>
              <w:textAlignment w:val="bottom"/>
            </w:pPr>
            <w:r>
              <w:rPr>
                <w:rFonts w:ascii="Times New Roman" w:eastAsia="宋体" w:hAnsi="Times New Roman"/>
                <w:color w:val="000000"/>
                <w:sz w:val="20"/>
                <w:szCs w:val="20"/>
              </w:rPr>
              <w:t>1.300 </w:t>
            </w:r>
          </w:p>
        </w:tc>
        <w:tc>
          <w:tcPr>
            <w:tcW w:w="0" w:type="auto"/>
            <w:shd w:val="clear" w:color="auto" w:fill="FFFFFF"/>
            <w:tcMar>
              <w:top w:w="40" w:type="dxa"/>
              <w:left w:w="0" w:type="dxa"/>
              <w:bottom w:w="40" w:type="dxa"/>
              <w:right w:w="20" w:type="dxa"/>
            </w:tcMar>
            <w:vAlign w:val="bottom"/>
          </w:tcPr>
          <w:p w14:paraId="00BAFC2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0BAFC29" w14:textId="77777777" w:rsidR="00871BDF" w:rsidRDefault="005C5088">
            <w:pPr>
              <w:jc w:val="right"/>
              <w:textAlignment w:val="bottom"/>
            </w:pPr>
            <w:r>
              <w:rPr>
                <w:rFonts w:ascii="Times New Roman" w:eastAsia="宋体" w:hAnsi="Times New Roman"/>
                <w:color w:val="000000"/>
                <w:sz w:val="20"/>
                <w:szCs w:val="20"/>
              </w:rPr>
              <w:t>1.334 </w:t>
            </w:r>
          </w:p>
        </w:tc>
        <w:tc>
          <w:tcPr>
            <w:tcW w:w="0" w:type="auto"/>
            <w:shd w:val="clear" w:color="auto" w:fill="FFFFFF"/>
            <w:tcMar>
              <w:top w:w="40" w:type="dxa"/>
              <w:left w:w="0" w:type="dxa"/>
              <w:bottom w:w="40" w:type="dxa"/>
              <w:right w:w="20" w:type="dxa"/>
            </w:tcMar>
            <w:vAlign w:val="bottom"/>
          </w:tcPr>
          <w:p w14:paraId="00BAFC2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3B" w14:textId="77777777">
        <w:tc>
          <w:tcPr>
            <w:tcW w:w="0" w:type="auto"/>
            <w:gridSpan w:val="3"/>
            <w:shd w:val="clear" w:color="auto" w:fill="D7E4BC"/>
            <w:tcMar>
              <w:top w:w="40" w:type="dxa"/>
              <w:left w:w="20" w:type="dxa"/>
              <w:bottom w:w="40" w:type="dxa"/>
              <w:right w:w="20" w:type="dxa"/>
            </w:tcMar>
            <w:vAlign w:val="bottom"/>
          </w:tcPr>
          <w:p w14:paraId="00BAFC2C" w14:textId="77777777" w:rsidR="00871BDF" w:rsidRDefault="005C5088">
            <w:pPr>
              <w:textAlignment w:val="bottom"/>
            </w:pPr>
            <w:r>
              <w:rPr>
                <w:rFonts w:ascii="Times New Roman" w:eastAsia="宋体" w:hAnsi="Times New Roman"/>
                <w:color w:val="000000"/>
                <w:sz w:val="20"/>
                <w:szCs w:val="20"/>
              </w:rPr>
              <w:t>June</w:t>
            </w:r>
            <w:r>
              <w:rPr>
                <w:rFonts w:ascii="Times New Roman" w:eastAsia="宋体" w:hAnsi="Times New Roman"/>
                <w:color w:val="000000"/>
                <w:sz w:val="20"/>
                <w:szCs w:val="20"/>
              </w:rPr>
              <w:t xml:space="preserve"> 2022 notes</w:t>
            </w:r>
          </w:p>
        </w:tc>
        <w:tc>
          <w:tcPr>
            <w:tcW w:w="0" w:type="auto"/>
            <w:gridSpan w:val="2"/>
            <w:shd w:val="clear" w:color="auto" w:fill="D7E4BC"/>
            <w:tcMar>
              <w:top w:w="40" w:type="dxa"/>
              <w:left w:w="20" w:type="dxa"/>
              <w:bottom w:w="40" w:type="dxa"/>
              <w:right w:w="0" w:type="dxa"/>
            </w:tcMar>
            <w:vAlign w:val="bottom"/>
          </w:tcPr>
          <w:p w14:paraId="00BAFC2D" w14:textId="77777777" w:rsidR="00871BDF" w:rsidRDefault="005C5088">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00BAFC2E"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2F" w14:textId="77777777" w:rsidR="00871BDF" w:rsidRDefault="005C5088">
            <w:pPr>
              <w:jc w:val="right"/>
              <w:textAlignment w:val="bottom"/>
            </w:pPr>
            <w:r>
              <w:rPr>
                <w:rFonts w:ascii="Times New Roman" w:eastAsia="宋体" w:hAnsi="Times New Roman"/>
                <w:color w:val="000000"/>
                <w:sz w:val="20"/>
                <w:szCs w:val="20"/>
              </w:rPr>
              <w:t>518 </w:t>
            </w:r>
          </w:p>
        </w:tc>
        <w:tc>
          <w:tcPr>
            <w:tcW w:w="0" w:type="auto"/>
            <w:shd w:val="clear" w:color="auto" w:fill="D7E4BC"/>
            <w:tcMar>
              <w:top w:w="40" w:type="dxa"/>
              <w:left w:w="0" w:type="dxa"/>
              <w:bottom w:w="40" w:type="dxa"/>
              <w:right w:w="20" w:type="dxa"/>
            </w:tcMar>
            <w:vAlign w:val="bottom"/>
          </w:tcPr>
          <w:p w14:paraId="00BAFC3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3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32" w14:textId="77777777" w:rsidR="00871BDF" w:rsidRDefault="005C5088">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00BAFC33"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34" w14:textId="77777777" w:rsidR="00871BDF" w:rsidRDefault="005C5088">
            <w:pPr>
              <w:jc w:val="right"/>
              <w:textAlignment w:val="bottom"/>
            </w:pPr>
            <w:r>
              <w:rPr>
                <w:rFonts w:ascii="Times New Roman" w:eastAsia="宋体" w:hAnsi="Times New Roman"/>
                <w:color w:val="000000"/>
                <w:sz w:val="20"/>
                <w:szCs w:val="20"/>
              </w:rPr>
              <w:t>509 </w:t>
            </w:r>
          </w:p>
        </w:tc>
        <w:tc>
          <w:tcPr>
            <w:tcW w:w="0" w:type="auto"/>
            <w:shd w:val="clear" w:color="auto" w:fill="D7E4BC"/>
            <w:tcMar>
              <w:top w:w="40" w:type="dxa"/>
              <w:left w:w="0" w:type="dxa"/>
              <w:bottom w:w="40" w:type="dxa"/>
              <w:right w:w="20" w:type="dxa"/>
            </w:tcMar>
            <w:vAlign w:val="bottom"/>
          </w:tcPr>
          <w:p w14:paraId="00BAFC3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3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37" w14:textId="77777777" w:rsidR="00871BDF" w:rsidRDefault="005C5088">
            <w:pPr>
              <w:jc w:val="right"/>
              <w:textAlignment w:val="bottom"/>
            </w:pPr>
            <w:r>
              <w:rPr>
                <w:rFonts w:ascii="Times New Roman" w:eastAsia="宋体" w:hAnsi="Times New Roman"/>
                <w:color w:val="000000"/>
                <w:sz w:val="20"/>
                <w:szCs w:val="20"/>
              </w:rPr>
              <w:t>2.700 </w:t>
            </w:r>
          </w:p>
        </w:tc>
        <w:tc>
          <w:tcPr>
            <w:tcW w:w="0" w:type="auto"/>
            <w:shd w:val="clear" w:color="auto" w:fill="D7E4BC"/>
            <w:tcMar>
              <w:top w:w="40" w:type="dxa"/>
              <w:left w:w="0" w:type="dxa"/>
              <w:bottom w:w="40" w:type="dxa"/>
              <w:right w:w="20" w:type="dxa"/>
            </w:tcMar>
            <w:vAlign w:val="bottom"/>
          </w:tcPr>
          <w:p w14:paraId="00BAFC3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0BAFC39" w14:textId="77777777" w:rsidR="00871BDF" w:rsidRDefault="005C5088">
            <w:pPr>
              <w:jc w:val="right"/>
              <w:textAlignment w:val="bottom"/>
            </w:pPr>
            <w:r>
              <w:rPr>
                <w:rFonts w:ascii="Times New Roman" w:eastAsia="宋体" w:hAnsi="Times New Roman"/>
                <w:color w:val="000000"/>
                <w:sz w:val="20"/>
                <w:szCs w:val="20"/>
              </w:rPr>
              <w:t>2.819 </w:t>
            </w:r>
          </w:p>
        </w:tc>
        <w:tc>
          <w:tcPr>
            <w:tcW w:w="0" w:type="auto"/>
            <w:shd w:val="clear" w:color="auto" w:fill="D7E4BC"/>
            <w:tcMar>
              <w:top w:w="40" w:type="dxa"/>
              <w:left w:w="0" w:type="dxa"/>
              <w:bottom w:w="40" w:type="dxa"/>
              <w:right w:w="20" w:type="dxa"/>
            </w:tcMar>
            <w:vAlign w:val="bottom"/>
          </w:tcPr>
          <w:p w14:paraId="00BAFC3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4B" w14:textId="77777777">
        <w:tc>
          <w:tcPr>
            <w:tcW w:w="0" w:type="auto"/>
            <w:gridSpan w:val="3"/>
            <w:shd w:val="clear" w:color="auto" w:fill="FFFFFF"/>
            <w:tcMar>
              <w:top w:w="40" w:type="dxa"/>
              <w:left w:w="20" w:type="dxa"/>
              <w:bottom w:w="40" w:type="dxa"/>
              <w:right w:w="20" w:type="dxa"/>
            </w:tcMar>
            <w:vAlign w:val="bottom"/>
          </w:tcPr>
          <w:p w14:paraId="00BAFC3C" w14:textId="77777777" w:rsidR="00871BDF" w:rsidRDefault="005C5088">
            <w:pPr>
              <w:textAlignment w:val="bottom"/>
            </w:pPr>
            <w:r>
              <w:rPr>
                <w:rFonts w:ascii="Times New Roman" w:eastAsia="宋体" w:hAnsi="Times New Roman"/>
                <w:color w:val="000000"/>
                <w:sz w:val="20"/>
                <w:szCs w:val="20"/>
              </w:rPr>
              <w:t>March 2023 notes</w:t>
            </w:r>
          </w:p>
        </w:tc>
        <w:tc>
          <w:tcPr>
            <w:tcW w:w="0" w:type="auto"/>
            <w:gridSpan w:val="2"/>
            <w:shd w:val="clear" w:color="auto" w:fill="FFFFFF"/>
            <w:tcMar>
              <w:top w:w="40" w:type="dxa"/>
              <w:left w:w="20" w:type="dxa"/>
              <w:bottom w:w="40" w:type="dxa"/>
              <w:right w:w="0" w:type="dxa"/>
            </w:tcMar>
            <w:vAlign w:val="bottom"/>
          </w:tcPr>
          <w:p w14:paraId="00BAFC3D"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0BAFC3E"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3F" w14:textId="77777777" w:rsidR="00871BDF" w:rsidRDefault="005C5088">
            <w:pPr>
              <w:jc w:val="right"/>
              <w:textAlignment w:val="bottom"/>
            </w:pPr>
            <w:r>
              <w:rPr>
                <w:rFonts w:ascii="Times New Roman" w:eastAsia="宋体" w:hAnsi="Times New Roman"/>
                <w:color w:val="000000"/>
                <w:sz w:val="20"/>
                <w:szCs w:val="20"/>
              </w:rPr>
              <w:t>1,059 </w:t>
            </w:r>
          </w:p>
        </w:tc>
        <w:tc>
          <w:tcPr>
            <w:tcW w:w="0" w:type="auto"/>
            <w:shd w:val="clear" w:color="auto" w:fill="FFFFFF"/>
            <w:tcMar>
              <w:top w:w="40" w:type="dxa"/>
              <w:left w:w="0" w:type="dxa"/>
              <w:bottom w:w="40" w:type="dxa"/>
              <w:right w:w="20" w:type="dxa"/>
            </w:tcMar>
            <w:vAlign w:val="bottom"/>
          </w:tcPr>
          <w:p w14:paraId="00BAFC4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4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42"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0BAFC43"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44" w14:textId="77777777" w:rsidR="00871BDF" w:rsidRDefault="005C5088">
            <w:pPr>
              <w:jc w:val="right"/>
              <w:textAlignment w:val="bottom"/>
            </w:pPr>
            <w:r>
              <w:rPr>
                <w:rFonts w:ascii="Times New Roman" w:eastAsia="宋体" w:hAnsi="Times New Roman"/>
                <w:color w:val="000000"/>
                <w:sz w:val="20"/>
                <w:szCs w:val="20"/>
              </w:rPr>
              <w:t>1,033 </w:t>
            </w:r>
          </w:p>
        </w:tc>
        <w:tc>
          <w:tcPr>
            <w:tcW w:w="0" w:type="auto"/>
            <w:shd w:val="clear" w:color="auto" w:fill="FFFFFF"/>
            <w:tcMar>
              <w:top w:w="40" w:type="dxa"/>
              <w:left w:w="0" w:type="dxa"/>
              <w:bottom w:w="40" w:type="dxa"/>
              <w:right w:w="20" w:type="dxa"/>
            </w:tcMar>
            <w:vAlign w:val="bottom"/>
          </w:tcPr>
          <w:p w14:paraId="00BAFC4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4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47" w14:textId="77777777" w:rsidR="00871BDF" w:rsidRDefault="005C5088">
            <w:pPr>
              <w:jc w:val="right"/>
              <w:textAlignment w:val="bottom"/>
            </w:pPr>
            <w:r>
              <w:rPr>
                <w:rFonts w:ascii="Times New Roman" w:eastAsia="宋体" w:hAnsi="Times New Roman"/>
                <w:color w:val="000000"/>
                <w:sz w:val="20"/>
                <w:szCs w:val="20"/>
              </w:rPr>
              <w:t>3.100 </w:t>
            </w:r>
          </w:p>
        </w:tc>
        <w:tc>
          <w:tcPr>
            <w:tcW w:w="0" w:type="auto"/>
            <w:shd w:val="clear" w:color="auto" w:fill="FFFFFF"/>
            <w:tcMar>
              <w:top w:w="40" w:type="dxa"/>
              <w:left w:w="0" w:type="dxa"/>
              <w:bottom w:w="40" w:type="dxa"/>
              <w:right w:w="20" w:type="dxa"/>
            </w:tcMar>
            <w:vAlign w:val="bottom"/>
          </w:tcPr>
          <w:p w14:paraId="00BAFC4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0BAFC49" w14:textId="77777777" w:rsidR="00871BDF" w:rsidRDefault="005C5088">
            <w:pPr>
              <w:jc w:val="right"/>
              <w:textAlignment w:val="bottom"/>
            </w:pPr>
            <w:r>
              <w:rPr>
                <w:rFonts w:ascii="Times New Roman" w:eastAsia="宋体" w:hAnsi="Times New Roman"/>
                <w:color w:val="000000"/>
                <w:sz w:val="20"/>
                <w:szCs w:val="20"/>
              </w:rPr>
              <w:t>3.107 </w:t>
            </w:r>
          </w:p>
        </w:tc>
        <w:tc>
          <w:tcPr>
            <w:tcW w:w="0" w:type="auto"/>
            <w:shd w:val="clear" w:color="auto" w:fill="FFFFFF"/>
            <w:tcMar>
              <w:top w:w="40" w:type="dxa"/>
              <w:left w:w="0" w:type="dxa"/>
              <w:bottom w:w="40" w:type="dxa"/>
              <w:right w:w="20" w:type="dxa"/>
            </w:tcMar>
            <w:vAlign w:val="bottom"/>
          </w:tcPr>
          <w:p w14:paraId="00BAFC4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5B" w14:textId="77777777">
        <w:tc>
          <w:tcPr>
            <w:tcW w:w="0" w:type="auto"/>
            <w:gridSpan w:val="3"/>
            <w:shd w:val="clear" w:color="auto" w:fill="D7E4BC"/>
            <w:tcMar>
              <w:top w:w="40" w:type="dxa"/>
              <w:left w:w="20" w:type="dxa"/>
              <w:bottom w:w="40" w:type="dxa"/>
              <w:right w:w="20" w:type="dxa"/>
            </w:tcMar>
            <w:vAlign w:val="bottom"/>
          </w:tcPr>
          <w:p w14:paraId="00BAFC4C" w14:textId="77777777" w:rsidR="00871BDF" w:rsidRDefault="005C5088">
            <w:pPr>
              <w:textAlignment w:val="bottom"/>
            </w:pPr>
            <w:r>
              <w:rPr>
                <w:rFonts w:ascii="Times New Roman" w:eastAsia="宋体" w:hAnsi="Times New Roman"/>
                <w:color w:val="000000"/>
                <w:sz w:val="20"/>
                <w:szCs w:val="20"/>
              </w:rPr>
              <w:t>October 2023 notes</w:t>
            </w:r>
            <w:r>
              <w:rPr>
                <w:rFonts w:ascii="Times New Roman" w:eastAsia="宋体" w:hAnsi="Times New Roman"/>
                <w:color w:val="000000"/>
                <w:sz w:val="13"/>
                <w:szCs w:val="13"/>
              </w:rPr>
              <w:t>(2)</w:t>
            </w:r>
          </w:p>
        </w:tc>
        <w:tc>
          <w:tcPr>
            <w:tcW w:w="0" w:type="auto"/>
            <w:gridSpan w:val="2"/>
            <w:shd w:val="clear" w:color="auto" w:fill="D7E4BC"/>
            <w:tcMar>
              <w:top w:w="40" w:type="dxa"/>
              <w:left w:w="20" w:type="dxa"/>
              <w:bottom w:w="40" w:type="dxa"/>
              <w:right w:w="0" w:type="dxa"/>
            </w:tcMar>
            <w:vAlign w:val="bottom"/>
          </w:tcPr>
          <w:p w14:paraId="00BAFC4D" w14:textId="77777777" w:rsidR="00871BDF" w:rsidRDefault="005C5088">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00BAFC4E"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4F" w14:textId="77777777" w:rsidR="00871BDF" w:rsidRDefault="005C5088">
            <w:pPr>
              <w:jc w:val="right"/>
              <w:textAlignment w:val="bottom"/>
            </w:pPr>
            <w:r>
              <w:rPr>
                <w:rFonts w:ascii="Times New Roman" w:eastAsia="宋体" w:hAnsi="Times New Roman"/>
                <w:color w:val="000000"/>
                <w:sz w:val="20"/>
                <w:szCs w:val="20"/>
              </w:rPr>
              <w:t>818 </w:t>
            </w:r>
          </w:p>
        </w:tc>
        <w:tc>
          <w:tcPr>
            <w:tcW w:w="0" w:type="auto"/>
            <w:shd w:val="clear" w:color="auto" w:fill="D7E4BC"/>
            <w:tcMar>
              <w:top w:w="40" w:type="dxa"/>
              <w:left w:w="0" w:type="dxa"/>
              <w:bottom w:w="40" w:type="dxa"/>
              <w:right w:w="20" w:type="dxa"/>
            </w:tcMar>
            <w:vAlign w:val="bottom"/>
          </w:tcPr>
          <w:p w14:paraId="00BAFC5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5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52" w14:textId="77777777" w:rsidR="00871BDF" w:rsidRDefault="005C5088">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00BAFC53"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54" w14:textId="77777777" w:rsidR="00871BDF" w:rsidRDefault="005C5088">
            <w:pPr>
              <w:jc w:val="right"/>
              <w:textAlignment w:val="bottom"/>
            </w:pPr>
            <w:r>
              <w:rPr>
                <w:rFonts w:ascii="Times New Roman" w:eastAsia="宋体" w:hAnsi="Times New Roman"/>
                <w:color w:val="000000"/>
                <w:sz w:val="20"/>
                <w:szCs w:val="20"/>
              </w:rPr>
              <w:t>798 </w:t>
            </w:r>
          </w:p>
        </w:tc>
        <w:tc>
          <w:tcPr>
            <w:tcW w:w="0" w:type="auto"/>
            <w:shd w:val="clear" w:color="auto" w:fill="D7E4BC"/>
            <w:tcMar>
              <w:top w:w="40" w:type="dxa"/>
              <w:left w:w="0" w:type="dxa"/>
              <w:bottom w:w="40" w:type="dxa"/>
              <w:right w:w="20" w:type="dxa"/>
            </w:tcMar>
            <w:vAlign w:val="bottom"/>
          </w:tcPr>
          <w:p w14:paraId="00BAFC5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5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57" w14:textId="77777777" w:rsidR="00871BDF" w:rsidRDefault="005C5088">
            <w:pPr>
              <w:jc w:val="right"/>
              <w:textAlignment w:val="bottom"/>
            </w:pPr>
            <w:r>
              <w:rPr>
                <w:rFonts w:ascii="Times New Roman" w:eastAsia="宋体" w:hAnsi="Times New Roman"/>
                <w:color w:val="000000"/>
                <w:sz w:val="20"/>
                <w:szCs w:val="20"/>
              </w:rPr>
              <w:t>3.850 </w:t>
            </w:r>
          </w:p>
        </w:tc>
        <w:tc>
          <w:tcPr>
            <w:tcW w:w="0" w:type="auto"/>
            <w:shd w:val="clear" w:color="auto" w:fill="D7E4BC"/>
            <w:tcMar>
              <w:top w:w="40" w:type="dxa"/>
              <w:left w:w="0" w:type="dxa"/>
              <w:bottom w:w="40" w:type="dxa"/>
              <w:right w:w="20" w:type="dxa"/>
            </w:tcMar>
            <w:vAlign w:val="bottom"/>
          </w:tcPr>
          <w:p w14:paraId="00BAFC5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0BAFC59" w14:textId="77777777" w:rsidR="00871BDF" w:rsidRDefault="005C5088">
            <w:pPr>
              <w:jc w:val="right"/>
              <w:textAlignment w:val="bottom"/>
            </w:pPr>
            <w:r>
              <w:rPr>
                <w:rFonts w:ascii="Times New Roman" w:eastAsia="宋体" w:hAnsi="Times New Roman"/>
                <w:color w:val="000000"/>
                <w:sz w:val="20"/>
                <w:szCs w:val="20"/>
              </w:rPr>
              <w:t>2.859 </w:t>
            </w:r>
          </w:p>
        </w:tc>
        <w:tc>
          <w:tcPr>
            <w:tcW w:w="0" w:type="auto"/>
            <w:shd w:val="clear" w:color="auto" w:fill="D7E4BC"/>
            <w:tcMar>
              <w:top w:w="40" w:type="dxa"/>
              <w:left w:w="0" w:type="dxa"/>
              <w:bottom w:w="40" w:type="dxa"/>
              <w:right w:w="20" w:type="dxa"/>
            </w:tcMar>
            <w:vAlign w:val="bottom"/>
          </w:tcPr>
          <w:p w14:paraId="00BAFC5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6B" w14:textId="77777777">
        <w:tc>
          <w:tcPr>
            <w:tcW w:w="0" w:type="auto"/>
            <w:gridSpan w:val="3"/>
            <w:shd w:val="clear" w:color="auto" w:fill="FFFFFF"/>
            <w:tcMar>
              <w:top w:w="40" w:type="dxa"/>
              <w:left w:w="20" w:type="dxa"/>
              <w:bottom w:w="40" w:type="dxa"/>
              <w:right w:w="20" w:type="dxa"/>
            </w:tcMar>
            <w:vAlign w:val="bottom"/>
          </w:tcPr>
          <w:p w14:paraId="00BAFC5C" w14:textId="77777777" w:rsidR="00871BDF" w:rsidRDefault="005C5088">
            <w:pPr>
              <w:textAlignment w:val="bottom"/>
            </w:pPr>
            <w:r>
              <w:rPr>
                <w:rFonts w:ascii="Times New Roman" w:eastAsia="宋体" w:hAnsi="Times New Roman"/>
                <w:color w:val="000000"/>
                <w:sz w:val="20"/>
                <w:szCs w:val="20"/>
              </w:rPr>
              <w:t>March 2024 notes</w:t>
            </w:r>
            <w:r>
              <w:rPr>
                <w:rFonts w:ascii="Times New Roman" w:eastAsia="宋体" w:hAnsi="Times New Roman"/>
                <w:color w:val="000000"/>
                <w:sz w:val="13"/>
                <w:szCs w:val="13"/>
              </w:rPr>
              <w:t>(3)</w:t>
            </w:r>
          </w:p>
        </w:tc>
        <w:tc>
          <w:tcPr>
            <w:tcW w:w="0" w:type="auto"/>
            <w:gridSpan w:val="2"/>
            <w:shd w:val="clear" w:color="auto" w:fill="FFFFFF"/>
            <w:tcMar>
              <w:top w:w="40" w:type="dxa"/>
              <w:left w:w="20" w:type="dxa"/>
              <w:bottom w:w="40" w:type="dxa"/>
              <w:right w:w="0" w:type="dxa"/>
            </w:tcMar>
            <w:vAlign w:val="bottom"/>
          </w:tcPr>
          <w:p w14:paraId="00BAFC5D" w14:textId="77777777" w:rsidR="00871BDF" w:rsidRDefault="005C5088">
            <w:pPr>
              <w:jc w:val="right"/>
              <w:textAlignment w:val="bottom"/>
            </w:pPr>
            <w:r>
              <w:rPr>
                <w:rFonts w:ascii="Times New Roman" w:eastAsia="宋体" w:hAnsi="Times New Roman"/>
                <w:color w:val="000000"/>
                <w:sz w:val="20"/>
                <w:szCs w:val="20"/>
              </w:rPr>
              <w:t>806.4 </w:t>
            </w:r>
          </w:p>
        </w:tc>
        <w:tc>
          <w:tcPr>
            <w:tcW w:w="0" w:type="auto"/>
            <w:shd w:val="clear" w:color="auto" w:fill="FFFFFF"/>
            <w:tcMar>
              <w:top w:w="40" w:type="dxa"/>
              <w:left w:w="0" w:type="dxa"/>
              <w:bottom w:w="40" w:type="dxa"/>
              <w:right w:w="20" w:type="dxa"/>
            </w:tcMar>
            <w:vAlign w:val="bottom"/>
          </w:tcPr>
          <w:p w14:paraId="00BAFC5E"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5F" w14:textId="77777777" w:rsidR="00871BDF" w:rsidRDefault="005C5088">
            <w:pPr>
              <w:jc w:val="right"/>
              <w:textAlignment w:val="bottom"/>
            </w:pPr>
            <w:r>
              <w:rPr>
                <w:rFonts w:ascii="Times New Roman" w:eastAsia="宋体" w:hAnsi="Times New Roman"/>
                <w:color w:val="000000"/>
                <w:sz w:val="20"/>
                <w:szCs w:val="20"/>
              </w:rPr>
              <w:t>794 </w:t>
            </w:r>
          </w:p>
        </w:tc>
        <w:tc>
          <w:tcPr>
            <w:tcW w:w="0" w:type="auto"/>
            <w:shd w:val="clear" w:color="auto" w:fill="FFFFFF"/>
            <w:tcMar>
              <w:top w:w="40" w:type="dxa"/>
              <w:left w:w="0" w:type="dxa"/>
              <w:bottom w:w="40" w:type="dxa"/>
              <w:right w:w="20" w:type="dxa"/>
            </w:tcMar>
            <w:vAlign w:val="bottom"/>
          </w:tcPr>
          <w:p w14:paraId="00BAFC6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6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62" w14:textId="77777777" w:rsidR="00871BDF" w:rsidRDefault="005C5088">
            <w:pPr>
              <w:jc w:val="right"/>
              <w:textAlignment w:val="bottom"/>
            </w:pPr>
            <w:r>
              <w:rPr>
                <w:rFonts w:ascii="Times New Roman" w:eastAsia="宋体" w:hAnsi="Times New Roman"/>
                <w:color w:val="000000"/>
                <w:sz w:val="20"/>
                <w:szCs w:val="20"/>
              </w:rPr>
              <w:t>788.3 </w:t>
            </w:r>
          </w:p>
        </w:tc>
        <w:tc>
          <w:tcPr>
            <w:tcW w:w="0" w:type="auto"/>
            <w:shd w:val="clear" w:color="auto" w:fill="FFFFFF"/>
            <w:tcMar>
              <w:top w:w="40" w:type="dxa"/>
              <w:left w:w="0" w:type="dxa"/>
              <w:bottom w:w="40" w:type="dxa"/>
              <w:right w:w="20" w:type="dxa"/>
            </w:tcMar>
            <w:vAlign w:val="bottom"/>
          </w:tcPr>
          <w:p w14:paraId="00BAFC63"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64" w14:textId="77777777" w:rsidR="00871BDF" w:rsidRDefault="005C5088">
            <w:pPr>
              <w:jc w:val="right"/>
              <w:textAlignment w:val="bottom"/>
            </w:pPr>
            <w:r>
              <w:rPr>
                <w:rFonts w:ascii="Times New Roman" w:eastAsia="宋体" w:hAnsi="Times New Roman"/>
                <w:color w:val="000000"/>
                <w:sz w:val="20"/>
                <w:szCs w:val="20"/>
              </w:rPr>
              <w:t>795 </w:t>
            </w:r>
          </w:p>
        </w:tc>
        <w:tc>
          <w:tcPr>
            <w:tcW w:w="0" w:type="auto"/>
            <w:shd w:val="clear" w:color="auto" w:fill="FFFFFF"/>
            <w:tcMar>
              <w:top w:w="40" w:type="dxa"/>
              <w:left w:w="0" w:type="dxa"/>
              <w:bottom w:w="40" w:type="dxa"/>
              <w:right w:w="20" w:type="dxa"/>
            </w:tcMar>
            <w:vAlign w:val="bottom"/>
          </w:tcPr>
          <w:p w14:paraId="00BAFC6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6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67" w14:textId="77777777" w:rsidR="00871BDF" w:rsidRDefault="005C5088">
            <w:pPr>
              <w:jc w:val="right"/>
              <w:textAlignment w:val="bottom"/>
            </w:pPr>
            <w:r>
              <w:rPr>
                <w:rFonts w:ascii="Times New Roman" w:eastAsia="宋体" w:hAnsi="Times New Roman"/>
                <w:color w:val="000000"/>
                <w:sz w:val="20"/>
                <w:szCs w:val="20"/>
              </w:rPr>
              <w:t>0.372 </w:t>
            </w:r>
          </w:p>
        </w:tc>
        <w:tc>
          <w:tcPr>
            <w:tcW w:w="0" w:type="auto"/>
            <w:shd w:val="clear" w:color="auto" w:fill="FFFFFF"/>
            <w:tcMar>
              <w:top w:w="40" w:type="dxa"/>
              <w:left w:w="0" w:type="dxa"/>
              <w:bottom w:w="40" w:type="dxa"/>
              <w:right w:w="20" w:type="dxa"/>
            </w:tcMar>
            <w:vAlign w:val="bottom"/>
          </w:tcPr>
          <w:p w14:paraId="00BAFC6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0BAFC69" w14:textId="77777777" w:rsidR="00871BDF" w:rsidRDefault="005C5088">
            <w:pPr>
              <w:jc w:val="right"/>
              <w:textAlignment w:val="bottom"/>
            </w:pPr>
            <w:r>
              <w:rPr>
                <w:rFonts w:ascii="Times New Roman" w:eastAsia="宋体" w:hAnsi="Times New Roman"/>
                <w:color w:val="000000"/>
                <w:sz w:val="20"/>
                <w:szCs w:val="20"/>
              </w:rPr>
              <w:t>0.462 </w:t>
            </w:r>
          </w:p>
        </w:tc>
        <w:tc>
          <w:tcPr>
            <w:tcW w:w="0" w:type="auto"/>
            <w:shd w:val="clear" w:color="auto" w:fill="FFFFFF"/>
            <w:tcMar>
              <w:top w:w="40" w:type="dxa"/>
              <w:left w:w="0" w:type="dxa"/>
              <w:bottom w:w="40" w:type="dxa"/>
              <w:right w:w="20" w:type="dxa"/>
            </w:tcMar>
            <w:vAlign w:val="bottom"/>
          </w:tcPr>
          <w:p w14:paraId="00BAFC6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7B" w14:textId="77777777">
        <w:tc>
          <w:tcPr>
            <w:tcW w:w="0" w:type="auto"/>
            <w:gridSpan w:val="3"/>
            <w:shd w:val="clear" w:color="auto" w:fill="D7E4BC"/>
            <w:tcMar>
              <w:top w:w="40" w:type="dxa"/>
              <w:left w:w="20" w:type="dxa"/>
              <w:bottom w:w="40" w:type="dxa"/>
              <w:right w:w="20" w:type="dxa"/>
            </w:tcMar>
            <w:vAlign w:val="bottom"/>
          </w:tcPr>
          <w:p w14:paraId="00BAFC6C" w14:textId="77777777" w:rsidR="00871BDF" w:rsidRDefault="005C5088">
            <w:pPr>
              <w:textAlignment w:val="bottom"/>
            </w:pPr>
            <w:r>
              <w:rPr>
                <w:rFonts w:ascii="Times New Roman" w:eastAsia="宋体" w:hAnsi="Times New Roman"/>
                <w:color w:val="000000"/>
                <w:sz w:val="20"/>
                <w:szCs w:val="20"/>
              </w:rPr>
              <w:t>August 2025 notes</w:t>
            </w:r>
          </w:p>
        </w:tc>
        <w:tc>
          <w:tcPr>
            <w:tcW w:w="0" w:type="auto"/>
            <w:gridSpan w:val="2"/>
            <w:shd w:val="clear" w:color="auto" w:fill="D7E4BC"/>
            <w:tcMar>
              <w:top w:w="40" w:type="dxa"/>
              <w:left w:w="20" w:type="dxa"/>
              <w:bottom w:w="40" w:type="dxa"/>
              <w:right w:w="0" w:type="dxa"/>
            </w:tcMar>
            <w:vAlign w:val="bottom"/>
          </w:tcPr>
          <w:p w14:paraId="00BAFC6D" w14:textId="77777777" w:rsidR="00871BDF" w:rsidRDefault="005C5088">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00BAFC6E"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6F" w14:textId="77777777" w:rsidR="00871BDF" w:rsidRDefault="005C5088">
            <w:pPr>
              <w:jc w:val="right"/>
              <w:textAlignment w:val="bottom"/>
            </w:pPr>
            <w:r>
              <w:rPr>
                <w:rFonts w:ascii="Times New Roman" w:eastAsia="宋体" w:hAnsi="Times New Roman"/>
                <w:color w:val="000000"/>
                <w:sz w:val="20"/>
                <w:szCs w:val="20"/>
              </w:rPr>
              <w:t>1,415 </w:t>
            </w:r>
          </w:p>
        </w:tc>
        <w:tc>
          <w:tcPr>
            <w:tcW w:w="0" w:type="auto"/>
            <w:shd w:val="clear" w:color="auto" w:fill="D7E4BC"/>
            <w:tcMar>
              <w:top w:w="40" w:type="dxa"/>
              <w:left w:w="0" w:type="dxa"/>
              <w:bottom w:w="40" w:type="dxa"/>
              <w:right w:w="20" w:type="dxa"/>
            </w:tcMar>
            <w:vAlign w:val="bottom"/>
          </w:tcPr>
          <w:p w14:paraId="00BAFC7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7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72" w14:textId="77777777" w:rsidR="00871BDF" w:rsidRDefault="005C5088">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00BAFC73"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74" w14:textId="77777777" w:rsidR="00871BDF" w:rsidRDefault="005C5088">
            <w:pPr>
              <w:jc w:val="right"/>
              <w:textAlignment w:val="bottom"/>
            </w:pPr>
            <w:r>
              <w:rPr>
                <w:rFonts w:ascii="Times New Roman" w:eastAsia="宋体" w:hAnsi="Times New Roman"/>
                <w:color w:val="000000"/>
                <w:sz w:val="20"/>
                <w:szCs w:val="20"/>
              </w:rPr>
              <w:t>1,351 </w:t>
            </w:r>
          </w:p>
        </w:tc>
        <w:tc>
          <w:tcPr>
            <w:tcW w:w="0" w:type="auto"/>
            <w:shd w:val="clear" w:color="auto" w:fill="D7E4BC"/>
            <w:tcMar>
              <w:top w:w="40" w:type="dxa"/>
              <w:left w:w="0" w:type="dxa"/>
              <w:bottom w:w="40" w:type="dxa"/>
              <w:right w:w="20" w:type="dxa"/>
            </w:tcMar>
            <w:vAlign w:val="bottom"/>
          </w:tcPr>
          <w:p w14:paraId="00BAFC7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7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77" w14:textId="77777777" w:rsidR="00871BDF" w:rsidRDefault="005C5088">
            <w:pPr>
              <w:jc w:val="right"/>
              <w:textAlignment w:val="bottom"/>
            </w:pPr>
            <w:r>
              <w:rPr>
                <w:rFonts w:ascii="Times New Roman" w:eastAsia="宋体" w:hAnsi="Times New Roman"/>
                <w:color w:val="000000"/>
                <w:sz w:val="20"/>
                <w:szCs w:val="20"/>
              </w:rPr>
              <w:t>3.800 </w:t>
            </w:r>
          </w:p>
        </w:tc>
        <w:tc>
          <w:tcPr>
            <w:tcW w:w="0" w:type="auto"/>
            <w:shd w:val="clear" w:color="auto" w:fill="D7E4BC"/>
            <w:tcMar>
              <w:top w:w="40" w:type="dxa"/>
              <w:left w:w="0" w:type="dxa"/>
              <w:bottom w:w="40" w:type="dxa"/>
              <w:right w:w="20" w:type="dxa"/>
            </w:tcMar>
            <w:vAlign w:val="bottom"/>
          </w:tcPr>
          <w:p w14:paraId="00BAFC7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0BAFC79" w14:textId="77777777" w:rsidR="00871BDF" w:rsidRDefault="005C5088">
            <w:pPr>
              <w:jc w:val="right"/>
              <w:textAlignment w:val="bottom"/>
            </w:pPr>
            <w:r>
              <w:rPr>
                <w:rFonts w:ascii="Times New Roman" w:eastAsia="宋体" w:hAnsi="Times New Roman"/>
                <w:color w:val="000000"/>
                <w:sz w:val="20"/>
                <w:szCs w:val="20"/>
              </w:rPr>
              <w:t>3.721 </w:t>
            </w:r>
          </w:p>
        </w:tc>
        <w:tc>
          <w:tcPr>
            <w:tcW w:w="0" w:type="auto"/>
            <w:shd w:val="clear" w:color="auto" w:fill="D7E4BC"/>
            <w:tcMar>
              <w:top w:w="40" w:type="dxa"/>
              <w:left w:w="0" w:type="dxa"/>
              <w:bottom w:w="40" w:type="dxa"/>
              <w:right w:w="20" w:type="dxa"/>
            </w:tcMar>
            <w:vAlign w:val="bottom"/>
          </w:tcPr>
          <w:p w14:paraId="00BAFC7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8B" w14:textId="77777777">
        <w:tc>
          <w:tcPr>
            <w:tcW w:w="0" w:type="auto"/>
            <w:gridSpan w:val="3"/>
            <w:shd w:val="clear" w:color="auto" w:fill="FFFFFF"/>
            <w:tcMar>
              <w:top w:w="40" w:type="dxa"/>
              <w:left w:w="20" w:type="dxa"/>
              <w:bottom w:w="40" w:type="dxa"/>
              <w:right w:w="20" w:type="dxa"/>
            </w:tcMar>
            <w:vAlign w:val="bottom"/>
          </w:tcPr>
          <w:p w14:paraId="00BAFC7C" w14:textId="77777777" w:rsidR="00871BDF" w:rsidRDefault="005C5088">
            <w:pPr>
              <w:textAlignment w:val="bottom"/>
            </w:pPr>
            <w:r>
              <w:rPr>
                <w:rFonts w:ascii="Times New Roman" w:eastAsia="宋体" w:hAnsi="Times New Roman"/>
                <w:color w:val="000000"/>
                <w:sz w:val="20"/>
                <w:szCs w:val="20"/>
              </w:rPr>
              <w:t>June 2026 notes</w:t>
            </w:r>
          </w:p>
        </w:tc>
        <w:tc>
          <w:tcPr>
            <w:tcW w:w="0" w:type="auto"/>
            <w:gridSpan w:val="2"/>
            <w:shd w:val="clear" w:color="auto" w:fill="FFFFFF"/>
            <w:tcMar>
              <w:top w:w="40" w:type="dxa"/>
              <w:left w:w="20" w:type="dxa"/>
              <w:bottom w:w="40" w:type="dxa"/>
              <w:right w:w="0" w:type="dxa"/>
            </w:tcMar>
            <w:vAlign w:val="bottom"/>
          </w:tcPr>
          <w:p w14:paraId="00BAFC7D" w14:textId="77777777" w:rsidR="00871BDF" w:rsidRDefault="005C5088">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0BAFC7E"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7F" w14:textId="77777777" w:rsidR="00871BDF" w:rsidRDefault="005C5088">
            <w:pPr>
              <w:jc w:val="right"/>
              <w:textAlignment w:val="bottom"/>
            </w:pPr>
            <w:r>
              <w:rPr>
                <w:rFonts w:ascii="Times New Roman" w:eastAsia="宋体" w:hAnsi="Times New Roman"/>
                <w:color w:val="000000"/>
                <w:sz w:val="20"/>
                <w:szCs w:val="20"/>
              </w:rPr>
              <w:t>543 </w:t>
            </w:r>
          </w:p>
        </w:tc>
        <w:tc>
          <w:tcPr>
            <w:tcW w:w="0" w:type="auto"/>
            <w:shd w:val="clear" w:color="auto" w:fill="FFFFFF"/>
            <w:tcMar>
              <w:top w:w="40" w:type="dxa"/>
              <w:left w:w="0" w:type="dxa"/>
              <w:bottom w:w="40" w:type="dxa"/>
              <w:right w:w="20" w:type="dxa"/>
            </w:tcMar>
            <w:vAlign w:val="bottom"/>
          </w:tcPr>
          <w:p w14:paraId="00BAFC8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8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82" w14:textId="77777777" w:rsidR="00871BDF" w:rsidRDefault="005C5088">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0BAFC83"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84" w14:textId="77777777" w:rsidR="00871BDF" w:rsidRDefault="005C5088">
            <w:pPr>
              <w:jc w:val="right"/>
              <w:textAlignment w:val="bottom"/>
            </w:pPr>
            <w:r>
              <w:rPr>
                <w:rFonts w:ascii="Times New Roman" w:eastAsia="宋体" w:hAnsi="Times New Roman"/>
                <w:color w:val="000000"/>
                <w:sz w:val="20"/>
                <w:szCs w:val="20"/>
              </w:rPr>
              <w:t>502 </w:t>
            </w:r>
          </w:p>
        </w:tc>
        <w:tc>
          <w:tcPr>
            <w:tcW w:w="0" w:type="auto"/>
            <w:shd w:val="clear" w:color="auto" w:fill="FFFFFF"/>
            <w:tcMar>
              <w:top w:w="40" w:type="dxa"/>
              <w:left w:w="0" w:type="dxa"/>
              <w:bottom w:w="40" w:type="dxa"/>
              <w:right w:w="20" w:type="dxa"/>
            </w:tcMar>
            <w:vAlign w:val="bottom"/>
          </w:tcPr>
          <w:p w14:paraId="00BAFC8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8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87" w14:textId="77777777" w:rsidR="00871BDF" w:rsidRDefault="005C5088">
            <w:pPr>
              <w:jc w:val="right"/>
              <w:textAlignment w:val="bottom"/>
            </w:pPr>
            <w:r>
              <w:rPr>
                <w:rFonts w:ascii="Times New Roman" w:eastAsia="宋体" w:hAnsi="Times New Roman"/>
                <w:color w:val="000000"/>
                <w:sz w:val="20"/>
                <w:szCs w:val="20"/>
              </w:rPr>
              <w:t>2.450 </w:t>
            </w:r>
          </w:p>
        </w:tc>
        <w:tc>
          <w:tcPr>
            <w:tcW w:w="0" w:type="auto"/>
            <w:shd w:val="clear" w:color="auto" w:fill="FFFFFF"/>
            <w:tcMar>
              <w:top w:w="40" w:type="dxa"/>
              <w:left w:w="0" w:type="dxa"/>
              <w:bottom w:w="40" w:type="dxa"/>
              <w:right w:w="20" w:type="dxa"/>
            </w:tcMar>
            <w:vAlign w:val="bottom"/>
          </w:tcPr>
          <w:p w14:paraId="00BAFC8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0BAFC89" w14:textId="77777777" w:rsidR="00871BDF" w:rsidRDefault="005C5088">
            <w:pPr>
              <w:jc w:val="right"/>
              <w:textAlignment w:val="bottom"/>
            </w:pPr>
            <w:r>
              <w:rPr>
                <w:rFonts w:ascii="Times New Roman" w:eastAsia="宋体" w:hAnsi="Times New Roman"/>
                <w:color w:val="000000"/>
                <w:sz w:val="20"/>
                <w:szCs w:val="20"/>
              </w:rPr>
              <w:t>2.511 </w:t>
            </w:r>
          </w:p>
        </w:tc>
        <w:tc>
          <w:tcPr>
            <w:tcW w:w="0" w:type="auto"/>
            <w:shd w:val="clear" w:color="auto" w:fill="FFFFFF"/>
            <w:tcMar>
              <w:top w:w="40" w:type="dxa"/>
              <w:left w:w="0" w:type="dxa"/>
              <w:bottom w:w="40" w:type="dxa"/>
              <w:right w:w="20" w:type="dxa"/>
            </w:tcMar>
            <w:vAlign w:val="bottom"/>
          </w:tcPr>
          <w:p w14:paraId="00BAFC8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9B" w14:textId="77777777">
        <w:tc>
          <w:tcPr>
            <w:tcW w:w="0" w:type="auto"/>
            <w:gridSpan w:val="3"/>
            <w:shd w:val="clear" w:color="auto" w:fill="D7E4BC"/>
            <w:tcMar>
              <w:top w:w="40" w:type="dxa"/>
              <w:left w:w="20" w:type="dxa"/>
              <w:bottom w:w="40" w:type="dxa"/>
              <w:right w:w="20" w:type="dxa"/>
            </w:tcMar>
            <w:vAlign w:val="bottom"/>
          </w:tcPr>
          <w:p w14:paraId="00BAFC8C" w14:textId="77777777" w:rsidR="00871BDF" w:rsidRDefault="005C5088">
            <w:pPr>
              <w:textAlignment w:val="bottom"/>
            </w:pPr>
            <w:r>
              <w:rPr>
                <w:rFonts w:ascii="Times New Roman" w:eastAsia="宋体" w:hAnsi="Times New Roman"/>
                <w:color w:val="000000"/>
                <w:sz w:val="20"/>
                <w:szCs w:val="20"/>
              </w:rPr>
              <w:t>March 2027 notes</w:t>
            </w:r>
            <w:r>
              <w:rPr>
                <w:rFonts w:ascii="Times New Roman" w:eastAsia="宋体" w:hAnsi="Times New Roman"/>
                <w:color w:val="000000"/>
                <w:sz w:val="13"/>
                <w:szCs w:val="13"/>
              </w:rPr>
              <w:t>(4)</w:t>
            </w:r>
          </w:p>
        </w:tc>
        <w:tc>
          <w:tcPr>
            <w:tcW w:w="0" w:type="auto"/>
            <w:gridSpan w:val="2"/>
            <w:shd w:val="clear" w:color="auto" w:fill="D7E4BC"/>
            <w:tcMar>
              <w:top w:w="40" w:type="dxa"/>
              <w:left w:w="20" w:type="dxa"/>
              <w:bottom w:w="40" w:type="dxa"/>
              <w:right w:w="0" w:type="dxa"/>
            </w:tcMar>
            <w:vAlign w:val="bottom"/>
          </w:tcPr>
          <w:p w14:paraId="00BAFC8D" w14:textId="77777777" w:rsidR="00871BDF" w:rsidRDefault="005C5088">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00BAFC8E"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8F" w14:textId="77777777" w:rsidR="00871BDF" w:rsidRDefault="005C5088">
            <w:pPr>
              <w:jc w:val="right"/>
              <w:textAlignment w:val="bottom"/>
            </w:pPr>
            <w:r>
              <w:rPr>
                <w:rFonts w:ascii="Times New Roman" w:eastAsia="宋体" w:hAnsi="Times New Roman"/>
                <w:color w:val="000000"/>
                <w:sz w:val="20"/>
                <w:szCs w:val="20"/>
              </w:rPr>
              <w:t>529 </w:t>
            </w:r>
          </w:p>
        </w:tc>
        <w:tc>
          <w:tcPr>
            <w:tcW w:w="0" w:type="auto"/>
            <w:shd w:val="clear" w:color="auto" w:fill="D7E4BC"/>
            <w:tcMar>
              <w:top w:w="40" w:type="dxa"/>
              <w:left w:w="0" w:type="dxa"/>
              <w:bottom w:w="40" w:type="dxa"/>
              <w:right w:w="20" w:type="dxa"/>
            </w:tcMar>
            <w:vAlign w:val="bottom"/>
          </w:tcPr>
          <w:p w14:paraId="00BAFC9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9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92"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C93"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9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C9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9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97" w14:textId="77777777" w:rsidR="00871BDF" w:rsidRDefault="005C5088">
            <w:pPr>
              <w:jc w:val="right"/>
              <w:textAlignment w:val="bottom"/>
            </w:pPr>
            <w:r>
              <w:rPr>
                <w:rFonts w:ascii="Times New Roman" w:eastAsia="宋体" w:hAnsi="Times New Roman"/>
                <w:color w:val="000000"/>
                <w:sz w:val="20"/>
                <w:szCs w:val="20"/>
              </w:rPr>
              <w:t>2.000 </w:t>
            </w:r>
          </w:p>
        </w:tc>
        <w:tc>
          <w:tcPr>
            <w:tcW w:w="0" w:type="auto"/>
            <w:shd w:val="clear" w:color="auto" w:fill="D7E4BC"/>
            <w:tcMar>
              <w:top w:w="40" w:type="dxa"/>
              <w:left w:w="0" w:type="dxa"/>
              <w:bottom w:w="40" w:type="dxa"/>
              <w:right w:w="20" w:type="dxa"/>
            </w:tcMar>
            <w:vAlign w:val="bottom"/>
          </w:tcPr>
          <w:p w14:paraId="00BAFC9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0BAFC99" w14:textId="77777777" w:rsidR="00871BDF" w:rsidRDefault="005C5088">
            <w:pPr>
              <w:jc w:val="right"/>
              <w:textAlignment w:val="bottom"/>
            </w:pPr>
            <w:r>
              <w:rPr>
                <w:rFonts w:ascii="Times New Roman" w:eastAsia="宋体" w:hAnsi="Times New Roman"/>
                <w:color w:val="000000"/>
                <w:sz w:val="20"/>
                <w:szCs w:val="20"/>
              </w:rPr>
              <w:t>2.058 </w:t>
            </w:r>
          </w:p>
        </w:tc>
        <w:tc>
          <w:tcPr>
            <w:tcW w:w="0" w:type="auto"/>
            <w:shd w:val="clear" w:color="auto" w:fill="D7E4BC"/>
            <w:tcMar>
              <w:top w:w="40" w:type="dxa"/>
              <w:left w:w="0" w:type="dxa"/>
              <w:bottom w:w="40" w:type="dxa"/>
              <w:right w:w="20" w:type="dxa"/>
            </w:tcMar>
            <w:vAlign w:val="bottom"/>
          </w:tcPr>
          <w:p w14:paraId="00BAFC9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AB" w14:textId="77777777">
        <w:tc>
          <w:tcPr>
            <w:tcW w:w="0" w:type="auto"/>
            <w:gridSpan w:val="3"/>
            <w:shd w:val="clear" w:color="auto" w:fill="FFFFFF"/>
            <w:tcMar>
              <w:top w:w="40" w:type="dxa"/>
              <w:left w:w="20" w:type="dxa"/>
              <w:bottom w:w="40" w:type="dxa"/>
              <w:right w:w="20" w:type="dxa"/>
            </w:tcMar>
            <w:vAlign w:val="bottom"/>
          </w:tcPr>
          <w:p w14:paraId="00BAFC9C" w14:textId="77777777" w:rsidR="00871BDF" w:rsidRDefault="005C5088">
            <w:pPr>
              <w:textAlignment w:val="bottom"/>
            </w:pPr>
            <w:r>
              <w:rPr>
                <w:rFonts w:ascii="Times New Roman" w:eastAsia="宋体" w:hAnsi="Times New Roman"/>
                <w:color w:val="000000"/>
                <w:sz w:val="20"/>
                <w:szCs w:val="20"/>
              </w:rPr>
              <w:t>Ma</w:t>
            </w:r>
            <w:r>
              <w:rPr>
                <w:rFonts w:ascii="Times New Roman" w:eastAsia="宋体" w:hAnsi="Times New Roman"/>
                <w:color w:val="000000"/>
                <w:sz w:val="20"/>
                <w:szCs w:val="20"/>
              </w:rPr>
              <w:t>rch 2028 notes</w:t>
            </w:r>
          </w:p>
        </w:tc>
        <w:tc>
          <w:tcPr>
            <w:tcW w:w="0" w:type="auto"/>
            <w:gridSpan w:val="2"/>
            <w:shd w:val="clear" w:color="auto" w:fill="FFFFFF"/>
            <w:tcMar>
              <w:top w:w="40" w:type="dxa"/>
              <w:left w:w="20" w:type="dxa"/>
              <w:bottom w:w="40" w:type="dxa"/>
              <w:right w:w="0" w:type="dxa"/>
            </w:tcMar>
            <w:vAlign w:val="bottom"/>
          </w:tcPr>
          <w:p w14:paraId="00BAFC9D" w14:textId="77777777" w:rsidR="00871BDF" w:rsidRDefault="005C5088">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00BAFC9E"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9F" w14:textId="77777777" w:rsidR="00871BDF" w:rsidRDefault="005C5088">
            <w:pPr>
              <w:jc w:val="right"/>
              <w:textAlignment w:val="bottom"/>
            </w:pPr>
            <w:r>
              <w:rPr>
                <w:rFonts w:ascii="Times New Roman" w:eastAsia="宋体" w:hAnsi="Times New Roman"/>
                <w:color w:val="000000"/>
                <w:sz w:val="20"/>
                <w:szCs w:val="20"/>
              </w:rPr>
              <w:t>680 </w:t>
            </w:r>
          </w:p>
        </w:tc>
        <w:tc>
          <w:tcPr>
            <w:tcW w:w="0" w:type="auto"/>
            <w:shd w:val="clear" w:color="auto" w:fill="FFFFFF"/>
            <w:tcMar>
              <w:top w:w="40" w:type="dxa"/>
              <w:left w:w="0" w:type="dxa"/>
              <w:bottom w:w="40" w:type="dxa"/>
              <w:right w:w="20" w:type="dxa"/>
            </w:tcMar>
            <w:vAlign w:val="bottom"/>
          </w:tcPr>
          <w:p w14:paraId="00BAFCA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A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A2" w14:textId="77777777" w:rsidR="00871BDF" w:rsidRDefault="005C5088">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00BAFCA3"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A4" w14:textId="77777777" w:rsidR="00871BDF" w:rsidRDefault="005C5088">
            <w:pPr>
              <w:jc w:val="right"/>
              <w:textAlignment w:val="bottom"/>
            </w:pPr>
            <w:r>
              <w:rPr>
                <w:rFonts w:ascii="Times New Roman" w:eastAsia="宋体" w:hAnsi="Times New Roman"/>
                <w:color w:val="000000"/>
                <w:sz w:val="20"/>
                <w:szCs w:val="20"/>
              </w:rPr>
              <w:t>644 </w:t>
            </w:r>
          </w:p>
        </w:tc>
        <w:tc>
          <w:tcPr>
            <w:tcW w:w="0" w:type="auto"/>
            <w:shd w:val="clear" w:color="auto" w:fill="FFFFFF"/>
            <w:tcMar>
              <w:top w:w="40" w:type="dxa"/>
              <w:left w:w="0" w:type="dxa"/>
              <w:bottom w:w="40" w:type="dxa"/>
              <w:right w:w="20" w:type="dxa"/>
            </w:tcMar>
            <w:vAlign w:val="bottom"/>
          </w:tcPr>
          <w:p w14:paraId="00BAFCA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A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A7" w14:textId="77777777" w:rsidR="00871BDF" w:rsidRDefault="005C5088">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00BAFCA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0BAFCA9" w14:textId="77777777" w:rsidR="00871BDF" w:rsidRDefault="005C5088">
            <w:pPr>
              <w:jc w:val="right"/>
              <w:textAlignment w:val="bottom"/>
            </w:pPr>
            <w:r>
              <w:rPr>
                <w:rFonts w:ascii="Times New Roman" w:eastAsia="宋体" w:hAnsi="Times New Roman"/>
                <w:color w:val="000000"/>
                <w:sz w:val="20"/>
                <w:szCs w:val="20"/>
              </w:rPr>
              <w:t>3.529 </w:t>
            </w:r>
          </w:p>
        </w:tc>
        <w:tc>
          <w:tcPr>
            <w:tcW w:w="0" w:type="auto"/>
            <w:shd w:val="clear" w:color="auto" w:fill="FFFFFF"/>
            <w:tcMar>
              <w:top w:w="40" w:type="dxa"/>
              <w:left w:w="0" w:type="dxa"/>
              <w:bottom w:w="40" w:type="dxa"/>
              <w:right w:w="20" w:type="dxa"/>
            </w:tcMar>
            <w:vAlign w:val="bottom"/>
          </w:tcPr>
          <w:p w14:paraId="00BAFCA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BB" w14:textId="77777777">
        <w:tc>
          <w:tcPr>
            <w:tcW w:w="0" w:type="auto"/>
            <w:gridSpan w:val="3"/>
            <w:shd w:val="clear" w:color="auto" w:fill="D7E4BC"/>
            <w:tcMar>
              <w:top w:w="40" w:type="dxa"/>
              <w:left w:w="20" w:type="dxa"/>
              <w:bottom w:w="40" w:type="dxa"/>
              <w:right w:w="20" w:type="dxa"/>
            </w:tcMar>
            <w:vAlign w:val="bottom"/>
          </w:tcPr>
          <w:p w14:paraId="00BAFCAC" w14:textId="77777777" w:rsidR="00871BDF" w:rsidRDefault="005C5088">
            <w:pPr>
              <w:textAlignment w:val="bottom"/>
            </w:pPr>
            <w:r>
              <w:rPr>
                <w:rFonts w:ascii="Times New Roman" w:eastAsia="宋体" w:hAnsi="Times New Roman"/>
                <w:color w:val="000000"/>
                <w:sz w:val="20"/>
                <w:szCs w:val="20"/>
              </w:rPr>
              <w:t>November 2028 notes</w:t>
            </w:r>
          </w:p>
        </w:tc>
        <w:tc>
          <w:tcPr>
            <w:tcW w:w="0" w:type="auto"/>
            <w:gridSpan w:val="2"/>
            <w:shd w:val="clear" w:color="auto" w:fill="D7E4BC"/>
            <w:tcMar>
              <w:top w:w="40" w:type="dxa"/>
              <w:left w:w="20" w:type="dxa"/>
              <w:bottom w:w="40" w:type="dxa"/>
              <w:right w:w="0" w:type="dxa"/>
            </w:tcMar>
            <w:vAlign w:val="bottom"/>
          </w:tcPr>
          <w:p w14:paraId="00BAFCAD" w14:textId="77777777" w:rsidR="00871BDF" w:rsidRDefault="005C5088">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00BAFCAE"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AF" w14:textId="77777777" w:rsidR="00871BDF" w:rsidRDefault="005C5088">
            <w:pPr>
              <w:jc w:val="right"/>
              <w:textAlignment w:val="bottom"/>
            </w:pPr>
            <w:r>
              <w:rPr>
                <w:rFonts w:ascii="Times New Roman" w:eastAsia="宋体" w:hAnsi="Times New Roman"/>
                <w:color w:val="000000"/>
                <w:sz w:val="20"/>
                <w:szCs w:val="20"/>
              </w:rPr>
              <w:t>886 </w:t>
            </w:r>
          </w:p>
        </w:tc>
        <w:tc>
          <w:tcPr>
            <w:tcW w:w="0" w:type="auto"/>
            <w:shd w:val="clear" w:color="auto" w:fill="D7E4BC"/>
            <w:tcMar>
              <w:top w:w="40" w:type="dxa"/>
              <w:left w:w="0" w:type="dxa"/>
              <w:bottom w:w="40" w:type="dxa"/>
              <w:right w:w="20" w:type="dxa"/>
            </w:tcMar>
            <w:vAlign w:val="bottom"/>
          </w:tcPr>
          <w:p w14:paraId="00BAFCB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B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B2" w14:textId="77777777" w:rsidR="00871BDF" w:rsidRDefault="005C5088">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00BAFCB3"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B4" w14:textId="77777777" w:rsidR="00871BDF" w:rsidRDefault="005C5088">
            <w:pPr>
              <w:jc w:val="right"/>
              <w:textAlignment w:val="bottom"/>
            </w:pPr>
            <w:r>
              <w:rPr>
                <w:rFonts w:ascii="Times New Roman" w:eastAsia="宋体" w:hAnsi="Times New Roman"/>
                <w:color w:val="000000"/>
                <w:sz w:val="20"/>
                <w:szCs w:val="20"/>
              </w:rPr>
              <w:t>837 </w:t>
            </w:r>
          </w:p>
        </w:tc>
        <w:tc>
          <w:tcPr>
            <w:tcW w:w="0" w:type="auto"/>
            <w:shd w:val="clear" w:color="auto" w:fill="D7E4BC"/>
            <w:tcMar>
              <w:top w:w="40" w:type="dxa"/>
              <w:left w:w="0" w:type="dxa"/>
              <w:bottom w:w="40" w:type="dxa"/>
              <w:right w:w="20" w:type="dxa"/>
            </w:tcMar>
            <w:vAlign w:val="bottom"/>
          </w:tcPr>
          <w:p w14:paraId="00BAFCB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B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B7" w14:textId="77777777" w:rsidR="00871BDF" w:rsidRDefault="005C5088">
            <w:pPr>
              <w:jc w:val="right"/>
              <w:textAlignment w:val="bottom"/>
            </w:pPr>
            <w:r>
              <w:rPr>
                <w:rFonts w:ascii="Times New Roman" w:eastAsia="宋体" w:hAnsi="Times New Roman"/>
                <w:color w:val="000000"/>
                <w:sz w:val="20"/>
                <w:szCs w:val="20"/>
              </w:rPr>
              <w:t>4.000 </w:t>
            </w:r>
          </w:p>
        </w:tc>
        <w:tc>
          <w:tcPr>
            <w:tcW w:w="0" w:type="auto"/>
            <w:shd w:val="clear" w:color="auto" w:fill="D7E4BC"/>
            <w:tcMar>
              <w:top w:w="40" w:type="dxa"/>
              <w:left w:w="0" w:type="dxa"/>
              <w:bottom w:w="40" w:type="dxa"/>
              <w:right w:w="20" w:type="dxa"/>
            </w:tcMar>
            <w:vAlign w:val="bottom"/>
          </w:tcPr>
          <w:p w14:paraId="00BAFCB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0BAFCB9" w14:textId="77777777" w:rsidR="00871BDF" w:rsidRDefault="005C5088">
            <w:pPr>
              <w:jc w:val="right"/>
              <w:textAlignment w:val="bottom"/>
            </w:pPr>
            <w:r>
              <w:rPr>
                <w:rFonts w:ascii="Times New Roman" w:eastAsia="宋体" w:hAnsi="Times New Roman"/>
                <w:color w:val="000000"/>
                <w:sz w:val="20"/>
                <w:szCs w:val="20"/>
              </w:rPr>
              <w:t>3.958 </w:t>
            </w:r>
          </w:p>
        </w:tc>
        <w:tc>
          <w:tcPr>
            <w:tcW w:w="0" w:type="auto"/>
            <w:shd w:val="clear" w:color="auto" w:fill="D7E4BC"/>
            <w:tcMar>
              <w:top w:w="40" w:type="dxa"/>
              <w:left w:w="0" w:type="dxa"/>
              <w:bottom w:w="40" w:type="dxa"/>
              <w:right w:w="20" w:type="dxa"/>
            </w:tcMar>
            <w:vAlign w:val="bottom"/>
          </w:tcPr>
          <w:p w14:paraId="00BAFCB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CB" w14:textId="77777777">
        <w:tc>
          <w:tcPr>
            <w:tcW w:w="0" w:type="auto"/>
            <w:gridSpan w:val="3"/>
            <w:shd w:val="clear" w:color="auto" w:fill="FFFFFF"/>
            <w:tcMar>
              <w:top w:w="40" w:type="dxa"/>
              <w:left w:w="20" w:type="dxa"/>
              <w:bottom w:w="40" w:type="dxa"/>
              <w:right w:w="20" w:type="dxa"/>
            </w:tcMar>
            <w:vAlign w:val="bottom"/>
          </w:tcPr>
          <w:p w14:paraId="00BAFCBC" w14:textId="77777777" w:rsidR="00871BDF" w:rsidRDefault="005C5088">
            <w:pPr>
              <w:textAlignment w:val="bottom"/>
            </w:pPr>
            <w:r>
              <w:rPr>
                <w:rFonts w:ascii="Times New Roman" w:eastAsia="宋体" w:hAnsi="Times New Roman"/>
                <w:color w:val="000000"/>
                <w:sz w:val="20"/>
                <w:szCs w:val="20"/>
              </w:rPr>
              <w:t>August 2029 notes</w:t>
            </w:r>
          </w:p>
        </w:tc>
        <w:tc>
          <w:tcPr>
            <w:tcW w:w="0" w:type="auto"/>
            <w:gridSpan w:val="2"/>
            <w:shd w:val="clear" w:color="auto" w:fill="FFFFFF"/>
            <w:tcMar>
              <w:top w:w="40" w:type="dxa"/>
              <w:left w:w="20" w:type="dxa"/>
              <w:bottom w:w="40" w:type="dxa"/>
              <w:right w:w="0" w:type="dxa"/>
            </w:tcMar>
            <w:vAlign w:val="bottom"/>
          </w:tcPr>
          <w:p w14:paraId="00BAFCBD"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0BAFCBE"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BF" w14:textId="77777777" w:rsidR="00871BDF" w:rsidRDefault="005C5088">
            <w:pPr>
              <w:jc w:val="right"/>
              <w:textAlignment w:val="bottom"/>
            </w:pPr>
            <w:r>
              <w:rPr>
                <w:rFonts w:ascii="Times New Roman" w:eastAsia="宋体" w:hAnsi="Times New Roman"/>
                <w:color w:val="000000"/>
                <w:sz w:val="20"/>
                <w:szCs w:val="20"/>
              </w:rPr>
              <w:t>1,147 </w:t>
            </w:r>
          </w:p>
        </w:tc>
        <w:tc>
          <w:tcPr>
            <w:tcW w:w="0" w:type="auto"/>
            <w:shd w:val="clear" w:color="auto" w:fill="FFFFFF"/>
            <w:tcMar>
              <w:top w:w="40" w:type="dxa"/>
              <w:left w:w="0" w:type="dxa"/>
              <w:bottom w:w="40" w:type="dxa"/>
              <w:right w:w="20" w:type="dxa"/>
            </w:tcMar>
            <w:vAlign w:val="bottom"/>
          </w:tcPr>
          <w:p w14:paraId="00BAFCC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C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C2"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0BAFCC3"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C4" w14:textId="77777777" w:rsidR="00871BDF" w:rsidRDefault="005C5088">
            <w:pPr>
              <w:jc w:val="right"/>
              <w:textAlignment w:val="bottom"/>
            </w:pPr>
            <w:r>
              <w:rPr>
                <w:rFonts w:ascii="Times New Roman" w:eastAsia="宋体" w:hAnsi="Times New Roman"/>
                <w:color w:val="000000"/>
                <w:sz w:val="20"/>
                <w:szCs w:val="20"/>
              </w:rPr>
              <w:t>1,080 </w:t>
            </w:r>
          </w:p>
        </w:tc>
        <w:tc>
          <w:tcPr>
            <w:tcW w:w="0" w:type="auto"/>
            <w:shd w:val="clear" w:color="auto" w:fill="FFFFFF"/>
            <w:tcMar>
              <w:top w:w="40" w:type="dxa"/>
              <w:left w:w="0" w:type="dxa"/>
              <w:bottom w:w="40" w:type="dxa"/>
              <w:right w:w="20" w:type="dxa"/>
            </w:tcMar>
            <w:vAlign w:val="bottom"/>
          </w:tcPr>
          <w:p w14:paraId="00BAFCC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C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C7" w14:textId="77777777" w:rsidR="00871BDF" w:rsidRDefault="005C5088">
            <w:pPr>
              <w:jc w:val="right"/>
              <w:textAlignment w:val="bottom"/>
            </w:pPr>
            <w:r>
              <w:rPr>
                <w:rFonts w:ascii="Times New Roman" w:eastAsia="宋体" w:hAnsi="Times New Roman"/>
                <w:color w:val="000000"/>
                <w:sz w:val="20"/>
                <w:szCs w:val="20"/>
              </w:rPr>
              <w:t>3.550 </w:t>
            </w:r>
          </w:p>
        </w:tc>
        <w:tc>
          <w:tcPr>
            <w:tcW w:w="0" w:type="auto"/>
            <w:shd w:val="clear" w:color="auto" w:fill="FFFFFF"/>
            <w:tcMar>
              <w:top w:w="40" w:type="dxa"/>
              <w:left w:w="0" w:type="dxa"/>
              <w:bottom w:w="40" w:type="dxa"/>
              <w:right w:w="20" w:type="dxa"/>
            </w:tcMar>
            <w:vAlign w:val="bottom"/>
          </w:tcPr>
          <w:p w14:paraId="00BAFCC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0BAFCC9" w14:textId="77777777" w:rsidR="00871BDF" w:rsidRDefault="005C5088">
            <w:pPr>
              <w:jc w:val="right"/>
              <w:textAlignment w:val="bottom"/>
            </w:pPr>
            <w:r>
              <w:rPr>
                <w:rFonts w:ascii="Times New Roman" w:eastAsia="宋体" w:hAnsi="Times New Roman"/>
                <w:color w:val="000000"/>
                <w:sz w:val="20"/>
                <w:szCs w:val="20"/>
              </w:rPr>
              <w:t>3.840 </w:t>
            </w:r>
          </w:p>
        </w:tc>
        <w:tc>
          <w:tcPr>
            <w:tcW w:w="0" w:type="auto"/>
            <w:shd w:val="clear" w:color="auto" w:fill="FFFFFF"/>
            <w:tcMar>
              <w:top w:w="40" w:type="dxa"/>
              <w:left w:w="0" w:type="dxa"/>
              <w:bottom w:w="40" w:type="dxa"/>
              <w:right w:w="20" w:type="dxa"/>
            </w:tcMar>
            <w:vAlign w:val="bottom"/>
          </w:tcPr>
          <w:p w14:paraId="00BAFCC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DB" w14:textId="77777777">
        <w:tc>
          <w:tcPr>
            <w:tcW w:w="0" w:type="auto"/>
            <w:gridSpan w:val="3"/>
            <w:shd w:val="clear" w:color="auto" w:fill="D7E4BC"/>
            <w:tcMar>
              <w:top w:w="40" w:type="dxa"/>
              <w:left w:w="20" w:type="dxa"/>
              <w:bottom w:w="40" w:type="dxa"/>
              <w:right w:w="20" w:type="dxa"/>
            </w:tcMar>
            <w:vAlign w:val="bottom"/>
          </w:tcPr>
          <w:p w14:paraId="00BAFCCC" w14:textId="77777777" w:rsidR="00871BDF" w:rsidRDefault="005C5088">
            <w:pPr>
              <w:textAlignment w:val="bottom"/>
            </w:pPr>
            <w:r>
              <w:rPr>
                <w:rFonts w:ascii="Times New Roman" w:eastAsia="宋体" w:hAnsi="Times New Roman"/>
                <w:color w:val="000000"/>
                <w:sz w:val="20"/>
                <w:szCs w:val="20"/>
              </w:rPr>
              <w:t>March 2030 notes</w:t>
            </w:r>
            <w:r>
              <w:rPr>
                <w:rFonts w:ascii="Times New Roman" w:eastAsia="宋体" w:hAnsi="Times New Roman"/>
                <w:color w:val="000000"/>
                <w:sz w:val="13"/>
                <w:szCs w:val="13"/>
              </w:rPr>
              <w:t>(4)</w:t>
            </w:r>
          </w:p>
        </w:tc>
        <w:tc>
          <w:tcPr>
            <w:tcW w:w="0" w:type="auto"/>
            <w:gridSpan w:val="2"/>
            <w:shd w:val="clear" w:color="auto" w:fill="D7E4BC"/>
            <w:tcMar>
              <w:top w:w="40" w:type="dxa"/>
              <w:left w:w="20" w:type="dxa"/>
              <w:bottom w:w="40" w:type="dxa"/>
              <w:right w:w="0" w:type="dxa"/>
            </w:tcMar>
            <w:vAlign w:val="bottom"/>
          </w:tcPr>
          <w:p w14:paraId="00BAFCCD" w14:textId="77777777" w:rsidR="00871BDF" w:rsidRDefault="005C5088">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00BAFCCE"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CF" w14:textId="77777777" w:rsidR="00871BDF" w:rsidRDefault="005C5088">
            <w:pPr>
              <w:jc w:val="right"/>
              <w:textAlignment w:val="bottom"/>
            </w:pPr>
            <w:r>
              <w:rPr>
                <w:rFonts w:ascii="Times New Roman" w:eastAsia="宋体" w:hAnsi="Times New Roman"/>
                <w:color w:val="000000"/>
                <w:sz w:val="20"/>
                <w:szCs w:val="20"/>
              </w:rPr>
              <w:t>778 </w:t>
            </w:r>
          </w:p>
        </w:tc>
        <w:tc>
          <w:tcPr>
            <w:tcW w:w="0" w:type="auto"/>
            <w:shd w:val="clear" w:color="auto" w:fill="D7E4BC"/>
            <w:tcMar>
              <w:top w:w="40" w:type="dxa"/>
              <w:left w:w="0" w:type="dxa"/>
              <w:bottom w:w="40" w:type="dxa"/>
              <w:right w:w="20" w:type="dxa"/>
            </w:tcMar>
            <w:vAlign w:val="bottom"/>
          </w:tcPr>
          <w:p w14:paraId="00BAFCD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D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D2"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CD3"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D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CD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D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D7" w14:textId="77777777" w:rsidR="00871BDF" w:rsidRDefault="005C5088">
            <w:pPr>
              <w:jc w:val="right"/>
              <w:textAlignment w:val="bottom"/>
            </w:pPr>
            <w:r>
              <w:rPr>
                <w:rFonts w:ascii="Times New Roman" w:eastAsia="宋体" w:hAnsi="Times New Roman"/>
                <w:color w:val="000000"/>
                <w:sz w:val="20"/>
                <w:szCs w:val="20"/>
              </w:rPr>
              <w:t>2.250 </w:t>
            </w:r>
          </w:p>
        </w:tc>
        <w:tc>
          <w:tcPr>
            <w:tcW w:w="0" w:type="auto"/>
            <w:shd w:val="clear" w:color="auto" w:fill="D7E4BC"/>
            <w:tcMar>
              <w:top w:w="40" w:type="dxa"/>
              <w:left w:w="0" w:type="dxa"/>
              <w:bottom w:w="40" w:type="dxa"/>
              <w:right w:w="20" w:type="dxa"/>
            </w:tcMar>
            <w:vAlign w:val="bottom"/>
          </w:tcPr>
          <w:p w14:paraId="00BAFCD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0BAFCD9" w14:textId="77777777" w:rsidR="00871BDF" w:rsidRDefault="005C5088">
            <w:pPr>
              <w:jc w:val="right"/>
              <w:textAlignment w:val="bottom"/>
            </w:pPr>
            <w:r>
              <w:rPr>
                <w:rFonts w:ascii="Times New Roman" w:eastAsia="宋体" w:hAnsi="Times New Roman"/>
                <w:color w:val="000000"/>
                <w:sz w:val="20"/>
                <w:szCs w:val="20"/>
              </w:rPr>
              <w:t>3.084 </w:t>
            </w:r>
          </w:p>
        </w:tc>
        <w:tc>
          <w:tcPr>
            <w:tcW w:w="0" w:type="auto"/>
            <w:shd w:val="clear" w:color="auto" w:fill="D7E4BC"/>
            <w:tcMar>
              <w:top w:w="40" w:type="dxa"/>
              <w:left w:w="0" w:type="dxa"/>
              <w:bottom w:w="40" w:type="dxa"/>
              <w:right w:w="20" w:type="dxa"/>
            </w:tcMar>
            <w:vAlign w:val="bottom"/>
          </w:tcPr>
          <w:p w14:paraId="00BAFCD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EB" w14:textId="77777777">
        <w:tc>
          <w:tcPr>
            <w:tcW w:w="0" w:type="auto"/>
            <w:gridSpan w:val="3"/>
            <w:shd w:val="clear" w:color="auto" w:fill="FFFFFF"/>
            <w:tcMar>
              <w:top w:w="40" w:type="dxa"/>
              <w:left w:w="20" w:type="dxa"/>
              <w:bottom w:w="40" w:type="dxa"/>
              <w:right w:w="20" w:type="dxa"/>
            </w:tcMar>
            <w:vAlign w:val="bottom"/>
          </w:tcPr>
          <w:p w14:paraId="00BAFCDC" w14:textId="77777777" w:rsidR="00871BDF" w:rsidRDefault="005C5088">
            <w:pPr>
              <w:textAlignment w:val="bottom"/>
            </w:pPr>
            <w:r>
              <w:rPr>
                <w:rFonts w:ascii="Times New Roman" w:eastAsia="宋体" w:hAnsi="Times New Roman"/>
                <w:color w:val="000000"/>
                <w:sz w:val="20"/>
                <w:szCs w:val="20"/>
              </w:rPr>
              <w:t>No</w:t>
            </w:r>
            <w:r>
              <w:rPr>
                <w:rFonts w:ascii="Times New Roman" w:eastAsia="宋体" w:hAnsi="Times New Roman"/>
                <w:color w:val="000000"/>
                <w:sz w:val="20"/>
                <w:szCs w:val="20"/>
              </w:rPr>
              <w:t>vember 2030 notes</w:t>
            </w:r>
            <w:r>
              <w:rPr>
                <w:rFonts w:ascii="Times New Roman" w:eastAsia="宋体" w:hAnsi="Times New Roman"/>
                <w:color w:val="000000"/>
                <w:sz w:val="13"/>
                <w:szCs w:val="13"/>
              </w:rPr>
              <w:t>(5)</w:t>
            </w:r>
          </w:p>
        </w:tc>
        <w:tc>
          <w:tcPr>
            <w:tcW w:w="0" w:type="auto"/>
            <w:gridSpan w:val="2"/>
            <w:shd w:val="clear" w:color="auto" w:fill="FFFFFF"/>
            <w:tcMar>
              <w:top w:w="40" w:type="dxa"/>
              <w:left w:w="20" w:type="dxa"/>
              <w:bottom w:w="40" w:type="dxa"/>
              <w:right w:w="0" w:type="dxa"/>
            </w:tcMar>
            <w:vAlign w:val="bottom"/>
          </w:tcPr>
          <w:p w14:paraId="00BAFCDD" w14:textId="77777777" w:rsidR="00871BDF" w:rsidRDefault="005C5088">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00BAFCDE"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DF" w14:textId="77777777" w:rsidR="00871BDF" w:rsidRDefault="005C5088">
            <w:pPr>
              <w:jc w:val="right"/>
              <w:textAlignment w:val="bottom"/>
            </w:pPr>
            <w:r>
              <w:rPr>
                <w:rFonts w:ascii="Times New Roman" w:eastAsia="宋体" w:hAnsi="Times New Roman"/>
                <w:color w:val="000000"/>
                <w:sz w:val="20"/>
                <w:szCs w:val="20"/>
              </w:rPr>
              <w:t>1,326 </w:t>
            </w:r>
          </w:p>
        </w:tc>
        <w:tc>
          <w:tcPr>
            <w:tcW w:w="0" w:type="auto"/>
            <w:shd w:val="clear" w:color="auto" w:fill="FFFFFF"/>
            <w:tcMar>
              <w:top w:w="40" w:type="dxa"/>
              <w:left w:w="0" w:type="dxa"/>
              <w:bottom w:w="40" w:type="dxa"/>
              <w:right w:w="20" w:type="dxa"/>
            </w:tcMar>
            <w:vAlign w:val="bottom"/>
          </w:tcPr>
          <w:p w14:paraId="00BAFCE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E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E2"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CE3"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E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CE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CE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CE7" w14:textId="77777777" w:rsidR="00871BDF" w:rsidRDefault="005C5088">
            <w:pPr>
              <w:jc w:val="right"/>
              <w:textAlignment w:val="bottom"/>
            </w:pPr>
            <w:r>
              <w:rPr>
                <w:rFonts w:ascii="Times New Roman" w:eastAsia="宋体" w:hAnsi="Times New Roman"/>
                <w:color w:val="000000"/>
                <w:sz w:val="20"/>
                <w:szCs w:val="20"/>
              </w:rPr>
              <w:t>2.550 </w:t>
            </w:r>
          </w:p>
        </w:tc>
        <w:tc>
          <w:tcPr>
            <w:tcW w:w="0" w:type="auto"/>
            <w:shd w:val="clear" w:color="auto" w:fill="FFFFFF"/>
            <w:tcMar>
              <w:top w:w="40" w:type="dxa"/>
              <w:left w:w="0" w:type="dxa"/>
              <w:bottom w:w="40" w:type="dxa"/>
              <w:right w:w="20" w:type="dxa"/>
            </w:tcMar>
            <w:vAlign w:val="bottom"/>
          </w:tcPr>
          <w:p w14:paraId="00BAFCE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0BAFCE9" w14:textId="77777777" w:rsidR="00871BDF" w:rsidRDefault="005C5088">
            <w:pPr>
              <w:jc w:val="right"/>
              <w:textAlignment w:val="bottom"/>
            </w:pPr>
            <w:r>
              <w:rPr>
                <w:rFonts w:ascii="Times New Roman" w:eastAsia="宋体" w:hAnsi="Times New Roman"/>
                <w:color w:val="000000"/>
                <w:sz w:val="20"/>
                <w:szCs w:val="20"/>
              </w:rPr>
              <w:t>2.582 </w:t>
            </w:r>
          </w:p>
        </w:tc>
        <w:tc>
          <w:tcPr>
            <w:tcW w:w="0" w:type="auto"/>
            <w:shd w:val="clear" w:color="auto" w:fill="FFFFFF"/>
            <w:tcMar>
              <w:top w:w="40" w:type="dxa"/>
              <w:left w:w="0" w:type="dxa"/>
              <w:bottom w:w="40" w:type="dxa"/>
              <w:right w:w="20" w:type="dxa"/>
            </w:tcMar>
            <w:vAlign w:val="bottom"/>
          </w:tcPr>
          <w:p w14:paraId="00BAFCE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CFB" w14:textId="77777777">
        <w:tc>
          <w:tcPr>
            <w:tcW w:w="0" w:type="auto"/>
            <w:gridSpan w:val="3"/>
            <w:shd w:val="clear" w:color="auto" w:fill="D7E4BC"/>
            <w:tcMar>
              <w:top w:w="40" w:type="dxa"/>
              <w:left w:w="20" w:type="dxa"/>
              <w:bottom w:w="40" w:type="dxa"/>
              <w:right w:w="20" w:type="dxa"/>
            </w:tcMar>
            <w:vAlign w:val="bottom"/>
          </w:tcPr>
          <w:p w14:paraId="00BAFCEC" w14:textId="77777777" w:rsidR="00871BDF" w:rsidRDefault="005C5088">
            <w:pPr>
              <w:textAlignment w:val="bottom"/>
            </w:pPr>
            <w:r>
              <w:rPr>
                <w:rFonts w:ascii="Times New Roman" w:eastAsia="宋体" w:hAnsi="Times New Roman"/>
                <w:color w:val="000000"/>
                <w:sz w:val="20"/>
                <w:szCs w:val="20"/>
              </w:rPr>
              <w:t>June 2045 notes</w:t>
            </w:r>
          </w:p>
        </w:tc>
        <w:tc>
          <w:tcPr>
            <w:tcW w:w="0" w:type="auto"/>
            <w:gridSpan w:val="2"/>
            <w:shd w:val="clear" w:color="auto" w:fill="D7E4BC"/>
            <w:tcMar>
              <w:top w:w="40" w:type="dxa"/>
              <w:left w:w="20" w:type="dxa"/>
              <w:bottom w:w="40" w:type="dxa"/>
              <w:right w:w="0" w:type="dxa"/>
            </w:tcMar>
            <w:vAlign w:val="bottom"/>
          </w:tcPr>
          <w:p w14:paraId="00BAFCED" w14:textId="77777777" w:rsidR="00871BDF" w:rsidRDefault="005C5088">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left w:w="0" w:type="dxa"/>
              <w:bottom w:w="40" w:type="dxa"/>
              <w:right w:w="20" w:type="dxa"/>
            </w:tcMar>
            <w:vAlign w:val="bottom"/>
          </w:tcPr>
          <w:p w14:paraId="00BAFCEE"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EF" w14:textId="77777777" w:rsidR="00871BDF" w:rsidRDefault="005C5088">
            <w:pPr>
              <w:jc w:val="right"/>
              <w:textAlignment w:val="bottom"/>
            </w:pPr>
            <w:r>
              <w:rPr>
                <w:rFonts w:ascii="Times New Roman" w:eastAsia="宋体" w:hAnsi="Times New Roman"/>
                <w:color w:val="000000"/>
                <w:sz w:val="20"/>
                <w:szCs w:val="20"/>
              </w:rPr>
              <w:t>412 </w:t>
            </w:r>
          </w:p>
        </w:tc>
        <w:tc>
          <w:tcPr>
            <w:tcW w:w="0" w:type="auto"/>
            <w:shd w:val="clear" w:color="auto" w:fill="D7E4BC"/>
            <w:tcMar>
              <w:top w:w="40" w:type="dxa"/>
              <w:left w:w="0" w:type="dxa"/>
              <w:bottom w:w="40" w:type="dxa"/>
              <w:right w:w="20" w:type="dxa"/>
            </w:tcMar>
            <w:vAlign w:val="bottom"/>
          </w:tcPr>
          <w:p w14:paraId="00BAFCF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F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F2" w14:textId="77777777" w:rsidR="00871BDF" w:rsidRDefault="005C5088">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left w:w="0" w:type="dxa"/>
              <w:bottom w:w="40" w:type="dxa"/>
              <w:right w:w="20" w:type="dxa"/>
            </w:tcMar>
            <w:vAlign w:val="bottom"/>
          </w:tcPr>
          <w:p w14:paraId="00BAFCF3"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CF4" w14:textId="77777777" w:rsidR="00871BDF" w:rsidRDefault="005C5088">
            <w:pPr>
              <w:jc w:val="right"/>
              <w:textAlignment w:val="bottom"/>
            </w:pPr>
            <w:r>
              <w:rPr>
                <w:rFonts w:ascii="Times New Roman" w:eastAsia="宋体" w:hAnsi="Times New Roman"/>
                <w:color w:val="000000"/>
                <w:sz w:val="20"/>
                <w:szCs w:val="20"/>
              </w:rPr>
              <w:t>390 </w:t>
            </w:r>
          </w:p>
        </w:tc>
        <w:tc>
          <w:tcPr>
            <w:tcW w:w="0" w:type="auto"/>
            <w:shd w:val="clear" w:color="auto" w:fill="D7E4BC"/>
            <w:tcMar>
              <w:top w:w="40" w:type="dxa"/>
              <w:left w:w="0" w:type="dxa"/>
              <w:bottom w:w="40" w:type="dxa"/>
              <w:right w:w="20" w:type="dxa"/>
            </w:tcMar>
            <w:vAlign w:val="bottom"/>
          </w:tcPr>
          <w:p w14:paraId="00BAFCF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CF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CF7" w14:textId="77777777" w:rsidR="00871BDF" w:rsidRDefault="005C5088">
            <w:pPr>
              <w:jc w:val="right"/>
              <w:textAlignment w:val="bottom"/>
            </w:pPr>
            <w:r>
              <w:rPr>
                <w:rFonts w:ascii="Times New Roman" w:eastAsia="宋体" w:hAnsi="Times New Roman"/>
                <w:color w:val="000000"/>
                <w:sz w:val="20"/>
                <w:szCs w:val="20"/>
              </w:rPr>
              <w:t>4.300 </w:t>
            </w:r>
          </w:p>
        </w:tc>
        <w:tc>
          <w:tcPr>
            <w:tcW w:w="0" w:type="auto"/>
            <w:shd w:val="clear" w:color="auto" w:fill="D7E4BC"/>
            <w:tcMar>
              <w:top w:w="40" w:type="dxa"/>
              <w:left w:w="0" w:type="dxa"/>
              <w:bottom w:w="40" w:type="dxa"/>
              <w:right w:w="20" w:type="dxa"/>
            </w:tcMar>
            <w:vAlign w:val="bottom"/>
          </w:tcPr>
          <w:p w14:paraId="00BAFCF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0BAFCF9" w14:textId="77777777" w:rsidR="00871BDF" w:rsidRDefault="005C5088">
            <w:pPr>
              <w:jc w:val="right"/>
              <w:textAlignment w:val="bottom"/>
            </w:pPr>
            <w:r>
              <w:rPr>
                <w:rFonts w:ascii="Times New Roman" w:eastAsia="宋体" w:hAnsi="Times New Roman"/>
                <w:color w:val="000000"/>
                <w:sz w:val="20"/>
                <w:szCs w:val="20"/>
              </w:rPr>
              <w:t>4.348 </w:t>
            </w:r>
          </w:p>
        </w:tc>
        <w:tc>
          <w:tcPr>
            <w:tcW w:w="0" w:type="auto"/>
            <w:shd w:val="clear" w:color="auto" w:fill="D7E4BC"/>
            <w:tcMar>
              <w:top w:w="40" w:type="dxa"/>
              <w:left w:w="0" w:type="dxa"/>
              <w:bottom w:w="40" w:type="dxa"/>
              <w:right w:w="20" w:type="dxa"/>
            </w:tcMar>
            <w:vAlign w:val="bottom"/>
          </w:tcPr>
          <w:p w14:paraId="00BAFCF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D0B" w14:textId="77777777">
        <w:tc>
          <w:tcPr>
            <w:tcW w:w="0" w:type="auto"/>
            <w:gridSpan w:val="3"/>
            <w:shd w:val="clear" w:color="auto" w:fill="FFFFFF"/>
            <w:tcMar>
              <w:top w:w="40" w:type="dxa"/>
              <w:left w:w="20" w:type="dxa"/>
              <w:bottom w:w="40" w:type="dxa"/>
              <w:right w:w="20" w:type="dxa"/>
            </w:tcMar>
            <w:vAlign w:val="bottom"/>
          </w:tcPr>
          <w:p w14:paraId="00BAFCFC" w14:textId="77777777" w:rsidR="00871BDF" w:rsidRDefault="005C5088">
            <w:pPr>
              <w:textAlignment w:val="bottom"/>
            </w:pPr>
            <w:r>
              <w:rPr>
                <w:rFonts w:ascii="Times New Roman" w:eastAsia="宋体" w:hAnsi="Times New Roman"/>
                <w:color w:val="000000"/>
                <w:sz w:val="20"/>
                <w:szCs w:val="20"/>
              </w:rPr>
              <w:t>December 2047 notes</w:t>
            </w:r>
          </w:p>
        </w:tc>
        <w:tc>
          <w:tcPr>
            <w:tcW w:w="0" w:type="auto"/>
            <w:gridSpan w:val="2"/>
            <w:shd w:val="clear" w:color="auto" w:fill="FFFFFF"/>
            <w:tcMar>
              <w:top w:w="40" w:type="dxa"/>
              <w:left w:w="20" w:type="dxa"/>
              <w:bottom w:w="40" w:type="dxa"/>
              <w:right w:w="0" w:type="dxa"/>
            </w:tcMar>
            <w:vAlign w:val="bottom"/>
          </w:tcPr>
          <w:p w14:paraId="00BAFCFD" w14:textId="77777777" w:rsidR="00871BDF" w:rsidRDefault="005C5088">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0BAFCFE"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CFF" w14:textId="77777777" w:rsidR="00871BDF" w:rsidRDefault="005C5088">
            <w:pPr>
              <w:jc w:val="right"/>
              <w:textAlignment w:val="bottom"/>
            </w:pPr>
            <w:r>
              <w:rPr>
                <w:rFonts w:ascii="Times New Roman" w:eastAsia="宋体" w:hAnsi="Times New Roman"/>
                <w:color w:val="000000"/>
                <w:sz w:val="20"/>
                <w:szCs w:val="20"/>
              </w:rPr>
              <w:t>547 </w:t>
            </w:r>
          </w:p>
        </w:tc>
        <w:tc>
          <w:tcPr>
            <w:tcW w:w="0" w:type="auto"/>
            <w:shd w:val="clear" w:color="auto" w:fill="FFFFFF"/>
            <w:tcMar>
              <w:top w:w="40" w:type="dxa"/>
              <w:left w:w="0" w:type="dxa"/>
              <w:bottom w:w="40" w:type="dxa"/>
              <w:right w:w="20" w:type="dxa"/>
            </w:tcMar>
            <w:vAlign w:val="bottom"/>
          </w:tcPr>
          <w:p w14:paraId="00BAFD0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D0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D02" w14:textId="77777777" w:rsidR="00871BDF" w:rsidRDefault="005C5088">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0BAFD03"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D04" w14:textId="77777777" w:rsidR="00871BDF" w:rsidRDefault="005C5088">
            <w:pPr>
              <w:jc w:val="right"/>
              <w:textAlignment w:val="bottom"/>
            </w:pPr>
            <w:r>
              <w:rPr>
                <w:rFonts w:ascii="Times New Roman" w:eastAsia="宋体" w:hAnsi="Times New Roman"/>
                <w:color w:val="000000"/>
                <w:sz w:val="20"/>
                <w:szCs w:val="20"/>
              </w:rPr>
              <w:t>518 </w:t>
            </w:r>
          </w:p>
        </w:tc>
        <w:tc>
          <w:tcPr>
            <w:tcW w:w="0" w:type="auto"/>
            <w:shd w:val="clear" w:color="auto" w:fill="FFFFFF"/>
            <w:tcMar>
              <w:top w:w="40" w:type="dxa"/>
              <w:left w:w="0" w:type="dxa"/>
              <w:bottom w:w="40" w:type="dxa"/>
              <w:right w:w="20" w:type="dxa"/>
            </w:tcMar>
            <w:vAlign w:val="bottom"/>
          </w:tcPr>
          <w:p w14:paraId="00BAFD0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D0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D07" w14:textId="77777777" w:rsidR="00871BDF" w:rsidRDefault="005C5088">
            <w:pPr>
              <w:jc w:val="right"/>
              <w:textAlignment w:val="bottom"/>
            </w:pPr>
            <w:r>
              <w:rPr>
                <w:rFonts w:ascii="Times New Roman" w:eastAsia="宋体" w:hAnsi="Times New Roman"/>
                <w:color w:val="000000"/>
                <w:sz w:val="20"/>
                <w:szCs w:val="20"/>
              </w:rPr>
              <w:t>3.750 </w:t>
            </w:r>
          </w:p>
        </w:tc>
        <w:tc>
          <w:tcPr>
            <w:tcW w:w="0" w:type="auto"/>
            <w:shd w:val="clear" w:color="auto" w:fill="FFFFFF"/>
            <w:tcMar>
              <w:top w:w="40" w:type="dxa"/>
              <w:left w:w="0" w:type="dxa"/>
              <w:bottom w:w="40" w:type="dxa"/>
              <w:right w:w="20" w:type="dxa"/>
            </w:tcMar>
            <w:vAlign w:val="bottom"/>
          </w:tcPr>
          <w:p w14:paraId="00BAFD0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0BAFD09" w14:textId="77777777" w:rsidR="00871BDF" w:rsidRDefault="005C5088">
            <w:pPr>
              <w:jc w:val="right"/>
              <w:textAlignment w:val="bottom"/>
            </w:pPr>
            <w:r>
              <w:rPr>
                <w:rFonts w:ascii="Times New Roman" w:eastAsia="宋体" w:hAnsi="Times New Roman"/>
                <w:color w:val="000000"/>
                <w:sz w:val="20"/>
                <w:szCs w:val="20"/>
              </w:rPr>
              <w:t>3.765 </w:t>
            </w:r>
          </w:p>
        </w:tc>
        <w:tc>
          <w:tcPr>
            <w:tcW w:w="0" w:type="auto"/>
            <w:shd w:val="clear" w:color="auto" w:fill="FFFFFF"/>
            <w:tcMar>
              <w:top w:w="40" w:type="dxa"/>
              <w:left w:w="0" w:type="dxa"/>
              <w:bottom w:w="40" w:type="dxa"/>
              <w:right w:w="20" w:type="dxa"/>
            </w:tcMar>
            <w:vAlign w:val="bottom"/>
          </w:tcPr>
          <w:p w14:paraId="00BAFD0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D1B" w14:textId="77777777">
        <w:tc>
          <w:tcPr>
            <w:tcW w:w="0" w:type="auto"/>
            <w:gridSpan w:val="3"/>
            <w:shd w:val="clear" w:color="auto" w:fill="D7E4BC"/>
            <w:tcMar>
              <w:top w:w="40" w:type="dxa"/>
              <w:left w:w="20" w:type="dxa"/>
              <w:bottom w:w="40" w:type="dxa"/>
              <w:right w:w="20" w:type="dxa"/>
            </w:tcMar>
            <w:vAlign w:val="bottom"/>
          </w:tcPr>
          <w:p w14:paraId="00BAFD0C" w14:textId="77777777" w:rsidR="00871BDF" w:rsidRDefault="005C5088">
            <w:pPr>
              <w:textAlignment w:val="bottom"/>
            </w:pPr>
            <w:r>
              <w:rPr>
                <w:rFonts w:ascii="Times New Roman" w:eastAsia="宋体" w:hAnsi="Times New Roman"/>
                <w:color w:val="000000"/>
                <w:sz w:val="20"/>
                <w:szCs w:val="20"/>
              </w:rPr>
              <w:t>November 2048 notes</w:t>
            </w:r>
          </w:p>
        </w:tc>
        <w:tc>
          <w:tcPr>
            <w:tcW w:w="0" w:type="auto"/>
            <w:gridSpan w:val="2"/>
            <w:shd w:val="clear" w:color="auto" w:fill="D7E4BC"/>
            <w:tcMar>
              <w:top w:w="40" w:type="dxa"/>
              <w:left w:w="20" w:type="dxa"/>
              <w:bottom w:w="40" w:type="dxa"/>
              <w:right w:w="0" w:type="dxa"/>
            </w:tcMar>
            <w:vAlign w:val="bottom"/>
          </w:tcPr>
          <w:p w14:paraId="00BAFD0D"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00BAFD0E"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D0F" w14:textId="77777777" w:rsidR="00871BDF" w:rsidRDefault="005C5088">
            <w:pPr>
              <w:jc w:val="right"/>
              <w:textAlignment w:val="bottom"/>
            </w:pPr>
            <w:r>
              <w:rPr>
                <w:rFonts w:ascii="Times New Roman" w:eastAsia="宋体" w:hAnsi="Times New Roman"/>
                <w:color w:val="000000"/>
                <w:sz w:val="20"/>
                <w:szCs w:val="20"/>
              </w:rPr>
              <w:t>1,223 </w:t>
            </w:r>
          </w:p>
        </w:tc>
        <w:tc>
          <w:tcPr>
            <w:tcW w:w="0" w:type="auto"/>
            <w:shd w:val="clear" w:color="auto" w:fill="D7E4BC"/>
            <w:tcMar>
              <w:top w:w="40" w:type="dxa"/>
              <w:left w:w="0" w:type="dxa"/>
              <w:bottom w:w="40" w:type="dxa"/>
              <w:right w:w="20" w:type="dxa"/>
            </w:tcMar>
            <w:vAlign w:val="bottom"/>
          </w:tcPr>
          <w:p w14:paraId="00BAFD1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D1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D12"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00BAFD13"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D14" w14:textId="77777777" w:rsidR="00871BDF" w:rsidRDefault="005C5088">
            <w:pPr>
              <w:jc w:val="right"/>
              <w:textAlignment w:val="bottom"/>
            </w:pPr>
            <w:r>
              <w:rPr>
                <w:rFonts w:ascii="Times New Roman" w:eastAsia="宋体" w:hAnsi="Times New Roman"/>
                <w:color w:val="000000"/>
                <w:sz w:val="20"/>
                <w:szCs w:val="20"/>
              </w:rPr>
              <w:t>1,160 </w:t>
            </w:r>
          </w:p>
        </w:tc>
        <w:tc>
          <w:tcPr>
            <w:tcW w:w="0" w:type="auto"/>
            <w:shd w:val="clear" w:color="auto" w:fill="D7E4BC"/>
            <w:tcMar>
              <w:top w:w="40" w:type="dxa"/>
              <w:left w:w="0" w:type="dxa"/>
              <w:bottom w:w="40" w:type="dxa"/>
              <w:right w:w="20" w:type="dxa"/>
            </w:tcMar>
            <w:vAlign w:val="bottom"/>
          </w:tcPr>
          <w:p w14:paraId="00BAFD1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D1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D17" w14:textId="77777777" w:rsidR="00871BDF" w:rsidRDefault="005C5088">
            <w:pPr>
              <w:jc w:val="right"/>
              <w:textAlignment w:val="bottom"/>
            </w:pPr>
            <w:r>
              <w:rPr>
                <w:rFonts w:ascii="Times New Roman" w:eastAsia="宋体" w:hAnsi="Times New Roman"/>
                <w:color w:val="000000"/>
                <w:sz w:val="20"/>
                <w:szCs w:val="20"/>
              </w:rPr>
              <w:t>4.500 </w:t>
            </w:r>
          </w:p>
        </w:tc>
        <w:tc>
          <w:tcPr>
            <w:tcW w:w="0" w:type="auto"/>
            <w:shd w:val="clear" w:color="auto" w:fill="D7E4BC"/>
            <w:tcMar>
              <w:top w:w="40" w:type="dxa"/>
              <w:left w:w="0" w:type="dxa"/>
              <w:bottom w:w="40" w:type="dxa"/>
              <w:right w:w="20" w:type="dxa"/>
            </w:tcMar>
            <w:vAlign w:val="bottom"/>
          </w:tcPr>
          <w:p w14:paraId="00BAFD1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0BAFD19" w14:textId="77777777" w:rsidR="00871BDF" w:rsidRDefault="005C5088">
            <w:pPr>
              <w:jc w:val="right"/>
              <w:textAlignment w:val="bottom"/>
            </w:pPr>
            <w:r>
              <w:rPr>
                <w:rFonts w:ascii="Times New Roman" w:eastAsia="宋体" w:hAnsi="Times New Roman"/>
                <w:color w:val="000000"/>
                <w:sz w:val="20"/>
                <w:szCs w:val="20"/>
              </w:rPr>
              <w:t>4.504 </w:t>
            </w:r>
          </w:p>
        </w:tc>
        <w:tc>
          <w:tcPr>
            <w:tcW w:w="0" w:type="auto"/>
            <w:shd w:val="clear" w:color="auto" w:fill="D7E4BC"/>
            <w:tcMar>
              <w:top w:w="40" w:type="dxa"/>
              <w:left w:w="0" w:type="dxa"/>
              <w:bottom w:w="40" w:type="dxa"/>
              <w:right w:w="20" w:type="dxa"/>
            </w:tcMar>
            <w:vAlign w:val="bottom"/>
          </w:tcPr>
          <w:p w14:paraId="00BAFD1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D2B" w14:textId="77777777">
        <w:tc>
          <w:tcPr>
            <w:tcW w:w="0" w:type="auto"/>
            <w:gridSpan w:val="3"/>
            <w:shd w:val="clear" w:color="auto" w:fill="FFFFFF"/>
            <w:tcMar>
              <w:top w:w="40" w:type="dxa"/>
              <w:left w:w="20" w:type="dxa"/>
              <w:bottom w:w="40" w:type="dxa"/>
              <w:right w:w="20" w:type="dxa"/>
            </w:tcMar>
            <w:vAlign w:val="bottom"/>
          </w:tcPr>
          <w:p w14:paraId="00BAFD1C" w14:textId="77777777" w:rsidR="00871BDF" w:rsidRDefault="005C5088">
            <w:pPr>
              <w:textAlignment w:val="bottom"/>
            </w:pPr>
            <w:r>
              <w:rPr>
                <w:rFonts w:ascii="Times New Roman" w:eastAsia="宋体" w:hAnsi="Times New Roman"/>
                <w:color w:val="000000"/>
                <w:sz w:val="20"/>
                <w:szCs w:val="20"/>
              </w:rPr>
              <w:t>August 2049 notes</w:t>
            </w:r>
          </w:p>
        </w:tc>
        <w:tc>
          <w:tcPr>
            <w:tcW w:w="0" w:type="auto"/>
            <w:gridSpan w:val="2"/>
            <w:shd w:val="clear" w:color="auto" w:fill="FFFFFF"/>
            <w:tcMar>
              <w:top w:w="40" w:type="dxa"/>
              <w:left w:w="20" w:type="dxa"/>
              <w:bottom w:w="40" w:type="dxa"/>
              <w:right w:w="0" w:type="dxa"/>
            </w:tcMar>
            <w:vAlign w:val="bottom"/>
          </w:tcPr>
          <w:p w14:paraId="00BAFD1D"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0BAFD1E"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D1F" w14:textId="77777777" w:rsidR="00871BDF" w:rsidRDefault="005C5088">
            <w:pPr>
              <w:jc w:val="right"/>
              <w:textAlignment w:val="bottom"/>
            </w:pPr>
            <w:r>
              <w:rPr>
                <w:rFonts w:ascii="Times New Roman" w:eastAsia="宋体" w:hAnsi="Times New Roman"/>
                <w:color w:val="000000"/>
                <w:sz w:val="20"/>
                <w:szCs w:val="20"/>
              </w:rPr>
              <w:t>1,216 </w:t>
            </w:r>
          </w:p>
        </w:tc>
        <w:tc>
          <w:tcPr>
            <w:tcW w:w="0" w:type="auto"/>
            <w:shd w:val="clear" w:color="auto" w:fill="FFFFFF"/>
            <w:tcMar>
              <w:top w:w="40" w:type="dxa"/>
              <w:left w:w="0" w:type="dxa"/>
              <w:bottom w:w="40" w:type="dxa"/>
              <w:right w:w="20" w:type="dxa"/>
            </w:tcMar>
            <w:vAlign w:val="bottom"/>
          </w:tcPr>
          <w:p w14:paraId="00BAFD2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D2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D22"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0BAFD23"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D24" w14:textId="77777777" w:rsidR="00871BDF" w:rsidRDefault="005C5088">
            <w:pPr>
              <w:jc w:val="right"/>
              <w:textAlignment w:val="bottom"/>
            </w:pPr>
            <w:r>
              <w:rPr>
                <w:rFonts w:ascii="Times New Roman" w:eastAsia="宋体" w:hAnsi="Times New Roman"/>
                <w:color w:val="000000"/>
                <w:sz w:val="20"/>
                <w:szCs w:val="20"/>
              </w:rPr>
              <w:t>1,165 </w:t>
            </w:r>
          </w:p>
        </w:tc>
        <w:tc>
          <w:tcPr>
            <w:tcW w:w="0" w:type="auto"/>
            <w:shd w:val="clear" w:color="auto" w:fill="FFFFFF"/>
            <w:tcMar>
              <w:top w:w="40" w:type="dxa"/>
              <w:left w:w="0" w:type="dxa"/>
              <w:bottom w:w="40" w:type="dxa"/>
              <w:right w:w="20" w:type="dxa"/>
            </w:tcMar>
            <w:vAlign w:val="bottom"/>
          </w:tcPr>
          <w:p w14:paraId="00BAFD2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D2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D27" w14:textId="77777777" w:rsidR="00871BDF" w:rsidRDefault="005C5088">
            <w:pPr>
              <w:jc w:val="right"/>
              <w:textAlignment w:val="bottom"/>
            </w:pPr>
            <w:r>
              <w:rPr>
                <w:rFonts w:ascii="Times New Roman" w:eastAsia="宋体" w:hAnsi="Times New Roman"/>
                <w:color w:val="000000"/>
                <w:sz w:val="20"/>
                <w:szCs w:val="20"/>
              </w:rPr>
              <w:t>4.450 </w:t>
            </w:r>
          </w:p>
        </w:tc>
        <w:tc>
          <w:tcPr>
            <w:tcW w:w="0" w:type="auto"/>
            <w:shd w:val="clear" w:color="auto" w:fill="FFFFFF"/>
            <w:tcMar>
              <w:top w:w="40" w:type="dxa"/>
              <w:left w:w="0" w:type="dxa"/>
              <w:bottom w:w="40" w:type="dxa"/>
              <w:right w:w="20" w:type="dxa"/>
            </w:tcMar>
            <w:vAlign w:val="bottom"/>
          </w:tcPr>
          <w:p w14:paraId="00BAFD2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0BAFD29" w14:textId="77777777" w:rsidR="00871BDF" w:rsidRDefault="005C5088">
            <w:pPr>
              <w:jc w:val="right"/>
              <w:textAlignment w:val="bottom"/>
            </w:pPr>
            <w:r>
              <w:rPr>
                <w:rFonts w:ascii="Times New Roman" w:eastAsia="宋体" w:hAnsi="Times New Roman"/>
                <w:color w:val="000000"/>
                <w:sz w:val="20"/>
                <w:szCs w:val="20"/>
              </w:rPr>
              <w:t>4.447 </w:t>
            </w:r>
          </w:p>
        </w:tc>
        <w:tc>
          <w:tcPr>
            <w:tcW w:w="0" w:type="auto"/>
            <w:shd w:val="clear" w:color="auto" w:fill="FFFFFF"/>
            <w:tcMar>
              <w:top w:w="40" w:type="dxa"/>
              <w:left w:w="0" w:type="dxa"/>
              <w:bottom w:w="40" w:type="dxa"/>
              <w:right w:w="20" w:type="dxa"/>
            </w:tcMar>
            <w:vAlign w:val="bottom"/>
          </w:tcPr>
          <w:p w14:paraId="00BAFD2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D3B" w14:textId="77777777">
        <w:tc>
          <w:tcPr>
            <w:tcW w:w="0" w:type="auto"/>
            <w:gridSpan w:val="3"/>
            <w:shd w:val="clear" w:color="auto" w:fill="D7E4BC"/>
            <w:tcMar>
              <w:top w:w="40" w:type="dxa"/>
              <w:left w:w="20" w:type="dxa"/>
              <w:bottom w:w="40" w:type="dxa"/>
              <w:right w:w="20" w:type="dxa"/>
            </w:tcMar>
            <w:vAlign w:val="bottom"/>
          </w:tcPr>
          <w:p w14:paraId="00BAFD2C" w14:textId="77777777" w:rsidR="00871BDF" w:rsidRDefault="005C5088">
            <w:pPr>
              <w:textAlignment w:val="bottom"/>
            </w:pPr>
            <w:r>
              <w:rPr>
                <w:rFonts w:ascii="Times New Roman" w:eastAsia="宋体" w:hAnsi="Times New Roman"/>
                <w:color w:val="000000"/>
                <w:sz w:val="20"/>
                <w:szCs w:val="20"/>
              </w:rPr>
              <w:t>March 2050 notes</w:t>
            </w:r>
            <w:r>
              <w:rPr>
                <w:rFonts w:ascii="Times New Roman" w:eastAsia="宋体" w:hAnsi="Times New Roman"/>
                <w:color w:val="000000"/>
                <w:sz w:val="13"/>
                <w:szCs w:val="13"/>
              </w:rPr>
              <w:t>(4)</w:t>
            </w:r>
          </w:p>
        </w:tc>
        <w:tc>
          <w:tcPr>
            <w:tcW w:w="0" w:type="auto"/>
            <w:gridSpan w:val="2"/>
            <w:shd w:val="clear" w:color="auto" w:fill="D7E4BC"/>
            <w:tcMar>
              <w:top w:w="40" w:type="dxa"/>
              <w:left w:w="20" w:type="dxa"/>
              <w:bottom w:w="40" w:type="dxa"/>
              <w:right w:w="0" w:type="dxa"/>
            </w:tcMar>
            <w:vAlign w:val="bottom"/>
          </w:tcPr>
          <w:p w14:paraId="00BAFD2D" w14:textId="77777777" w:rsidR="00871BDF" w:rsidRDefault="005C5088">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00BAFD2E"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D2F" w14:textId="77777777" w:rsidR="00871BDF" w:rsidRDefault="005C5088">
            <w:pPr>
              <w:jc w:val="right"/>
              <w:textAlignment w:val="bottom"/>
            </w:pPr>
            <w:r>
              <w:rPr>
                <w:rFonts w:ascii="Times New Roman" w:eastAsia="宋体" w:hAnsi="Times New Roman"/>
                <w:color w:val="000000"/>
                <w:sz w:val="20"/>
                <w:szCs w:val="20"/>
              </w:rPr>
              <w:t>517 </w:t>
            </w:r>
          </w:p>
        </w:tc>
        <w:tc>
          <w:tcPr>
            <w:tcW w:w="0" w:type="auto"/>
            <w:shd w:val="clear" w:color="auto" w:fill="D7E4BC"/>
            <w:tcMar>
              <w:top w:w="40" w:type="dxa"/>
              <w:left w:w="0" w:type="dxa"/>
              <w:bottom w:w="40" w:type="dxa"/>
              <w:right w:w="20" w:type="dxa"/>
            </w:tcMar>
            <w:vAlign w:val="bottom"/>
          </w:tcPr>
          <w:p w14:paraId="00BAFD3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D3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D32"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D33" w14:textId="77777777" w:rsidR="00871BDF" w:rsidRDefault="00871BDF">
            <w:pPr>
              <w:jc w:val="right"/>
              <w:rPr>
                <w:rFonts w:ascii="宋体"/>
              </w:rPr>
            </w:pPr>
          </w:p>
        </w:tc>
        <w:tc>
          <w:tcPr>
            <w:tcW w:w="0" w:type="auto"/>
            <w:gridSpan w:val="2"/>
            <w:shd w:val="clear" w:color="auto" w:fill="D7E4BC"/>
            <w:tcMar>
              <w:top w:w="40" w:type="dxa"/>
              <w:left w:w="20" w:type="dxa"/>
              <w:bottom w:w="40" w:type="dxa"/>
              <w:right w:w="0" w:type="dxa"/>
            </w:tcMar>
            <w:vAlign w:val="bottom"/>
          </w:tcPr>
          <w:p w14:paraId="00BAFD3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AFD3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D3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D37" w14:textId="77777777" w:rsidR="00871BDF" w:rsidRDefault="005C5088">
            <w:pPr>
              <w:jc w:val="right"/>
              <w:textAlignment w:val="bottom"/>
            </w:pPr>
            <w:r>
              <w:rPr>
                <w:rFonts w:ascii="Times New Roman" w:eastAsia="宋体" w:hAnsi="Times New Roman"/>
                <w:color w:val="000000"/>
                <w:sz w:val="20"/>
                <w:szCs w:val="20"/>
              </w:rPr>
              <w:t>3.350 </w:t>
            </w:r>
          </w:p>
        </w:tc>
        <w:tc>
          <w:tcPr>
            <w:tcW w:w="0" w:type="auto"/>
            <w:shd w:val="clear" w:color="auto" w:fill="D7E4BC"/>
            <w:tcMar>
              <w:top w:w="40" w:type="dxa"/>
              <w:left w:w="0" w:type="dxa"/>
              <w:bottom w:w="40" w:type="dxa"/>
              <w:right w:w="20" w:type="dxa"/>
            </w:tcMar>
            <w:vAlign w:val="bottom"/>
          </w:tcPr>
          <w:p w14:paraId="00BAFD3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0BAFD39" w14:textId="77777777" w:rsidR="00871BDF" w:rsidRDefault="005C5088">
            <w:pPr>
              <w:jc w:val="right"/>
              <w:textAlignment w:val="bottom"/>
            </w:pPr>
            <w:r>
              <w:rPr>
                <w:rFonts w:ascii="Times New Roman" w:eastAsia="宋体" w:hAnsi="Times New Roman"/>
                <w:color w:val="000000"/>
                <w:sz w:val="20"/>
                <w:szCs w:val="20"/>
              </w:rPr>
              <w:t>3.362 </w:t>
            </w:r>
          </w:p>
        </w:tc>
        <w:tc>
          <w:tcPr>
            <w:tcW w:w="0" w:type="auto"/>
            <w:shd w:val="clear" w:color="auto" w:fill="D7E4BC"/>
            <w:tcMar>
              <w:top w:w="40" w:type="dxa"/>
              <w:left w:w="0" w:type="dxa"/>
              <w:bottom w:w="40" w:type="dxa"/>
              <w:right w:w="20" w:type="dxa"/>
            </w:tcMar>
            <w:vAlign w:val="bottom"/>
          </w:tcPr>
          <w:p w14:paraId="00BAFD3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D4B" w14:textId="77777777">
        <w:tc>
          <w:tcPr>
            <w:tcW w:w="0" w:type="auto"/>
            <w:gridSpan w:val="3"/>
            <w:shd w:val="clear" w:color="auto" w:fill="FFFFFF"/>
            <w:tcMar>
              <w:top w:w="40" w:type="dxa"/>
              <w:left w:w="20" w:type="dxa"/>
              <w:bottom w:w="40" w:type="dxa"/>
              <w:right w:w="20" w:type="dxa"/>
            </w:tcMar>
            <w:vAlign w:val="bottom"/>
          </w:tcPr>
          <w:p w14:paraId="00BAFD3C" w14:textId="77777777" w:rsidR="00871BDF" w:rsidRDefault="005C5088">
            <w:pPr>
              <w:textAlignment w:val="bottom"/>
            </w:pPr>
            <w:r>
              <w:rPr>
                <w:rFonts w:ascii="Times New Roman" w:eastAsia="宋体" w:hAnsi="Times New Roman"/>
                <w:color w:val="000000"/>
                <w:sz w:val="20"/>
                <w:szCs w:val="20"/>
              </w:rPr>
              <w:t>November 2050 notes</w:t>
            </w:r>
            <w:r>
              <w:rPr>
                <w:rFonts w:ascii="Times New Roman" w:eastAsia="宋体" w:hAnsi="Times New Roman"/>
                <w:color w:val="000000"/>
                <w:sz w:val="13"/>
                <w:szCs w:val="13"/>
              </w:rPr>
              <w:t>(5)</w:t>
            </w:r>
          </w:p>
        </w:tc>
        <w:tc>
          <w:tcPr>
            <w:tcW w:w="0" w:type="auto"/>
            <w:gridSpan w:val="2"/>
            <w:shd w:val="clear" w:color="auto" w:fill="FFFFFF"/>
            <w:tcMar>
              <w:top w:w="40" w:type="dxa"/>
              <w:left w:w="20" w:type="dxa"/>
              <w:bottom w:w="40" w:type="dxa"/>
              <w:right w:w="0" w:type="dxa"/>
            </w:tcMar>
            <w:vAlign w:val="bottom"/>
          </w:tcPr>
          <w:p w14:paraId="00BAFD3D" w14:textId="77777777" w:rsidR="00871BDF" w:rsidRDefault="005C5088">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00BAFD3E"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D3F" w14:textId="77777777" w:rsidR="00871BDF" w:rsidRDefault="005C5088">
            <w:pPr>
              <w:jc w:val="right"/>
              <w:textAlignment w:val="bottom"/>
            </w:pPr>
            <w:r>
              <w:rPr>
                <w:rFonts w:ascii="Times New Roman" w:eastAsia="宋体" w:hAnsi="Times New Roman"/>
                <w:color w:val="000000"/>
                <w:sz w:val="20"/>
                <w:szCs w:val="20"/>
              </w:rPr>
              <w:t>1,332 </w:t>
            </w:r>
          </w:p>
        </w:tc>
        <w:tc>
          <w:tcPr>
            <w:tcW w:w="0" w:type="auto"/>
            <w:shd w:val="clear" w:color="auto" w:fill="FFFFFF"/>
            <w:tcMar>
              <w:top w:w="40" w:type="dxa"/>
              <w:left w:w="0" w:type="dxa"/>
              <w:bottom w:w="40" w:type="dxa"/>
              <w:right w:w="20" w:type="dxa"/>
            </w:tcMar>
            <w:vAlign w:val="bottom"/>
          </w:tcPr>
          <w:p w14:paraId="00BAFD4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D4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D42"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D43" w14:textId="77777777" w:rsidR="00871BDF" w:rsidRDefault="00871BDF">
            <w:pPr>
              <w:jc w:val="right"/>
              <w:rPr>
                <w:rFonts w:ascii="宋体"/>
              </w:rPr>
            </w:pPr>
          </w:p>
        </w:tc>
        <w:tc>
          <w:tcPr>
            <w:tcW w:w="0" w:type="auto"/>
            <w:gridSpan w:val="2"/>
            <w:shd w:val="clear" w:color="auto" w:fill="FFFFFF"/>
            <w:tcMar>
              <w:top w:w="40" w:type="dxa"/>
              <w:left w:w="20" w:type="dxa"/>
              <w:bottom w:w="40" w:type="dxa"/>
              <w:right w:w="0" w:type="dxa"/>
            </w:tcMar>
            <w:vAlign w:val="bottom"/>
          </w:tcPr>
          <w:p w14:paraId="00BAFD4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D4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D4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D47" w14:textId="77777777" w:rsidR="00871BDF" w:rsidRDefault="005C5088">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00BAFD4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0BAFD49" w14:textId="77777777" w:rsidR="00871BDF" w:rsidRDefault="005C5088">
            <w:pPr>
              <w:jc w:val="right"/>
              <w:textAlignment w:val="bottom"/>
            </w:pPr>
            <w:r>
              <w:rPr>
                <w:rFonts w:ascii="Times New Roman" w:eastAsia="宋体" w:hAnsi="Times New Roman"/>
                <w:color w:val="000000"/>
                <w:sz w:val="20"/>
                <w:szCs w:val="20"/>
              </w:rPr>
              <w:t>3.528 </w:t>
            </w:r>
          </w:p>
        </w:tc>
        <w:tc>
          <w:tcPr>
            <w:tcW w:w="0" w:type="auto"/>
            <w:shd w:val="clear" w:color="auto" w:fill="FFFFFF"/>
            <w:tcMar>
              <w:top w:w="40" w:type="dxa"/>
              <w:left w:w="0" w:type="dxa"/>
              <w:bottom w:w="40" w:type="dxa"/>
              <w:right w:w="20" w:type="dxa"/>
            </w:tcMar>
            <w:vAlign w:val="bottom"/>
          </w:tcPr>
          <w:p w14:paraId="00BAFD4A" w14:textId="77777777" w:rsidR="00871BDF" w:rsidRDefault="005C5088">
            <w:pPr>
              <w:jc w:val="right"/>
              <w:textAlignment w:val="bottom"/>
            </w:pPr>
            <w:r>
              <w:rPr>
                <w:rFonts w:ascii="Times New Roman" w:eastAsia="宋体" w:hAnsi="Times New Roman"/>
                <w:color w:val="000000"/>
                <w:sz w:val="20"/>
                <w:szCs w:val="20"/>
              </w:rPr>
              <w:t>%</w:t>
            </w:r>
          </w:p>
        </w:tc>
      </w:tr>
      <w:tr w:rsidR="00871BDF" w14:paraId="00BAFD59" w14:textId="77777777">
        <w:tc>
          <w:tcPr>
            <w:tcW w:w="0" w:type="auto"/>
            <w:gridSpan w:val="3"/>
            <w:shd w:val="clear" w:color="auto" w:fill="D7E4BC"/>
            <w:tcMar>
              <w:top w:w="40" w:type="dxa"/>
              <w:left w:w="20" w:type="dxa"/>
              <w:bottom w:w="40" w:type="dxa"/>
              <w:right w:w="20" w:type="dxa"/>
            </w:tcMar>
            <w:vAlign w:val="bottom"/>
          </w:tcPr>
          <w:p w14:paraId="00BAFD4C" w14:textId="77777777" w:rsidR="00871BDF" w:rsidRDefault="005C5088">
            <w:pPr>
              <w:textAlignment w:val="bottom"/>
            </w:pPr>
            <w:r>
              <w:rPr>
                <w:rFonts w:ascii="Times New Roman" w:eastAsia="宋体" w:hAnsi="Times New Roman"/>
                <w:color w:val="000000"/>
                <w:sz w:val="20"/>
                <w:szCs w:val="20"/>
              </w:rPr>
              <w:t>   Total</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D4D" w14:textId="77777777" w:rsidR="00871BDF" w:rsidRDefault="005C5088">
            <w:pPr>
              <w:jc w:val="right"/>
              <w:textAlignment w:val="bottom"/>
            </w:pPr>
            <w:r>
              <w:rPr>
                <w:rFonts w:ascii="Times New Roman" w:eastAsia="宋体" w:hAnsi="Times New Roman"/>
                <w:color w:val="000000"/>
                <w:sz w:val="20"/>
                <w:szCs w:val="20"/>
              </w:rPr>
              <w:t>16,006.4 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D4E" w14:textId="77777777" w:rsidR="00871BDF" w:rsidRDefault="00871BDF">
            <w:pPr>
              <w:jc w:val="right"/>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D4F" w14:textId="77777777" w:rsidR="00871BDF" w:rsidRDefault="005C5088">
            <w:pPr>
              <w:jc w:val="right"/>
              <w:textAlignment w:val="bottom"/>
            </w:pPr>
            <w:r>
              <w:rPr>
                <w:rFonts w:ascii="Times New Roman" w:eastAsia="宋体" w:hAnsi="Times New Roman"/>
                <w:color w:val="000000"/>
                <w:sz w:val="20"/>
                <w:szCs w:val="20"/>
              </w:rPr>
              <w:t>17,500 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D5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D51"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D52" w14:textId="77777777" w:rsidR="00871BDF" w:rsidRDefault="005C5088">
            <w:pPr>
              <w:jc w:val="right"/>
              <w:textAlignment w:val="bottom"/>
            </w:pPr>
            <w:r>
              <w:rPr>
                <w:rFonts w:ascii="Times New Roman" w:eastAsia="宋体" w:hAnsi="Times New Roman"/>
                <w:color w:val="000000"/>
                <w:sz w:val="20"/>
                <w:szCs w:val="20"/>
              </w:rPr>
              <w:t>11,238.3 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D53" w14:textId="77777777" w:rsidR="00871BDF" w:rsidRDefault="00871BDF">
            <w:pPr>
              <w:jc w:val="right"/>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D54" w14:textId="77777777" w:rsidR="00871BDF" w:rsidRDefault="005C5088">
            <w:pPr>
              <w:jc w:val="right"/>
              <w:textAlignment w:val="bottom"/>
            </w:pPr>
            <w:r>
              <w:rPr>
                <w:rFonts w:ascii="Times New Roman" w:eastAsia="宋体" w:hAnsi="Times New Roman"/>
                <w:color w:val="000000"/>
                <w:sz w:val="20"/>
                <w:szCs w:val="20"/>
              </w:rPr>
              <w:t>12,033 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D5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D5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D5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D58" w14:textId="77777777" w:rsidR="00871BDF" w:rsidRDefault="00871BDF">
            <w:pPr>
              <w:rPr>
                <w:rFonts w:ascii="宋体"/>
              </w:rPr>
            </w:pPr>
          </w:p>
        </w:tc>
      </w:tr>
      <w:tr w:rsidR="00871BDF" w14:paraId="00BAFD65" w14:textId="77777777">
        <w:tc>
          <w:tcPr>
            <w:tcW w:w="0" w:type="auto"/>
            <w:gridSpan w:val="3"/>
            <w:shd w:val="clear" w:color="auto" w:fill="FFFFFF"/>
            <w:tcMar>
              <w:top w:w="40" w:type="dxa"/>
              <w:left w:w="20" w:type="dxa"/>
              <w:bottom w:w="40" w:type="dxa"/>
              <w:right w:w="20" w:type="dxa"/>
            </w:tcMar>
            <w:vAlign w:val="bottom"/>
          </w:tcPr>
          <w:p w14:paraId="00BAFD5A" w14:textId="77777777" w:rsidR="00871BDF" w:rsidRDefault="005C5088">
            <w:pPr>
              <w:textAlignment w:val="bottom"/>
            </w:pPr>
            <w:r>
              <w:rPr>
                <w:rFonts w:ascii="Times New Roman" w:eastAsia="宋体" w:hAnsi="Times New Roman"/>
                <w:color w:val="000000"/>
                <w:sz w:val="20"/>
                <w:szCs w:val="20"/>
              </w:rPr>
              <w:t>Aggregate debt issuance costs and unamortized premium/(discount), net</w:t>
            </w:r>
          </w:p>
        </w:tc>
        <w:tc>
          <w:tcPr>
            <w:tcW w:w="0" w:type="auto"/>
            <w:gridSpan w:val="2"/>
            <w:shd w:val="clear" w:color="auto" w:fill="FFFFFF"/>
            <w:tcMar>
              <w:top w:w="40" w:type="dxa"/>
              <w:left w:w="20" w:type="dxa"/>
              <w:bottom w:w="40" w:type="dxa"/>
              <w:right w:w="0" w:type="dxa"/>
            </w:tcMar>
            <w:vAlign w:val="bottom"/>
          </w:tcPr>
          <w:p w14:paraId="00BAFD5B" w14:textId="77777777" w:rsidR="00871BDF" w:rsidRDefault="005C5088">
            <w:pPr>
              <w:jc w:val="right"/>
              <w:textAlignment w:val="bottom"/>
            </w:pPr>
            <w:r>
              <w:rPr>
                <w:rFonts w:ascii="Times New Roman" w:eastAsia="宋体" w:hAnsi="Times New Roman"/>
                <w:color w:val="000000"/>
                <w:sz w:val="20"/>
                <w:szCs w:val="20"/>
              </w:rPr>
              <w:t>(132.5)</w:t>
            </w:r>
          </w:p>
        </w:tc>
        <w:tc>
          <w:tcPr>
            <w:tcW w:w="0" w:type="auto"/>
            <w:shd w:val="clear" w:color="auto" w:fill="FFFFFF"/>
            <w:tcMar>
              <w:top w:w="40" w:type="dxa"/>
              <w:left w:w="0" w:type="dxa"/>
              <w:bottom w:w="40" w:type="dxa"/>
              <w:right w:w="20" w:type="dxa"/>
            </w:tcMar>
            <w:vAlign w:val="bottom"/>
          </w:tcPr>
          <w:p w14:paraId="00BAFD5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D5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D5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D5F" w14:textId="77777777" w:rsidR="00871BDF" w:rsidRDefault="005C5088">
            <w:pPr>
              <w:jc w:val="right"/>
              <w:textAlignment w:val="bottom"/>
            </w:pPr>
            <w:r>
              <w:rPr>
                <w:rFonts w:ascii="Times New Roman" w:eastAsia="宋体" w:hAnsi="Times New Roman"/>
                <w:color w:val="000000"/>
                <w:sz w:val="20"/>
                <w:szCs w:val="20"/>
              </w:rPr>
              <w:t>(83.1)</w:t>
            </w:r>
          </w:p>
        </w:tc>
        <w:tc>
          <w:tcPr>
            <w:tcW w:w="0" w:type="auto"/>
            <w:shd w:val="clear" w:color="auto" w:fill="FFFFFF"/>
            <w:tcMar>
              <w:top w:w="40" w:type="dxa"/>
              <w:left w:w="0" w:type="dxa"/>
              <w:bottom w:w="40" w:type="dxa"/>
              <w:right w:w="20" w:type="dxa"/>
            </w:tcMar>
            <w:vAlign w:val="bottom"/>
          </w:tcPr>
          <w:p w14:paraId="00BAFD6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D6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D6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D6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D64" w14:textId="77777777" w:rsidR="00871BDF" w:rsidRDefault="00871BDF">
            <w:pPr>
              <w:rPr>
                <w:rFonts w:ascii="宋体"/>
              </w:rPr>
            </w:pPr>
          </w:p>
        </w:tc>
      </w:tr>
      <w:tr w:rsidR="00871BDF" w14:paraId="00BAFD71" w14:textId="77777777">
        <w:tc>
          <w:tcPr>
            <w:tcW w:w="0" w:type="auto"/>
            <w:gridSpan w:val="3"/>
            <w:shd w:val="clear" w:color="auto" w:fill="D7E4BC"/>
            <w:tcMar>
              <w:top w:w="40" w:type="dxa"/>
              <w:left w:w="20" w:type="dxa"/>
              <w:bottom w:w="40" w:type="dxa"/>
              <w:right w:w="20" w:type="dxa"/>
            </w:tcMar>
            <w:vAlign w:val="bottom"/>
          </w:tcPr>
          <w:p w14:paraId="00BAFD66" w14:textId="77777777" w:rsidR="00871BDF" w:rsidRDefault="005C5088">
            <w:pPr>
              <w:textAlignment w:val="bottom"/>
            </w:pPr>
            <w:r>
              <w:rPr>
                <w:rFonts w:ascii="Times New Roman" w:eastAsia="宋体" w:hAnsi="Times New Roman"/>
                <w:color w:val="000000"/>
                <w:sz w:val="20"/>
                <w:szCs w:val="20"/>
              </w:rPr>
              <w:t>Hedge accounting fair value adjustment</w:t>
            </w:r>
            <w:r>
              <w:rPr>
                <w:rFonts w:ascii="Times New Roman" w:eastAsia="宋体" w:hAnsi="Times New Roman"/>
                <w:color w:val="000000"/>
                <w:sz w:val="13"/>
                <w:szCs w:val="13"/>
              </w:rPr>
              <w:t>(2)</w:t>
            </w:r>
          </w:p>
        </w:tc>
        <w:tc>
          <w:tcPr>
            <w:tcW w:w="0" w:type="auto"/>
            <w:gridSpan w:val="2"/>
            <w:shd w:val="clear" w:color="auto" w:fill="D7E4BC"/>
            <w:tcMar>
              <w:top w:w="40" w:type="dxa"/>
              <w:left w:w="20" w:type="dxa"/>
              <w:bottom w:w="40" w:type="dxa"/>
              <w:right w:w="0" w:type="dxa"/>
            </w:tcMar>
            <w:vAlign w:val="bottom"/>
          </w:tcPr>
          <w:p w14:paraId="00BAFD67" w14:textId="77777777" w:rsidR="00871BDF" w:rsidRDefault="005C5088">
            <w:pPr>
              <w:jc w:val="right"/>
              <w:textAlignment w:val="bottom"/>
            </w:pPr>
            <w:r>
              <w:rPr>
                <w:rFonts w:ascii="Times New Roman" w:eastAsia="宋体" w:hAnsi="Times New Roman"/>
                <w:color w:val="000000"/>
                <w:sz w:val="20"/>
                <w:szCs w:val="20"/>
              </w:rPr>
              <w:t>35.6 </w:t>
            </w:r>
          </w:p>
        </w:tc>
        <w:tc>
          <w:tcPr>
            <w:tcW w:w="0" w:type="auto"/>
            <w:shd w:val="clear" w:color="auto" w:fill="D7E4BC"/>
            <w:tcMar>
              <w:top w:w="40" w:type="dxa"/>
              <w:left w:w="0" w:type="dxa"/>
              <w:bottom w:w="40" w:type="dxa"/>
              <w:right w:w="20" w:type="dxa"/>
            </w:tcMar>
            <w:vAlign w:val="bottom"/>
          </w:tcPr>
          <w:p w14:paraId="00BAFD6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D6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D6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D6B" w14:textId="77777777" w:rsidR="00871BDF" w:rsidRDefault="005C5088">
            <w:pPr>
              <w:jc w:val="right"/>
              <w:textAlignment w:val="bottom"/>
            </w:pPr>
            <w:r>
              <w:rPr>
                <w:rFonts w:ascii="Times New Roman" w:eastAsia="宋体" w:hAnsi="Times New Roman"/>
                <w:color w:val="000000"/>
                <w:sz w:val="20"/>
                <w:szCs w:val="20"/>
              </w:rPr>
              <w:t>11.8 </w:t>
            </w:r>
          </w:p>
        </w:tc>
        <w:tc>
          <w:tcPr>
            <w:tcW w:w="0" w:type="auto"/>
            <w:shd w:val="clear" w:color="auto" w:fill="D7E4BC"/>
            <w:tcMar>
              <w:top w:w="40" w:type="dxa"/>
              <w:left w:w="0" w:type="dxa"/>
              <w:bottom w:w="40" w:type="dxa"/>
              <w:right w:w="20" w:type="dxa"/>
            </w:tcMar>
            <w:vAlign w:val="bottom"/>
          </w:tcPr>
          <w:p w14:paraId="00BAFD6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D6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D6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D6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D70" w14:textId="77777777" w:rsidR="00871BDF" w:rsidRDefault="00871BDF">
            <w:pPr>
              <w:rPr>
                <w:rFonts w:ascii="宋体"/>
              </w:rPr>
            </w:pPr>
          </w:p>
        </w:tc>
      </w:tr>
      <w:tr w:rsidR="00871BDF" w14:paraId="00BAFD7F" w14:textId="77777777">
        <w:tc>
          <w:tcPr>
            <w:tcW w:w="0" w:type="auto"/>
            <w:gridSpan w:val="3"/>
            <w:shd w:val="clear" w:color="auto" w:fill="FFFFFF"/>
            <w:tcMar>
              <w:top w:w="40" w:type="dxa"/>
              <w:left w:w="20" w:type="dxa"/>
              <w:bottom w:w="40" w:type="dxa"/>
              <w:right w:w="20" w:type="dxa"/>
            </w:tcMar>
            <w:vAlign w:val="bottom"/>
          </w:tcPr>
          <w:p w14:paraId="00BAFD72" w14:textId="77777777" w:rsidR="00871BDF" w:rsidRDefault="005C5088">
            <w:pPr>
              <w:textAlignment w:val="bottom"/>
            </w:pPr>
            <w:r>
              <w:rPr>
                <w:rFonts w:ascii="Times New Roman" w:eastAsia="宋体" w:hAnsi="Times New Roman"/>
                <w:color w:val="000000"/>
                <w:sz w:val="20"/>
                <w:szCs w:val="20"/>
              </w:rPr>
              <w:t>   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D73"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D74" w14:textId="77777777" w:rsidR="00871BDF" w:rsidRDefault="005C5088">
            <w:pPr>
              <w:jc w:val="right"/>
              <w:textAlignment w:val="bottom"/>
            </w:pPr>
            <w:r>
              <w:rPr>
                <w:rFonts w:ascii="Times New Roman" w:eastAsia="宋体" w:hAnsi="Times New Roman"/>
                <w:color w:val="000000"/>
                <w:sz w:val="20"/>
                <w:szCs w:val="20"/>
              </w:rPr>
              <w:t>15,909.5 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D7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D7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D77"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D78"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D79" w14:textId="77777777" w:rsidR="00871BDF" w:rsidRDefault="005C5088">
            <w:pPr>
              <w:jc w:val="right"/>
              <w:textAlignment w:val="bottom"/>
            </w:pPr>
            <w:r>
              <w:rPr>
                <w:rFonts w:ascii="Times New Roman" w:eastAsia="宋体" w:hAnsi="Times New Roman"/>
                <w:color w:val="000000"/>
                <w:sz w:val="20"/>
                <w:szCs w:val="20"/>
              </w:rPr>
              <w:t>11,167.0 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D7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D7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D7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D7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AFD7E" w14:textId="77777777" w:rsidR="00871BDF" w:rsidRDefault="00871BDF">
            <w:pPr>
              <w:rPr>
                <w:rFonts w:ascii="宋体"/>
              </w:rPr>
            </w:pPr>
          </w:p>
        </w:tc>
      </w:tr>
    </w:tbl>
    <w:p w14:paraId="00BAFD80" w14:textId="77777777" w:rsidR="00871BDF" w:rsidRDefault="005C5088">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the effects of the amortization of any premium or discount and any gain or loss upon settlement of related treasury locks or forward-starting interest rate swaps utilized to hedge the interest rate risk prior to the debt issuance</w:t>
      </w:r>
      <w:r>
        <w:rPr>
          <w:rFonts w:ascii="Times New Roman" w:eastAsia="宋体" w:hAnsi="Times New Roman"/>
          <w:color w:val="000000"/>
          <w:sz w:val="20"/>
          <w:szCs w:val="20"/>
        </w:rPr>
        <w:t>.</w:t>
      </w:r>
    </w:p>
    <w:p w14:paraId="00BAFD81" w14:textId="77777777" w:rsidR="00871BDF" w:rsidRDefault="005C5088">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Amount includes the change in fair value due to changes in benchmark interest rates related to our October 2023 notes. Refer to </w:t>
      </w:r>
      <w:hyperlink r:id="rId216" w:anchor="i54ccc64cb5384be5a4849ef1cdef4dde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for additional information on our interest rate swap designated as a fair value hedge. </w:t>
      </w:r>
    </w:p>
    <w:p w14:paraId="00BAFD82" w14:textId="77777777" w:rsidR="00871BDF" w:rsidRDefault="005C5088">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Japanese yen-denominated long-term debt.</w:t>
      </w:r>
    </w:p>
    <w:p w14:paraId="00BAFD83" w14:textId="77777777" w:rsidR="00871BDF" w:rsidRDefault="005C5088">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Issued in March 2020.</w:t>
      </w:r>
    </w:p>
    <w:p w14:paraId="00BAFD84" w14:textId="77777777" w:rsidR="00871BDF" w:rsidRDefault="005C5088">
      <w:pPr>
        <w:spacing w:before="120"/>
        <w:ind w:hanging="360"/>
      </w:pPr>
      <w:r>
        <w:rPr>
          <w:rFonts w:ascii="Times New Roman" w:eastAsia="宋体" w:hAnsi="Times New Roman"/>
          <w:color w:val="000000"/>
          <w:sz w:val="13"/>
          <w:szCs w:val="13"/>
        </w:rPr>
        <w:t>(5)</w:t>
      </w:r>
      <w:r>
        <w:rPr>
          <w:rFonts w:ascii="Times New Roman" w:eastAsia="宋体" w:hAnsi="Times New Roman"/>
          <w:color w:val="000000"/>
          <w:sz w:val="20"/>
          <w:szCs w:val="20"/>
        </w:rPr>
        <w:t xml:space="preserve">Issued in May 2020. </w:t>
      </w:r>
    </w:p>
    <w:p w14:paraId="00BAFD85" w14:textId="77777777" w:rsidR="00871BDF" w:rsidRDefault="00871BDF">
      <w:pPr>
        <w:spacing w:before="120"/>
      </w:pPr>
    </w:p>
    <w:p w14:paraId="00BAFD86" w14:textId="77777777" w:rsidR="00871BDF" w:rsidRDefault="005C5088">
      <w:pPr>
        <w:jc w:val="center"/>
      </w:pPr>
      <w:r>
        <w:rPr>
          <w:rFonts w:ascii="Times New Roman" w:eastAsia="宋体" w:hAnsi="Times New Roman"/>
          <w:color w:val="000000"/>
          <w:sz w:val="20"/>
          <w:szCs w:val="20"/>
        </w:rPr>
        <w:t>76</w:t>
      </w:r>
    </w:p>
    <w:p w14:paraId="00BAFD87" w14:textId="77777777" w:rsidR="00871BDF" w:rsidRDefault="005C5088">
      <w:r>
        <w:pict w14:anchorId="00BB14B1">
          <v:rect id="_x0000_i1103" style="width:415.3pt;height:1.5pt" o:hralign="center" o:hrstd="t" o:hr="t" fillcolor="#a0a0a0" stroked="f"/>
        </w:pict>
      </w:r>
    </w:p>
    <w:p w14:paraId="00BAFD88" w14:textId="77777777" w:rsidR="00871BDF" w:rsidRDefault="005C5088">
      <w:hyperlink r:id="rId217" w:anchor="i54ccc64cb5384be5a4849ef1cdef4dde_7" w:history="1">
        <w:r>
          <w:rPr>
            <w:rStyle w:val="a5"/>
            <w:rFonts w:ascii="Times New Roman" w:eastAsia="宋体" w:hAnsi="Times New Roman"/>
            <w:sz w:val="20"/>
            <w:szCs w:val="20"/>
          </w:rPr>
          <w:t>Table of Contents</w:t>
        </w:r>
      </w:hyperlink>
    </w:p>
    <w:p w14:paraId="00BAFD89" w14:textId="77777777" w:rsidR="00871BDF" w:rsidRDefault="005C5088">
      <w:pPr>
        <w:spacing w:before="120"/>
      </w:pPr>
      <w:r>
        <w:rPr>
          <w:rFonts w:ascii="Times New Roman" w:eastAsia="宋体" w:hAnsi="Times New Roman"/>
          <w:color w:val="000000"/>
          <w:sz w:val="20"/>
          <w:szCs w:val="20"/>
        </w:rPr>
        <w:t>The following table summarizes our long-term debt maturities as of September 27, 2020</w:t>
      </w:r>
      <w:r>
        <w:rPr>
          <w:rFonts w:ascii="Times New Roman" w:eastAsia="宋体" w:hAnsi="Times New Roman"/>
          <w:color w:val="000000"/>
          <w:sz w:val="20"/>
          <w:szCs w:val="20"/>
        </w:rPr>
        <w:t xml:space="preserve"> by fiscal year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52"/>
        <w:gridCol w:w="6886"/>
        <w:gridCol w:w="36"/>
        <w:gridCol w:w="120"/>
        <w:gridCol w:w="1194"/>
        <w:gridCol w:w="36"/>
      </w:tblGrid>
      <w:tr w:rsidR="00871BDF" w14:paraId="00BAFD90" w14:textId="77777777">
        <w:trPr>
          <w:jc w:val="center"/>
        </w:trPr>
        <w:tc>
          <w:tcPr>
            <w:tcW w:w="50" w:type="pct"/>
            <w:shd w:val="clear" w:color="auto" w:fill="auto"/>
          </w:tcPr>
          <w:p w14:paraId="00BAFD8A" w14:textId="77777777" w:rsidR="00871BDF" w:rsidRDefault="00871BDF">
            <w:pPr>
              <w:rPr>
                <w:rFonts w:ascii="宋体"/>
              </w:rPr>
            </w:pPr>
          </w:p>
        </w:tc>
        <w:tc>
          <w:tcPr>
            <w:tcW w:w="4154" w:type="pct"/>
            <w:shd w:val="clear" w:color="auto" w:fill="auto"/>
          </w:tcPr>
          <w:p w14:paraId="00BAFD8B" w14:textId="77777777" w:rsidR="00871BDF" w:rsidRDefault="00871BDF">
            <w:pPr>
              <w:rPr>
                <w:rFonts w:ascii="宋体"/>
              </w:rPr>
            </w:pPr>
          </w:p>
        </w:tc>
        <w:tc>
          <w:tcPr>
            <w:tcW w:w="5" w:type="pct"/>
            <w:shd w:val="clear" w:color="auto" w:fill="auto"/>
          </w:tcPr>
          <w:p w14:paraId="00BAFD8C" w14:textId="77777777" w:rsidR="00871BDF" w:rsidRDefault="00871BDF">
            <w:pPr>
              <w:rPr>
                <w:rFonts w:ascii="宋体"/>
              </w:rPr>
            </w:pPr>
          </w:p>
        </w:tc>
        <w:tc>
          <w:tcPr>
            <w:tcW w:w="50" w:type="pct"/>
            <w:shd w:val="clear" w:color="auto" w:fill="auto"/>
          </w:tcPr>
          <w:p w14:paraId="00BAFD8D" w14:textId="77777777" w:rsidR="00871BDF" w:rsidRDefault="00871BDF">
            <w:pPr>
              <w:rPr>
                <w:rFonts w:ascii="宋体"/>
              </w:rPr>
            </w:pPr>
          </w:p>
        </w:tc>
        <w:tc>
          <w:tcPr>
            <w:tcW w:w="735" w:type="pct"/>
            <w:shd w:val="clear" w:color="auto" w:fill="auto"/>
          </w:tcPr>
          <w:p w14:paraId="00BAFD8E" w14:textId="77777777" w:rsidR="00871BDF" w:rsidRDefault="00871BDF">
            <w:pPr>
              <w:rPr>
                <w:rFonts w:ascii="宋体"/>
              </w:rPr>
            </w:pPr>
          </w:p>
        </w:tc>
        <w:tc>
          <w:tcPr>
            <w:tcW w:w="5" w:type="pct"/>
            <w:shd w:val="clear" w:color="auto" w:fill="auto"/>
          </w:tcPr>
          <w:p w14:paraId="00BAFD8F" w14:textId="77777777" w:rsidR="00871BDF" w:rsidRDefault="00871BDF">
            <w:pPr>
              <w:rPr>
                <w:rFonts w:ascii="宋体"/>
              </w:rPr>
            </w:pPr>
          </w:p>
        </w:tc>
      </w:tr>
      <w:tr w:rsidR="00871BDF" w14:paraId="00BAFD93" w14:textId="77777777">
        <w:trPr>
          <w:jc w:val="center"/>
        </w:trPr>
        <w:tc>
          <w:tcPr>
            <w:tcW w:w="0" w:type="auto"/>
            <w:gridSpan w:val="3"/>
            <w:shd w:val="clear" w:color="auto" w:fill="auto"/>
            <w:tcMar>
              <w:top w:w="40" w:type="dxa"/>
              <w:left w:w="20" w:type="dxa"/>
              <w:bottom w:w="40" w:type="dxa"/>
              <w:right w:w="20" w:type="dxa"/>
            </w:tcMar>
            <w:vAlign w:val="bottom"/>
          </w:tcPr>
          <w:p w14:paraId="00BAFD91" w14:textId="77777777" w:rsidR="00871BDF" w:rsidRDefault="005C5088">
            <w:pPr>
              <w:textAlignment w:val="bottom"/>
            </w:pPr>
            <w:r>
              <w:rPr>
                <w:rFonts w:ascii="Times New Roman" w:eastAsia="宋体" w:hAnsi="Times New Roman"/>
                <w:b/>
                <w:bCs/>
                <w:color w:val="000000"/>
                <w:sz w:val="16"/>
                <w:szCs w:val="16"/>
                <w:u w:val="single"/>
              </w:rPr>
              <w:t>Fiscal Year</w:t>
            </w:r>
          </w:p>
        </w:tc>
        <w:tc>
          <w:tcPr>
            <w:tcW w:w="0" w:type="auto"/>
            <w:gridSpan w:val="3"/>
            <w:shd w:val="clear" w:color="auto" w:fill="00704A"/>
            <w:tcMar>
              <w:top w:w="40" w:type="dxa"/>
              <w:left w:w="20" w:type="dxa"/>
              <w:bottom w:w="40" w:type="dxa"/>
              <w:right w:w="20" w:type="dxa"/>
            </w:tcMar>
            <w:vAlign w:val="bottom"/>
          </w:tcPr>
          <w:p w14:paraId="00BAFD92" w14:textId="77777777" w:rsidR="00871BDF" w:rsidRDefault="005C5088">
            <w:pPr>
              <w:jc w:val="center"/>
              <w:textAlignment w:val="bottom"/>
            </w:pPr>
            <w:r>
              <w:rPr>
                <w:rFonts w:ascii="Times New Roman" w:eastAsia="宋体" w:hAnsi="Times New Roman"/>
                <w:b/>
                <w:bCs/>
                <w:color w:val="FFFFFF"/>
                <w:sz w:val="16"/>
                <w:szCs w:val="16"/>
              </w:rPr>
              <w:t>Total</w:t>
            </w:r>
          </w:p>
        </w:tc>
      </w:tr>
      <w:tr w:rsidR="00871BDF" w14:paraId="00BAFD98" w14:textId="77777777">
        <w:trPr>
          <w:jc w:val="center"/>
        </w:trPr>
        <w:tc>
          <w:tcPr>
            <w:tcW w:w="0" w:type="auto"/>
            <w:gridSpan w:val="3"/>
            <w:shd w:val="clear" w:color="auto" w:fill="D7E4BC"/>
            <w:tcMar>
              <w:top w:w="40" w:type="dxa"/>
              <w:left w:w="20" w:type="dxa"/>
              <w:bottom w:w="40" w:type="dxa"/>
              <w:right w:w="20" w:type="dxa"/>
            </w:tcMar>
            <w:vAlign w:val="bottom"/>
          </w:tcPr>
          <w:p w14:paraId="00BAFD94" w14:textId="77777777" w:rsidR="00871BDF" w:rsidRDefault="005C5088">
            <w:pPr>
              <w:textAlignment w:val="bottom"/>
            </w:pPr>
            <w:r>
              <w:rPr>
                <w:rFonts w:ascii="Times New Roman" w:eastAsia="宋体" w:hAnsi="Times New Roman"/>
                <w:color w:val="000000"/>
                <w:sz w:val="20"/>
                <w:szCs w:val="20"/>
              </w:rPr>
              <w:t>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D9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D96" w14:textId="77777777" w:rsidR="00871BDF" w:rsidRDefault="005C5088">
            <w:pPr>
              <w:jc w:val="right"/>
              <w:textAlignment w:val="bottom"/>
            </w:pPr>
            <w:r>
              <w:rPr>
                <w:rFonts w:ascii="Times New Roman" w:eastAsia="宋体" w:hAnsi="Times New Roman"/>
                <w:color w:val="000000"/>
                <w:sz w:val="20"/>
                <w:szCs w:val="20"/>
              </w:rPr>
              <w:t>1,250.0 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D97" w14:textId="77777777" w:rsidR="00871BDF" w:rsidRDefault="00871BDF">
            <w:pPr>
              <w:jc w:val="right"/>
              <w:rPr>
                <w:rFonts w:ascii="宋体"/>
              </w:rPr>
            </w:pPr>
          </w:p>
        </w:tc>
      </w:tr>
      <w:tr w:rsidR="00871BDF" w14:paraId="00BAFD9C" w14:textId="77777777">
        <w:trPr>
          <w:jc w:val="center"/>
        </w:trPr>
        <w:tc>
          <w:tcPr>
            <w:tcW w:w="0" w:type="auto"/>
            <w:gridSpan w:val="3"/>
            <w:shd w:val="clear" w:color="auto" w:fill="FFFFFF"/>
            <w:tcMar>
              <w:top w:w="40" w:type="dxa"/>
              <w:left w:w="20" w:type="dxa"/>
              <w:bottom w:w="40" w:type="dxa"/>
              <w:right w:w="20" w:type="dxa"/>
            </w:tcMar>
            <w:vAlign w:val="bottom"/>
          </w:tcPr>
          <w:p w14:paraId="00BAFD99" w14:textId="77777777" w:rsidR="00871BDF" w:rsidRDefault="005C5088">
            <w:pPr>
              <w:textAlignment w:val="bottom"/>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00BAFD9A"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0BAFD9B" w14:textId="77777777" w:rsidR="00871BDF" w:rsidRDefault="00871BDF">
            <w:pPr>
              <w:jc w:val="right"/>
              <w:rPr>
                <w:rFonts w:ascii="宋体"/>
              </w:rPr>
            </w:pPr>
          </w:p>
        </w:tc>
      </w:tr>
      <w:tr w:rsidR="00871BDF" w14:paraId="00BAFDA0" w14:textId="77777777">
        <w:trPr>
          <w:jc w:val="center"/>
        </w:trPr>
        <w:tc>
          <w:tcPr>
            <w:tcW w:w="0" w:type="auto"/>
            <w:gridSpan w:val="3"/>
            <w:shd w:val="clear" w:color="auto" w:fill="D7E4BC"/>
            <w:tcMar>
              <w:top w:w="40" w:type="dxa"/>
              <w:left w:w="20" w:type="dxa"/>
              <w:bottom w:w="40" w:type="dxa"/>
              <w:right w:w="20" w:type="dxa"/>
            </w:tcMar>
            <w:vAlign w:val="bottom"/>
          </w:tcPr>
          <w:p w14:paraId="00BAFD9D" w14:textId="77777777" w:rsidR="00871BDF" w:rsidRDefault="005C5088">
            <w:pPr>
              <w:textAlignment w:val="bottom"/>
            </w:pPr>
            <w:r>
              <w:rPr>
                <w:rFonts w:ascii="Times New Roman" w:eastAsia="宋体" w:hAnsi="Times New Roman"/>
                <w:color w:val="000000"/>
                <w:sz w:val="20"/>
                <w:szCs w:val="20"/>
              </w:rPr>
              <w:t>2023</w:t>
            </w:r>
          </w:p>
        </w:tc>
        <w:tc>
          <w:tcPr>
            <w:tcW w:w="0" w:type="auto"/>
            <w:gridSpan w:val="2"/>
            <w:shd w:val="clear" w:color="auto" w:fill="D7E4BC"/>
            <w:tcMar>
              <w:top w:w="40" w:type="dxa"/>
              <w:left w:w="20" w:type="dxa"/>
              <w:bottom w:w="40" w:type="dxa"/>
              <w:right w:w="0" w:type="dxa"/>
            </w:tcMar>
            <w:vAlign w:val="bottom"/>
          </w:tcPr>
          <w:p w14:paraId="00BAFD9E" w14:textId="77777777" w:rsidR="00871BDF" w:rsidRDefault="005C5088">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00BAFD9F" w14:textId="77777777" w:rsidR="00871BDF" w:rsidRDefault="00871BDF">
            <w:pPr>
              <w:jc w:val="right"/>
              <w:rPr>
                <w:rFonts w:ascii="宋体"/>
              </w:rPr>
            </w:pPr>
          </w:p>
        </w:tc>
      </w:tr>
      <w:tr w:rsidR="00871BDF" w14:paraId="00BAFDA4" w14:textId="77777777">
        <w:trPr>
          <w:jc w:val="center"/>
        </w:trPr>
        <w:tc>
          <w:tcPr>
            <w:tcW w:w="0" w:type="auto"/>
            <w:gridSpan w:val="3"/>
            <w:shd w:val="clear" w:color="auto" w:fill="FFFFFF"/>
            <w:tcMar>
              <w:top w:w="40" w:type="dxa"/>
              <w:left w:w="20" w:type="dxa"/>
              <w:bottom w:w="40" w:type="dxa"/>
              <w:right w:w="20" w:type="dxa"/>
            </w:tcMar>
            <w:vAlign w:val="bottom"/>
          </w:tcPr>
          <w:p w14:paraId="00BAFDA1" w14:textId="77777777" w:rsidR="00871BDF" w:rsidRDefault="005C5088">
            <w:pPr>
              <w:textAlignment w:val="bottom"/>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00BAFDA2" w14:textId="77777777" w:rsidR="00871BDF" w:rsidRDefault="005C5088">
            <w:pPr>
              <w:jc w:val="right"/>
              <w:textAlignment w:val="bottom"/>
            </w:pPr>
            <w:r>
              <w:rPr>
                <w:rFonts w:ascii="Times New Roman" w:eastAsia="宋体" w:hAnsi="Times New Roman"/>
                <w:color w:val="000000"/>
                <w:sz w:val="20"/>
                <w:szCs w:val="20"/>
              </w:rPr>
              <w:t>1,556.4 </w:t>
            </w:r>
          </w:p>
        </w:tc>
        <w:tc>
          <w:tcPr>
            <w:tcW w:w="0" w:type="auto"/>
            <w:shd w:val="clear" w:color="auto" w:fill="FFFFFF"/>
            <w:tcMar>
              <w:top w:w="40" w:type="dxa"/>
              <w:left w:w="0" w:type="dxa"/>
              <w:bottom w:w="40" w:type="dxa"/>
              <w:right w:w="20" w:type="dxa"/>
            </w:tcMar>
            <w:vAlign w:val="bottom"/>
          </w:tcPr>
          <w:p w14:paraId="00BAFDA3" w14:textId="77777777" w:rsidR="00871BDF" w:rsidRDefault="00871BDF">
            <w:pPr>
              <w:jc w:val="right"/>
              <w:rPr>
                <w:rFonts w:ascii="宋体"/>
              </w:rPr>
            </w:pPr>
          </w:p>
        </w:tc>
      </w:tr>
      <w:tr w:rsidR="00871BDF" w14:paraId="00BAFDA8" w14:textId="77777777">
        <w:trPr>
          <w:jc w:val="center"/>
        </w:trPr>
        <w:tc>
          <w:tcPr>
            <w:tcW w:w="0" w:type="auto"/>
            <w:gridSpan w:val="3"/>
            <w:shd w:val="clear" w:color="auto" w:fill="D7E4BC"/>
            <w:tcMar>
              <w:top w:w="40" w:type="dxa"/>
              <w:left w:w="20" w:type="dxa"/>
              <w:bottom w:w="40" w:type="dxa"/>
              <w:right w:w="20" w:type="dxa"/>
            </w:tcMar>
            <w:vAlign w:val="bottom"/>
          </w:tcPr>
          <w:p w14:paraId="00BAFDA5" w14:textId="77777777" w:rsidR="00871BDF" w:rsidRDefault="005C5088">
            <w:pPr>
              <w:textAlignment w:val="bottom"/>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00BAFDA6" w14:textId="77777777" w:rsidR="00871BDF" w:rsidRDefault="005C5088">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00BAFDA7" w14:textId="77777777" w:rsidR="00871BDF" w:rsidRDefault="00871BDF">
            <w:pPr>
              <w:jc w:val="right"/>
              <w:rPr>
                <w:rFonts w:ascii="宋体"/>
              </w:rPr>
            </w:pPr>
          </w:p>
        </w:tc>
      </w:tr>
      <w:tr w:rsidR="00871BDF" w14:paraId="00BAFDAC" w14:textId="77777777">
        <w:trPr>
          <w:jc w:val="center"/>
        </w:trPr>
        <w:tc>
          <w:tcPr>
            <w:tcW w:w="0" w:type="auto"/>
            <w:gridSpan w:val="3"/>
            <w:shd w:val="clear" w:color="auto" w:fill="FFFFFF"/>
            <w:tcMar>
              <w:top w:w="40" w:type="dxa"/>
              <w:left w:w="20" w:type="dxa"/>
              <w:bottom w:w="40" w:type="dxa"/>
              <w:right w:w="20" w:type="dxa"/>
            </w:tcMar>
            <w:vAlign w:val="bottom"/>
          </w:tcPr>
          <w:p w14:paraId="00BAFDA9" w14:textId="77777777" w:rsidR="00871BDF" w:rsidRDefault="005C5088">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0BAFDAA" w14:textId="77777777" w:rsidR="00871BDF" w:rsidRDefault="005C5088">
            <w:pPr>
              <w:jc w:val="right"/>
              <w:textAlignment w:val="bottom"/>
            </w:pPr>
            <w:r>
              <w:rPr>
                <w:rFonts w:ascii="Times New Roman" w:eastAsia="宋体" w:hAnsi="Times New Roman"/>
                <w:color w:val="000000"/>
                <w:sz w:val="20"/>
                <w:szCs w:val="20"/>
              </w:rPr>
              <w:t>9,950.0 </w:t>
            </w:r>
          </w:p>
        </w:tc>
        <w:tc>
          <w:tcPr>
            <w:tcW w:w="0" w:type="auto"/>
            <w:shd w:val="clear" w:color="auto" w:fill="FFFFFF"/>
            <w:tcMar>
              <w:top w:w="40" w:type="dxa"/>
              <w:left w:w="0" w:type="dxa"/>
              <w:bottom w:w="40" w:type="dxa"/>
              <w:right w:w="20" w:type="dxa"/>
            </w:tcMar>
            <w:vAlign w:val="bottom"/>
          </w:tcPr>
          <w:p w14:paraId="00BAFDAB" w14:textId="77777777" w:rsidR="00871BDF" w:rsidRDefault="00871BDF">
            <w:pPr>
              <w:jc w:val="right"/>
              <w:rPr>
                <w:rFonts w:ascii="宋体"/>
              </w:rPr>
            </w:pPr>
          </w:p>
        </w:tc>
      </w:tr>
      <w:tr w:rsidR="00871BDF" w14:paraId="00BAFDB1" w14:textId="77777777">
        <w:trPr>
          <w:jc w:val="center"/>
        </w:trPr>
        <w:tc>
          <w:tcPr>
            <w:tcW w:w="0" w:type="auto"/>
            <w:gridSpan w:val="3"/>
            <w:shd w:val="clear" w:color="auto" w:fill="D7E4BC"/>
            <w:tcMar>
              <w:top w:w="40" w:type="dxa"/>
              <w:left w:w="155" w:type="dxa"/>
              <w:bottom w:w="40" w:type="dxa"/>
              <w:right w:w="20" w:type="dxa"/>
            </w:tcMar>
          </w:tcPr>
          <w:p w14:paraId="00BAFDAD" w14:textId="77777777" w:rsidR="00871BDF" w:rsidRDefault="005C5088">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DA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DAF" w14:textId="77777777" w:rsidR="00871BDF" w:rsidRDefault="005C5088">
            <w:pPr>
              <w:jc w:val="right"/>
              <w:textAlignment w:val="bottom"/>
            </w:pPr>
            <w:r>
              <w:rPr>
                <w:rFonts w:ascii="Times New Roman" w:eastAsia="宋体" w:hAnsi="Times New Roman"/>
                <w:color w:val="000000"/>
                <w:sz w:val="20"/>
                <w:szCs w:val="20"/>
              </w:rPr>
              <w:t>16,006.4 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DB0" w14:textId="77777777" w:rsidR="00871BDF" w:rsidRDefault="00871BDF">
            <w:pPr>
              <w:jc w:val="right"/>
              <w:rPr>
                <w:rFonts w:ascii="宋体"/>
              </w:rPr>
            </w:pPr>
          </w:p>
        </w:tc>
      </w:tr>
    </w:tbl>
    <w:p w14:paraId="00BAFDB2" w14:textId="77777777" w:rsidR="00871BDF" w:rsidRDefault="00871BDF">
      <w:pPr>
        <w:spacing w:before="120"/>
        <w:jc w:val="center"/>
      </w:pPr>
    </w:p>
    <w:p w14:paraId="00BAFDB3" w14:textId="77777777" w:rsidR="00871BDF" w:rsidRDefault="005C5088">
      <w:pPr>
        <w:spacing w:before="120"/>
      </w:pPr>
      <w:r>
        <w:rPr>
          <w:rFonts w:ascii="Times New Roman" w:eastAsia="宋体" w:hAnsi="Times New Roman"/>
          <w:b/>
          <w:bCs/>
          <w:color w:val="000000"/>
          <w:sz w:val="20"/>
          <w:szCs w:val="20"/>
        </w:rPr>
        <w:t>Note 10:    Leases</w:t>
      </w:r>
    </w:p>
    <w:p w14:paraId="00BAFDB4" w14:textId="77777777" w:rsidR="00871BDF" w:rsidRDefault="005C5088">
      <w:pPr>
        <w:spacing w:before="120"/>
      </w:pPr>
      <w:r>
        <w:rPr>
          <w:rFonts w:ascii="Times New Roman" w:eastAsia="宋体" w:hAnsi="Times New Roman"/>
          <w:color w:val="000000"/>
          <w:sz w:val="20"/>
          <w:szCs w:val="20"/>
        </w:rPr>
        <w:t xml:space="preserve">The components of lease costs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6742"/>
        <w:gridCol w:w="37"/>
        <w:gridCol w:w="120"/>
        <w:gridCol w:w="1207"/>
        <w:gridCol w:w="36"/>
        <w:gridCol w:w="36"/>
        <w:gridCol w:w="36"/>
        <w:gridCol w:w="36"/>
        <w:gridCol w:w="36"/>
      </w:tblGrid>
      <w:tr w:rsidR="00871BDF" w14:paraId="00BAFDBF" w14:textId="77777777">
        <w:trPr>
          <w:jc w:val="center"/>
        </w:trPr>
        <w:tc>
          <w:tcPr>
            <w:tcW w:w="50" w:type="pct"/>
            <w:shd w:val="clear" w:color="auto" w:fill="auto"/>
          </w:tcPr>
          <w:p w14:paraId="00BAFDB5" w14:textId="77777777" w:rsidR="00871BDF" w:rsidRDefault="00871BDF">
            <w:pPr>
              <w:rPr>
                <w:rFonts w:ascii="宋体"/>
              </w:rPr>
            </w:pPr>
          </w:p>
        </w:tc>
        <w:tc>
          <w:tcPr>
            <w:tcW w:w="4133" w:type="pct"/>
            <w:shd w:val="clear" w:color="auto" w:fill="auto"/>
          </w:tcPr>
          <w:p w14:paraId="00BAFDB6" w14:textId="77777777" w:rsidR="00871BDF" w:rsidRDefault="00871BDF">
            <w:pPr>
              <w:rPr>
                <w:rFonts w:ascii="宋体"/>
              </w:rPr>
            </w:pPr>
          </w:p>
        </w:tc>
        <w:tc>
          <w:tcPr>
            <w:tcW w:w="5" w:type="pct"/>
            <w:shd w:val="clear" w:color="auto" w:fill="auto"/>
          </w:tcPr>
          <w:p w14:paraId="00BAFDB7" w14:textId="77777777" w:rsidR="00871BDF" w:rsidRDefault="00871BDF">
            <w:pPr>
              <w:rPr>
                <w:rFonts w:ascii="宋体"/>
              </w:rPr>
            </w:pPr>
          </w:p>
        </w:tc>
        <w:tc>
          <w:tcPr>
            <w:tcW w:w="50" w:type="pct"/>
            <w:shd w:val="clear" w:color="auto" w:fill="auto"/>
          </w:tcPr>
          <w:p w14:paraId="00BAFDB8" w14:textId="77777777" w:rsidR="00871BDF" w:rsidRDefault="00871BDF">
            <w:pPr>
              <w:rPr>
                <w:rFonts w:ascii="宋体"/>
              </w:rPr>
            </w:pPr>
          </w:p>
        </w:tc>
        <w:tc>
          <w:tcPr>
            <w:tcW w:w="756" w:type="pct"/>
            <w:shd w:val="clear" w:color="auto" w:fill="auto"/>
          </w:tcPr>
          <w:p w14:paraId="00BAFDB9" w14:textId="77777777" w:rsidR="00871BDF" w:rsidRDefault="00871BDF">
            <w:pPr>
              <w:rPr>
                <w:rFonts w:ascii="宋体"/>
              </w:rPr>
            </w:pPr>
          </w:p>
        </w:tc>
        <w:tc>
          <w:tcPr>
            <w:tcW w:w="5" w:type="pct"/>
            <w:shd w:val="clear" w:color="auto" w:fill="auto"/>
          </w:tcPr>
          <w:p w14:paraId="00BAFDBA" w14:textId="77777777" w:rsidR="00871BDF" w:rsidRDefault="00871BDF">
            <w:pPr>
              <w:rPr>
                <w:rFonts w:ascii="宋体"/>
              </w:rPr>
            </w:pPr>
          </w:p>
        </w:tc>
        <w:tc>
          <w:tcPr>
            <w:tcW w:w="0" w:type="auto"/>
            <w:shd w:val="clear" w:color="auto" w:fill="auto"/>
          </w:tcPr>
          <w:p w14:paraId="00BAFDBB" w14:textId="77777777" w:rsidR="00871BDF" w:rsidRDefault="00871BDF">
            <w:pPr>
              <w:rPr>
                <w:rFonts w:ascii="宋体"/>
                <w:vanish/>
              </w:rPr>
            </w:pPr>
          </w:p>
        </w:tc>
        <w:tc>
          <w:tcPr>
            <w:tcW w:w="0" w:type="auto"/>
            <w:shd w:val="clear" w:color="auto" w:fill="auto"/>
          </w:tcPr>
          <w:p w14:paraId="00BAFDBC" w14:textId="77777777" w:rsidR="00871BDF" w:rsidRDefault="00871BDF">
            <w:pPr>
              <w:rPr>
                <w:rFonts w:ascii="宋体"/>
                <w:vanish/>
              </w:rPr>
            </w:pPr>
          </w:p>
        </w:tc>
        <w:tc>
          <w:tcPr>
            <w:tcW w:w="0" w:type="auto"/>
            <w:shd w:val="clear" w:color="auto" w:fill="auto"/>
          </w:tcPr>
          <w:p w14:paraId="00BAFDBD" w14:textId="77777777" w:rsidR="00871BDF" w:rsidRDefault="00871BDF">
            <w:pPr>
              <w:rPr>
                <w:rFonts w:ascii="宋体"/>
                <w:vanish/>
              </w:rPr>
            </w:pPr>
          </w:p>
        </w:tc>
        <w:tc>
          <w:tcPr>
            <w:tcW w:w="0" w:type="auto"/>
            <w:shd w:val="clear" w:color="auto" w:fill="auto"/>
          </w:tcPr>
          <w:p w14:paraId="00BAFDBE" w14:textId="77777777" w:rsidR="00871BDF" w:rsidRDefault="00871BDF">
            <w:pPr>
              <w:rPr>
                <w:rFonts w:ascii="宋体"/>
                <w:vanish/>
              </w:rPr>
            </w:pPr>
          </w:p>
        </w:tc>
      </w:tr>
      <w:tr w:rsidR="00871BDF" w14:paraId="00BAFDC6" w14:textId="77777777">
        <w:trPr>
          <w:jc w:val="center"/>
        </w:trPr>
        <w:tc>
          <w:tcPr>
            <w:tcW w:w="0" w:type="auto"/>
            <w:gridSpan w:val="3"/>
            <w:shd w:val="clear" w:color="auto" w:fill="auto"/>
            <w:tcMar>
              <w:top w:w="0" w:type="dxa"/>
              <w:left w:w="20" w:type="dxa"/>
              <w:bottom w:w="0" w:type="dxa"/>
              <w:right w:w="20" w:type="dxa"/>
            </w:tcMar>
          </w:tcPr>
          <w:p w14:paraId="00BAFDC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DC1" w14:textId="77777777" w:rsidR="00871BDF" w:rsidRDefault="005C5088">
            <w:pPr>
              <w:jc w:val="center"/>
              <w:textAlignment w:val="bottom"/>
            </w:pPr>
            <w:r>
              <w:rPr>
                <w:rFonts w:ascii="Times New Roman" w:eastAsia="宋体" w:hAnsi="Times New Roman"/>
                <w:b/>
                <w:bCs/>
                <w:color w:val="FFFFFF"/>
                <w:sz w:val="16"/>
                <w:szCs w:val="16"/>
              </w:rPr>
              <w:t>Year Ended</w:t>
            </w:r>
          </w:p>
        </w:tc>
        <w:tc>
          <w:tcPr>
            <w:tcW w:w="0" w:type="auto"/>
            <w:shd w:val="clear" w:color="auto" w:fill="auto"/>
          </w:tcPr>
          <w:p w14:paraId="00BAFDC2" w14:textId="77777777" w:rsidR="00871BDF" w:rsidRDefault="00871BDF">
            <w:pPr>
              <w:rPr>
                <w:rFonts w:ascii="宋体"/>
                <w:vanish/>
              </w:rPr>
            </w:pPr>
          </w:p>
        </w:tc>
        <w:tc>
          <w:tcPr>
            <w:tcW w:w="0" w:type="auto"/>
            <w:shd w:val="clear" w:color="auto" w:fill="auto"/>
          </w:tcPr>
          <w:p w14:paraId="00BAFDC3" w14:textId="77777777" w:rsidR="00871BDF" w:rsidRDefault="00871BDF">
            <w:pPr>
              <w:rPr>
                <w:rFonts w:ascii="宋体"/>
                <w:vanish/>
              </w:rPr>
            </w:pPr>
          </w:p>
        </w:tc>
        <w:tc>
          <w:tcPr>
            <w:tcW w:w="0" w:type="auto"/>
            <w:shd w:val="clear" w:color="auto" w:fill="auto"/>
          </w:tcPr>
          <w:p w14:paraId="00BAFDC4" w14:textId="77777777" w:rsidR="00871BDF" w:rsidRDefault="00871BDF">
            <w:pPr>
              <w:rPr>
                <w:rFonts w:ascii="宋体"/>
                <w:vanish/>
              </w:rPr>
            </w:pPr>
          </w:p>
        </w:tc>
        <w:tc>
          <w:tcPr>
            <w:tcW w:w="0" w:type="auto"/>
            <w:shd w:val="clear" w:color="auto" w:fill="auto"/>
          </w:tcPr>
          <w:p w14:paraId="00BAFDC5" w14:textId="77777777" w:rsidR="00871BDF" w:rsidRDefault="00871BDF">
            <w:pPr>
              <w:rPr>
                <w:rFonts w:ascii="宋体"/>
                <w:vanish/>
              </w:rPr>
            </w:pPr>
          </w:p>
        </w:tc>
      </w:tr>
      <w:tr w:rsidR="00871BDF" w14:paraId="00BAFDCD" w14:textId="77777777">
        <w:trPr>
          <w:jc w:val="center"/>
        </w:trPr>
        <w:tc>
          <w:tcPr>
            <w:tcW w:w="0" w:type="auto"/>
            <w:gridSpan w:val="3"/>
            <w:shd w:val="clear" w:color="auto" w:fill="auto"/>
            <w:tcMar>
              <w:top w:w="0" w:type="dxa"/>
              <w:left w:w="20" w:type="dxa"/>
              <w:bottom w:w="0" w:type="dxa"/>
              <w:right w:w="20" w:type="dxa"/>
            </w:tcMar>
          </w:tcPr>
          <w:p w14:paraId="00BAFDC7"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DC8"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shd w:val="clear" w:color="auto" w:fill="auto"/>
          </w:tcPr>
          <w:p w14:paraId="00BAFDC9" w14:textId="77777777" w:rsidR="00871BDF" w:rsidRDefault="00871BDF">
            <w:pPr>
              <w:rPr>
                <w:rFonts w:ascii="宋体"/>
                <w:vanish/>
              </w:rPr>
            </w:pPr>
          </w:p>
        </w:tc>
        <w:tc>
          <w:tcPr>
            <w:tcW w:w="0" w:type="auto"/>
            <w:shd w:val="clear" w:color="auto" w:fill="auto"/>
          </w:tcPr>
          <w:p w14:paraId="00BAFDCA" w14:textId="77777777" w:rsidR="00871BDF" w:rsidRDefault="00871BDF">
            <w:pPr>
              <w:rPr>
                <w:rFonts w:ascii="宋体"/>
                <w:vanish/>
              </w:rPr>
            </w:pPr>
          </w:p>
        </w:tc>
        <w:tc>
          <w:tcPr>
            <w:tcW w:w="0" w:type="auto"/>
            <w:shd w:val="clear" w:color="auto" w:fill="auto"/>
          </w:tcPr>
          <w:p w14:paraId="00BAFDCB" w14:textId="77777777" w:rsidR="00871BDF" w:rsidRDefault="00871BDF">
            <w:pPr>
              <w:rPr>
                <w:rFonts w:ascii="宋体"/>
                <w:vanish/>
              </w:rPr>
            </w:pPr>
          </w:p>
        </w:tc>
        <w:tc>
          <w:tcPr>
            <w:tcW w:w="0" w:type="auto"/>
            <w:shd w:val="clear" w:color="auto" w:fill="auto"/>
          </w:tcPr>
          <w:p w14:paraId="00BAFDCC" w14:textId="77777777" w:rsidR="00871BDF" w:rsidRDefault="00871BDF">
            <w:pPr>
              <w:rPr>
                <w:rFonts w:ascii="宋体"/>
                <w:vanish/>
              </w:rPr>
            </w:pPr>
          </w:p>
        </w:tc>
      </w:tr>
      <w:tr w:rsidR="00871BDF" w14:paraId="00BAFDD6" w14:textId="77777777">
        <w:trPr>
          <w:jc w:val="center"/>
        </w:trPr>
        <w:tc>
          <w:tcPr>
            <w:tcW w:w="0" w:type="auto"/>
            <w:gridSpan w:val="3"/>
            <w:shd w:val="clear" w:color="auto" w:fill="D7E4BC"/>
            <w:tcMar>
              <w:top w:w="40" w:type="dxa"/>
              <w:left w:w="20" w:type="dxa"/>
              <w:bottom w:w="40" w:type="dxa"/>
              <w:right w:w="20" w:type="dxa"/>
            </w:tcMar>
            <w:vAlign w:val="bottom"/>
          </w:tcPr>
          <w:p w14:paraId="00BAFDCE" w14:textId="77777777" w:rsidR="00871BDF" w:rsidRDefault="005C5088">
            <w:pPr>
              <w:textAlignment w:val="bottom"/>
            </w:pPr>
            <w:r>
              <w:rPr>
                <w:rFonts w:ascii="Times New Roman" w:eastAsia="宋体" w:hAnsi="Times New Roman"/>
                <w:color w:val="000000"/>
                <w:sz w:val="20"/>
                <w:szCs w:val="20"/>
              </w:rPr>
              <w:t>Operating lease costs</w:t>
            </w:r>
            <w:r>
              <w:rPr>
                <w:rFonts w:ascii="Times New Roman" w:eastAsia="宋体" w:hAnsi="Times New Roman"/>
                <w:color w:val="000000"/>
                <w:sz w:val="13"/>
                <w:szCs w:val="13"/>
              </w:rPr>
              <w:t>(1)</w:t>
            </w:r>
          </w:p>
        </w:tc>
        <w:tc>
          <w:tcPr>
            <w:tcW w:w="0" w:type="auto"/>
            <w:shd w:val="clear" w:color="auto" w:fill="D7E4BC"/>
            <w:tcMar>
              <w:top w:w="40" w:type="dxa"/>
              <w:left w:w="20" w:type="dxa"/>
              <w:bottom w:w="40" w:type="dxa"/>
              <w:right w:w="0" w:type="dxa"/>
            </w:tcMar>
            <w:vAlign w:val="bottom"/>
          </w:tcPr>
          <w:p w14:paraId="00BAFDC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AFDD0" w14:textId="77777777" w:rsidR="00871BDF" w:rsidRDefault="005C5088">
            <w:pPr>
              <w:jc w:val="right"/>
              <w:textAlignment w:val="bottom"/>
            </w:pPr>
            <w:r>
              <w:rPr>
                <w:rFonts w:ascii="Times New Roman" w:eastAsia="宋体" w:hAnsi="Times New Roman"/>
                <w:color w:val="000000"/>
                <w:sz w:val="20"/>
                <w:szCs w:val="20"/>
              </w:rPr>
              <w:t>1,573.6 </w:t>
            </w:r>
          </w:p>
        </w:tc>
        <w:tc>
          <w:tcPr>
            <w:tcW w:w="0" w:type="auto"/>
            <w:shd w:val="clear" w:color="auto" w:fill="D7E4BC"/>
            <w:tcMar>
              <w:top w:w="40" w:type="dxa"/>
              <w:left w:w="0" w:type="dxa"/>
              <w:bottom w:w="40" w:type="dxa"/>
              <w:right w:w="20" w:type="dxa"/>
            </w:tcMar>
            <w:vAlign w:val="bottom"/>
          </w:tcPr>
          <w:p w14:paraId="00BAFDD1" w14:textId="77777777" w:rsidR="00871BDF" w:rsidRDefault="00871BDF">
            <w:pPr>
              <w:jc w:val="right"/>
              <w:rPr>
                <w:rFonts w:ascii="宋体"/>
              </w:rPr>
            </w:pPr>
          </w:p>
        </w:tc>
        <w:tc>
          <w:tcPr>
            <w:tcW w:w="0" w:type="auto"/>
            <w:shd w:val="clear" w:color="auto" w:fill="auto"/>
          </w:tcPr>
          <w:p w14:paraId="00BAFDD2" w14:textId="77777777" w:rsidR="00871BDF" w:rsidRDefault="00871BDF">
            <w:pPr>
              <w:rPr>
                <w:rFonts w:ascii="宋体"/>
                <w:vanish/>
              </w:rPr>
            </w:pPr>
          </w:p>
        </w:tc>
        <w:tc>
          <w:tcPr>
            <w:tcW w:w="0" w:type="auto"/>
            <w:shd w:val="clear" w:color="auto" w:fill="auto"/>
          </w:tcPr>
          <w:p w14:paraId="00BAFDD3" w14:textId="77777777" w:rsidR="00871BDF" w:rsidRDefault="00871BDF">
            <w:pPr>
              <w:rPr>
                <w:rFonts w:ascii="宋体"/>
                <w:vanish/>
              </w:rPr>
            </w:pPr>
          </w:p>
        </w:tc>
        <w:tc>
          <w:tcPr>
            <w:tcW w:w="0" w:type="auto"/>
            <w:shd w:val="clear" w:color="auto" w:fill="auto"/>
          </w:tcPr>
          <w:p w14:paraId="00BAFDD4" w14:textId="77777777" w:rsidR="00871BDF" w:rsidRDefault="00871BDF">
            <w:pPr>
              <w:rPr>
                <w:rFonts w:ascii="宋体"/>
                <w:vanish/>
              </w:rPr>
            </w:pPr>
          </w:p>
        </w:tc>
        <w:tc>
          <w:tcPr>
            <w:tcW w:w="0" w:type="auto"/>
            <w:shd w:val="clear" w:color="auto" w:fill="auto"/>
          </w:tcPr>
          <w:p w14:paraId="00BAFDD5" w14:textId="77777777" w:rsidR="00871BDF" w:rsidRDefault="00871BDF">
            <w:pPr>
              <w:rPr>
                <w:rFonts w:ascii="宋体"/>
                <w:vanish/>
              </w:rPr>
            </w:pPr>
          </w:p>
        </w:tc>
      </w:tr>
      <w:tr w:rsidR="00871BDF" w14:paraId="00BAFDDE" w14:textId="77777777">
        <w:trPr>
          <w:jc w:val="center"/>
        </w:trPr>
        <w:tc>
          <w:tcPr>
            <w:tcW w:w="0" w:type="auto"/>
            <w:gridSpan w:val="3"/>
            <w:shd w:val="clear" w:color="auto" w:fill="FFFFFF"/>
            <w:tcMar>
              <w:top w:w="40" w:type="dxa"/>
              <w:left w:w="20" w:type="dxa"/>
              <w:bottom w:w="40" w:type="dxa"/>
              <w:right w:w="20" w:type="dxa"/>
            </w:tcMar>
          </w:tcPr>
          <w:p w14:paraId="00BAFDD7" w14:textId="77777777" w:rsidR="00871BDF" w:rsidRDefault="005C5088">
            <w:pPr>
              <w:textAlignment w:val="top"/>
            </w:pPr>
            <w:r>
              <w:rPr>
                <w:rFonts w:ascii="Times New Roman" w:eastAsia="宋体" w:hAnsi="Times New Roman"/>
                <w:color w:val="000000"/>
                <w:sz w:val="20"/>
                <w:szCs w:val="20"/>
              </w:rPr>
              <w:t>Variable lease costs</w:t>
            </w:r>
          </w:p>
        </w:tc>
        <w:tc>
          <w:tcPr>
            <w:tcW w:w="0" w:type="auto"/>
            <w:gridSpan w:val="2"/>
            <w:shd w:val="clear" w:color="auto" w:fill="FFFFFF"/>
            <w:tcMar>
              <w:top w:w="40" w:type="dxa"/>
              <w:left w:w="20" w:type="dxa"/>
              <w:bottom w:w="40" w:type="dxa"/>
              <w:right w:w="0" w:type="dxa"/>
            </w:tcMar>
            <w:vAlign w:val="bottom"/>
          </w:tcPr>
          <w:p w14:paraId="00BAFDD8" w14:textId="77777777" w:rsidR="00871BDF" w:rsidRDefault="005C5088">
            <w:pPr>
              <w:jc w:val="right"/>
              <w:textAlignment w:val="bottom"/>
            </w:pPr>
            <w:r>
              <w:rPr>
                <w:rFonts w:ascii="Times New Roman" w:eastAsia="宋体" w:hAnsi="Times New Roman"/>
                <w:color w:val="000000"/>
                <w:sz w:val="20"/>
                <w:szCs w:val="20"/>
              </w:rPr>
              <w:t>833.4 </w:t>
            </w:r>
          </w:p>
        </w:tc>
        <w:tc>
          <w:tcPr>
            <w:tcW w:w="0" w:type="auto"/>
            <w:shd w:val="clear" w:color="auto" w:fill="FFFFFF"/>
            <w:tcMar>
              <w:top w:w="40" w:type="dxa"/>
              <w:left w:w="0" w:type="dxa"/>
              <w:bottom w:w="40" w:type="dxa"/>
              <w:right w:w="20" w:type="dxa"/>
            </w:tcMar>
            <w:vAlign w:val="bottom"/>
          </w:tcPr>
          <w:p w14:paraId="00BAFDD9" w14:textId="77777777" w:rsidR="00871BDF" w:rsidRDefault="00871BDF">
            <w:pPr>
              <w:jc w:val="right"/>
              <w:rPr>
                <w:rFonts w:ascii="宋体"/>
              </w:rPr>
            </w:pPr>
          </w:p>
        </w:tc>
        <w:tc>
          <w:tcPr>
            <w:tcW w:w="0" w:type="auto"/>
            <w:shd w:val="clear" w:color="auto" w:fill="auto"/>
          </w:tcPr>
          <w:p w14:paraId="00BAFDDA" w14:textId="77777777" w:rsidR="00871BDF" w:rsidRDefault="00871BDF">
            <w:pPr>
              <w:rPr>
                <w:rFonts w:ascii="宋体"/>
                <w:vanish/>
              </w:rPr>
            </w:pPr>
          </w:p>
        </w:tc>
        <w:tc>
          <w:tcPr>
            <w:tcW w:w="0" w:type="auto"/>
            <w:shd w:val="clear" w:color="auto" w:fill="auto"/>
          </w:tcPr>
          <w:p w14:paraId="00BAFDDB" w14:textId="77777777" w:rsidR="00871BDF" w:rsidRDefault="00871BDF">
            <w:pPr>
              <w:rPr>
                <w:rFonts w:ascii="宋体"/>
                <w:vanish/>
              </w:rPr>
            </w:pPr>
          </w:p>
        </w:tc>
        <w:tc>
          <w:tcPr>
            <w:tcW w:w="0" w:type="auto"/>
            <w:shd w:val="clear" w:color="auto" w:fill="auto"/>
          </w:tcPr>
          <w:p w14:paraId="00BAFDDC" w14:textId="77777777" w:rsidR="00871BDF" w:rsidRDefault="00871BDF">
            <w:pPr>
              <w:rPr>
                <w:rFonts w:ascii="宋体"/>
                <w:vanish/>
              </w:rPr>
            </w:pPr>
          </w:p>
        </w:tc>
        <w:tc>
          <w:tcPr>
            <w:tcW w:w="0" w:type="auto"/>
            <w:shd w:val="clear" w:color="auto" w:fill="auto"/>
          </w:tcPr>
          <w:p w14:paraId="00BAFDDD" w14:textId="77777777" w:rsidR="00871BDF" w:rsidRDefault="00871BDF">
            <w:pPr>
              <w:rPr>
                <w:rFonts w:ascii="宋体"/>
                <w:vanish/>
              </w:rPr>
            </w:pPr>
          </w:p>
        </w:tc>
      </w:tr>
      <w:tr w:rsidR="00871BDF" w14:paraId="00BAFDE6" w14:textId="77777777">
        <w:trPr>
          <w:jc w:val="center"/>
        </w:trPr>
        <w:tc>
          <w:tcPr>
            <w:tcW w:w="0" w:type="auto"/>
            <w:gridSpan w:val="3"/>
            <w:shd w:val="clear" w:color="auto" w:fill="D7E4BC"/>
            <w:tcMar>
              <w:top w:w="40" w:type="dxa"/>
              <w:left w:w="20" w:type="dxa"/>
              <w:bottom w:w="40" w:type="dxa"/>
              <w:right w:w="20" w:type="dxa"/>
            </w:tcMar>
            <w:vAlign w:val="bottom"/>
          </w:tcPr>
          <w:p w14:paraId="00BAFDDF" w14:textId="77777777" w:rsidR="00871BDF" w:rsidRDefault="005C5088">
            <w:pPr>
              <w:textAlignment w:val="bottom"/>
            </w:pPr>
            <w:r>
              <w:rPr>
                <w:rFonts w:ascii="Times New Roman" w:eastAsia="宋体" w:hAnsi="Times New Roman"/>
                <w:color w:val="000000"/>
                <w:sz w:val="20"/>
                <w:szCs w:val="20"/>
              </w:rPr>
              <w:t>Short-term lease costs</w:t>
            </w:r>
          </w:p>
        </w:tc>
        <w:tc>
          <w:tcPr>
            <w:tcW w:w="0" w:type="auto"/>
            <w:gridSpan w:val="2"/>
            <w:shd w:val="clear" w:color="auto" w:fill="D7E4BC"/>
            <w:tcMar>
              <w:top w:w="40" w:type="dxa"/>
              <w:left w:w="20" w:type="dxa"/>
              <w:bottom w:w="40" w:type="dxa"/>
              <w:right w:w="0" w:type="dxa"/>
            </w:tcMar>
            <w:vAlign w:val="bottom"/>
          </w:tcPr>
          <w:p w14:paraId="00BAFDE0" w14:textId="77777777" w:rsidR="00871BDF" w:rsidRDefault="005C5088">
            <w:pPr>
              <w:jc w:val="right"/>
              <w:textAlignment w:val="bottom"/>
            </w:pPr>
            <w:r>
              <w:rPr>
                <w:rFonts w:ascii="Times New Roman" w:eastAsia="宋体" w:hAnsi="Times New Roman"/>
                <w:color w:val="000000"/>
                <w:sz w:val="20"/>
                <w:szCs w:val="20"/>
              </w:rPr>
              <w:t>34.1 </w:t>
            </w:r>
          </w:p>
        </w:tc>
        <w:tc>
          <w:tcPr>
            <w:tcW w:w="0" w:type="auto"/>
            <w:shd w:val="clear" w:color="auto" w:fill="D7E4BC"/>
            <w:tcMar>
              <w:top w:w="40" w:type="dxa"/>
              <w:left w:w="0" w:type="dxa"/>
              <w:bottom w:w="40" w:type="dxa"/>
              <w:right w:w="20" w:type="dxa"/>
            </w:tcMar>
            <w:vAlign w:val="bottom"/>
          </w:tcPr>
          <w:p w14:paraId="00BAFDE1" w14:textId="77777777" w:rsidR="00871BDF" w:rsidRDefault="00871BDF">
            <w:pPr>
              <w:jc w:val="right"/>
              <w:rPr>
                <w:rFonts w:ascii="宋体"/>
              </w:rPr>
            </w:pPr>
          </w:p>
        </w:tc>
        <w:tc>
          <w:tcPr>
            <w:tcW w:w="0" w:type="auto"/>
            <w:shd w:val="clear" w:color="auto" w:fill="auto"/>
          </w:tcPr>
          <w:p w14:paraId="00BAFDE2" w14:textId="77777777" w:rsidR="00871BDF" w:rsidRDefault="00871BDF">
            <w:pPr>
              <w:rPr>
                <w:rFonts w:ascii="宋体"/>
                <w:vanish/>
              </w:rPr>
            </w:pPr>
          </w:p>
        </w:tc>
        <w:tc>
          <w:tcPr>
            <w:tcW w:w="0" w:type="auto"/>
            <w:shd w:val="clear" w:color="auto" w:fill="auto"/>
          </w:tcPr>
          <w:p w14:paraId="00BAFDE3" w14:textId="77777777" w:rsidR="00871BDF" w:rsidRDefault="00871BDF">
            <w:pPr>
              <w:rPr>
                <w:rFonts w:ascii="宋体"/>
                <w:vanish/>
              </w:rPr>
            </w:pPr>
          </w:p>
        </w:tc>
        <w:tc>
          <w:tcPr>
            <w:tcW w:w="0" w:type="auto"/>
            <w:shd w:val="clear" w:color="auto" w:fill="auto"/>
          </w:tcPr>
          <w:p w14:paraId="00BAFDE4" w14:textId="77777777" w:rsidR="00871BDF" w:rsidRDefault="00871BDF">
            <w:pPr>
              <w:rPr>
                <w:rFonts w:ascii="宋体"/>
                <w:vanish/>
              </w:rPr>
            </w:pPr>
          </w:p>
        </w:tc>
        <w:tc>
          <w:tcPr>
            <w:tcW w:w="0" w:type="auto"/>
            <w:shd w:val="clear" w:color="auto" w:fill="auto"/>
          </w:tcPr>
          <w:p w14:paraId="00BAFDE5" w14:textId="77777777" w:rsidR="00871BDF" w:rsidRDefault="00871BDF">
            <w:pPr>
              <w:rPr>
                <w:rFonts w:ascii="宋体"/>
                <w:vanish/>
              </w:rPr>
            </w:pPr>
          </w:p>
        </w:tc>
      </w:tr>
      <w:tr w:rsidR="00871BDF" w14:paraId="00BAFDEF" w14:textId="77777777">
        <w:trPr>
          <w:jc w:val="center"/>
        </w:trPr>
        <w:tc>
          <w:tcPr>
            <w:tcW w:w="0" w:type="auto"/>
            <w:gridSpan w:val="3"/>
            <w:shd w:val="clear" w:color="auto" w:fill="FFFFFF"/>
            <w:tcMar>
              <w:top w:w="40" w:type="dxa"/>
              <w:left w:w="20" w:type="dxa"/>
              <w:bottom w:w="40" w:type="dxa"/>
              <w:right w:w="20" w:type="dxa"/>
            </w:tcMar>
            <w:vAlign w:val="bottom"/>
          </w:tcPr>
          <w:p w14:paraId="00BAFDE7" w14:textId="77777777" w:rsidR="00871BDF" w:rsidRDefault="005C5088">
            <w:pPr>
              <w:textAlignment w:val="bottom"/>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AFDE8"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AFDE9" w14:textId="77777777" w:rsidR="00871BDF" w:rsidRDefault="005C5088">
            <w:pPr>
              <w:jc w:val="right"/>
              <w:textAlignment w:val="bottom"/>
            </w:pPr>
            <w:r>
              <w:rPr>
                <w:rFonts w:ascii="Times New Roman" w:eastAsia="宋体" w:hAnsi="Times New Roman"/>
                <w:color w:val="000000"/>
                <w:sz w:val="20"/>
                <w:szCs w:val="20"/>
              </w:rPr>
              <w:t>2,441.1 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AFDEA" w14:textId="77777777" w:rsidR="00871BDF" w:rsidRDefault="00871BDF">
            <w:pPr>
              <w:jc w:val="right"/>
              <w:rPr>
                <w:rFonts w:ascii="宋体"/>
              </w:rPr>
            </w:pPr>
          </w:p>
        </w:tc>
        <w:tc>
          <w:tcPr>
            <w:tcW w:w="0" w:type="auto"/>
            <w:shd w:val="clear" w:color="auto" w:fill="auto"/>
          </w:tcPr>
          <w:p w14:paraId="00BAFDEB" w14:textId="77777777" w:rsidR="00871BDF" w:rsidRDefault="00871BDF">
            <w:pPr>
              <w:rPr>
                <w:rFonts w:ascii="宋体"/>
                <w:vanish/>
              </w:rPr>
            </w:pPr>
          </w:p>
        </w:tc>
        <w:tc>
          <w:tcPr>
            <w:tcW w:w="0" w:type="auto"/>
            <w:shd w:val="clear" w:color="auto" w:fill="auto"/>
          </w:tcPr>
          <w:p w14:paraId="00BAFDEC" w14:textId="77777777" w:rsidR="00871BDF" w:rsidRDefault="00871BDF">
            <w:pPr>
              <w:rPr>
                <w:rFonts w:ascii="宋体"/>
                <w:vanish/>
              </w:rPr>
            </w:pPr>
          </w:p>
        </w:tc>
        <w:tc>
          <w:tcPr>
            <w:tcW w:w="0" w:type="auto"/>
            <w:shd w:val="clear" w:color="auto" w:fill="auto"/>
          </w:tcPr>
          <w:p w14:paraId="00BAFDED" w14:textId="77777777" w:rsidR="00871BDF" w:rsidRDefault="00871BDF">
            <w:pPr>
              <w:rPr>
                <w:rFonts w:ascii="宋体"/>
                <w:vanish/>
              </w:rPr>
            </w:pPr>
          </w:p>
        </w:tc>
        <w:tc>
          <w:tcPr>
            <w:tcW w:w="0" w:type="auto"/>
            <w:shd w:val="clear" w:color="auto" w:fill="auto"/>
          </w:tcPr>
          <w:p w14:paraId="00BAFDEE" w14:textId="77777777" w:rsidR="00871BDF" w:rsidRDefault="00871BDF">
            <w:pPr>
              <w:rPr>
                <w:rFonts w:ascii="宋体"/>
                <w:vanish/>
              </w:rPr>
            </w:pPr>
          </w:p>
        </w:tc>
      </w:tr>
      <w:tr w:rsidR="00871BDF" w14:paraId="00BAFDF6" w14:textId="77777777">
        <w:trPr>
          <w:jc w:val="center"/>
          <w:hidden/>
        </w:trPr>
        <w:tc>
          <w:tcPr>
            <w:tcW w:w="0" w:type="auto"/>
            <w:gridSpan w:val="3"/>
            <w:shd w:val="clear" w:color="auto" w:fill="auto"/>
          </w:tcPr>
          <w:p w14:paraId="00BAFDF0" w14:textId="77777777" w:rsidR="00871BDF" w:rsidRDefault="00871BDF">
            <w:pPr>
              <w:rPr>
                <w:rFonts w:ascii="宋体"/>
                <w:vanish/>
              </w:rPr>
            </w:pPr>
          </w:p>
        </w:tc>
        <w:tc>
          <w:tcPr>
            <w:tcW w:w="0" w:type="auto"/>
            <w:gridSpan w:val="3"/>
            <w:shd w:val="clear" w:color="auto" w:fill="auto"/>
          </w:tcPr>
          <w:p w14:paraId="00BAFDF1" w14:textId="77777777" w:rsidR="00871BDF" w:rsidRDefault="00871BDF">
            <w:pPr>
              <w:rPr>
                <w:rFonts w:ascii="宋体"/>
                <w:vanish/>
              </w:rPr>
            </w:pPr>
          </w:p>
        </w:tc>
        <w:tc>
          <w:tcPr>
            <w:tcW w:w="0" w:type="auto"/>
            <w:shd w:val="clear" w:color="auto" w:fill="auto"/>
          </w:tcPr>
          <w:p w14:paraId="00BAFDF2" w14:textId="77777777" w:rsidR="00871BDF" w:rsidRDefault="00871BDF">
            <w:pPr>
              <w:rPr>
                <w:rFonts w:ascii="宋体"/>
                <w:vanish/>
              </w:rPr>
            </w:pPr>
          </w:p>
        </w:tc>
        <w:tc>
          <w:tcPr>
            <w:tcW w:w="0" w:type="auto"/>
            <w:shd w:val="clear" w:color="auto" w:fill="auto"/>
          </w:tcPr>
          <w:p w14:paraId="00BAFDF3" w14:textId="77777777" w:rsidR="00871BDF" w:rsidRDefault="00871BDF">
            <w:pPr>
              <w:rPr>
                <w:rFonts w:ascii="宋体"/>
                <w:vanish/>
              </w:rPr>
            </w:pPr>
          </w:p>
        </w:tc>
        <w:tc>
          <w:tcPr>
            <w:tcW w:w="0" w:type="auto"/>
            <w:shd w:val="clear" w:color="auto" w:fill="auto"/>
          </w:tcPr>
          <w:p w14:paraId="00BAFDF4" w14:textId="77777777" w:rsidR="00871BDF" w:rsidRDefault="00871BDF">
            <w:pPr>
              <w:rPr>
                <w:rFonts w:ascii="宋体"/>
                <w:vanish/>
              </w:rPr>
            </w:pPr>
          </w:p>
        </w:tc>
        <w:tc>
          <w:tcPr>
            <w:tcW w:w="0" w:type="auto"/>
            <w:shd w:val="clear" w:color="auto" w:fill="auto"/>
          </w:tcPr>
          <w:p w14:paraId="00BAFDF5" w14:textId="77777777" w:rsidR="00871BDF" w:rsidRDefault="00871BDF">
            <w:pPr>
              <w:rPr>
                <w:rFonts w:ascii="宋体"/>
                <w:vanish/>
              </w:rPr>
            </w:pPr>
          </w:p>
        </w:tc>
      </w:tr>
      <w:tr w:rsidR="00871BDF" w14:paraId="00BAFDFD" w14:textId="77777777">
        <w:trPr>
          <w:jc w:val="center"/>
          <w:hidden/>
        </w:trPr>
        <w:tc>
          <w:tcPr>
            <w:tcW w:w="0" w:type="auto"/>
            <w:gridSpan w:val="3"/>
            <w:shd w:val="clear" w:color="auto" w:fill="auto"/>
          </w:tcPr>
          <w:p w14:paraId="00BAFDF7" w14:textId="77777777" w:rsidR="00871BDF" w:rsidRDefault="00871BDF">
            <w:pPr>
              <w:rPr>
                <w:rFonts w:ascii="宋体"/>
                <w:vanish/>
              </w:rPr>
            </w:pPr>
          </w:p>
        </w:tc>
        <w:tc>
          <w:tcPr>
            <w:tcW w:w="0" w:type="auto"/>
            <w:gridSpan w:val="3"/>
            <w:shd w:val="clear" w:color="auto" w:fill="auto"/>
          </w:tcPr>
          <w:p w14:paraId="00BAFDF8" w14:textId="77777777" w:rsidR="00871BDF" w:rsidRDefault="00871BDF">
            <w:pPr>
              <w:rPr>
                <w:rFonts w:ascii="宋体"/>
                <w:vanish/>
              </w:rPr>
            </w:pPr>
          </w:p>
        </w:tc>
        <w:tc>
          <w:tcPr>
            <w:tcW w:w="0" w:type="auto"/>
            <w:shd w:val="clear" w:color="auto" w:fill="auto"/>
          </w:tcPr>
          <w:p w14:paraId="00BAFDF9" w14:textId="77777777" w:rsidR="00871BDF" w:rsidRDefault="00871BDF">
            <w:pPr>
              <w:rPr>
                <w:rFonts w:ascii="宋体"/>
                <w:vanish/>
              </w:rPr>
            </w:pPr>
          </w:p>
        </w:tc>
        <w:tc>
          <w:tcPr>
            <w:tcW w:w="0" w:type="auto"/>
            <w:shd w:val="clear" w:color="auto" w:fill="auto"/>
          </w:tcPr>
          <w:p w14:paraId="00BAFDFA" w14:textId="77777777" w:rsidR="00871BDF" w:rsidRDefault="00871BDF">
            <w:pPr>
              <w:rPr>
                <w:rFonts w:ascii="宋体"/>
                <w:vanish/>
              </w:rPr>
            </w:pPr>
          </w:p>
        </w:tc>
        <w:tc>
          <w:tcPr>
            <w:tcW w:w="0" w:type="auto"/>
            <w:shd w:val="clear" w:color="auto" w:fill="auto"/>
          </w:tcPr>
          <w:p w14:paraId="00BAFDFB" w14:textId="77777777" w:rsidR="00871BDF" w:rsidRDefault="00871BDF">
            <w:pPr>
              <w:rPr>
                <w:rFonts w:ascii="宋体"/>
                <w:vanish/>
              </w:rPr>
            </w:pPr>
          </w:p>
        </w:tc>
        <w:tc>
          <w:tcPr>
            <w:tcW w:w="0" w:type="auto"/>
            <w:shd w:val="clear" w:color="auto" w:fill="auto"/>
          </w:tcPr>
          <w:p w14:paraId="00BAFDFC" w14:textId="77777777" w:rsidR="00871BDF" w:rsidRDefault="00871BDF">
            <w:pPr>
              <w:rPr>
                <w:rFonts w:ascii="宋体"/>
                <w:vanish/>
              </w:rPr>
            </w:pPr>
          </w:p>
        </w:tc>
      </w:tr>
      <w:tr w:rsidR="00871BDF" w14:paraId="00BAFE04" w14:textId="77777777">
        <w:trPr>
          <w:jc w:val="center"/>
          <w:hidden/>
        </w:trPr>
        <w:tc>
          <w:tcPr>
            <w:tcW w:w="0" w:type="auto"/>
            <w:gridSpan w:val="3"/>
            <w:shd w:val="clear" w:color="auto" w:fill="auto"/>
          </w:tcPr>
          <w:p w14:paraId="00BAFDFE" w14:textId="77777777" w:rsidR="00871BDF" w:rsidRDefault="00871BDF">
            <w:pPr>
              <w:rPr>
                <w:rFonts w:ascii="宋体"/>
                <w:vanish/>
              </w:rPr>
            </w:pPr>
          </w:p>
        </w:tc>
        <w:tc>
          <w:tcPr>
            <w:tcW w:w="0" w:type="auto"/>
            <w:gridSpan w:val="3"/>
            <w:shd w:val="clear" w:color="auto" w:fill="auto"/>
          </w:tcPr>
          <w:p w14:paraId="00BAFDFF" w14:textId="77777777" w:rsidR="00871BDF" w:rsidRDefault="00871BDF">
            <w:pPr>
              <w:rPr>
                <w:rFonts w:ascii="宋体"/>
                <w:vanish/>
              </w:rPr>
            </w:pPr>
          </w:p>
        </w:tc>
        <w:tc>
          <w:tcPr>
            <w:tcW w:w="0" w:type="auto"/>
            <w:shd w:val="clear" w:color="auto" w:fill="auto"/>
          </w:tcPr>
          <w:p w14:paraId="00BAFE00" w14:textId="77777777" w:rsidR="00871BDF" w:rsidRDefault="00871BDF">
            <w:pPr>
              <w:rPr>
                <w:rFonts w:ascii="宋体"/>
                <w:vanish/>
              </w:rPr>
            </w:pPr>
          </w:p>
        </w:tc>
        <w:tc>
          <w:tcPr>
            <w:tcW w:w="0" w:type="auto"/>
            <w:shd w:val="clear" w:color="auto" w:fill="auto"/>
          </w:tcPr>
          <w:p w14:paraId="00BAFE01" w14:textId="77777777" w:rsidR="00871BDF" w:rsidRDefault="00871BDF">
            <w:pPr>
              <w:rPr>
                <w:rFonts w:ascii="宋体"/>
                <w:vanish/>
              </w:rPr>
            </w:pPr>
          </w:p>
        </w:tc>
        <w:tc>
          <w:tcPr>
            <w:tcW w:w="0" w:type="auto"/>
            <w:shd w:val="clear" w:color="auto" w:fill="auto"/>
          </w:tcPr>
          <w:p w14:paraId="00BAFE02" w14:textId="77777777" w:rsidR="00871BDF" w:rsidRDefault="00871BDF">
            <w:pPr>
              <w:rPr>
                <w:rFonts w:ascii="宋体"/>
                <w:vanish/>
              </w:rPr>
            </w:pPr>
          </w:p>
        </w:tc>
        <w:tc>
          <w:tcPr>
            <w:tcW w:w="0" w:type="auto"/>
            <w:shd w:val="clear" w:color="auto" w:fill="auto"/>
          </w:tcPr>
          <w:p w14:paraId="00BAFE03" w14:textId="77777777" w:rsidR="00871BDF" w:rsidRDefault="00871BDF">
            <w:pPr>
              <w:rPr>
                <w:rFonts w:ascii="宋体"/>
                <w:vanish/>
              </w:rPr>
            </w:pPr>
          </w:p>
        </w:tc>
      </w:tr>
    </w:tbl>
    <w:p w14:paraId="00BAFE05" w14:textId="77777777" w:rsidR="00871BDF" w:rsidRDefault="005C5088">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Operating lease costs includes an immaterial amount of sublease income.</w:t>
      </w:r>
    </w:p>
    <w:p w14:paraId="00BAFE06" w14:textId="77777777" w:rsidR="00871BDF" w:rsidRDefault="005C5088">
      <w:pPr>
        <w:spacing w:before="120"/>
        <w:ind w:hanging="360"/>
      </w:pPr>
      <w:r>
        <w:rPr>
          <w:rFonts w:ascii="Times New Roman" w:eastAsia="宋体" w:hAnsi="Times New Roman"/>
          <w:color w:val="000000"/>
          <w:sz w:val="20"/>
          <w:szCs w:val="20"/>
        </w:rPr>
        <w:t xml:space="preserve">The following table includes supplemental information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6742"/>
        <w:gridCol w:w="36"/>
        <w:gridCol w:w="120"/>
        <w:gridCol w:w="1208"/>
        <w:gridCol w:w="36"/>
        <w:gridCol w:w="36"/>
        <w:gridCol w:w="36"/>
        <w:gridCol w:w="36"/>
        <w:gridCol w:w="36"/>
      </w:tblGrid>
      <w:tr w:rsidR="00871BDF" w14:paraId="00BAFE11" w14:textId="77777777">
        <w:trPr>
          <w:jc w:val="center"/>
        </w:trPr>
        <w:tc>
          <w:tcPr>
            <w:tcW w:w="50" w:type="pct"/>
            <w:shd w:val="clear" w:color="auto" w:fill="auto"/>
          </w:tcPr>
          <w:p w14:paraId="00BAFE07" w14:textId="77777777" w:rsidR="00871BDF" w:rsidRDefault="00871BDF">
            <w:pPr>
              <w:rPr>
                <w:rFonts w:ascii="宋体"/>
              </w:rPr>
            </w:pPr>
          </w:p>
        </w:tc>
        <w:tc>
          <w:tcPr>
            <w:tcW w:w="4133" w:type="pct"/>
            <w:shd w:val="clear" w:color="auto" w:fill="auto"/>
          </w:tcPr>
          <w:p w14:paraId="00BAFE08" w14:textId="77777777" w:rsidR="00871BDF" w:rsidRDefault="00871BDF">
            <w:pPr>
              <w:rPr>
                <w:rFonts w:ascii="宋体"/>
              </w:rPr>
            </w:pPr>
          </w:p>
        </w:tc>
        <w:tc>
          <w:tcPr>
            <w:tcW w:w="5" w:type="pct"/>
            <w:shd w:val="clear" w:color="auto" w:fill="auto"/>
          </w:tcPr>
          <w:p w14:paraId="00BAFE09" w14:textId="77777777" w:rsidR="00871BDF" w:rsidRDefault="00871BDF">
            <w:pPr>
              <w:rPr>
                <w:rFonts w:ascii="宋体"/>
              </w:rPr>
            </w:pPr>
          </w:p>
        </w:tc>
        <w:tc>
          <w:tcPr>
            <w:tcW w:w="50" w:type="pct"/>
            <w:shd w:val="clear" w:color="auto" w:fill="auto"/>
          </w:tcPr>
          <w:p w14:paraId="00BAFE0A" w14:textId="77777777" w:rsidR="00871BDF" w:rsidRDefault="00871BDF">
            <w:pPr>
              <w:rPr>
                <w:rFonts w:ascii="宋体"/>
              </w:rPr>
            </w:pPr>
          </w:p>
        </w:tc>
        <w:tc>
          <w:tcPr>
            <w:tcW w:w="756" w:type="pct"/>
            <w:shd w:val="clear" w:color="auto" w:fill="auto"/>
          </w:tcPr>
          <w:p w14:paraId="00BAFE0B" w14:textId="77777777" w:rsidR="00871BDF" w:rsidRDefault="00871BDF">
            <w:pPr>
              <w:rPr>
                <w:rFonts w:ascii="宋体"/>
              </w:rPr>
            </w:pPr>
          </w:p>
        </w:tc>
        <w:tc>
          <w:tcPr>
            <w:tcW w:w="5" w:type="pct"/>
            <w:shd w:val="clear" w:color="auto" w:fill="auto"/>
          </w:tcPr>
          <w:p w14:paraId="00BAFE0C" w14:textId="77777777" w:rsidR="00871BDF" w:rsidRDefault="00871BDF">
            <w:pPr>
              <w:rPr>
                <w:rFonts w:ascii="宋体"/>
              </w:rPr>
            </w:pPr>
          </w:p>
        </w:tc>
        <w:tc>
          <w:tcPr>
            <w:tcW w:w="0" w:type="auto"/>
            <w:shd w:val="clear" w:color="auto" w:fill="auto"/>
          </w:tcPr>
          <w:p w14:paraId="00BAFE0D" w14:textId="77777777" w:rsidR="00871BDF" w:rsidRDefault="00871BDF">
            <w:pPr>
              <w:rPr>
                <w:rFonts w:ascii="宋体"/>
                <w:vanish/>
              </w:rPr>
            </w:pPr>
          </w:p>
        </w:tc>
        <w:tc>
          <w:tcPr>
            <w:tcW w:w="0" w:type="auto"/>
            <w:shd w:val="clear" w:color="auto" w:fill="auto"/>
          </w:tcPr>
          <w:p w14:paraId="00BAFE0E" w14:textId="77777777" w:rsidR="00871BDF" w:rsidRDefault="00871BDF">
            <w:pPr>
              <w:rPr>
                <w:rFonts w:ascii="宋体"/>
                <w:vanish/>
              </w:rPr>
            </w:pPr>
          </w:p>
        </w:tc>
        <w:tc>
          <w:tcPr>
            <w:tcW w:w="0" w:type="auto"/>
            <w:shd w:val="clear" w:color="auto" w:fill="auto"/>
          </w:tcPr>
          <w:p w14:paraId="00BAFE0F" w14:textId="77777777" w:rsidR="00871BDF" w:rsidRDefault="00871BDF">
            <w:pPr>
              <w:rPr>
                <w:rFonts w:ascii="宋体"/>
                <w:vanish/>
              </w:rPr>
            </w:pPr>
          </w:p>
        </w:tc>
        <w:tc>
          <w:tcPr>
            <w:tcW w:w="0" w:type="auto"/>
            <w:shd w:val="clear" w:color="auto" w:fill="auto"/>
          </w:tcPr>
          <w:p w14:paraId="00BAFE10" w14:textId="77777777" w:rsidR="00871BDF" w:rsidRDefault="00871BDF">
            <w:pPr>
              <w:rPr>
                <w:rFonts w:ascii="宋体"/>
                <w:vanish/>
              </w:rPr>
            </w:pPr>
          </w:p>
        </w:tc>
      </w:tr>
      <w:tr w:rsidR="00871BDF" w14:paraId="00BAFE18" w14:textId="77777777">
        <w:trPr>
          <w:jc w:val="center"/>
        </w:trPr>
        <w:tc>
          <w:tcPr>
            <w:tcW w:w="0" w:type="auto"/>
            <w:gridSpan w:val="3"/>
            <w:shd w:val="clear" w:color="auto" w:fill="auto"/>
            <w:tcMar>
              <w:top w:w="0" w:type="dxa"/>
              <w:left w:w="20" w:type="dxa"/>
              <w:bottom w:w="0" w:type="dxa"/>
              <w:right w:w="20" w:type="dxa"/>
            </w:tcMar>
          </w:tcPr>
          <w:p w14:paraId="00BAFE12"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E13" w14:textId="77777777" w:rsidR="00871BDF" w:rsidRDefault="005C5088">
            <w:pPr>
              <w:jc w:val="center"/>
              <w:textAlignment w:val="bottom"/>
            </w:pPr>
            <w:r>
              <w:rPr>
                <w:rFonts w:ascii="Times New Roman" w:eastAsia="宋体" w:hAnsi="Times New Roman"/>
                <w:b/>
                <w:bCs/>
                <w:color w:val="FFFFFF"/>
                <w:sz w:val="16"/>
                <w:szCs w:val="16"/>
              </w:rPr>
              <w:t>Year Ended</w:t>
            </w:r>
          </w:p>
        </w:tc>
        <w:tc>
          <w:tcPr>
            <w:tcW w:w="0" w:type="auto"/>
            <w:shd w:val="clear" w:color="auto" w:fill="auto"/>
          </w:tcPr>
          <w:p w14:paraId="00BAFE14" w14:textId="77777777" w:rsidR="00871BDF" w:rsidRDefault="00871BDF">
            <w:pPr>
              <w:rPr>
                <w:rFonts w:ascii="宋体"/>
                <w:vanish/>
              </w:rPr>
            </w:pPr>
          </w:p>
        </w:tc>
        <w:tc>
          <w:tcPr>
            <w:tcW w:w="0" w:type="auto"/>
            <w:shd w:val="clear" w:color="auto" w:fill="auto"/>
          </w:tcPr>
          <w:p w14:paraId="00BAFE15" w14:textId="77777777" w:rsidR="00871BDF" w:rsidRDefault="00871BDF">
            <w:pPr>
              <w:rPr>
                <w:rFonts w:ascii="宋体"/>
                <w:vanish/>
              </w:rPr>
            </w:pPr>
          </w:p>
        </w:tc>
        <w:tc>
          <w:tcPr>
            <w:tcW w:w="0" w:type="auto"/>
            <w:shd w:val="clear" w:color="auto" w:fill="auto"/>
          </w:tcPr>
          <w:p w14:paraId="00BAFE16" w14:textId="77777777" w:rsidR="00871BDF" w:rsidRDefault="00871BDF">
            <w:pPr>
              <w:rPr>
                <w:rFonts w:ascii="宋体"/>
                <w:vanish/>
              </w:rPr>
            </w:pPr>
          </w:p>
        </w:tc>
        <w:tc>
          <w:tcPr>
            <w:tcW w:w="0" w:type="auto"/>
            <w:shd w:val="clear" w:color="auto" w:fill="auto"/>
          </w:tcPr>
          <w:p w14:paraId="00BAFE17" w14:textId="77777777" w:rsidR="00871BDF" w:rsidRDefault="00871BDF">
            <w:pPr>
              <w:rPr>
                <w:rFonts w:ascii="宋体"/>
                <w:vanish/>
              </w:rPr>
            </w:pPr>
          </w:p>
        </w:tc>
      </w:tr>
      <w:tr w:rsidR="00871BDF" w14:paraId="00BAFE1F" w14:textId="77777777">
        <w:trPr>
          <w:jc w:val="center"/>
        </w:trPr>
        <w:tc>
          <w:tcPr>
            <w:tcW w:w="0" w:type="auto"/>
            <w:gridSpan w:val="3"/>
            <w:shd w:val="clear" w:color="auto" w:fill="auto"/>
            <w:tcMar>
              <w:top w:w="0" w:type="dxa"/>
              <w:left w:w="20" w:type="dxa"/>
              <w:bottom w:w="0" w:type="dxa"/>
              <w:right w:w="20" w:type="dxa"/>
            </w:tcMar>
          </w:tcPr>
          <w:p w14:paraId="00BAFE19"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E1A"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shd w:val="clear" w:color="auto" w:fill="auto"/>
          </w:tcPr>
          <w:p w14:paraId="00BAFE1B" w14:textId="77777777" w:rsidR="00871BDF" w:rsidRDefault="00871BDF">
            <w:pPr>
              <w:rPr>
                <w:rFonts w:ascii="宋体"/>
                <w:vanish/>
              </w:rPr>
            </w:pPr>
          </w:p>
        </w:tc>
        <w:tc>
          <w:tcPr>
            <w:tcW w:w="0" w:type="auto"/>
            <w:shd w:val="clear" w:color="auto" w:fill="auto"/>
          </w:tcPr>
          <w:p w14:paraId="00BAFE1C" w14:textId="77777777" w:rsidR="00871BDF" w:rsidRDefault="00871BDF">
            <w:pPr>
              <w:rPr>
                <w:rFonts w:ascii="宋体"/>
                <w:vanish/>
              </w:rPr>
            </w:pPr>
          </w:p>
        </w:tc>
        <w:tc>
          <w:tcPr>
            <w:tcW w:w="0" w:type="auto"/>
            <w:shd w:val="clear" w:color="auto" w:fill="auto"/>
          </w:tcPr>
          <w:p w14:paraId="00BAFE1D" w14:textId="77777777" w:rsidR="00871BDF" w:rsidRDefault="00871BDF">
            <w:pPr>
              <w:rPr>
                <w:rFonts w:ascii="宋体"/>
                <w:vanish/>
              </w:rPr>
            </w:pPr>
          </w:p>
        </w:tc>
        <w:tc>
          <w:tcPr>
            <w:tcW w:w="0" w:type="auto"/>
            <w:shd w:val="clear" w:color="auto" w:fill="auto"/>
          </w:tcPr>
          <w:p w14:paraId="00BAFE1E" w14:textId="77777777" w:rsidR="00871BDF" w:rsidRDefault="00871BDF">
            <w:pPr>
              <w:rPr>
                <w:rFonts w:ascii="宋体"/>
                <w:vanish/>
              </w:rPr>
            </w:pPr>
          </w:p>
        </w:tc>
      </w:tr>
      <w:tr w:rsidR="00871BDF" w14:paraId="00BAFE28" w14:textId="77777777">
        <w:trPr>
          <w:jc w:val="center"/>
        </w:trPr>
        <w:tc>
          <w:tcPr>
            <w:tcW w:w="0" w:type="auto"/>
            <w:gridSpan w:val="3"/>
            <w:shd w:val="clear" w:color="auto" w:fill="D7E4BC"/>
            <w:tcMar>
              <w:top w:w="40" w:type="dxa"/>
              <w:left w:w="20" w:type="dxa"/>
              <w:bottom w:w="40" w:type="dxa"/>
              <w:right w:w="20" w:type="dxa"/>
            </w:tcMar>
          </w:tcPr>
          <w:p w14:paraId="00BAFE20" w14:textId="77777777" w:rsidR="00871BDF" w:rsidRDefault="005C5088">
            <w:pPr>
              <w:textAlignment w:val="top"/>
            </w:pPr>
            <w:r>
              <w:rPr>
                <w:rFonts w:ascii="Times New Roman" w:eastAsia="宋体" w:hAnsi="Times New Roman"/>
                <w:color w:val="000000"/>
                <w:sz w:val="20"/>
                <w:szCs w:val="20"/>
              </w:rPr>
              <w:t>Cash paid related to operating lease liabilities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E2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E22" w14:textId="77777777" w:rsidR="00871BDF" w:rsidRDefault="005C5088">
            <w:pPr>
              <w:jc w:val="right"/>
              <w:textAlignment w:val="bottom"/>
            </w:pPr>
            <w:r>
              <w:rPr>
                <w:rFonts w:ascii="Times New Roman" w:eastAsia="宋体" w:hAnsi="Times New Roman"/>
                <w:color w:val="000000"/>
                <w:sz w:val="20"/>
                <w:szCs w:val="20"/>
              </w:rPr>
              <w:t>1,463.3 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E23" w14:textId="77777777" w:rsidR="00871BDF" w:rsidRDefault="00871BDF">
            <w:pPr>
              <w:jc w:val="right"/>
              <w:rPr>
                <w:rFonts w:ascii="宋体"/>
              </w:rPr>
            </w:pPr>
          </w:p>
        </w:tc>
        <w:tc>
          <w:tcPr>
            <w:tcW w:w="0" w:type="auto"/>
            <w:shd w:val="clear" w:color="auto" w:fill="auto"/>
          </w:tcPr>
          <w:p w14:paraId="00BAFE24" w14:textId="77777777" w:rsidR="00871BDF" w:rsidRDefault="00871BDF">
            <w:pPr>
              <w:rPr>
                <w:rFonts w:ascii="宋体"/>
                <w:vanish/>
              </w:rPr>
            </w:pPr>
          </w:p>
        </w:tc>
        <w:tc>
          <w:tcPr>
            <w:tcW w:w="0" w:type="auto"/>
            <w:shd w:val="clear" w:color="auto" w:fill="auto"/>
          </w:tcPr>
          <w:p w14:paraId="00BAFE25" w14:textId="77777777" w:rsidR="00871BDF" w:rsidRDefault="00871BDF">
            <w:pPr>
              <w:rPr>
                <w:rFonts w:ascii="宋体"/>
                <w:vanish/>
              </w:rPr>
            </w:pPr>
          </w:p>
        </w:tc>
        <w:tc>
          <w:tcPr>
            <w:tcW w:w="0" w:type="auto"/>
            <w:shd w:val="clear" w:color="auto" w:fill="auto"/>
          </w:tcPr>
          <w:p w14:paraId="00BAFE26" w14:textId="77777777" w:rsidR="00871BDF" w:rsidRDefault="00871BDF">
            <w:pPr>
              <w:rPr>
                <w:rFonts w:ascii="宋体"/>
                <w:vanish/>
              </w:rPr>
            </w:pPr>
          </w:p>
        </w:tc>
        <w:tc>
          <w:tcPr>
            <w:tcW w:w="0" w:type="auto"/>
            <w:shd w:val="clear" w:color="auto" w:fill="auto"/>
          </w:tcPr>
          <w:p w14:paraId="00BAFE27" w14:textId="77777777" w:rsidR="00871BDF" w:rsidRDefault="00871BDF">
            <w:pPr>
              <w:rPr>
                <w:rFonts w:ascii="宋体"/>
                <w:vanish/>
              </w:rPr>
            </w:pPr>
          </w:p>
        </w:tc>
      </w:tr>
      <w:tr w:rsidR="00871BDF" w14:paraId="00BAFE30" w14:textId="77777777">
        <w:trPr>
          <w:jc w:val="center"/>
        </w:trPr>
        <w:tc>
          <w:tcPr>
            <w:tcW w:w="0" w:type="auto"/>
            <w:gridSpan w:val="3"/>
            <w:shd w:val="clear" w:color="auto" w:fill="FFFFFF"/>
            <w:tcMar>
              <w:top w:w="40" w:type="dxa"/>
              <w:left w:w="20" w:type="dxa"/>
              <w:bottom w:w="40" w:type="dxa"/>
              <w:right w:w="20" w:type="dxa"/>
            </w:tcMar>
            <w:vAlign w:val="bottom"/>
          </w:tcPr>
          <w:p w14:paraId="00BAFE29" w14:textId="77777777" w:rsidR="00871BDF" w:rsidRDefault="005C5088">
            <w:pPr>
              <w:textAlignment w:val="bottom"/>
            </w:pPr>
            <w:r>
              <w:rPr>
                <w:rFonts w:ascii="Times New Roman" w:eastAsia="宋体" w:hAnsi="Times New Roman"/>
                <w:color w:val="000000"/>
                <w:sz w:val="20"/>
                <w:szCs w:val="20"/>
              </w:rPr>
              <w:t>Operating lease liabilities arising from obtaining ROU assets</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0BAFE2A" w14:textId="77777777" w:rsidR="00871BDF" w:rsidRDefault="005C5088">
            <w:pPr>
              <w:jc w:val="right"/>
              <w:textAlignment w:val="bottom"/>
            </w:pPr>
            <w:r>
              <w:rPr>
                <w:rFonts w:ascii="Times New Roman" w:eastAsia="宋体" w:hAnsi="Times New Roman"/>
                <w:color w:val="000000"/>
                <w:sz w:val="20"/>
                <w:szCs w:val="20"/>
              </w:rPr>
              <w:t>1,093.0 </w:t>
            </w:r>
          </w:p>
        </w:tc>
        <w:tc>
          <w:tcPr>
            <w:tcW w:w="0" w:type="auto"/>
            <w:shd w:val="clear" w:color="auto" w:fill="FFFFFF"/>
            <w:tcMar>
              <w:top w:w="40" w:type="dxa"/>
              <w:left w:w="0" w:type="dxa"/>
              <w:bottom w:w="40" w:type="dxa"/>
              <w:right w:w="20" w:type="dxa"/>
            </w:tcMar>
            <w:vAlign w:val="bottom"/>
          </w:tcPr>
          <w:p w14:paraId="00BAFE2B" w14:textId="77777777" w:rsidR="00871BDF" w:rsidRDefault="00871BDF">
            <w:pPr>
              <w:jc w:val="right"/>
              <w:rPr>
                <w:rFonts w:ascii="宋体"/>
              </w:rPr>
            </w:pPr>
          </w:p>
        </w:tc>
        <w:tc>
          <w:tcPr>
            <w:tcW w:w="0" w:type="auto"/>
            <w:shd w:val="clear" w:color="auto" w:fill="auto"/>
          </w:tcPr>
          <w:p w14:paraId="00BAFE2C" w14:textId="77777777" w:rsidR="00871BDF" w:rsidRDefault="00871BDF">
            <w:pPr>
              <w:rPr>
                <w:rFonts w:ascii="宋体"/>
                <w:vanish/>
              </w:rPr>
            </w:pPr>
          </w:p>
        </w:tc>
        <w:tc>
          <w:tcPr>
            <w:tcW w:w="0" w:type="auto"/>
            <w:shd w:val="clear" w:color="auto" w:fill="auto"/>
          </w:tcPr>
          <w:p w14:paraId="00BAFE2D" w14:textId="77777777" w:rsidR="00871BDF" w:rsidRDefault="00871BDF">
            <w:pPr>
              <w:rPr>
                <w:rFonts w:ascii="宋体"/>
                <w:vanish/>
              </w:rPr>
            </w:pPr>
          </w:p>
        </w:tc>
        <w:tc>
          <w:tcPr>
            <w:tcW w:w="0" w:type="auto"/>
            <w:shd w:val="clear" w:color="auto" w:fill="auto"/>
          </w:tcPr>
          <w:p w14:paraId="00BAFE2E" w14:textId="77777777" w:rsidR="00871BDF" w:rsidRDefault="00871BDF">
            <w:pPr>
              <w:rPr>
                <w:rFonts w:ascii="宋体"/>
                <w:vanish/>
              </w:rPr>
            </w:pPr>
          </w:p>
        </w:tc>
        <w:tc>
          <w:tcPr>
            <w:tcW w:w="0" w:type="auto"/>
            <w:shd w:val="clear" w:color="auto" w:fill="auto"/>
          </w:tcPr>
          <w:p w14:paraId="00BAFE2F" w14:textId="77777777" w:rsidR="00871BDF" w:rsidRDefault="00871BDF">
            <w:pPr>
              <w:rPr>
                <w:rFonts w:ascii="宋体"/>
                <w:vanish/>
              </w:rPr>
            </w:pPr>
          </w:p>
        </w:tc>
      </w:tr>
      <w:tr w:rsidR="00871BDF" w14:paraId="00BAFE37" w14:textId="77777777">
        <w:trPr>
          <w:jc w:val="center"/>
          <w:hidden/>
        </w:trPr>
        <w:tc>
          <w:tcPr>
            <w:tcW w:w="0" w:type="auto"/>
            <w:gridSpan w:val="3"/>
            <w:shd w:val="clear" w:color="auto" w:fill="auto"/>
          </w:tcPr>
          <w:p w14:paraId="00BAFE31" w14:textId="77777777" w:rsidR="00871BDF" w:rsidRDefault="00871BDF">
            <w:pPr>
              <w:rPr>
                <w:rFonts w:ascii="宋体"/>
                <w:vanish/>
              </w:rPr>
            </w:pPr>
          </w:p>
        </w:tc>
        <w:tc>
          <w:tcPr>
            <w:tcW w:w="0" w:type="auto"/>
            <w:gridSpan w:val="3"/>
            <w:shd w:val="clear" w:color="auto" w:fill="auto"/>
          </w:tcPr>
          <w:p w14:paraId="00BAFE32" w14:textId="77777777" w:rsidR="00871BDF" w:rsidRDefault="00871BDF">
            <w:pPr>
              <w:rPr>
                <w:rFonts w:ascii="宋体"/>
                <w:vanish/>
              </w:rPr>
            </w:pPr>
          </w:p>
        </w:tc>
        <w:tc>
          <w:tcPr>
            <w:tcW w:w="0" w:type="auto"/>
            <w:shd w:val="clear" w:color="auto" w:fill="auto"/>
          </w:tcPr>
          <w:p w14:paraId="00BAFE33" w14:textId="77777777" w:rsidR="00871BDF" w:rsidRDefault="00871BDF">
            <w:pPr>
              <w:rPr>
                <w:rFonts w:ascii="宋体"/>
                <w:vanish/>
              </w:rPr>
            </w:pPr>
          </w:p>
        </w:tc>
        <w:tc>
          <w:tcPr>
            <w:tcW w:w="0" w:type="auto"/>
            <w:shd w:val="clear" w:color="auto" w:fill="auto"/>
          </w:tcPr>
          <w:p w14:paraId="00BAFE34" w14:textId="77777777" w:rsidR="00871BDF" w:rsidRDefault="00871BDF">
            <w:pPr>
              <w:rPr>
                <w:rFonts w:ascii="宋体"/>
                <w:vanish/>
              </w:rPr>
            </w:pPr>
          </w:p>
        </w:tc>
        <w:tc>
          <w:tcPr>
            <w:tcW w:w="0" w:type="auto"/>
            <w:shd w:val="clear" w:color="auto" w:fill="auto"/>
          </w:tcPr>
          <w:p w14:paraId="00BAFE35" w14:textId="77777777" w:rsidR="00871BDF" w:rsidRDefault="00871BDF">
            <w:pPr>
              <w:rPr>
                <w:rFonts w:ascii="宋体"/>
                <w:vanish/>
              </w:rPr>
            </w:pPr>
          </w:p>
        </w:tc>
        <w:tc>
          <w:tcPr>
            <w:tcW w:w="0" w:type="auto"/>
            <w:shd w:val="clear" w:color="auto" w:fill="auto"/>
          </w:tcPr>
          <w:p w14:paraId="00BAFE36" w14:textId="77777777" w:rsidR="00871BDF" w:rsidRDefault="00871BDF">
            <w:pPr>
              <w:rPr>
                <w:rFonts w:ascii="宋体"/>
                <w:vanish/>
              </w:rPr>
            </w:pPr>
          </w:p>
        </w:tc>
      </w:tr>
      <w:tr w:rsidR="00871BDF" w14:paraId="00BAFE3E" w14:textId="77777777">
        <w:trPr>
          <w:jc w:val="center"/>
          <w:hidden/>
        </w:trPr>
        <w:tc>
          <w:tcPr>
            <w:tcW w:w="0" w:type="auto"/>
            <w:gridSpan w:val="3"/>
            <w:shd w:val="clear" w:color="auto" w:fill="auto"/>
          </w:tcPr>
          <w:p w14:paraId="00BAFE38" w14:textId="77777777" w:rsidR="00871BDF" w:rsidRDefault="00871BDF">
            <w:pPr>
              <w:rPr>
                <w:rFonts w:ascii="宋体"/>
                <w:vanish/>
              </w:rPr>
            </w:pPr>
          </w:p>
        </w:tc>
        <w:tc>
          <w:tcPr>
            <w:tcW w:w="0" w:type="auto"/>
            <w:gridSpan w:val="3"/>
            <w:shd w:val="clear" w:color="auto" w:fill="auto"/>
          </w:tcPr>
          <w:p w14:paraId="00BAFE39" w14:textId="77777777" w:rsidR="00871BDF" w:rsidRDefault="00871BDF">
            <w:pPr>
              <w:rPr>
                <w:rFonts w:ascii="宋体"/>
                <w:vanish/>
              </w:rPr>
            </w:pPr>
          </w:p>
        </w:tc>
        <w:tc>
          <w:tcPr>
            <w:tcW w:w="0" w:type="auto"/>
            <w:shd w:val="clear" w:color="auto" w:fill="auto"/>
          </w:tcPr>
          <w:p w14:paraId="00BAFE3A" w14:textId="77777777" w:rsidR="00871BDF" w:rsidRDefault="00871BDF">
            <w:pPr>
              <w:rPr>
                <w:rFonts w:ascii="宋体"/>
                <w:vanish/>
              </w:rPr>
            </w:pPr>
          </w:p>
        </w:tc>
        <w:tc>
          <w:tcPr>
            <w:tcW w:w="0" w:type="auto"/>
            <w:shd w:val="clear" w:color="auto" w:fill="auto"/>
          </w:tcPr>
          <w:p w14:paraId="00BAFE3B" w14:textId="77777777" w:rsidR="00871BDF" w:rsidRDefault="00871BDF">
            <w:pPr>
              <w:rPr>
                <w:rFonts w:ascii="宋体"/>
                <w:vanish/>
              </w:rPr>
            </w:pPr>
          </w:p>
        </w:tc>
        <w:tc>
          <w:tcPr>
            <w:tcW w:w="0" w:type="auto"/>
            <w:shd w:val="clear" w:color="auto" w:fill="auto"/>
          </w:tcPr>
          <w:p w14:paraId="00BAFE3C" w14:textId="77777777" w:rsidR="00871BDF" w:rsidRDefault="00871BDF">
            <w:pPr>
              <w:rPr>
                <w:rFonts w:ascii="宋体"/>
                <w:vanish/>
              </w:rPr>
            </w:pPr>
          </w:p>
        </w:tc>
        <w:tc>
          <w:tcPr>
            <w:tcW w:w="0" w:type="auto"/>
            <w:shd w:val="clear" w:color="auto" w:fill="auto"/>
          </w:tcPr>
          <w:p w14:paraId="00BAFE3D" w14:textId="77777777" w:rsidR="00871BDF" w:rsidRDefault="00871BDF">
            <w:pPr>
              <w:rPr>
                <w:rFonts w:ascii="宋体"/>
                <w:vanish/>
              </w:rPr>
            </w:pPr>
          </w:p>
        </w:tc>
      </w:tr>
      <w:tr w:rsidR="00871BDF" w14:paraId="00BAFE45" w14:textId="77777777">
        <w:trPr>
          <w:jc w:val="center"/>
          <w:hidden/>
        </w:trPr>
        <w:tc>
          <w:tcPr>
            <w:tcW w:w="0" w:type="auto"/>
            <w:gridSpan w:val="3"/>
            <w:shd w:val="clear" w:color="auto" w:fill="auto"/>
          </w:tcPr>
          <w:p w14:paraId="00BAFE3F" w14:textId="77777777" w:rsidR="00871BDF" w:rsidRDefault="00871BDF">
            <w:pPr>
              <w:rPr>
                <w:rFonts w:ascii="宋体"/>
                <w:vanish/>
              </w:rPr>
            </w:pPr>
          </w:p>
        </w:tc>
        <w:tc>
          <w:tcPr>
            <w:tcW w:w="0" w:type="auto"/>
            <w:gridSpan w:val="3"/>
            <w:shd w:val="clear" w:color="auto" w:fill="auto"/>
          </w:tcPr>
          <w:p w14:paraId="00BAFE40" w14:textId="77777777" w:rsidR="00871BDF" w:rsidRDefault="00871BDF">
            <w:pPr>
              <w:rPr>
                <w:rFonts w:ascii="宋体"/>
                <w:vanish/>
              </w:rPr>
            </w:pPr>
          </w:p>
        </w:tc>
        <w:tc>
          <w:tcPr>
            <w:tcW w:w="0" w:type="auto"/>
            <w:shd w:val="clear" w:color="auto" w:fill="auto"/>
          </w:tcPr>
          <w:p w14:paraId="00BAFE41" w14:textId="77777777" w:rsidR="00871BDF" w:rsidRDefault="00871BDF">
            <w:pPr>
              <w:rPr>
                <w:rFonts w:ascii="宋体"/>
                <w:vanish/>
              </w:rPr>
            </w:pPr>
          </w:p>
        </w:tc>
        <w:tc>
          <w:tcPr>
            <w:tcW w:w="0" w:type="auto"/>
            <w:shd w:val="clear" w:color="auto" w:fill="auto"/>
          </w:tcPr>
          <w:p w14:paraId="00BAFE42" w14:textId="77777777" w:rsidR="00871BDF" w:rsidRDefault="00871BDF">
            <w:pPr>
              <w:rPr>
                <w:rFonts w:ascii="宋体"/>
                <w:vanish/>
              </w:rPr>
            </w:pPr>
          </w:p>
        </w:tc>
        <w:tc>
          <w:tcPr>
            <w:tcW w:w="0" w:type="auto"/>
            <w:shd w:val="clear" w:color="auto" w:fill="auto"/>
          </w:tcPr>
          <w:p w14:paraId="00BAFE43" w14:textId="77777777" w:rsidR="00871BDF" w:rsidRDefault="00871BDF">
            <w:pPr>
              <w:rPr>
                <w:rFonts w:ascii="宋体"/>
                <w:vanish/>
              </w:rPr>
            </w:pPr>
          </w:p>
        </w:tc>
        <w:tc>
          <w:tcPr>
            <w:tcW w:w="0" w:type="auto"/>
            <w:shd w:val="clear" w:color="auto" w:fill="auto"/>
          </w:tcPr>
          <w:p w14:paraId="00BAFE44" w14:textId="77777777" w:rsidR="00871BDF" w:rsidRDefault="00871BDF">
            <w:pPr>
              <w:rPr>
                <w:rFonts w:ascii="宋体"/>
                <w:vanish/>
              </w:rPr>
            </w:pPr>
          </w:p>
        </w:tc>
      </w:tr>
    </w:tbl>
    <w:p w14:paraId="00BAFE46" w14:textId="77777777" w:rsidR="00871BDF" w:rsidRDefault="005C5088">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Excludes the initial impact of adoption. See </w:t>
      </w:r>
      <w:hyperlink r:id="rId218" w:anchor="i54ccc64cb5384be5a4849ef1cdef4dde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for additional information.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6774"/>
        <w:gridCol w:w="36"/>
        <w:gridCol w:w="37"/>
        <w:gridCol w:w="1193"/>
        <w:gridCol w:w="187"/>
        <w:gridCol w:w="36"/>
        <w:gridCol w:w="36"/>
      </w:tblGrid>
      <w:tr w:rsidR="00871BDF" w14:paraId="00BAFE4F" w14:textId="77777777">
        <w:trPr>
          <w:jc w:val="center"/>
        </w:trPr>
        <w:tc>
          <w:tcPr>
            <w:tcW w:w="50" w:type="pct"/>
            <w:shd w:val="clear" w:color="auto" w:fill="auto"/>
          </w:tcPr>
          <w:p w14:paraId="00BAFE47" w14:textId="77777777" w:rsidR="00871BDF" w:rsidRDefault="00871BDF">
            <w:pPr>
              <w:rPr>
                <w:rFonts w:ascii="宋体"/>
              </w:rPr>
            </w:pPr>
          </w:p>
        </w:tc>
        <w:tc>
          <w:tcPr>
            <w:tcW w:w="4133" w:type="pct"/>
            <w:shd w:val="clear" w:color="auto" w:fill="auto"/>
          </w:tcPr>
          <w:p w14:paraId="00BAFE48" w14:textId="77777777" w:rsidR="00871BDF" w:rsidRDefault="00871BDF">
            <w:pPr>
              <w:rPr>
                <w:rFonts w:ascii="宋体"/>
              </w:rPr>
            </w:pPr>
          </w:p>
        </w:tc>
        <w:tc>
          <w:tcPr>
            <w:tcW w:w="5" w:type="pct"/>
            <w:shd w:val="clear" w:color="auto" w:fill="auto"/>
          </w:tcPr>
          <w:p w14:paraId="00BAFE49" w14:textId="77777777" w:rsidR="00871BDF" w:rsidRDefault="00871BDF">
            <w:pPr>
              <w:rPr>
                <w:rFonts w:ascii="宋体"/>
              </w:rPr>
            </w:pPr>
          </w:p>
        </w:tc>
        <w:tc>
          <w:tcPr>
            <w:tcW w:w="50" w:type="pct"/>
            <w:shd w:val="clear" w:color="auto" w:fill="auto"/>
          </w:tcPr>
          <w:p w14:paraId="00BAFE4A" w14:textId="77777777" w:rsidR="00871BDF" w:rsidRDefault="00871BDF">
            <w:pPr>
              <w:rPr>
                <w:rFonts w:ascii="宋体"/>
              </w:rPr>
            </w:pPr>
          </w:p>
        </w:tc>
        <w:tc>
          <w:tcPr>
            <w:tcW w:w="756" w:type="pct"/>
            <w:shd w:val="clear" w:color="auto" w:fill="auto"/>
          </w:tcPr>
          <w:p w14:paraId="00BAFE4B" w14:textId="77777777" w:rsidR="00871BDF" w:rsidRDefault="00871BDF">
            <w:pPr>
              <w:rPr>
                <w:rFonts w:ascii="宋体"/>
              </w:rPr>
            </w:pPr>
          </w:p>
        </w:tc>
        <w:tc>
          <w:tcPr>
            <w:tcW w:w="5" w:type="pct"/>
            <w:shd w:val="clear" w:color="auto" w:fill="auto"/>
          </w:tcPr>
          <w:p w14:paraId="00BAFE4C" w14:textId="77777777" w:rsidR="00871BDF" w:rsidRDefault="00871BDF">
            <w:pPr>
              <w:rPr>
                <w:rFonts w:ascii="宋体"/>
              </w:rPr>
            </w:pPr>
          </w:p>
        </w:tc>
        <w:tc>
          <w:tcPr>
            <w:tcW w:w="0" w:type="auto"/>
            <w:shd w:val="clear" w:color="auto" w:fill="auto"/>
          </w:tcPr>
          <w:p w14:paraId="00BAFE4D" w14:textId="77777777" w:rsidR="00871BDF" w:rsidRDefault="00871BDF">
            <w:pPr>
              <w:rPr>
                <w:rFonts w:ascii="宋体"/>
                <w:vanish/>
              </w:rPr>
            </w:pPr>
          </w:p>
        </w:tc>
        <w:tc>
          <w:tcPr>
            <w:tcW w:w="0" w:type="auto"/>
            <w:shd w:val="clear" w:color="auto" w:fill="auto"/>
          </w:tcPr>
          <w:p w14:paraId="00BAFE4E" w14:textId="77777777" w:rsidR="00871BDF" w:rsidRDefault="00871BDF">
            <w:pPr>
              <w:rPr>
                <w:rFonts w:ascii="宋体"/>
                <w:vanish/>
              </w:rPr>
            </w:pPr>
          </w:p>
        </w:tc>
      </w:tr>
      <w:tr w:rsidR="00871BDF" w14:paraId="00BAFE54" w14:textId="77777777">
        <w:trPr>
          <w:jc w:val="center"/>
        </w:trPr>
        <w:tc>
          <w:tcPr>
            <w:tcW w:w="0" w:type="auto"/>
            <w:gridSpan w:val="3"/>
            <w:shd w:val="clear" w:color="auto" w:fill="auto"/>
            <w:tcMar>
              <w:top w:w="0" w:type="dxa"/>
              <w:left w:w="20" w:type="dxa"/>
              <w:bottom w:w="0" w:type="dxa"/>
              <w:right w:w="20" w:type="dxa"/>
            </w:tcMar>
          </w:tcPr>
          <w:p w14:paraId="00BAFE5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E51" w14:textId="77777777" w:rsidR="00871BDF" w:rsidRDefault="005C5088">
            <w:pPr>
              <w:jc w:val="center"/>
              <w:textAlignment w:val="bottom"/>
            </w:pPr>
            <w:r>
              <w:rPr>
                <w:rFonts w:ascii="Times New Roman" w:eastAsia="宋体" w:hAnsi="Times New Roman"/>
                <w:b/>
                <w:bCs/>
                <w:color w:val="FFFFFF"/>
                <w:sz w:val="16"/>
                <w:szCs w:val="16"/>
              </w:rPr>
              <w:t xml:space="preserve">Sep 27, </w:t>
            </w:r>
            <w:r>
              <w:rPr>
                <w:rFonts w:ascii="Times New Roman" w:eastAsia="宋体" w:hAnsi="Times New Roman"/>
                <w:b/>
                <w:bCs/>
                <w:color w:val="FFFFFF"/>
                <w:sz w:val="16"/>
                <w:szCs w:val="16"/>
              </w:rPr>
              <w:t>2020</w:t>
            </w:r>
          </w:p>
        </w:tc>
        <w:tc>
          <w:tcPr>
            <w:tcW w:w="0" w:type="auto"/>
            <w:shd w:val="clear" w:color="auto" w:fill="auto"/>
          </w:tcPr>
          <w:p w14:paraId="00BAFE52" w14:textId="77777777" w:rsidR="00871BDF" w:rsidRDefault="00871BDF">
            <w:pPr>
              <w:rPr>
                <w:rFonts w:ascii="宋体"/>
                <w:vanish/>
              </w:rPr>
            </w:pPr>
          </w:p>
        </w:tc>
        <w:tc>
          <w:tcPr>
            <w:tcW w:w="0" w:type="auto"/>
            <w:shd w:val="clear" w:color="auto" w:fill="auto"/>
          </w:tcPr>
          <w:p w14:paraId="00BAFE53" w14:textId="77777777" w:rsidR="00871BDF" w:rsidRDefault="00871BDF">
            <w:pPr>
              <w:rPr>
                <w:rFonts w:ascii="宋体"/>
                <w:vanish/>
              </w:rPr>
            </w:pPr>
          </w:p>
        </w:tc>
      </w:tr>
      <w:tr w:rsidR="00871BDF" w14:paraId="00BAFE59" w14:textId="77777777">
        <w:trPr>
          <w:jc w:val="center"/>
        </w:trPr>
        <w:tc>
          <w:tcPr>
            <w:tcW w:w="0" w:type="auto"/>
            <w:gridSpan w:val="3"/>
            <w:shd w:val="clear" w:color="auto" w:fill="D7E4BC"/>
            <w:tcMar>
              <w:top w:w="40" w:type="dxa"/>
              <w:left w:w="20" w:type="dxa"/>
              <w:bottom w:w="40" w:type="dxa"/>
              <w:right w:w="20" w:type="dxa"/>
            </w:tcMar>
          </w:tcPr>
          <w:p w14:paraId="00BAFE55" w14:textId="77777777" w:rsidR="00871BDF" w:rsidRDefault="005C5088">
            <w:pPr>
              <w:textAlignment w:val="top"/>
            </w:pPr>
            <w:r>
              <w:rPr>
                <w:rFonts w:ascii="Times New Roman" w:eastAsia="宋体" w:hAnsi="Times New Roman"/>
                <w:color w:val="000000"/>
                <w:sz w:val="20"/>
                <w:szCs w:val="20"/>
              </w:rPr>
              <w:t>Weighted-average remaining operating lease term</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0BAFE56" w14:textId="77777777" w:rsidR="00871BDF" w:rsidRDefault="005C5088">
            <w:pPr>
              <w:jc w:val="right"/>
              <w:textAlignment w:val="bottom"/>
            </w:pPr>
            <w:r>
              <w:rPr>
                <w:rFonts w:ascii="Times New Roman" w:eastAsia="宋体" w:hAnsi="Times New Roman"/>
                <w:color w:val="000000"/>
                <w:sz w:val="20"/>
                <w:szCs w:val="20"/>
              </w:rPr>
              <w:t>8.8 years</w:t>
            </w:r>
          </w:p>
        </w:tc>
        <w:tc>
          <w:tcPr>
            <w:tcW w:w="0" w:type="auto"/>
            <w:shd w:val="clear" w:color="auto" w:fill="auto"/>
          </w:tcPr>
          <w:p w14:paraId="00BAFE57" w14:textId="77777777" w:rsidR="00871BDF" w:rsidRDefault="00871BDF">
            <w:pPr>
              <w:rPr>
                <w:rFonts w:ascii="宋体"/>
                <w:vanish/>
              </w:rPr>
            </w:pPr>
          </w:p>
        </w:tc>
        <w:tc>
          <w:tcPr>
            <w:tcW w:w="0" w:type="auto"/>
            <w:shd w:val="clear" w:color="auto" w:fill="auto"/>
          </w:tcPr>
          <w:p w14:paraId="00BAFE58" w14:textId="77777777" w:rsidR="00871BDF" w:rsidRDefault="00871BDF">
            <w:pPr>
              <w:rPr>
                <w:rFonts w:ascii="宋体"/>
                <w:vanish/>
              </w:rPr>
            </w:pPr>
          </w:p>
        </w:tc>
      </w:tr>
      <w:tr w:rsidR="00871BDF" w14:paraId="00BAFE5F" w14:textId="77777777">
        <w:trPr>
          <w:jc w:val="center"/>
        </w:trPr>
        <w:tc>
          <w:tcPr>
            <w:tcW w:w="0" w:type="auto"/>
            <w:gridSpan w:val="3"/>
            <w:shd w:val="clear" w:color="auto" w:fill="FFFFFF"/>
            <w:tcMar>
              <w:top w:w="40" w:type="dxa"/>
              <w:left w:w="20" w:type="dxa"/>
              <w:bottom w:w="40" w:type="dxa"/>
              <w:right w:w="20" w:type="dxa"/>
            </w:tcMar>
          </w:tcPr>
          <w:p w14:paraId="00BAFE5A" w14:textId="77777777" w:rsidR="00871BDF" w:rsidRDefault="005C5088">
            <w:pPr>
              <w:textAlignment w:val="top"/>
            </w:pPr>
            <w:r>
              <w:rPr>
                <w:rFonts w:ascii="Times New Roman" w:eastAsia="宋体" w:hAnsi="Times New Roman"/>
                <w:color w:val="000000"/>
                <w:sz w:val="20"/>
                <w:szCs w:val="20"/>
              </w:rPr>
              <w:t>Weighted-average operating lease discount rate</w:t>
            </w:r>
          </w:p>
        </w:tc>
        <w:tc>
          <w:tcPr>
            <w:tcW w:w="0" w:type="auto"/>
            <w:gridSpan w:val="2"/>
            <w:shd w:val="clear" w:color="auto" w:fill="FFFFFF"/>
            <w:tcMar>
              <w:top w:w="40" w:type="dxa"/>
              <w:left w:w="20" w:type="dxa"/>
              <w:bottom w:w="40" w:type="dxa"/>
              <w:right w:w="0" w:type="dxa"/>
            </w:tcMar>
            <w:vAlign w:val="bottom"/>
          </w:tcPr>
          <w:p w14:paraId="00BAFE5B" w14:textId="77777777" w:rsidR="00871BDF" w:rsidRDefault="005C5088">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00BAFE5C" w14:textId="77777777" w:rsidR="00871BDF" w:rsidRDefault="005C5088">
            <w:pPr>
              <w:jc w:val="right"/>
              <w:textAlignment w:val="bottom"/>
            </w:pPr>
            <w:r>
              <w:rPr>
                <w:rFonts w:ascii="Times New Roman" w:eastAsia="宋体" w:hAnsi="Times New Roman"/>
                <w:color w:val="000000"/>
                <w:sz w:val="20"/>
                <w:szCs w:val="20"/>
              </w:rPr>
              <w:t>%</w:t>
            </w:r>
          </w:p>
        </w:tc>
        <w:tc>
          <w:tcPr>
            <w:tcW w:w="0" w:type="auto"/>
            <w:shd w:val="clear" w:color="auto" w:fill="auto"/>
          </w:tcPr>
          <w:p w14:paraId="00BAFE5D" w14:textId="77777777" w:rsidR="00871BDF" w:rsidRDefault="00871BDF">
            <w:pPr>
              <w:rPr>
                <w:rFonts w:ascii="宋体"/>
                <w:vanish/>
              </w:rPr>
            </w:pPr>
          </w:p>
        </w:tc>
        <w:tc>
          <w:tcPr>
            <w:tcW w:w="0" w:type="auto"/>
            <w:shd w:val="clear" w:color="auto" w:fill="auto"/>
          </w:tcPr>
          <w:p w14:paraId="00BAFE5E" w14:textId="77777777" w:rsidR="00871BDF" w:rsidRDefault="00871BDF">
            <w:pPr>
              <w:rPr>
                <w:rFonts w:ascii="宋体"/>
                <w:vanish/>
              </w:rPr>
            </w:pPr>
          </w:p>
        </w:tc>
      </w:tr>
    </w:tbl>
    <w:p w14:paraId="00BAFE60" w14:textId="77777777" w:rsidR="00871BDF" w:rsidRDefault="005C5088">
      <w:pPr>
        <w:spacing w:before="120"/>
      </w:pPr>
      <w:r>
        <w:rPr>
          <w:rFonts w:ascii="Times New Roman" w:eastAsia="宋体" w:hAnsi="Times New Roman"/>
          <w:color w:val="000000"/>
          <w:sz w:val="20"/>
          <w:szCs w:val="20"/>
        </w:rPr>
        <w:t xml:space="preserve">Finance lease assets are recorded in property, plant and equipment, net with the corresponding lease liabilities included in </w:t>
      </w:r>
      <w:r>
        <w:rPr>
          <w:rFonts w:ascii="Times New Roman" w:eastAsia="宋体" w:hAnsi="Times New Roman"/>
          <w:color w:val="000000"/>
          <w:sz w:val="20"/>
          <w:szCs w:val="20"/>
        </w:rPr>
        <w:t>accrued liabilities on the consolidated balance sheet. Finance leases were immaterial as of September 27, 2020.</w:t>
      </w:r>
    </w:p>
    <w:p w14:paraId="00BAFE61" w14:textId="77777777" w:rsidR="00871BDF" w:rsidRDefault="005C5088">
      <w:pPr>
        <w:spacing w:before="120"/>
      </w:pPr>
      <w:r>
        <w:rPr>
          <w:rFonts w:ascii="Times New Roman" w:eastAsia="宋体" w:hAnsi="Times New Roman"/>
          <w:color w:val="000000"/>
          <w:sz w:val="20"/>
          <w:szCs w:val="20"/>
        </w:rPr>
        <w:t xml:space="preserve">Minimum future maturities of operating lease liabilities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6861"/>
        <w:gridCol w:w="37"/>
        <w:gridCol w:w="120"/>
        <w:gridCol w:w="1230"/>
        <w:gridCol w:w="36"/>
      </w:tblGrid>
      <w:tr w:rsidR="00871BDF" w14:paraId="00BAFE68" w14:textId="77777777">
        <w:tc>
          <w:tcPr>
            <w:tcW w:w="50" w:type="pct"/>
            <w:shd w:val="clear" w:color="auto" w:fill="auto"/>
          </w:tcPr>
          <w:p w14:paraId="00BAFE62" w14:textId="77777777" w:rsidR="00871BDF" w:rsidRDefault="00871BDF">
            <w:pPr>
              <w:rPr>
                <w:rFonts w:ascii="宋体"/>
              </w:rPr>
            </w:pPr>
          </w:p>
        </w:tc>
        <w:tc>
          <w:tcPr>
            <w:tcW w:w="4133" w:type="pct"/>
            <w:shd w:val="clear" w:color="auto" w:fill="auto"/>
          </w:tcPr>
          <w:p w14:paraId="00BAFE63" w14:textId="77777777" w:rsidR="00871BDF" w:rsidRDefault="00871BDF">
            <w:pPr>
              <w:rPr>
                <w:rFonts w:ascii="宋体"/>
              </w:rPr>
            </w:pPr>
          </w:p>
        </w:tc>
        <w:tc>
          <w:tcPr>
            <w:tcW w:w="5" w:type="pct"/>
            <w:shd w:val="clear" w:color="auto" w:fill="auto"/>
          </w:tcPr>
          <w:p w14:paraId="00BAFE64" w14:textId="77777777" w:rsidR="00871BDF" w:rsidRDefault="00871BDF">
            <w:pPr>
              <w:rPr>
                <w:rFonts w:ascii="宋体"/>
              </w:rPr>
            </w:pPr>
          </w:p>
        </w:tc>
        <w:tc>
          <w:tcPr>
            <w:tcW w:w="50" w:type="pct"/>
            <w:shd w:val="clear" w:color="auto" w:fill="auto"/>
          </w:tcPr>
          <w:p w14:paraId="00BAFE65" w14:textId="77777777" w:rsidR="00871BDF" w:rsidRDefault="00871BDF">
            <w:pPr>
              <w:rPr>
                <w:rFonts w:ascii="宋体"/>
              </w:rPr>
            </w:pPr>
          </w:p>
        </w:tc>
        <w:tc>
          <w:tcPr>
            <w:tcW w:w="756" w:type="pct"/>
            <w:shd w:val="clear" w:color="auto" w:fill="auto"/>
          </w:tcPr>
          <w:p w14:paraId="00BAFE66" w14:textId="77777777" w:rsidR="00871BDF" w:rsidRDefault="00871BDF">
            <w:pPr>
              <w:rPr>
                <w:rFonts w:ascii="宋体"/>
              </w:rPr>
            </w:pPr>
          </w:p>
        </w:tc>
        <w:tc>
          <w:tcPr>
            <w:tcW w:w="5" w:type="pct"/>
            <w:shd w:val="clear" w:color="auto" w:fill="auto"/>
          </w:tcPr>
          <w:p w14:paraId="00BAFE67" w14:textId="77777777" w:rsidR="00871BDF" w:rsidRDefault="00871BDF">
            <w:pPr>
              <w:rPr>
                <w:rFonts w:ascii="宋体"/>
              </w:rPr>
            </w:pPr>
          </w:p>
        </w:tc>
      </w:tr>
      <w:tr w:rsidR="00871BDF" w14:paraId="00BAFE6B" w14:textId="77777777">
        <w:tc>
          <w:tcPr>
            <w:tcW w:w="0" w:type="auto"/>
            <w:gridSpan w:val="3"/>
            <w:shd w:val="clear" w:color="auto" w:fill="auto"/>
            <w:tcMar>
              <w:top w:w="40" w:type="dxa"/>
              <w:left w:w="20" w:type="dxa"/>
              <w:bottom w:w="40" w:type="dxa"/>
              <w:right w:w="20" w:type="dxa"/>
            </w:tcMar>
            <w:vAlign w:val="bottom"/>
          </w:tcPr>
          <w:p w14:paraId="00BAFE69" w14:textId="77777777" w:rsidR="00871BDF" w:rsidRDefault="005C5088">
            <w:pPr>
              <w:textAlignment w:val="bottom"/>
            </w:pPr>
            <w:r>
              <w:rPr>
                <w:rFonts w:ascii="Times New Roman" w:eastAsia="宋体" w:hAnsi="Times New Roman"/>
                <w:b/>
                <w:bCs/>
                <w:color w:val="000000"/>
                <w:sz w:val="20"/>
                <w:szCs w:val="20"/>
                <w:u w:val="single"/>
              </w:rPr>
              <w:t>Fiscal Year</w:t>
            </w:r>
          </w:p>
        </w:tc>
        <w:tc>
          <w:tcPr>
            <w:tcW w:w="0" w:type="auto"/>
            <w:gridSpan w:val="3"/>
            <w:shd w:val="clear" w:color="auto" w:fill="00704A"/>
            <w:tcMar>
              <w:top w:w="40" w:type="dxa"/>
              <w:left w:w="20" w:type="dxa"/>
              <w:bottom w:w="40" w:type="dxa"/>
              <w:right w:w="20" w:type="dxa"/>
            </w:tcMar>
            <w:vAlign w:val="bottom"/>
          </w:tcPr>
          <w:p w14:paraId="00BAFE6A" w14:textId="77777777" w:rsidR="00871BDF" w:rsidRDefault="005C5088">
            <w:pPr>
              <w:jc w:val="center"/>
              <w:textAlignment w:val="bottom"/>
            </w:pPr>
            <w:r>
              <w:rPr>
                <w:rFonts w:ascii="Times New Roman" w:eastAsia="宋体" w:hAnsi="Times New Roman"/>
                <w:b/>
                <w:bCs/>
                <w:color w:val="FFFFFF"/>
                <w:sz w:val="16"/>
                <w:szCs w:val="16"/>
              </w:rPr>
              <w:t xml:space="preserve">Total </w:t>
            </w:r>
          </w:p>
        </w:tc>
      </w:tr>
      <w:tr w:rsidR="00871BDF" w14:paraId="00BAFE70" w14:textId="77777777">
        <w:tc>
          <w:tcPr>
            <w:tcW w:w="0" w:type="auto"/>
            <w:gridSpan w:val="3"/>
            <w:shd w:val="clear" w:color="auto" w:fill="D7E4BC"/>
            <w:tcMar>
              <w:top w:w="40" w:type="dxa"/>
              <w:left w:w="20" w:type="dxa"/>
              <w:bottom w:w="40" w:type="dxa"/>
              <w:right w:w="20" w:type="dxa"/>
            </w:tcMar>
          </w:tcPr>
          <w:p w14:paraId="00BAFE6C" w14:textId="77777777" w:rsidR="00871BDF" w:rsidRDefault="005C5088">
            <w:pPr>
              <w:textAlignment w:val="top"/>
            </w:pPr>
            <w:r>
              <w:rPr>
                <w:rFonts w:ascii="Times New Roman" w:eastAsia="宋体" w:hAnsi="Times New Roman"/>
                <w:color w:val="000000"/>
                <w:sz w:val="20"/>
                <w:szCs w:val="20"/>
              </w:rPr>
              <w:t>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E6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E6E" w14:textId="77777777" w:rsidR="00871BDF" w:rsidRDefault="005C5088">
            <w:pPr>
              <w:jc w:val="right"/>
              <w:textAlignment w:val="bottom"/>
            </w:pPr>
            <w:r>
              <w:rPr>
                <w:rFonts w:ascii="Times New Roman" w:eastAsia="宋体" w:hAnsi="Times New Roman"/>
                <w:color w:val="000000"/>
                <w:sz w:val="20"/>
                <w:szCs w:val="20"/>
              </w:rPr>
              <w:t>1,528.1 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E6F" w14:textId="77777777" w:rsidR="00871BDF" w:rsidRDefault="00871BDF">
            <w:pPr>
              <w:jc w:val="right"/>
              <w:rPr>
                <w:rFonts w:ascii="宋体"/>
              </w:rPr>
            </w:pPr>
          </w:p>
        </w:tc>
      </w:tr>
      <w:tr w:rsidR="00871BDF" w14:paraId="00BAFE74" w14:textId="77777777">
        <w:tc>
          <w:tcPr>
            <w:tcW w:w="0" w:type="auto"/>
            <w:gridSpan w:val="3"/>
            <w:shd w:val="clear" w:color="auto" w:fill="FFFFFF"/>
            <w:tcMar>
              <w:top w:w="40" w:type="dxa"/>
              <w:left w:w="20" w:type="dxa"/>
              <w:bottom w:w="40" w:type="dxa"/>
              <w:right w:w="20" w:type="dxa"/>
            </w:tcMar>
          </w:tcPr>
          <w:p w14:paraId="00BAFE71" w14:textId="77777777" w:rsidR="00871BDF" w:rsidRDefault="005C5088">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00BAFE72" w14:textId="77777777" w:rsidR="00871BDF" w:rsidRDefault="005C5088">
            <w:pPr>
              <w:jc w:val="right"/>
              <w:textAlignment w:val="bottom"/>
            </w:pPr>
            <w:r>
              <w:rPr>
                <w:rFonts w:ascii="Times New Roman" w:eastAsia="宋体" w:hAnsi="Times New Roman"/>
                <w:color w:val="000000"/>
                <w:sz w:val="20"/>
                <w:szCs w:val="20"/>
              </w:rPr>
              <w:t>1,402.6 </w:t>
            </w:r>
          </w:p>
        </w:tc>
        <w:tc>
          <w:tcPr>
            <w:tcW w:w="0" w:type="auto"/>
            <w:shd w:val="clear" w:color="auto" w:fill="FFFFFF"/>
            <w:tcMar>
              <w:top w:w="40" w:type="dxa"/>
              <w:left w:w="0" w:type="dxa"/>
              <w:bottom w:w="40" w:type="dxa"/>
              <w:right w:w="20" w:type="dxa"/>
            </w:tcMar>
            <w:vAlign w:val="bottom"/>
          </w:tcPr>
          <w:p w14:paraId="00BAFE73" w14:textId="77777777" w:rsidR="00871BDF" w:rsidRDefault="00871BDF">
            <w:pPr>
              <w:jc w:val="right"/>
              <w:rPr>
                <w:rFonts w:ascii="宋体"/>
              </w:rPr>
            </w:pPr>
          </w:p>
        </w:tc>
      </w:tr>
      <w:tr w:rsidR="00871BDF" w14:paraId="00BAFE78" w14:textId="77777777">
        <w:tc>
          <w:tcPr>
            <w:tcW w:w="0" w:type="auto"/>
            <w:gridSpan w:val="3"/>
            <w:shd w:val="clear" w:color="auto" w:fill="D7E4BC"/>
            <w:tcMar>
              <w:top w:w="40" w:type="dxa"/>
              <w:left w:w="20" w:type="dxa"/>
              <w:bottom w:w="40" w:type="dxa"/>
              <w:right w:w="20" w:type="dxa"/>
            </w:tcMar>
          </w:tcPr>
          <w:p w14:paraId="00BAFE75" w14:textId="77777777" w:rsidR="00871BDF" w:rsidRDefault="005C5088">
            <w:pPr>
              <w:textAlignment w:val="top"/>
            </w:pPr>
            <w:r>
              <w:rPr>
                <w:rFonts w:ascii="Times New Roman" w:eastAsia="宋体" w:hAnsi="Times New Roman"/>
                <w:color w:val="000000"/>
                <w:sz w:val="20"/>
                <w:szCs w:val="20"/>
              </w:rPr>
              <w:t>2023</w:t>
            </w:r>
          </w:p>
        </w:tc>
        <w:tc>
          <w:tcPr>
            <w:tcW w:w="0" w:type="auto"/>
            <w:gridSpan w:val="2"/>
            <w:shd w:val="clear" w:color="auto" w:fill="D7E4BC"/>
            <w:tcMar>
              <w:top w:w="40" w:type="dxa"/>
              <w:left w:w="20" w:type="dxa"/>
              <w:bottom w:w="40" w:type="dxa"/>
              <w:right w:w="0" w:type="dxa"/>
            </w:tcMar>
            <w:vAlign w:val="bottom"/>
          </w:tcPr>
          <w:p w14:paraId="00BAFE76" w14:textId="77777777" w:rsidR="00871BDF" w:rsidRDefault="005C5088">
            <w:pPr>
              <w:jc w:val="right"/>
              <w:textAlignment w:val="bottom"/>
            </w:pPr>
            <w:r>
              <w:rPr>
                <w:rFonts w:ascii="Times New Roman" w:eastAsia="宋体" w:hAnsi="Times New Roman"/>
                <w:color w:val="000000"/>
                <w:sz w:val="20"/>
                <w:szCs w:val="20"/>
              </w:rPr>
              <w:t>1,266.1 </w:t>
            </w:r>
          </w:p>
        </w:tc>
        <w:tc>
          <w:tcPr>
            <w:tcW w:w="0" w:type="auto"/>
            <w:shd w:val="clear" w:color="auto" w:fill="D7E4BC"/>
            <w:tcMar>
              <w:top w:w="40" w:type="dxa"/>
              <w:left w:w="0" w:type="dxa"/>
              <w:bottom w:w="40" w:type="dxa"/>
              <w:right w:w="20" w:type="dxa"/>
            </w:tcMar>
            <w:vAlign w:val="bottom"/>
          </w:tcPr>
          <w:p w14:paraId="00BAFE77" w14:textId="77777777" w:rsidR="00871BDF" w:rsidRDefault="00871BDF">
            <w:pPr>
              <w:jc w:val="right"/>
              <w:rPr>
                <w:rFonts w:ascii="宋体"/>
              </w:rPr>
            </w:pPr>
          </w:p>
        </w:tc>
      </w:tr>
      <w:tr w:rsidR="00871BDF" w14:paraId="00BAFE7C" w14:textId="77777777">
        <w:tc>
          <w:tcPr>
            <w:tcW w:w="0" w:type="auto"/>
            <w:gridSpan w:val="3"/>
            <w:shd w:val="clear" w:color="auto" w:fill="FFFFFF"/>
            <w:tcMar>
              <w:top w:w="40" w:type="dxa"/>
              <w:left w:w="20" w:type="dxa"/>
              <w:bottom w:w="40" w:type="dxa"/>
              <w:right w:w="20" w:type="dxa"/>
            </w:tcMar>
          </w:tcPr>
          <w:p w14:paraId="00BAFE79" w14:textId="77777777" w:rsidR="00871BDF" w:rsidRDefault="005C5088">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00BAFE7A" w14:textId="77777777" w:rsidR="00871BDF" w:rsidRDefault="005C5088">
            <w:pPr>
              <w:jc w:val="right"/>
              <w:textAlignment w:val="bottom"/>
            </w:pPr>
            <w:r>
              <w:rPr>
                <w:rFonts w:ascii="Times New Roman" w:eastAsia="宋体" w:hAnsi="Times New Roman"/>
                <w:color w:val="000000"/>
                <w:sz w:val="20"/>
                <w:szCs w:val="20"/>
              </w:rPr>
              <w:t>1,132.1 </w:t>
            </w:r>
          </w:p>
        </w:tc>
        <w:tc>
          <w:tcPr>
            <w:tcW w:w="0" w:type="auto"/>
            <w:shd w:val="clear" w:color="auto" w:fill="FFFFFF"/>
            <w:tcMar>
              <w:top w:w="40" w:type="dxa"/>
              <w:left w:w="0" w:type="dxa"/>
              <w:bottom w:w="40" w:type="dxa"/>
              <w:right w:w="20" w:type="dxa"/>
            </w:tcMar>
            <w:vAlign w:val="bottom"/>
          </w:tcPr>
          <w:p w14:paraId="00BAFE7B" w14:textId="77777777" w:rsidR="00871BDF" w:rsidRDefault="00871BDF">
            <w:pPr>
              <w:jc w:val="right"/>
              <w:rPr>
                <w:rFonts w:ascii="宋体"/>
              </w:rPr>
            </w:pPr>
          </w:p>
        </w:tc>
      </w:tr>
      <w:tr w:rsidR="00871BDF" w14:paraId="00BAFE80" w14:textId="77777777">
        <w:tc>
          <w:tcPr>
            <w:tcW w:w="0" w:type="auto"/>
            <w:gridSpan w:val="3"/>
            <w:shd w:val="clear" w:color="auto" w:fill="D7E4BC"/>
            <w:tcMar>
              <w:top w:w="40" w:type="dxa"/>
              <w:left w:w="20" w:type="dxa"/>
              <w:bottom w:w="40" w:type="dxa"/>
              <w:right w:w="20" w:type="dxa"/>
            </w:tcMar>
          </w:tcPr>
          <w:p w14:paraId="00BAFE7D" w14:textId="77777777" w:rsidR="00871BDF" w:rsidRDefault="005C5088">
            <w:pPr>
              <w:textAlignment w:val="top"/>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00BAFE7E" w14:textId="77777777" w:rsidR="00871BDF" w:rsidRDefault="005C5088">
            <w:pPr>
              <w:jc w:val="right"/>
              <w:textAlignment w:val="bottom"/>
            </w:pPr>
            <w:r>
              <w:rPr>
                <w:rFonts w:ascii="Times New Roman" w:eastAsia="宋体" w:hAnsi="Times New Roman"/>
                <w:color w:val="000000"/>
                <w:sz w:val="20"/>
                <w:szCs w:val="20"/>
              </w:rPr>
              <w:t>980.5 </w:t>
            </w:r>
          </w:p>
        </w:tc>
        <w:tc>
          <w:tcPr>
            <w:tcW w:w="0" w:type="auto"/>
            <w:shd w:val="clear" w:color="auto" w:fill="D7E4BC"/>
            <w:tcMar>
              <w:top w:w="40" w:type="dxa"/>
              <w:left w:w="0" w:type="dxa"/>
              <w:bottom w:w="40" w:type="dxa"/>
              <w:right w:w="20" w:type="dxa"/>
            </w:tcMar>
            <w:vAlign w:val="bottom"/>
          </w:tcPr>
          <w:p w14:paraId="00BAFE7F" w14:textId="77777777" w:rsidR="00871BDF" w:rsidRDefault="00871BDF">
            <w:pPr>
              <w:jc w:val="right"/>
              <w:rPr>
                <w:rFonts w:ascii="宋体"/>
              </w:rPr>
            </w:pPr>
          </w:p>
        </w:tc>
      </w:tr>
      <w:tr w:rsidR="00871BDF" w14:paraId="00BAFE84" w14:textId="77777777">
        <w:tc>
          <w:tcPr>
            <w:tcW w:w="0" w:type="auto"/>
            <w:gridSpan w:val="3"/>
            <w:shd w:val="clear" w:color="auto" w:fill="FFFFFF"/>
            <w:tcMar>
              <w:top w:w="40" w:type="dxa"/>
              <w:left w:w="20" w:type="dxa"/>
              <w:bottom w:w="40" w:type="dxa"/>
              <w:right w:w="20" w:type="dxa"/>
            </w:tcMar>
            <w:vAlign w:val="bottom"/>
          </w:tcPr>
          <w:p w14:paraId="00BAFE81" w14:textId="77777777" w:rsidR="00871BDF" w:rsidRDefault="005C5088">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0BAFE82" w14:textId="77777777" w:rsidR="00871BDF" w:rsidRDefault="005C5088">
            <w:pPr>
              <w:jc w:val="right"/>
              <w:textAlignment w:val="bottom"/>
            </w:pPr>
            <w:r>
              <w:rPr>
                <w:rFonts w:ascii="Times New Roman" w:eastAsia="宋体" w:hAnsi="Times New Roman"/>
                <w:color w:val="000000"/>
                <w:sz w:val="20"/>
                <w:szCs w:val="20"/>
              </w:rPr>
              <w:t>3,780.2 </w:t>
            </w:r>
          </w:p>
        </w:tc>
        <w:tc>
          <w:tcPr>
            <w:tcW w:w="0" w:type="auto"/>
            <w:shd w:val="clear" w:color="auto" w:fill="FFFFFF"/>
            <w:tcMar>
              <w:top w:w="40" w:type="dxa"/>
              <w:left w:w="0" w:type="dxa"/>
              <w:bottom w:w="40" w:type="dxa"/>
              <w:right w:w="20" w:type="dxa"/>
            </w:tcMar>
            <w:vAlign w:val="bottom"/>
          </w:tcPr>
          <w:p w14:paraId="00BAFE83" w14:textId="77777777" w:rsidR="00871BDF" w:rsidRDefault="00871BDF">
            <w:pPr>
              <w:jc w:val="right"/>
              <w:rPr>
                <w:rFonts w:ascii="宋体"/>
              </w:rPr>
            </w:pPr>
          </w:p>
        </w:tc>
      </w:tr>
      <w:tr w:rsidR="00871BDF" w14:paraId="00BAFE88" w14:textId="77777777">
        <w:tc>
          <w:tcPr>
            <w:tcW w:w="0" w:type="auto"/>
            <w:gridSpan w:val="3"/>
            <w:shd w:val="clear" w:color="auto" w:fill="D7E4BC"/>
            <w:tcMar>
              <w:top w:w="40" w:type="dxa"/>
              <w:left w:w="20" w:type="dxa"/>
              <w:bottom w:w="40" w:type="dxa"/>
              <w:right w:w="20" w:type="dxa"/>
            </w:tcMar>
          </w:tcPr>
          <w:p w14:paraId="00BAFE85" w14:textId="77777777" w:rsidR="00871BDF" w:rsidRDefault="005C5088">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E86" w14:textId="77777777" w:rsidR="00871BDF" w:rsidRDefault="005C5088">
            <w:pPr>
              <w:jc w:val="right"/>
              <w:textAlignment w:val="bottom"/>
            </w:pPr>
            <w:r>
              <w:rPr>
                <w:rFonts w:ascii="Times New Roman" w:eastAsia="宋体" w:hAnsi="Times New Roman"/>
                <w:color w:val="000000"/>
                <w:sz w:val="20"/>
                <w:szCs w:val="20"/>
              </w:rPr>
              <w:t>10,089.6 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E87" w14:textId="77777777" w:rsidR="00871BDF" w:rsidRDefault="00871BDF">
            <w:pPr>
              <w:jc w:val="right"/>
              <w:rPr>
                <w:rFonts w:ascii="宋体"/>
              </w:rPr>
            </w:pPr>
          </w:p>
        </w:tc>
      </w:tr>
      <w:tr w:rsidR="00871BDF" w14:paraId="00BAFE8C" w14:textId="77777777">
        <w:tc>
          <w:tcPr>
            <w:tcW w:w="0" w:type="auto"/>
            <w:gridSpan w:val="3"/>
            <w:shd w:val="clear" w:color="auto" w:fill="FFFFFF"/>
            <w:tcMar>
              <w:top w:w="40" w:type="dxa"/>
              <w:left w:w="20" w:type="dxa"/>
              <w:bottom w:w="40" w:type="dxa"/>
              <w:right w:w="20" w:type="dxa"/>
            </w:tcMar>
          </w:tcPr>
          <w:p w14:paraId="00BAFE89" w14:textId="77777777" w:rsidR="00871BDF" w:rsidRDefault="005C5088">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00BAFE8A" w14:textId="77777777" w:rsidR="00871BDF" w:rsidRDefault="005C5088">
            <w:pPr>
              <w:jc w:val="right"/>
              <w:textAlignment w:val="bottom"/>
            </w:pPr>
            <w:r>
              <w:rPr>
                <w:rFonts w:ascii="Times New Roman" w:eastAsia="宋体" w:hAnsi="Times New Roman"/>
                <w:color w:val="000000"/>
                <w:sz w:val="20"/>
                <w:szCs w:val="20"/>
              </w:rPr>
              <w:t>(1,179.1)</w:t>
            </w:r>
          </w:p>
        </w:tc>
        <w:tc>
          <w:tcPr>
            <w:tcW w:w="0" w:type="auto"/>
            <w:shd w:val="clear" w:color="auto" w:fill="FFFFFF"/>
            <w:tcMar>
              <w:top w:w="40" w:type="dxa"/>
              <w:left w:w="0" w:type="dxa"/>
              <w:bottom w:w="40" w:type="dxa"/>
              <w:right w:w="20" w:type="dxa"/>
            </w:tcMar>
            <w:vAlign w:val="bottom"/>
          </w:tcPr>
          <w:p w14:paraId="00BAFE8B" w14:textId="77777777" w:rsidR="00871BDF" w:rsidRDefault="00871BDF">
            <w:pPr>
              <w:jc w:val="right"/>
              <w:rPr>
                <w:rFonts w:ascii="宋体"/>
              </w:rPr>
            </w:pPr>
          </w:p>
        </w:tc>
      </w:tr>
      <w:tr w:rsidR="00871BDF" w14:paraId="00BAFE91" w14:textId="77777777">
        <w:tc>
          <w:tcPr>
            <w:tcW w:w="0" w:type="auto"/>
            <w:gridSpan w:val="3"/>
            <w:shd w:val="clear" w:color="auto" w:fill="D7E4BC"/>
            <w:tcMar>
              <w:top w:w="40" w:type="dxa"/>
              <w:left w:w="20" w:type="dxa"/>
              <w:bottom w:w="40" w:type="dxa"/>
              <w:right w:w="20" w:type="dxa"/>
            </w:tcMar>
          </w:tcPr>
          <w:p w14:paraId="00BAFE8D" w14:textId="77777777" w:rsidR="00871BDF" w:rsidRDefault="005C5088">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E8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E8F" w14:textId="77777777" w:rsidR="00871BDF" w:rsidRDefault="005C5088">
            <w:pPr>
              <w:jc w:val="right"/>
              <w:textAlignment w:val="bottom"/>
            </w:pPr>
            <w:r>
              <w:rPr>
                <w:rFonts w:ascii="Times New Roman" w:eastAsia="宋体" w:hAnsi="Times New Roman"/>
                <w:color w:val="000000"/>
                <w:sz w:val="20"/>
                <w:szCs w:val="20"/>
              </w:rPr>
              <w:t>8,910.5 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E90" w14:textId="77777777" w:rsidR="00871BDF" w:rsidRDefault="00871BDF">
            <w:pPr>
              <w:jc w:val="right"/>
              <w:rPr>
                <w:rFonts w:ascii="宋体"/>
              </w:rPr>
            </w:pPr>
          </w:p>
        </w:tc>
      </w:tr>
    </w:tbl>
    <w:p w14:paraId="00BAFE92" w14:textId="77777777" w:rsidR="00871BDF" w:rsidRDefault="005C5088">
      <w:pPr>
        <w:spacing w:before="120"/>
      </w:pPr>
      <w:r>
        <w:rPr>
          <w:rFonts w:ascii="Times New Roman" w:eastAsia="宋体" w:hAnsi="Times New Roman"/>
          <w:color w:val="000000"/>
          <w:sz w:val="20"/>
          <w:szCs w:val="20"/>
        </w:rPr>
        <w:t xml:space="preserve">As of September 27, 2020, we have entered into operating leases that have not yet commenced of $653.8 million, primarily related to real estate leases. These leases will commence between fiscal year 2021 and fiscal year 2026 with lease terms of 3 </w:t>
      </w:r>
    </w:p>
    <w:p w14:paraId="00BAFE93" w14:textId="77777777" w:rsidR="00871BDF" w:rsidRDefault="005C5088">
      <w:pPr>
        <w:jc w:val="center"/>
      </w:pPr>
      <w:r>
        <w:rPr>
          <w:rFonts w:ascii="Times New Roman" w:eastAsia="宋体" w:hAnsi="Times New Roman"/>
          <w:color w:val="000000"/>
          <w:sz w:val="20"/>
          <w:szCs w:val="20"/>
        </w:rPr>
        <w:t>77</w:t>
      </w:r>
    </w:p>
    <w:p w14:paraId="00BAFE94" w14:textId="77777777" w:rsidR="00871BDF" w:rsidRDefault="005C5088">
      <w:r>
        <w:pict w14:anchorId="00BB14B2">
          <v:rect id="_x0000_i1104" style="width:415.3pt;height:1.5pt" o:hralign="center" o:hrstd="t" o:hr="t" fillcolor="#a0a0a0" stroked="f"/>
        </w:pict>
      </w:r>
    </w:p>
    <w:p w14:paraId="00BAFE95" w14:textId="77777777" w:rsidR="00871BDF" w:rsidRDefault="005C5088">
      <w:hyperlink r:id="rId219" w:anchor="i54ccc64cb5384be5a4849ef1cdef4dde_7" w:history="1">
        <w:r>
          <w:rPr>
            <w:rStyle w:val="a5"/>
            <w:rFonts w:ascii="Times New Roman" w:eastAsia="宋体" w:hAnsi="Times New Roman"/>
            <w:sz w:val="20"/>
            <w:szCs w:val="20"/>
          </w:rPr>
          <w:t>Table of Contents</w:t>
        </w:r>
      </w:hyperlink>
    </w:p>
    <w:p w14:paraId="00BAFE96" w14:textId="77777777" w:rsidR="00871BDF" w:rsidRDefault="005C5088">
      <w:pPr>
        <w:spacing w:before="120"/>
      </w:pPr>
      <w:r>
        <w:rPr>
          <w:rFonts w:ascii="Times New Roman" w:eastAsia="宋体" w:hAnsi="Times New Roman"/>
          <w:color w:val="000000"/>
          <w:sz w:val="20"/>
          <w:szCs w:val="20"/>
        </w:rPr>
        <w:t xml:space="preserve">years to 20 years. A charge of $87.7 million in accelerated amortization and impairment </w:t>
      </w:r>
      <w:r>
        <w:rPr>
          <w:rFonts w:ascii="Times New Roman" w:eastAsia="宋体" w:hAnsi="Times New Roman"/>
          <w:color w:val="000000"/>
          <w:sz w:val="20"/>
          <w:szCs w:val="20"/>
        </w:rPr>
        <w:t xml:space="preserve">of ROU assets was recorded in restructuring and impairments on the consolidated statement of earnings in fiscal 2020. </w:t>
      </w:r>
    </w:p>
    <w:p w14:paraId="00BAFE97" w14:textId="77777777" w:rsidR="00871BDF" w:rsidRDefault="005C5088">
      <w:pPr>
        <w:spacing w:before="120"/>
      </w:pPr>
      <w:r>
        <w:rPr>
          <w:rFonts w:ascii="Times New Roman" w:eastAsia="宋体" w:hAnsi="Times New Roman"/>
          <w:b/>
          <w:bCs/>
          <w:i/>
          <w:iCs/>
          <w:color w:val="000000"/>
          <w:sz w:val="20"/>
          <w:szCs w:val="20"/>
        </w:rPr>
        <w:t>Previous Lease Guidance Disclosures</w:t>
      </w:r>
    </w:p>
    <w:p w14:paraId="00BAFE98" w14:textId="77777777" w:rsidR="00871BDF" w:rsidRDefault="005C5088">
      <w:pPr>
        <w:spacing w:before="120"/>
      </w:pPr>
      <w:r>
        <w:rPr>
          <w:rFonts w:ascii="Times New Roman" w:eastAsia="宋体" w:hAnsi="Times New Roman"/>
          <w:color w:val="000000"/>
          <w:sz w:val="20"/>
          <w:szCs w:val="20"/>
        </w:rPr>
        <w:t>Rent expense under operating lease agreements under the previous lease guidance, which excludes certa</w:t>
      </w:r>
      <w:r>
        <w:rPr>
          <w:rFonts w:ascii="Times New Roman" w:eastAsia="宋体" w:hAnsi="Times New Roman"/>
          <w:color w:val="000000"/>
          <w:sz w:val="20"/>
          <w:szCs w:val="20"/>
        </w:rPr>
        <w:t xml:space="preserve">in amounts required under the new guidance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8"/>
        <w:gridCol w:w="5427"/>
        <w:gridCol w:w="37"/>
        <w:gridCol w:w="120"/>
        <w:gridCol w:w="1207"/>
        <w:gridCol w:w="36"/>
        <w:gridCol w:w="36"/>
        <w:gridCol w:w="36"/>
        <w:gridCol w:w="36"/>
        <w:gridCol w:w="120"/>
        <w:gridCol w:w="1207"/>
        <w:gridCol w:w="36"/>
      </w:tblGrid>
      <w:tr w:rsidR="00871BDF" w14:paraId="00BAFEA5" w14:textId="77777777">
        <w:tc>
          <w:tcPr>
            <w:tcW w:w="50" w:type="pct"/>
            <w:shd w:val="clear" w:color="auto" w:fill="auto"/>
          </w:tcPr>
          <w:p w14:paraId="00BAFE99" w14:textId="77777777" w:rsidR="00871BDF" w:rsidRDefault="00871BDF">
            <w:pPr>
              <w:rPr>
                <w:rFonts w:ascii="宋体"/>
              </w:rPr>
            </w:pPr>
          </w:p>
        </w:tc>
        <w:tc>
          <w:tcPr>
            <w:tcW w:w="3292" w:type="pct"/>
            <w:shd w:val="clear" w:color="auto" w:fill="auto"/>
          </w:tcPr>
          <w:p w14:paraId="00BAFE9A" w14:textId="77777777" w:rsidR="00871BDF" w:rsidRDefault="00871BDF">
            <w:pPr>
              <w:rPr>
                <w:rFonts w:ascii="宋体"/>
              </w:rPr>
            </w:pPr>
          </w:p>
        </w:tc>
        <w:tc>
          <w:tcPr>
            <w:tcW w:w="5" w:type="pct"/>
            <w:shd w:val="clear" w:color="auto" w:fill="auto"/>
          </w:tcPr>
          <w:p w14:paraId="00BAFE9B" w14:textId="77777777" w:rsidR="00871BDF" w:rsidRDefault="00871BDF">
            <w:pPr>
              <w:rPr>
                <w:rFonts w:ascii="宋体"/>
              </w:rPr>
            </w:pPr>
          </w:p>
        </w:tc>
        <w:tc>
          <w:tcPr>
            <w:tcW w:w="50" w:type="pct"/>
            <w:shd w:val="clear" w:color="auto" w:fill="auto"/>
          </w:tcPr>
          <w:p w14:paraId="00BAFE9C" w14:textId="77777777" w:rsidR="00871BDF" w:rsidRDefault="00871BDF">
            <w:pPr>
              <w:rPr>
                <w:rFonts w:ascii="宋体"/>
              </w:rPr>
            </w:pPr>
          </w:p>
        </w:tc>
        <w:tc>
          <w:tcPr>
            <w:tcW w:w="756" w:type="pct"/>
            <w:shd w:val="clear" w:color="auto" w:fill="auto"/>
          </w:tcPr>
          <w:p w14:paraId="00BAFE9D" w14:textId="77777777" w:rsidR="00871BDF" w:rsidRDefault="00871BDF">
            <w:pPr>
              <w:rPr>
                <w:rFonts w:ascii="宋体"/>
              </w:rPr>
            </w:pPr>
          </w:p>
        </w:tc>
        <w:tc>
          <w:tcPr>
            <w:tcW w:w="5" w:type="pct"/>
            <w:shd w:val="clear" w:color="auto" w:fill="auto"/>
          </w:tcPr>
          <w:p w14:paraId="00BAFE9E" w14:textId="77777777" w:rsidR="00871BDF" w:rsidRDefault="00871BDF">
            <w:pPr>
              <w:rPr>
                <w:rFonts w:ascii="宋体"/>
              </w:rPr>
            </w:pPr>
          </w:p>
        </w:tc>
        <w:tc>
          <w:tcPr>
            <w:tcW w:w="5" w:type="pct"/>
            <w:shd w:val="clear" w:color="auto" w:fill="auto"/>
          </w:tcPr>
          <w:p w14:paraId="00BAFE9F" w14:textId="77777777" w:rsidR="00871BDF" w:rsidRDefault="00871BDF">
            <w:pPr>
              <w:rPr>
                <w:rFonts w:ascii="宋体"/>
              </w:rPr>
            </w:pPr>
          </w:p>
        </w:tc>
        <w:tc>
          <w:tcPr>
            <w:tcW w:w="19" w:type="pct"/>
            <w:shd w:val="clear" w:color="auto" w:fill="auto"/>
          </w:tcPr>
          <w:p w14:paraId="00BAFEA0" w14:textId="77777777" w:rsidR="00871BDF" w:rsidRDefault="00871BDF">
            <w:pPr>
              <w:rPr>
                <w:rFonts w:ascii="宋体"/>
              </w:rPr>
            </w:pPr>
          </w:p>
        </w:tc>
        <w:tc>
          <w:tcPr>
            <w:tcW w:w="5" w:type="pct"/>
            <w:shd w:val="clear" w:color="auto" w:fill="auto"/>
          </w:tcPr>
          <w:p w14:paraId="00BAFEA1" w14:textId="77777777" w:rsidR="00871BDF" w:rsidRDefault="00871BDF">
            <w:pPr>
              <w:rPr>
                <w:rFonts w:ascii="宋体"/>
              </w:rPr>
            </w:pPr>
          </w:p>
        </w:tc>
        <w:tc>
          <w:tcPr>
            <w:tcW w:w="50" w:type="pct"/>
            <w:shd w:val="clear" w:color="auto" w:fill="auto"/>
          </w:tcPr>
          <w:p w14:paraId="00BAFEA2" w14:textId="77777777" w:rsidR="00871BDF" w:rsidRDefault="00871BDF">
            <w:pPr>
              <w:rPr>
                <w:rFonts w:ascii="宋体"/>
              </w:rPr>
            </w:pPr>
          </w:p>
        </w:tc>
        <w:tc>
          <w:tcPr>
            <w:tcW w:w="756" w:type="pct"/>
            <w:shd w:val="clear" w:color="auto" w:fill="auto"/>
          </w:tcPr>
          <w:p w14:paraId="00BAFEA3" w14:textId="77777777" w:rsidR="00871BDF" w:rsidRDefault="00871BDF">
            <w:pPr>
              <w:rPr>
                <w:rFonts w:ascii="宋体"/>
              </w:rPr>
            </w:pPr>
          </w:p>
        </w:tc>
        <w:tc>
          <w:tcPr>
            <w:tcW w:w="5" w:type="pct"/>
            <w:shd w:val="clear" w:color="auto" w:fill="auto"/>
          </w:tcPr>
          <w:p w14:paraId="00BAFEA4" w14:textId="77777777" w:rsidR="00871BDF" w:rsidRDefault="00871BDF">
            <w:pPr>
              <w:rPr>
                <w:rFonts w:ascii="宋体"/>
              </w:rPr>
            </w:pPr>
          </w:p>
        </w:tc>
      </w:tr>
      <w:tr w:rsidR="00871BDF" w14:paraId="00BAFEA8" w14:textId="77777777">
        <w:tc>
          <w:tcPr>
            <w:tcW w:w="0" w:type="auto"/>
            <w:gridSpan w:val="3"/>
            <w:shd w:val="clear" w:color="auto" w:fill="auto"/>
            <w:tcMar>
              <w:top w:w="0" w:type="dxa"/>
              <w:left w:w="20" w:type="dxa"/>
              <w:bottom w:w="0" w:type="dxa"/>
              <w:right w:w="20" w:type="dxa"/>
            </w:tcMar>
          </w:tcPr>
          <w:p w14:paraId="00BAFEA6" w14:textId="77777777" w:rsidR="00871BDF" w:rsidRDefault="00871BDF">
            <w:pPr>
              <w:rPr>
                <w:rFonts w:ascii="宋体"/>
              </w:rPr>
            </w:pPr>
          </w:p>
        </w:tc>
        <w:tc>
          <w:tcPr>
            <w:tcW w:w="0" w:type="auto"/>
            <w:gridSpan w:val="9"/>
            <w:shd w:val="clear" w:color="auto" w:fill="00704A"/>
            <w:tcMar>
              <w:top w:w="40" w:type="dxa"/>
              <w:left w:w="20" w:type="dxa"/>
              <w:bottom w:w="40" w:type="dxa"/>
              <w:right w:w="20" w:type="dxa"/>
            </w:tcMar>
            <w:vAlign w:val="bottom"/>
          </w:tcPr>
          <w:p w14:paraId="00BAFEA7" w14:textId="77777777" w:rsidR="00871BDF" w:rsidRDefault="005C5088">
            <w:pPr>
              <w:jc w:val="center"/>
              <w:textAlignment w:val="bottom"/>
            </w:pPr>
            <w:r>
              <w:rPr>
                <w:rFonts w:ascii="Times New Roman" w:eastAsia="宋体" w:hAnsi="Times New Roman"/>
                <w:b/>
                <w:bCs/>
                <w:color w:val="FFFFFF"/>
                <w:sz w:val="16"/>
                <w:szCs w:val="16"/>
              </w:rPr>
              <w:t>Year Ended</w:t>
            </w:r>
          </w:p>
        </w:tc>
      </w:tr>
      <w:tr w:rsidR="00871BDF" w14:paraId="00BAFEAD" w14:textId="77777777">
        <w:tc>
          <w:tcPr>
            <w:tcW w:w="0" w:type="auto"/>
            <w:gridSpan w:val="3"/>
            <w:shd w:val="clear" w:color="auto" w:fill="auto"/>
            <w:tcMar>
              <w:top w:w="0" w:type="dxa"/>
              <w:left w:w="20" w:type="dxa"/>
              <w:bottom w:w="0" w:type="dxa"/>
              <w:right w:w="20" w:type="dxa"/>
            </w:tcMar>
          </w:tcPr>
          <w:p w14:paraId="00BAFEA9"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EAA" w14:textId="77777777" w:rsidR="00871BDF" w:rsidRDefault="005C5088">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FFFFFF"/>
            <w:tcMar>
              <w:top w:w="0" w:type="dxa"/>
              <w:left w:w="20" w:type="dxa"/>
              <w:bottom w:w="0" w:type="dxa"/>
              <w:right w:w="20" w:type="dxa"/>
            </w:tcMar>
          </w:tcPr>
          <w:p w14:paraId="00BAFEAB"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EAC" w14:textId="77777777" w:rsidR="00871BDF" w:rsidRDefault="005C5088">
            <w:pPr>
              <w:jc w:val="center"/>
              <w:textAlignment w:val="bottom"/>
            </w:pPr>
            <w:r>
              <w:rPr>
                <w:rFonts w:ascii="Times New Roman" w:eastAsia="宋体" w:hAnsi="Times New Roman"/>
                <w:b/>
                <w:bCs/>
                <w:color w:val="FFFFFF"/>
                <w:sz w:val="16"/>
                <w:szCs w:val="16"/>
              </w:rPr>
              <w:t>Sep 30, 2018</w:t>
            </w:r>
          </w:p>
        </w:tc>
      </w:tr>
      <w:tr w:rsidR="00871BDF" w14:paraId="00BAFEB6" w14:textId="77777777">
        <w:tc>
          <w:tcPr>
            <w:tcW w:w="0" w:type="auto"/>
            <w:gridSpan w:val="3"/>
            <w:shd w:val="clear" w:color="auto" w:fill="D7E4BC"/>
            <w:tcMar>
              <w:top w:w="40" w:type="dxa"/>
              <w:left w:w="20" w:type="dxa"/>
              <w:bottom w:w="40" w:type="dxa"/>
              <w:right w:w="20" w:type="dxa"/>
            </w:tcMar>
            <w:vAlign w:val="bottom"/>
          </w:tcPr>
          <w:p w14:paraId="00BAFEAE" w14:textId="77777777" w:rsidR="00871BDF" w:rsidRDefault="005C5088">
            <w:pPr>
              <w:textAlignment w:val="bottom"/>
            </w:pPr>
            <w:r>
              <w:rPr>
                <w:rFonts w:ascii="Times New Roman" w:eastAsia="宋体" w:hAnsi="Times New Roman"/>
                <w:color w:val="000000"/>
                <w:sz w:val="20"/>
                <w:szCs w:val="20"/>
              </w:rPr>
              <w:t>Minimum rent</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EAF"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EB0" w14:textId="77777777" w:rsidR="00871BDF" w:rsidRDefault="005C5088">
            <w:pPr>
              <w:jc w:val="right"/>
              <w:textAlignment w:val="bottom"/>
            </w:pPr>
            <w:r>
              <w:rPr>
                <w:rFonts w:ascii="Times New Roman" w:eastAsia="宋体" w:hAnsi="Times New Roman"/>
                <w:color w:val="000000"/>
                <w:sz w:val="20"/>
                <w:szCs w:val="20"/>
              </w:rPr>
              <w:t>1,441.7 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EB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EB2"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EB3"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EB4" w14:textId="77777777" w:rsidR="00871BDF" w:rsidRDefault="005C5088">
            <w:pPr>
              <w:jc w:val="right"/>
              <w:textAlignment w:val="bottom"/>
            </w:pPr>
            <w:r>
              <w:rPr>
                <w:rFonts w:ascii="Times New Roman" w:eastAsia="宋体" w:hAnsi="Times New Roman"/>
                <w:color w:val="000000"/>
                <w:sz w:val="20"/>
                <w:szCs w:val="20"/>
              </w:rPr>
              <w:t>1,424.5 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EB5" w14:textId="77777777" w:rsidR="00871BDF" w:rsidRDefault="00871BDF">
            <w:pPr>
              <w:jc w:val="right"/>
              <w:rPr>
                <w:rFonts w:ascii="宋体"/>
              </w:rPr>
            </w:pPr>
          </w:p>
        </w:tc>
      </w:tr>
      <w:tr w:rsidR="00871BDF" w14:paraId="00BAFEBD" w14:textId="77777777">
        <w:tc>
          <w:tcPr>
            <w:tcW w:w="0" w:type="auto"/>
            <w:gridSpan w:val="3"/>
            <w:shd w:val="clear" w:color="auto" w:fill="FFFFFF"/>
            <w:tcMar>
              <w:top w:w="40" w:type="dxa"/>
              <w:left w:w="20" w:type="dxa"/>
              <w:bottom w:w="40" w:type="dxa"/>
              <w:right w:w="20" w:type="dxa"/>
            </w:tcMar>
          </w:tcPr>
          <w:p w14:paraId="00BAFEB7" w14:textId="77777777" w:rsidR="00871BDF" w:rsidRDefault="005C5088">
            <w:pPr>
              <w:textAlignment w:val="top"/>
            </w:pPr>
            <w:r>
              <w:rPr>
                <w:rFonts w:ascii="Times New Roman" w:eastAsia="宋体" w:hAnsi="Times New Roman"/>
                <w:color w:val="000000"/>
                <w:sz w:val="20"/>
                <w:szCs w:val="20"/>
              </w:rPr>
              <w:t>Contingent rent</w:t>
            </w:r>
          </w:p>
        </w:tc>
        <w:tc>
          <w:tcPr>
            <w:tcW w:w="0" w:type="auto"/>
            <w:gridSpan w:val="2"/>
            <w:shd w:val="clear" w:color="auto" w:fill="FFFFFF"/>
            <w:tcMar>
              <w:top w:w="40" w:type="dxa"/>
              <w:left w:w="20" w:type="dxa"/>
              <w:bottom w:w="40" w:type="dxa"/>
              <w:right w:w="0" w:type="dxa"/>
            </w:tcMar>
            <w:vAlign w:val="bottom"/>
          </w:tcPr>
          <w:p w14:paraId="00BAFEB8" w14:textId="77777777" w:rsidR="00871BDF" w:rsidRDefault="005C5088">
            <w:pPr>
              <w:jc w:val="right"/>
              <w:textAlignment w:val="bottom"/>
            </w:pPr>
            <w:r>
              <w:rPr>
                <w:rFonts w:ascii="Times New Roman" w:eastAsia="宋体" w:hAnsi="Times New Roman"/>
                <w:color w:val="000000"/>
                <w:sz w:val="20"/>
                <w:szCs w:val="20"/>
              </w:rPr>
              <w:t>224.3 </w:t>
            </w:r>
          </w:p>
        </w:tc>
        <w:tc>
          <w:tcPr>
            <w:tcW w:w="0" w:type="auto"/>
            <w:shd w:val="clear" w:color="auto" w:fill="FFFFFF"/>
            <w:tcMar>
              <w:top w:w="40" w:type="dxa"/>
              <w:left w:w="0" w:type="dxa"/>
              <w:bottom w:w="40" w:type="dxa"/>
              <w:right w:w="20" w:type="dxa"/>
            </w:tcMar>
            <w:vAlign w:val="bottom"/>
          </w:tcPr>
          <w:p w14:paraId="00BAFEB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EB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EBB" w14:textId="77777777" w:rsidR="00871BDF" w:rsidRDefault="005C5088">
            <w:pPr>
              <w:jc w:val="right"/>
              <w:textAlignment w:val="bottom"/>
            </w:pPr>
            <w:r>
              <w:rPr>
                <w:rFonts w:ascii="Times New Roman" w:eastAsia="宋体" w:hAnsi="Times New Roman"/>
                <w:color w:val="000000"/>
                <w:sz w:val="20"/>
                <w:szCs w:val="20"/>
              </w:rPr>
              <w:t>200.7 </w:t>
            </w:r>
          </w:p>
        </w:tc>
        <w:tc>
          <w:tcPr>
            <w:tcW w:w="0" w:type="auto"/>
            <w:shd w:val="clear" w:color="auto" w:fill="FFFFFF"/>
            <w:tcMar>
              <w:top w:w="40" w:type="dxa"/>
              <w:left w:w="0" w:type="dxa"/>
              <w:bottom w:w="40" w:type="dxa"/>
              <w:right w:w="20" w:type="dxa"/>
            </w:tcMar>
            <w:vAlign w:val="bottom"/>
          </w:tcPr>
          <w:p w14:paraId="00BAFEBC" w14:textId="77777777" w:rsidR="00871BDF" w:rsidRDefault="00871BDF">
            <w:pPr>
              <w:jc w:val="right"/>
              <w:rPr>
                <w:rFonts w:ascii="宋体"/>
              </w:rPr>
            </w:pPr>
          </w:p>
        </w:tc>
      </w:tr>
      <w:tr w:rsidR="00871BDF" w14:paraId="00BAFEC4" w14:textId="77777777">
        <w:tc>
          <w:tcPr>
            <w:tcW w:w="0" w:type="auto"/>
            <w:gridSpan w:val="3"/>
            <w:shd w:val="clear" w:color="auto" w:fill="D7E4BC"/>
            <w:tcMar>
              <w:top w:w="40" w:type="dxa"/>
              <w:left w:w="20" w:type="dxa"/>
              <w:bottom w:w="40" w:type="dxa"/>
              <w:right w:w="20" w:type="dxa"/>
            </w:tcMar>
            <w:vAlign w:val="bottom"/>
          </w:tcPr>
          <w:p w14:paraId="00BAFEBE" w14:textId="77777777" w:rsidR="00871BDF" w:rsidRDefault="005C5088">
            <w:pPr>
              <w:textAlignment w:val="bottom"/>
            </w:pPr>
            <w:r>
              <w:rPr>
                <w:rFonts w:ascii="Times New Roman" w:eastAsia="宋体" w:hAnsi="Times New Roman"/>
                <w:color w:val="000000"/>
                <w:sz w:val="20"/>
                <w:szCs w:val="20"/>
              </w:rPr>
              <w:t>Total</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EBF" w14:textId="77777777" w:rsidR="00871BDF" w:rsidRDefault="005C5088">
            <w:pPr>
              <w:jc w:val="right"/>
              <w:textAlignment w:val="bottom"/>
            </w:pPr>
            <w:r>
              <w:rPr>
                <w:rFonts w:ascii="Times New Roman" w:eastAsia="宋体" w:hAnsi="Times New Roman"/>
                <w:color w:val="000000"/>
                <w:sz w:val="20"/>
                <w:szCs w:val="20"/>
              </w:rPr>
              <w:t>1,666.0 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EC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EC1"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EC2" w14:textId="77777777" w:rsidR="00871BDF" w:rsidRDefault="005C5088">
            <w:pPr>
              <w:jc w:val="right"/>
              <w:textAlignment w:val="bottom"/>
            </w:pPr>
            <w:r>
              <w:rPr>
                <w:rFonts w:ascii="Times New Roman" w:eastAsia="宋体" w:hAnsi="Times New Roman"/>
                <w:color w:val="000000"/>
                <w:sz w:val="20"/>
                <w:szCs w:val="20"/>
              </w:rPr>
              <w:t>1,625.2 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EC3" w14:textId="77777777" w:rsidR="00871BDF" w:rsidRDefault="00871BDF">
            <w:pPr>
              <w:jc w:val="right"/>
              <w:rPr>
                <w:rFonts w:ascii="宋体"/>
              </w:rPr>
            </w:pPr>
          </w:p>
        </w:tc>
      </w:tr>
    </w:tbl>
    <w:p w14:paraId="00BAFEC5" w14:textId="77777777" w:rsidR="00871BDF" w:rsidRDefault="005C5088">
      <w:pPr>
        <w:spacing w:before="120"/>
      </w:pPr>
      <w:r>
        <w:rPr>
          <w:rFonts w:ascii="Times New Roman" w:eastAsia="宋体" w:hAnsi="Times New Roman"/>
          <w:color w:val="000000"/>
          <w:sz w:val="20"/>
          <w:szCs w:val="20"/>
        </w:rPr>
        <w:t xml:space="preserve">As previously disclosed, the minimum future rental payments under non-cancelable operating leases and lease financing arrangements under the previous lease guidance as of September 29, 2019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8"/>
        <w:gridCol w:w="5416"/>
        <w:gridCol w:w="37"/>
        <w:gridCol w:w="120"/>
        <w:gridCol w:w="1206"/>
        <w:gridCol w:w="36"/>
        <w:gridCol w:w="36"/>
        <w:gridCol w:w="36"/>
        <w:gridCol w:w="36"/>
        <w:gridCol w:w="121"/>
        <w:gridCol w:w="1206"/>
        <w:gridCol w:w="36"/>
      </w:tblGrid>
      <w:tr w:rsidR="00871BDF" w14:paraId="00BAFED2" w14:textId="77777777">
        <w:tc>
          <w:tcPr>
            <w:tcW w:w="50" w:type="pct"/>
            <w:shd w:val="clear" w:color="auto" w:fill="auto"/>
          </w:tcPr>
          <w:p w14:paraId="00BAFEC6" w14:textId="77777777" w:rsidR="00871BDF" w:rsidRDefault="00871BDF">
            <w:pPr>
              <w:rPr>
                <w:rFonts w:ascii="宋体"/>
              </w:rPr>
            </w:pPr>
          </w:p>
        </w:tc>
        <w:tc>
          <w:tcPr>
            <w:tcW w:w="3290" w:type="pct"/>
            <w:shd w:val="clear" w:color="auto" w:fill="auto"/>
          </w:tcPr>
          <w:p w14:paraId="00BAFEC7" w14:textId="77777777" w:rsidR="00871BDF" w:rsidRDefault="00871BDF">
            <w:pPr>
              <w:rPr>
                <w:rFonts w:ascii="宋体"/>
              </w:rPr>
            </w:pPr>
          </w:p>
        </w:tc>
        <w:tc>
          <w:tcPr>
            <w:tcW w:w="5" w:type="pct"/>
            <w:shd w:val="clear" w:color="auto" w:fill="auto"/>
          </w:tcPr>
          <w:p w14:paraId="00BAFEC8" w14:textId="77777777" w:rsidR="00871BDF" w:rsidRDefault="00871BDF">
            <w:pPr>
              <w:rPr>
                <w:rFonts w:ascii="宋体"/>
              </w:rPr>
            </w:pPr>
          </w:p>
        </w:tc>
        <w:tc>
          <w:tcPr>
            <w:tcW w:w="50" w:type="pct"/>
            <w:shd w:val="clear" w:color="auto" w:fill="auto"/>
          </w:tcPr>
          <w:p w14:paraId="00BAFEC9" w14:textId="77777777" w:rsidR="00871BDF" w:rsidRDefault="00871BDF">
            <w:pPr>
              <w:rPr>
                <w:rFonts w:ascii="宋体"/>
              </w:rPr>
            </w:pPr>
          </w:p>
        </w:tc>
        <w:tc>
          <w:tcPr>
            <w:tcW w:w="757" w:type="pct"/>
            <w:shd w:val="clear" w:color="auto" w:fill="auto"/>
          </w:tcPr>
          <w:p w14:paraId="00BAFECA" w14:textId="77777777" w:rsidR="00871BDF" w:rsidRDefault="00871BDF">
            <w:pPr>
              <w:rPr>
                <w:rFonts w:ascii="宋体"/>
              </w:rPr>
            </w:pPr>
          </w:p>
        </w:tc>
        <w:tc>
          <w:tcPr>
            <w:tcW w:w="5" w:type="pct"/>
            <w:shd w:val="clear" w:color="auto" w:fill="auto"/>
          </w:tcPr>
          <w:p w14:paraId="00BAFECB" w14:textId="77777777" w:rsidR="00871BDF" w:rsidRDefault="00871BDF">
            <w:pPr>
              <w:rPr>
                <w:rFonts w:ascii="宋体"/>
              </w:rPr>
            </w:pPr>
          </w:p>
        </w:tc>
        <w:tc>
          <w:tcPr>
            <w:tcW w:w="5" w:type="pct"/>
            <w:shd w:val="clear" w:color="auto" w:fill="auto"/>
          </w:tcPr>
          <w:p w14:paraId="00BAFECC" w14:textId="77777777" w:rsidR="00871BDF" w:rsidRDefault="00871BDF">
            <w:pPr>
              <w:rPr>
                <w:rFonts w:ascii="宋体"/>
              </w:rPr>
            </w:pPr>
          </w:p>
        </w:tc>
        <w:tc>
          <w:tcPr>
            <w:tcW w:w="19" w:type="pct"/>
            <w:shd w:val="clear" w:color="auto" w:fill="auto"/>
          </w:tcPr>
          <w:p w14:paraId="00BAFECD" w14:textId="77777777" w:rsidR="00871BDF" w:rsidRDefault="00871BDF">
            <w:pPr>
              <w:rPr>
                <w:rFonts w:ascii="宋体"/>
              </w:rPr>
            </w:pPr>
          </w:p>
        </w:tc>
        <w:tc>
          <w:tcPr>
            <w:tcW w:w="5" w:type="pct"/>
            <w:shd w:val="clear" w:color="auto" w:fill="auto"/>
          </w:tcPr>
          <w:p w14:paraId="00BAFECE" w14:textId="77777777" w:rsidR="00871BDF" w:rsidRDefault="00871BDF">
            <w:pPr>
              <w:rPr>
                <w:rFonts w:ascii="宋体"/>
              </w:rPr>
            </w:pPr>
          </w:p>
        </w:tc>
        <w:tc>
          <w:tcPr>
            <w:tcW w:w="50" w:type="pct"/>
            <w:shd w:val="clear" w:color="auto" w:fill="auto"/>
          </w:tcPr>
          <w:p w14:paraId="00BAFECF" w14:textId="77777777" w:rsidR="00871BDF" w:rsidRDefault="00871BDF">
            <w:pPr>
              <w:rPr>
                <w:rFonts w:ascii="宋体"/>
              </w:rPr>
            </w:pPr>
          </w:p>
        </w:tc>
        <w:tc>
          <w:tcPr>
            <w:tcW w:w="757" w:type="pct"/>
            <w:shd w:val="clear" w:color="auto" w:fill="auto"/>
          </w:tcPr>
          <w:p w14:paraId="00BAFED0" w14:textId="77777777" w:rsidR="00871BDF" w:rsidRDefault="00871BDF">
            <w:pPr>
              <w:rPr>
                <w:rFonts w:ascii="宋体"/>
              </w:rPr>
            </w:pPr>
          </w:p>
        </w:tc>
        <w:tc>
          <w:tcPr>
            <w:tcW w:w="5" w:type="pct"/>
            <w:shd w:val="clear" w:color="auto" w:fill="auto"/>
          </w:tcPr>
          <w:p w14:paraId="00BAFED1" w14:textId="77777777" w:rsidR="00871BDF" w:rsidRDefault="00871BDF">
            <w:pPr>
              <w:rPr>
                <w:rFonts w:ascii="宋体"/>
              </w:rPr>
            </w:pPr>
          </w:p>
        </w:tc>
      </w:tr>
      <w:tr w:rsidR="00871BDF" w14:paraId="00BAFED7" w14:textId="77777777">
        <w:tc>
          <w:tcPr>
            <w:tcW w:w="0" w:type="auto"/>
            <w:gridSpan w:val="3"/>
            <w:shd w:val="clear" w:color="auto" w:fill="auto"/>
            <w:tcMar>
              <w:top w:w="40" w:type="dxa"/>
              <w:left w:w="20" w:type="dxa"/>
              <w:bottom w:w="40" w:type="dxa"/>
              <w:right w:w="20" w:type="dxa"/>
            </w:tcMar>
            <w:vAlign w:val="bottom"/>
          </w:tcPr>
          <w:p w14:paraId="00BAFED3" w14:textId="77777777" w:rsidR="00871BDF" w:rsidRDefault="005C5088">
            <w:pPr>
              <w:textAlignment w:val="bottom"/>
            </w:pPr>
            <w:r>
              <w:rPr>
                <w:rFonts w:ascii="Times New Roman" w:eastAsia="宋体" w:hAnsi="Times New Roman"/>
                <w:b/>
                <w:bCs/>
                <w:color w:val="000000"/>
                <w:sz w:val="20"/>
                <w:szCs w:val="20"/>
                <w:u w:val="single"/>
              </w:rPr>
              <w:t xml:space="preserve">Fiscal Year </w:t>
            </w:r>
          </w:p>
        </w:tc>
        <w:tc>
          <w:tcPr>
            <w:tcW w:w="0" w:type="auto"/>
            <w:gridSpan w:val="3"/>
            <w:shd w:val="clear" w:color="auto" w:fill="00704A"/>
            <w:tcMar>
              <w:top w:w="40" w:type="dxa"/>
              <w:left w:w="20" w:type="dxa"/>
              <w:bottom w:w="40" w:type="dxa"/>
              <w:right w:w="20" w:type="dxa"/>
            </w:tcMar>
            <w:vAlign w:val="bottom"/>
          </w:tcPr>
          <w:p w14:paraId="00BAFED4" w14:textId="77777777" w:rsidR="00871BDF" w:rsidRDefault="005C5088">
            <w:pPr>
              <w:jc w:val="center"/>
              <w:textAlignment w:val="bottom"/>
            </w:pPr>
            <w:r>
              <w:rPr>
                <w:rFonts w:ascii="Times New Roman" w:eastAsia="宋体" w:hAnsi="Times New Roman"/>
                <w:b/>
                <w:bCs/>
                <w:color w:val="FFFFFF"/>
                <w:sz w:val="16"/>
                <w:szCs w:val="16"/>
              </w:rPr>
              <w:t>Operating Leases</w:t>
            </w:r>
          </w:p>
        </w:tc>
        <w:tc>
          <w:tcPr>
            <w:tcW w:w="0" w:type="auto"/>
            <w:gridSpan w:val="3"/>
            <w:shd w:val="clear" w:color="auto" w:fill="auto"/>
            <w:tcMar>
              <w:top w:w="0" w:type="dxa"/>
              <w:left w:w="20" w:type="dxa"/>
              <w:bottom w:w="0" w:type="dxa"/>
              <w:right w:w="20" w:type="dxa"/>
            </w:tcMar>
          </w:tcPr>
          <w:p w14:paraId="00BAFED5"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ED6" w14:textId="77777777" w:rsidR="00871BDF" w:rsidRDefault="005C5088">
            <w:pPr>
              <w:jc w:val="center"/>
              <w:textAlignment w:val="bottom"/>
            </w:pPr>
            <w:r>
              <w:rPr>
                <w:rFonts w:ascii="Times New Roman" w:eastAsia="宋体" w:hAnsi="Times New Roman"/>
                <w:b/>
                <w:bCs/>
                <w:color w:val="FFFFFF"/>
                <w:sz w:val="16"/>
                <w:szCs w:val="16"/>
              </w:rPr>
              <w:t>Lease Financing Arrangements</w:t>
            </w:r>
          </w:p>
        </w:tc>
      </w:tr>
      <w:tr w:rsidR="00871BDF" w14:paraId="00BAFEE0" w14:textId="77777777">
        <w:tc>
          <w:tcPr>
            <w:tcW w:w="0" w:type="auto"/>
            <w:gridSpan w:val="3"/>
            <w:shd w:val="clear" w:color="auto" w:fill="D7E4BC"/>
            <w:tcMar>
              <w:top w:w="40" w:type="dxa"/>
              <w:left w:w="20" w:type="dxa"/>
              <w:bottom w:w="40" w:type="dxa"/>
              <w:right w:w="20" w:type="dxa"/>
            </w:tcMar>
          </w:tcPr>
          <w:p w14:paraId="00BAFED8" w14:textId="77777777" w:rsidR="00871BDF" w:rsidRDefault="005C5088">
            <w:pPr>
              <w:textAlignment w:val="top"/>
            </w:pPr>
            <w:r>
              <w:rPr>
                <w:rFonts w:ascii="Times New Roman" w:eastAsia="宋体" w:hAnsi="Times New Roman"/>
                <w:color w:val="000000"/>
                <w:sz w:val="20"/>
                <w:szCs w:val="20"/>
              </w:rPr>
              <w:t>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ED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EDA" w14:textId="77777777" w:rsidR="00871BDF" w:rsidRDefault="005C5088">
            <w:pPr>
              <w:jc w:val="right"/>
              <w:textAlignment w:val="bottom"/>
            </w:pPr>
            <w:r>
              <w:rPr>
                <w:rFonts w:ascii="Times New Roman" w:eastAsia="宋体" w:hAnsi="Times New Roman"/>
                <w:color w:val="000000"/>
                <w:sz w:val="20"/>
                <w:szCs w:val="20"/>
              </w:rPr>
              <w:t>1,432.9 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ED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EDC"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AFED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EDE" w14:textId="77777777" w:rsidR="00871BDF" w:rsidRDefault="005C5088">
            <w:pPr>
              <w:jc w:val="right"/>
              <w:textAlignment w:val="bottom"/>
            </w:pPr>
            <w:r>
              <w:rPr>
                <w:rFonts w:ascii="Times New Roman" w:eastAsia="宋体" w:hAnsi="Times New Roman"/>
                <w:color w:val="000000"/>
                <w:sz w:val="20"/>
                <w:szCs w:val="20"/>
              </w:rPr>
              <w:t>5.2 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EDF" w14:textId="77777777" w:rsidR="00871BDF" w:rsidRDefault="00871BDF">
            <w:pPr>
              <w:jc w:val="right"/>
              <w:rPr>
                <w:rFonts w:ascii="宋体"/>
              </w:rPr>
            </w:pPr>
          </w:p>
        </w:tc>
      </w:tr>
      <w:tr w:rsidR="00871BDF" w14:paraId="00BAFEE7" w14:textId="77777777">
        <w:tc>
          <w:tcPr>
            <w:tcW w:w="0" w:type="auto"/>
            <w:gridSpan w:val="3"/>
            <w:shd w:val="clear" w:color="auto" w:fill="FFFFFF"/>
            <w:tcMar>
              <w:top w:w="40" w:type="dxa"/>
              <w:left w:w="20" w:type="dxa"/>
              <w:bottom w:w="40" w:type="dxa"/>
              <w:right w:w="20" w:type="dxa"/>
            </w:tcMar>
          </w:tcPr>
          <w:p w14:paraId="00BAFEE1" w14:textId="77777777" w:rsidR="00871BDF" w:rsidRDefault="005C5088">
            <w:pPr>
              <w:textAlignment w:val="top"/>
            </w:pPr>
            <w:r>
              <w:rPr>
                <w:rFonts w:ascii="Times New Roman" w:eastAsia="宋体" w:hAnsi="Times New Roman"/>
                <w:color w:val="000000"/>
                <w:sz w:val="20"/>
                <w:szCs w:val="20"/>
              </w:rPr>
              <w:t>2021</w:t>
            </w:r>
          </w:p>
        </w:tc>
        <w:tc>
          <w:tcPr>
            <w:tcW w:w="0" w:type="auto"/>
            <w:gridSpan w:val="2"/>
            <w:shd w:val="clear" w:color="auto" w:fill="FFFFFF"/>
            <w:tcMar>
              <w:top w:w="40" w:type="dxa"/>
              <w:left w:w="20" w:type="dxa"/>
              <w:bottom w:w="40" w:type="dxa"/>
              <w:right w:w="0" w:type="dxa"/>
            </w:tcMar>
            <w:vAlign w:val="bottom"/>
          </w:tcPr>
          <w:p w14:paraId="00BAFEE2" w14:textId="77777777" w:rsidR="00871BDF" w:rsidRDefault="005C5088">
            <w:pPr>
              <w:jc w:val="right"/>
              <w:textAlignment w:val="bottom"/>
            </w:pPr>
            <w:r>
              <w:rPr>
                <w:rFonts w:ascii="Times New Roman" w:eastAsia="宋体" w:hAnsi="Times New Roman"/>
                <w:color w:val="000000"/>
                <w:sz w:val="20"/>
                <w:szCs w:val="20"/>
              </w:rPr>
              <w:t>1,342.2 </w:t>
            </w:r>
          </w:p>
        </w:tc>
        <w:tc>
          <w:tcPr>
            <w:tcW w:w="0" w:type="auto"/>
            <w:shd w:val="clear" w:color="auto" w:fill="FFFFFF"/>
            <w:tcMar>
              <w:top w:w="40" w:type="dxa"/>
              <w:left w:w="0" w:type="dxa"/>
              <w:bottom w:w="40" w:type="dxa"/>
              <w:right w:w="20" w:type="dxa"/>
            </w:tcMar>
            <w:vAlign w:val="bottom"/>
          </w:tcPr>
          <w:p w14:paraId="00BAFEE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EE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EE5" w14:textId="77777777" w:rsidR="00871BDF" w:rsidRDefault="005C5088">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00BAFEE6" w14:textId="77777777" w:rsidR="00871BDF" w:rsidRDefault="00871BDF">
            <w:pPr>
              <w:jc w:val="right"/>
              <w:rPr>
                <w:rFonts w:ascii="宋体"/>
              </w:rPr>
            </w:pPr>
          </w:p>
        </w:tc>
      </w:tr>
      <w:tr w:rsidR="00871BDF" w14:paraId="00BAFEEE" w14:textId="77777777">
        <w:tc>
          <w:tcPr>
            <w:tcW w:w="0" w:type="auto"/>
            <w:gridSpan w:val="3"/>
            <w:shd w:val="clear" w:color="auto" w:fill="D7E4BC"/>
            <w:tcMar>
              <w:top w:w="40" w:type="dxa"/>
              <w:left w:w="20" w:type="dxa"/>
              <w:bottom w:w="40" w:type="dxa"/>
              <w:right w:w="20" w:type="dxa"/>
            </w:tcMar>
          </w:tcPr>
          <w:p w14:paraId="00BAFEE8" w14:textId="77777777" w:rsidR="00871BDF" w:rsidRDefault="005C5088">
            <w:pPr>
              <w:textAlignment w:val="top"/>
            </w:pPr>
            <w:r>
              <w:rPr>
                <w:rFonts w:ascii="Times New Roman" w:eastAsia="宋体" w:hAnsi="Times New Roman"/>
                <w:color w:val="000000"/>
                <w:sz w:val="20"/>
                <w:szCs w:val="20"/>
              </w:rPr>
              <w:t>2022</w:t>
            </w:r>
          </w:p>
        </w:tc>
        <w:tc>
          <w:tcPr>
            <w:tcW w:w="0" w:type="auto"/>
            <w:gridSpan w:val="2"/>
            <w:shd w:val="clear" w:color="auto" w:fill="D7E4BC"/>
            <w:tcMar>
              <w:top w:w="40" w:type="dxa"/>
              <w:left w:w="20" w:type="dxa"/>
              <w:bottom w:w="40" w:type="dxa"/>
              <w:right w:w="0" w:type="dxa"/>
            </w:tcMar>
            <w:vAlign w:val="bottom"/>
          </w:tcPr>
          <w:p w14:paraId="00BAFEE9" w14:textId="77777777" w:rsidR="00871BDF" w:rsidRDefault="005C5088">
            <w:pPr>
              <w:jc w:val="right"/>
              <w:textAlignment w:val="bottom"/>
            </w:pPr>
            <w:r>
              <w:rPr>
                <w:rFonts w:ascii="Times New Roman" w:eastAsia="宋体" w:hAnsi="Times New Roman"/>
                <w:color w:val="000000"/>
                <w:sz w:val="20"/>
                <w:szCs w:val="20"/>
              </w:rPr>
              <w:t>1,247.4 </w:t>
            </w:r>
          </w:p>
        </w:tc>
        <w:tc>
          <w:tcPr>
            <w:tcW w:w="0" w:type="auto"/>
            <w:shd w:val="clear" w:color="auto" w:fill="D7E4BC"/>
            <w:tcMar>
              <w:top w:w="40" w:type="dxa"/>
              <w:left w:w="0" w:type="dxa"/>
              <w:bottom w:w="40" w:type="dxa"/>
              <w:right w:w="20" w:type="dxa"/>
            </w:tcMar>
            <w:vAlign w:val="bottom"/>
          </w:tcPr>
          <w:p w14:paraId="00BAFEE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EE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EEC" w14:textId="77777777" w:rsidR="00871BDF" w:rsidRDefault="005C5088">
            <w:pPr>
              <w:jc w:val="right"/>
              <w:textAlignment w:val="bottom"/>
            </w:pPr>
            <w:r>
              <w:rPr>
                <w:rFonts w:ascii="Times New Roman" w:eastAsia="宋体" w:hAnsi="Times New Roman"/>
                <w:color w:val="000000"/>
                <w:sz w:val="20"/>
                <w:szCs w:val="20"/>
              </w:rPr>
              <w:t>5.0 </w:t>
            </w:r>
          </w:p>
        </w:tc>
        <w:tc>
          <w:tcPr>
            <w:tcW w:w="0" w:type="auto"/>
            <w:shd w:val="clear" w:color="auto" w:fill="D7E4BC"/>
            <w:tcMar>
              <w:top w:w="40" w:type="dxa"/>
              <w:left w:w="0" w:type="dxa"/>
              <w:bottom w:w="40" w:type="dxa"/>
              <w:right w:w="20" w:type="dxa"/>
            </w:tcMar>
            <w:vAlign w:val="bottom"/>
          </w:tcPr>
          <w:p w14:paraId="00BAFEED" w14:textId="77777777" w:rsidR="00871BDF" w:rsidRDefault="00871BDF">
            <w:pPr>
              <w:jc w:val="right"/>
              <w:rPr>
                <w:rFonts w:ascii="宋体"/>
              </w:rPr>
            </w:pPr>
          </w:p>
        </w:tc>
      </w:tr>
      <w:tr w:rsidR="00871BDF" w14:paraId="00BAFEF5" w14:textId="77777777">
        <w:tc>
          <w:tcPr>
            <w:tcW w:w="0" w:type="auto"/>
            <w:gridSpan w:val="3"/>
            <w:shd w:val="clear" w:color="auto" w:fill="FFFFFF"/>
            <w:tcMar>
              <w:top w:w="40" w:type="dxa"/>
              <w:left w:w="20" w:type="dxa"/>
              <w:bottom w:w="40" w:type="dxa"/>
              <w:right w:w="20" w:type="dxa"/>
            </w:tcMar>
          </w:tcPr>
          <w:p w14:paraId="00BAFEEF" w14:textId="77777777" w:rsidR="00871BDF" w:rsidRDefault="005C5088">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00BAFEF0" w14:textId="77777777" w:rsidR="00871BDF" w:rsidRDefault="005C5088">
            <w:pPr>
              <w:jc w:val="right"/>
              <w:textAlignment w:val="bottom"/>
            </w:pPr>
            <w:r>
              <w:rPr>
                <w:rFonts w:ascii="Times New Roman" w:eastAsia="宋体" w:hAnsi="Times New Roman"/>
                <w:color w:val="000000"/>
                <w:sz w:val="20"/>
                <w:szCs w:val="20"/>
              </w:rPr>
              <w:t>1,124.3 </w:t>
            </w:r>
          </w:p>
        </w:tc>
        <w:tc>
          <w:tcPr>
            <w:tcW w:w="0" w:type="auto"/>
            <w:shd w:val="clear" w:color="auto" w:fill="FFFFFF"/>
            <w:tcMar>
              <w:top w:w="40" w:type="dxa"/>
              <w:left w:w="0" w:type="dxa"/>
              <w:bottom w:w="40" w:type="dxa"/>
              <w:right w:w="20" w:type="dxa"/>
            </w:tcMar>
            <w:vAlign w:val="bottom"/>
          </w:tcPr>
          <w:p w14:paraId="00BAFEF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EF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EF3" w14:textId="77777777" w:rsidR="00871BDF" w:rsidRDefault="005C5088">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00BAFEF4" w14:textId="77777777" w:rsidR="00871BDF" w:rsidRDefault="00871BDF">
            <w:pPr>
              <w:jc w:val="right"/>
              <w:rPr>
                <w:rFonts w:ascii="宋体"/>
              </w:rPr>
            </w:pPr>
          </w:p>
        </w:tc>
      </w:tr>
      <w:tr w:rsidR="00871BDF" w14:paraId="00BAFEFC" w14:textId="77777777">
        <w:tc>
          <w:tcPr>
            <w:tcW w:w="0" w:type="auto"/>
            <w:gridSpan w:val="3"/>
            <w:shd w:val="clear" w:color="auto" w:fill="D7E4BC"/>
            <w:tcMar>
              <w:top w:w="40" w:type="dxa"/>
              <w:left w:w="20" w:type="dxa"/>
              <w:bottom w:w="40" w:type="dxa"/>
              <w:right w:w="20" w:type="dxa"/>
            </w:tcMar>
          </w:tcPr>
          <w:p w14:paraId="00BAFEF6" w14:textId="77777777" w:rsidR="00871BDF" w:rsidRDefault="005C5088">
            <w:pPr>
              <w:textAlignment w:val="top"/>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00BAFEF7" w14:textId="77777777" w:rsidR="00871BDF" w:rsidRDefault="005C5088">
            <w:pPr>
              <w:jc w:val="right"/>
              <w:textAlignment w:val="bottom"/>
            </w:pPr>
            <w:r>
              <w:rPr>
                <w:rFonts w:ascii="Times New Roman" w:eastAsia="宋体" w:hAnsi="Times New Roman"/>
                <w:color w:val="000000"/>
                <w:sz w:val="20"/>
                <w:szCs w:val="20"/>
              </w:rPr>
              <w:t>996.4 </w:t>
            </w:r>
          </w:p>
        </w:tc>
        <w:tc>
          <w:tcPr>
            <w:tcW w:w="0" w:type="auto"/>
            <w:shd w:val="clear" w:color="auto" w:fill="D7E4BC"/>
            <w:tcMar>
              <w:top w:w="40" w:type="dxa"/>
              <w:left w:w="0" w:type="dxa"/>
              <w:bottom w:w="40" w:type="dxa"/>
              <w:right w:w="20" w:type="dxa"/>
            </w:tcMar>
            <w:vAlign w:val="bottom"/>
          </w:tcPr>
          <w:p w14:paraId="00BAFEF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EF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EFA" w14:textId="77777777" w:rsidR="00871BDF" w:rsidRDefault="005C5088">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left w:w="0" w:type="dxa"/>
              <w:bottom w:w="40" w:type="dxa"/>
              <w:right w:w="20" w:type="dxa"/>
            </w:tcMar>
            <w:vAlign w:val="bottom"/>
          </w:tcPr>
          <w:p w14:paraId="00BAFEFB" w14:textId="77777777" w:rsidR="00871BDF" w:rsidRDefault="00871BDF">
            <w:pPr>
              <w:jc w:val="right"/>
              <w:rPr>
                <w:rFonts w:ascii="宋体"/>
              </w:rPr>
            </w:pPr>
          </w:p>
        </w:tc>
      </w:tr>
      <w:tr w:rsidR="00871BDF" w14:paraId="00BAFF03" w14:textId="77777777">
        <w:tc>
          <w:tcPr>
            <w:tcW w:w="0" w:type="auto"/>
            <w:gridSpan w:val="3"/>
            <w:shd w:val="clear" w:color="auto" w:fill="FFFFFF"/>
            <w:tcMar>
              <w:top w:w="40" w:type="dxa"/>
              <w:left w:w="20" w:type="dxa"/>
              <w:bottom w:w="40" w:type="dxa"/>
              <w:right w:w="20" w:type="dxa"/>
            </w:tcMar>
          </w:tcPr>
          <w:p w14:paraId="00BAFEFD" w14:textId="77777777" w:rsidR="00871BDF" w:rsidRDefault="005C5088">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0BAFEFE" w14:textId="77777777" w:rsidR="00871BDF" w:rsidRDefault="005C5088">
            <w:pPr>
              <w:jc w:val="right"/>
              <w:textAlignment w:val="bottom"/>
            </w:pPr>
            <w:r>
              <w:rPr>
                <w:rFonts w:ascii="Times New Roman" w:eastAsia="宋体" w:hAnsi="Times New Roman"/>
                <w:color w:val="000000"/>
                <w:sz w:val="20"/>
                <w:szCs w:val="20"/>
              </w:rPr>
              <w:t>4,087.7 </w:t>
            </w:r>
          </w:p>
        </w:tc>
        <w:tc>
          <w:tcPr>
            <w:tcW w:w="0" w:type="auto"/>
            <w:shd w:val="clear" w:color="auto" w:fill="FFFFFF"/>
            <w:tcMar>
              <w:top w:w="40" w:type="dxa"/>
              <w:left w:w="0" w:type="dxa"/>
              <w:bottom w:w="40" w:type="dxa"/>
              <w:right w:w="20" w:type="dxa"/>
            </w:tcMar>
            <w:vAlign w:val="bottom"/>
          </w:tcPr>
          <w:p w14:paraId="00BAFEF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F0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F01" w14:textId="77777777" w:rsidR="00871BDF" w:rsidRDefault="005C5088">
            <w:pPr>
              <w:jc w:val="right"/>
              <w:textAlignment w:val="bottom"/>
            </w:pPr>
            <w:r>
              <w:rPr>
                <w:rFonts w:ascii="Times New Roman" w:eastAsia="宋体" w:hAnsi="Times New Roman"/>
                <w:color w:val="000000"/>
                <w:sz w:val="20"/>
                <w:szCs w:val="20"/>
              </w:rPr>
              <w:t>42.6 </w:t>
            </w:r>
          </w:p>
        </w:tc>
        <w:tc>
          <w:tcPr>
            <w:tcW w:w="0" w:type="auto"/>
            <w:shd w:val="clear" w:color="auto" w:fill="FFFFFF"/>
            <w:tcMar>
              <w:top w:w="40" w:type="dxa"/>
              <w:left w:w="0" w:type="dxa"/>
              <w:bottom w:w="40" w:type="dxa"/>
              <w:right w:w="20" w:type="dxa"/>
            </w:tcMar>
            <w:vAlign w:val="bottom"/>
          </w:tcPr>
          <w:p w14:paraId="00BAFF02" w14:textId="77777777" w:rsidR="00871BDF" w:rsidRDefault="00871BDF">
            <w:pPr>
              <w:jc w:val="right"/>
              <w:rPr>
                <w:rFonts w:ascii="宋体"/>
              </w:rPr>
            </w:pPr>
          </w:p>
        </w:tc>
      </w:tr>
      <w:tr w:rsidR="00871BDF" w14:paraId="00BAFF0C" w14:textId="77777777">
        <w:tc>
          <w:tcPr>
            <w:tcW w:w="0" w:type="auto"/>
            <w:gridSpan w:val="3"/>
            <w:shd w:val="clear" w:color="auto" w:fill="D7E4BC"/>
            <w:tcMar>
              <w:top w:w="40" w:type="dxa"/>
              <w:left w:w="20" w:type="dxa"/>
              <w:bottom w:w="40" w:type="dxa"/>
              <w:right w:w="20" w:type="dxa"/>
            </w:tcMar>
          </w:tcPr>
          <w:p w14:paraId="00BAFF04" w14:textId="77777777" w:rsidR="00871BDF" w:rsidRDefault="005C5088">
            <w:pPr>
              <w:textAlignment w:val="top"/>
            </w:pPr>
            <w:r>
              <w:rPr>
                <w:rFonts w:ascii="Times New Roman" w:eastAsia="宋体" w:hAnsi="Times New Roman"/>
                <w:color w:val="000000"/>
                <w:sz w:val="20"/>
                <w:szCs w:val="20"/>
              </w:rPr>
              <w:t>Total minimum lease payments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F0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F06" w14:textId="77777777" w:rsidR="00871BDF" w:rsidRDefault="005C5088">
            <w:pPr>
              <w:jc w:val="right"/>
              <w:textAlignment w:val="bottom"/>
            </w:pPr>
            <w:r>
              <w:rPr>
                <w:rFonts w:ascii="Times New Roman" w:eastAsia="宋体" w:hAnsi="Times New Roman"/>
                <w:color w:val="000000"/>
                <w:sz w:val="20"/>
                <w:szCs w:val="20"/>
              </w:rPr>
              <w:t>10,230.9 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F0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F08"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F0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F0A" w14:textId="77777777" w:rsidR="00871BDF" w:rsidRDefault="005C5088">
            <w:pPr>
              <w:jc w:val="right"/>
              <w:textAlignment w:val="bottom"/>
            </w:pPr>
            <w:r>
              <w:rPr>
                <w:rFonts w:ascii="Times New Roman" w:eastAsia="宋体" w:hAnsi="Times New Roman"/>
                <w:color w:val="000000"/>
                <w:sz w:val="20"/>
                <w:szCs w:val="20"/>
              </w:rPr>
              <w:t>67.9 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F0B" w14:textId="77777777" w:rsidR="00871BDF" w:rsidRDefault="00871BDF">
            <w:pPr>
              <w:jc w:val="right"/>
              <w:rPr>
                <w:rFonts w:ascii="宋体"/>
              </w:rPr>
            </w:pPr>
          </w:p>
        </w:tc>
      </w:tr>
    </w:tbl>
    <w:p w14:paraId="00BAFF0D" w14:textId="77777777" w:rsidR="00871BDF" w:rsidRDefault="005C5088">
      <w:pPr>
        <w:spacing w:before="120"/>
      </w:pPr>
      <w:r>
        <w:rPr>
          <w:rFonts w:ascii="Times New Roman" w:eastAsia="宋体" w:hAnsi="Times New Roman"/>
          <w:color w:val="000000"/>
          <w:sz w:val="20"/>
          <w:szCs w:val="20"/>
        </w:rPr>
        <w:t xml:space="preserve">We have subleases </w:t>
      </w:r>
      <w:r>
        <w:rPr>
          <w:rFonts w:ascii="Times New Roman" w:eastAsia="宋体" w:hAnsi="Times New Roman"/>
          <w:color w:val="000000"/>
          <w:sz w:val="20"/>
          <w:szCs w:val="20"/>
        </w:rPr>
        <w:t>related to certain of our operating leases. During fiscal 2019 and 2018, we recognized sublease income of $10.9 million and $12.3 million, respectively. Additionally, as of September 29, 2019 and September 30, 2018, the gross carrying values of assets rela</w:t>
      </w:r>
      <w:r>
        <w:rPr>
          <w:rFonts w:ascii="Times New Roman" w:eastAsia="宋体" w:hAnsi="Times New Roman"/>
          <w:color w:val="000000"/>
          <w:sz w:val="20"/>
          <w:szCs w:val="20"/>
        </w:rPr>
        <w:t xml:space="preserve">ted to build-to-suit lease arrangements accounted for as financing leases were $122.3 million and $103.2 million, respectively, with associated accumulated depreciation of $17.2 million and $12.7 million, respectively. Lease exit costs associated with our </w:t>
      </w:r>
      <w:r>
        <w:rPr>
          <w:rFonts w:ascii="Times New Roman" w:eastAsia="宋体" w:hAnsi="Times New Roman"/>
          <w:color w:val="000000"/>
          <w:sz w:val="20"/>
          <w:szCs w:val="20"/>
        </w:rPr>
        <w:t>restructuring efforts primarily relate to the closure of Teavana retail stores and certain Starbucks company-operated stores, and are recognized concurrently with actual store closures. Total lease exit costs of $55.3 million and $119.3 million were record</w:t>
      </w:r>
      <w:r>
        <w:rPr>
          <w:rFonts w:ascii="Times New Roman" w:eastAsia="宋体" w:hAnsi="Times New Roman"/>
          <w:color w:val="000000"/>
          <w:sz w:val="20"/>
          <w:szCs w:val="20"/>
        </w:rPr>
        <w:t>ed in restructuring and impairments on the consolidated statement of earnings in fiscal 2019 and 2018.</w:t>
      </w:r>
    </w:p>
    <w:p w14:paraId="00BAFF0E" w14:textId="77777777" w:rsidR="00871BDF" w:rsidRDefault="005C5088">
      <w:pPr>
        <w:jc w:val="center"/>
      </w:pPr>
      <w:r>
        <w:rPr>
          <w:rFonts w:ascii="Times New Roman" w:eastAsia="宋体" w:hAnsi="Times New Roman"/>
          <w:color w:val="000000"/>
          <w:sz w:val="20"/>
          <w:szCs w:val="20"/>
        </w:rPr>
        <w:t>78</w:t>
      </w:r>
    </w:p>
    <w:p w14:paraId="00BAFF0F" w14:textId="77777777" w:rsidR="00871BDF" w:rsidRDefault="005C5088">
      <w:r>
        <w:pict w14:anchorId="00BB14B3">
          <v:rect id="_x0000_i1105" style="width:415.3pt;height:1.5pt" o:hralign="center" o:hrstd="t" o:hr="t" fillcolor="#a0a0a0" stroked="f"/>
        </w:pict>
      </w:r>
    </w:p>
    <w:p w14:paraId="00BAFF10" w14:textId="77777777" w:rsidR="00871BDF" w:rsidRDefault="005C5088">
      <w:hyperlink r:id="rId220" w:anchor="i54ccc64cb5384be5a4849ef1cdef4dde_7" w:history="1">
        <w:r>
          <w:rPr>
            <w:rStyle w:val="a5"/>
            <w:rFonts w:ascii="Times New Roman" w:eastAsia="宋体" w:hAnsi="Times New Roman"/>
            <w:sz w:val="20"/>
            <w:szCs w:val="20"/>
          </w:rPr>
          <w:t>Table of Contents</w:t>
        </w:r>
      </w:hyperlink>
    </w:p>
    <w:p w14:paraId="00BAFF11" w14:textId="77777777" w:rsidR="00871BDF" w:rsidRDefault="005C5088">
      <w:pPr>
        <w:spacing w:before="120"/>
      </w:pPr>
      <w:r>
        <w:rPr>
          <w:rFonts w:ascii="Times New Roman" w:eastAsia="宋体" w:hAnsi="Times New Roman"/>
          <w:b/>
          <w:bCs/>
          <w:color w:val="000000"/>
          <w:sz w:val="20"/>
          <w:szCs w:val="20"/>
        </w:rPr>
        <w:t>Note 11:    Deferred Revenue</w:t>
      </w:r>
    </w:p>
    <w:p w14:paraId="00BAFF12" w14:textId="77777777" w:rsidR="00871BDF" w:rsidRDefault="005C5088">
      <w:pPr>
        <w:spacing w:before="120"/>
      </w:pPr>
      <w:r>
        <w:rPr>
          <w:rFonts w:ascii="Times New Roman" w:eastAsia="宋体" w:hAnsi="Times New Roman"/>
          <w:color w:val="000000"/>
          <w:sz w:val="20"/>
          <w:szCs w:val="20"/>
        </w:rPr>
        <w:t>In the fourth quarter of fiscal 2018, we licensed the rights to sell and market our products in authorized channels through the Global Coffee Alliance, and received an up-front prepaid royalty from Nestlé. The up-front payment of approximately $7 billion w</w:t>
      </w:r>
      <w:r>
        <w:rPr>
          <w:rFonts w:ascii="Times New Roman" w:eastAsia="宋体" w:hAnsi="Times New Roman"/>
          <w:color w:val="000000"/>
          <w:sz w:val="20"/>
          <w:szCs w:val="20"/>
        </w:rPr>
        <w:t>as recorded as deferred revenue as we have continuing performance obligations to support the Global Coffee Alliance, including providing Nestlé access to certain intellectual properties and products for future resale. The up-front payment will be recognize</w:t>
      </w:r>
      <w:r>
        <w:rPr>
          <w:rFonts w:ascii="Times New Roman" w:eastAsia="宋体" w:hAnsi="Times New Roman"/>
          <w:color w:val="000000"/>
          <w:sz w:val="20"/>
          <w:szCs w:val="20"/>
        </w:rPr>
        <w:t>d as other revenue on a straight-line basis over the estimated economic life of the arrangement of 40 years for the ongoing access to the licenses within the contractual territories. Our obligations to maintain the Starbucks brand and other intellectual pr</w:t>
      </w:r>
      <w:r>
        <w:rPr>
          <w:rFonts w:ascii="Times New Roman" w:eastAsia="宋体" w:hAnsi="Times New Roman"/>
          <w:color w:val="000000"/>
          <w:sz w:val="20"/>
          <w:szCs w:val="20"/>
        </w:rPr>
        <w:t xml:space="preserve">operties are generally constant throughout the term of the arrangement. Therefore, a ratable recognition pattern is reflective of how we satisfy our performance obligations. </w:t>
      </w:r>
    </w:p>
    <w:p w14:paraId="00BAFF13" w14:textId="77777777" w:rsidR="00871BDF" w:rsidRDefault="005C5088">
      <w:pPr>
        <w:spacing w:before="120"/>
      </w:pPr>
      <w:r>
        <w:rPr>
          <w:rFonts w:ascii="Times New Roman" w:eastAsia="宋体" w:hAnsi="Times New Roman"/>
          <w:color w:val="000000"/>
          <w:sz w:val="20"/>
          <w:szCs w:val="20"/>
        </w:rPr>
        <w:t xml:space="preserve">At September 27, 2020, the current and long-term deferred revenue related to the </w:t>
      </w:r>
      <w:r>
        <w:rPr>
          <w:rFonts w:ascii="Times New Roman" w:eastAsia="宋体" w:hAnsi="Times New Roman"/>
          <w:color w:val="000000"/>
          <w:sz w:val="20"/>
          <w:szCs w:val="20"/>
        </w:rPr>
        <w:t>Nestlé up-front payment was $179.3 million and $6.5 billion, respectively. At September 29, 2019, the current and long-term deferred revenue related to the Nestlé up-front payment was $175.9 million and $6.7 billion, respectively. During the fiscal years e</w:t>
      </w:r>
      <w:r>
        <w:rPr>
          <w:rFonts w:ascii="Times New Roman" w:eastAsia="宋体" w:hAnsi="Times New Roman"/>
          <w:color w:val="000000"/>
          <w:sz w:val="20"/>
          <w:szCs w:val="20"/>
        </w:rPr>
        <w:t xml:space="preserve">nded September 27, 2020 and September 29, 2019, we recognized $176.8 million and $175.2 million of current deferred revenue, respectively, related to amortization of the up-front payment. </w:t>
      </w:r>
    </w:p>
    <w:p w14:paraId="00BAFF14" w14:textId="77777777" w:rsidR="00871BDF" w:rsidRDefault="005C5088">
      <w:pPr>
        <w:spacing w:before="120"/>
      </w:pPr>
      <w:r>
        <w:rPr>
          <w:rFonts w:ascii="Times New Roman" w:eastAsia="宋体" w:hAnsi="Times New Roman"/>
          <w:color w:val="000000"/>
          <w:sz w:val="20"/>
          <w:szCs w:val="20"/>
        </w:rPr>
        <w:t>Changes in our deferred revenue balance related to our stored value</w:t>
      </w:r>
      <w:r>
        <w:rPr>
          <w:rFonts w:ascii="Times New Roman" w:eastAsia="宋体" w:hAnsi="Times New Roman"/>
          <w:color w:val="000000"/>
          <w:sz w:val="20"/>
          <w:szCs w:val="20"/>
        </w:rPr>
        <w:t xml:space="preserve"> cards and loyalty program</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861"/>
        <w:gridCol w:w="36"/>
        <w:gridCol w:w="121"/>
        <w:gridCol w:w="1230"/>
        <w:gridCol w:w="36"/>
      </w:tblGrid>
      <w:tr w:rsidR="00871BDF" w14:paraId="00BAFF1B" w14:textId="77777777">
        <w:trPr>
          <w:jc w:val="center"/>
        </w:trPr>
        <w:tc>
          <w:tcPr>
            <w:tcW w:w="50" w:type="pct"/>
            <w:shd w:val="clear" w:color="auto" w:fill="auto"/>
          </w:tcPr>
          <w:p w14:paraId="00BAFF15" w14:textId="77777777" w:rsidR="00871BDF" w:rsidRDefault="00871BDF">
            <w:pPr>
              <w:rPr>
                <w:rFonts w:ascii="宋体"/>
              </w:rPr>
            </w:pPr>
          </w:p>
        </w:tc>
        <w:tc>
          <w:tcPr>
            <w:tcW w:w="4133" w:type="pct"/>
            <w:shd w:val="clear" w:color="auto" w:fill="auto"/>
          </w:tcPr>
          <w:p w14:paraId="00BAFF16" w14:textId="77777777" w:rsidR="00871BDF" w:rsidRDefault="00871BDF">
            <w:pPr>
              <w:rPr>
                <w:rFonts w:ascii="宋体"/>
              </w:rPr>
            </w:pPr>
          </w:p>
        </w:tc>
        <w:tc>
          <w:tcPr>
            <w:tcW w:w="5" w:type="pct"/>
            <w:shd w:val="clear" w:color="auto" w:fill="auto"/>
          </w:tcPr>
          <w:p w14:paraId="00BAFF17" w14:textId="77777777" w:rsidR="00871BDF" w:rsidRDefault="00871BDF">
            <w:pPr>
              <w:rPr>
                <w:rFonts w:ascii="宋体"/>
              </w:rPr>
            </w:pPr>
          </w:p>
        </w:tc>
        <w:tc>
          <w:tcPr>
            <w:tcW w:w="50" w:type="pct"/>
            <w:shd w:val="clear" w:color="auto" w:fill="auto"/>
          </w:tcPr>
          <w:p w14:paraId="00BAFF18" w14:textId="77777777" w:rsidR="00871BDF" w:rsidRDefault="00871BDF">
            <w:pPr>
              <w:rPr>
                <w:rFonts w:ascii="宋体"/>
              </w:rPr>
            </w:pPr>
          </w:p>
        </w:tc>
        <w:tc>
          <w:tcPr>
            <w:tcW w:w="756" w:type="pct"/>
            <w:shd w:val="clear" w:color="auto" w:fill="auto"/>
          </w:tcPr>
          <w:p w14:paraId="00BAFF19" w14:textId="77777777" w:rsidR="00871BDF" w:rsidRDefault="00871BDF">
            <w:pPr>
              <w:rPr>
                <w:rFonts w:ascii="宋体"/>
              </w:rPr>
            </w:pPr>
          </w:p>
        </w:tc>
        <w:tc>
          <w:tcPr>
            <w:tcW w:w="5" w:type="pct"/>
            <w:shd w:val="clear" w:color="auto" w:fill="auto"/>
          </w:tcPr>
          <w:p w14:paraId="00BAFF1A" w14:textId="77777777" w:rsidR="00871BDF" w:rsidRDefault="00871BDF">
            <w:pPr>
              <w:rPr>
                <w:rFonts w:ascii="宋体"/>
              </w:rPr>
            </w:pPr>
          </w:p>
        </w:tc>
      </w:tr>
      <w:tr w:rsidR="00871BDF" w14:paraId="00BAFF1E" w14:textId="77777777">
        <w:trPr>
          <w:jc w:val="center"/>
        </w:trPr>
        <w:tc>
          <w:tcPr>
            <w:tcW w:w="0" w:type="auto"/>
            <w:gridSpan w:val="3"/>
            <w:shd w:val="clear" w:color="auto" w:fill="auto"/>
            <w:tcMar>
              <w:top w:w="40" w:type="dxa"/>
              <w:left w:w="20" w:type="dxa"/>
              <w:bottom w:w="40" w:type="dxa"/>
              <w:right w:w="20" w:type="dxa"/>
            </w:tcMar>
            <w:vAlign w:val="bottom"/>
          </w:tcPr>
          <w:p w14:paraId="00BAFF1C" w14:textId="77777777" w:rsidR="00871BDF" w:rsidRDefault="005C5088">
            <w:pPr>
              <w:textAlignment w:val="bottom"/>
            </w:pPr>
            <w:r>
              <w:rPr>
                <w:rFonts w:ascii="Times New Roman" w:eastAsia="宋体" w:hAnsi="Times New Roman"/>
                <w:b/>
                <w:bCs/>
                <w:color w:val="000000"/>
                <w:sz w:val="20"/>
                <w:szCs w:val="20"/>
              </w:rPr>
              <w:t>Fiscal Year Ended September 27, 2020</w:t>
            </w:r>
          </w:p>
        </w:tc>
        <w:tc>
          <w:tcPr>
            <w:tcW w:w="0" w:type="auto"/>
            <w:gridSpan w:val="3"/>
            <w:shd w:val="clear" w:color="auto" w:fill="00704A"/>
            <w:tcMar>
              <w:top w:w="40" w:type="dxa"/>
              <w:left w:w="20" w:type="dxa"/>
              <w:bottom w:w="40" w:type="dxa"/>
              <w:right w:w="20" w:type="dxa"/>
            </w:tcMar>
            <w:vAlign w:val="bottom"/>
          </w:tcPr>
          <w:p w14:paraId="00BAFF1D" w14:textId="77777777" w:rsidR="00871BDF" w:rsidRDefault="005C5088">
            <w:pPr>
              <w:jc w:val="center"/>
              <w:textAlignment w:val="bottom"/>
            </w:pPr>
            <w:r>
              <w:rPr>
                <w:rFonts w:ascii="Times New Roman" w:eastAsia="宋体" w:hAnsi="Times New Roman"/>
                <w:b/>
                <w:bCs/>
                <w:color w:val="FFFFFF"/>
                <w:sz w:val="16"/>
                <w:szCs w:val="16"/>
              </w:rPr>
              <w:t>Total</w:t>
            </w:r>
          </w:p>
        </w:tc>
      </w:tr>
      <w:tr w:rsidR="00871BDF" w14:paraId="00BAFF23" w14:textId="77777777">
        <w:trPr>
          <w:jc w:val="center"/>
        </w:trPr>
        <w:tc>
          <w:tcPr>
            <w:tcW w:w="0" w:type="auto"/>
            <w:gridSpan w:val="3"/>
            <w:shd w:val="clear" w:color="auto" w:fill="D7E4BC"/>
            <w:tcMar>
              <w:top w:w="40" w:type="dxa"/>
              <w:left w:w="20" w:type="dxa"/>
              <w:bottom w:w="40" w:type="dxa"/>
              <w:right w:w="20" w:type="dxa"/>
            </w:tcMar>
            <w:vAlign w:val="bottom"/>
          </w:tcPr>
          <w:p w14:paraId="00BAFF1F" w14:textId="77777777" w:rsidR="00871BDF" w:rsidRDefault="005C5088">
            <w:pPr>
              <w:textAlignment w:val="bottom"/>
            </w:pPr>
            <w:r>
              <w:rPr>
                <w:rFonts w:ascii="Times New Roman" w:eastAsia="宋体" w:hAnsi="Times New Roman"/>
                <w:color w:val="000000"/>
                <w:sz w:val="20"/>
                <w:szCs w:val="20"/>
              </w:rPr>
              <w:t>Stored value cards and loyalty program at September 29, 2019</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F20"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F21" w14:textId="77777777" w:rsidR="00871BDF" w:rsidRDefault="005C5088">
            <w:pPr>
              <w:jc w:val="right"/>
              <w:textAlignment w:val="bottom"/>
            </w:pPr>
            <w:r>
              <w:rPr>
                <w:rFonts w:ascii="Times New Roman" w:eastAsia="宋体" w:hAnsi="Times New Roman"/>
                <w:color w:val="000000"/>
                <w:sz w:val="20"/>
                <w:szCs w:val="20"/>
              </w:rPr>
              <w:t>1,113.7 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F22" w14:textId="77777777" w:rsidR="00871BDF" w:rsidRDefault="00871BDF">
            <w:pPr>
              <w:jc w:val="right"/>
              <w:rPr>
                <w:rFonts w:ascii="宋体"/>
              </w:rPr>
            </w:pPr>
          </w:p>
        </w:tc>
      </w:tr>
      <w:tr w:rsidR="00871BDF" w14:paraId="00BAFF27" w14:textId="77777777">
        <w:trPr>
          <w:jc w:val="center"/>
        </w:trPr>
        <w:tc>
          <w:tcPr>
            <w:tcW w:w="0" w:type="auto"/>
            <w:gridSpan w:val="3"/>
            <w:shd w:val="clear" w:color="auto" w:fill="FFFFFF"/>
            <w:tcMar>
              <w:top w:w="40" w:type="dxa"/>
              <w:left w:w="20" w:type="dxa"/>
              <w:bottom w:w="40" w:type="dxa"/>
              <w:right w:w="20" w:type="dxa"/>
            </w:tcMar>
            <w:vAlign w:val="bottom"/>
          </w:tcPr>
          <w:p w14:paraId="00BAFF24" w14:textId="77777777" w:rsidR="00871BDF" w:rsidRDefault="005C5088">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00BAFF25" w14:textId="77777777" w:rsidR="00871BDF" w:rsidRDefault="005C5088">
            <w:pPr>
              <w:jc w:val="right"/>
              <w:textAlignment w:val="bottom"/>
            </w:pPr>
            <w:r>
              <w:rPr>
                <w:rFonts w:ascii="Times New Roman" w:eastAsia="宋体" w:hAnsi="Times New Roman"/>
                <w:color w:val="000000"/>
                <w:sz w:val="20"/>
                <w:szCs w:val="20"/>
              </w:rPr>
              <w:t>10,527.7 </w:t>
            </w:r>
          </w:p>
        </w:tc>
        <w:tc>
          <w:tcPr>
            <w:tcW w:w="0" w:type="auto"/>
            <w:shd w:val="clear" w:color="auto" w:fill="FFFFFF"/>
            <w:tcMar>
              <w:top w:w="40" w:type="dxa"/>
              <w:left w:w="0" w:type="dxa"/>
              <w:bottom w:w="40" w:type="dxa"/>
              <w:right w:w="20" w:type="dxa"/>
            </w:tcMar>
            <w:vAlign w:val="bottom"/>
          </w:tcPr>
          <w:p w14:paraId="00BAFF26" w14:textId="77777777" w:rsidR="00871BDF" w:rsidRDefault="00871BDF">
            <w:pPr>
              <w:jc w:val="right"/>
              <w:rPr>
                <w:rFonts w:ascii="宋体"/>
              </w:rPr>
            </w:pPr>
          </w:p>
        </w:tc>
      </w:tr>
      <w:tr w:rsidR="00871BDF" w14:paraId="00BAFF2B" w14:textId="77777777">
        <w:trPr>
          <w:jc w:val="center"/>
        </w:trPr>
        <w:tc>
          <w:tcPr>
            <w:tcW w:w="0" w:type="auto"/>
            <w:gridSpan w:val="3"/>
            <w:shd w:val="clear" w:color="auto" w:fill="D7E4BC"/>
            <w:tcMar>
              <w:top w:w="40" w:type="dxa"/>
              <w:left w:w="20" w:type="dxa"/>
              <w:bottom w:w="40" w:type="dxa"/>
              <w:right w:w="20" w:type="dxa"/>
            </w:tcMar>
            <w:vAlign w:val="bottom"/>
          </w:tcPr>
          <w:p w14:paraId="00BAFF28" w14:textId="77777777" w:rsidR="00871BDF" w:rsidRDefault="005C5088">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00BAFF29" w14:textId="77777777" w:rsidR="00871BDF" w:rsidRDefault="005C5088">
            <w:pPr>
              <w:jc w:val="right"/>
              <w:textAlignment w:val="bottom"/>
            </w:pPr>
            <w:r>
              <w:rPr>
                <w:rFonts w:ascii="Times New Roman" w:eastAsia="宋体" w:hAnsi="Times New Roman"/>
                <w:color w:val="000000"/>
                <w:sz w:val="20"/>
                <w:szCs w:val="20"/>
              </w:rPr>
              <w:t>(10,367.9)</w:t>
            </w:r>
          </w:p>
        </w:tc>
        <w:tc>
          <w:tcPr>
            <w:tcW w:w="0" w:type="auto"/>
            <w:shd w:val="clear" w:color="auto" w:fill="D7E4BC"/>
            <w:tcMar>
              <w:top w:w="40" w:type="dxa"/>
              <w:left w:w="0" w:type="dxa"/>
              <w:bottom w:w="40" w:type="dxa"/>
              <w:right w:w="20" w:type="dxa"/>
            </w:tcMar>
            <w:vAlign w:val="bottom"/>
          </w:tcPr>
          <w:p w14:paraId="00BAFF2A" w14:textId="77777777" w:rsidR="00871BDF" w:rsidRDefault="00871BDF">
            <w:pPr>
              <w:jc w:val="right"/>
              <w:rPr>
                <w:rFonts w:ascii="宋体"/>
              </w:rPr>
            </w:pPr>
          </w:p>
        </w:tc>
      </w:tr>
      <w:tr w:rsidR="00871BDF" w14:paraId="00BAFF2F" w14:textId="77777777">
        <w:trPr>
          <w:jc w:val="center"/>
        </w:trPr>
        <w:tc>
          <w:tcPr>
            <w:tcW w:w="0" w:type="auto"/>
            <w:gridSpan w:val="3"/>
            <w:shd w:val="clear" w:color="auto" w:fill="FFFFFF"/>
            <w:tcMar>
              <w:top w:w="40" w:type="dxa"/>
              <w:left w:w="20" w:type="dxa"/>
              <w:bottom w:w="40" w:type="dxa"/>
              <w:right w:w="20" w:type="dxa"/>
            </w:tcMar>
            <w:vAlign w:val="bottom"/>
          </w:tcPr>
          <w:p w14:paraId="00BAFF2C" w14:textId="77777777" w:rsidR="00871BDF" w:rsidRDefault="005C5088">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0BAFF2D" w14:textId="77777777" w:rsidR="00871BDF" w:rsidRDefault="005C5088">
            <w:pPr>
              <w:jc w:val="right"/>
              <w:textAlignment w:val="bottom"/>
            </w:pPr>
            <w:r>
              <w:rPr>
                <w:rFonts w:ascii="Times New Roman" w:eastAsia="宋体" w:hAnsi="Times New Roman"/>
                <w:color w:val="000000"/>
                <w:sz w:val="20"/>
                <w:szCs w:val="20"/>
              </w:rPr>
              <w:t>7.0 </w:t>
            </w:r>
          </w:p>
        </w:tc>
        <w:tc>
          <w:tcPr>
            <w:tcW w:w="0" w:type="auto"/>
            <w:shd w:val="clear" w:color="auto" w:fill="FFFFFF"/>
            <w:tcMar>
              <w:top w:w="40" w:type="dxa"/>
              <w:left w:w="0" w:type="dxa"/>
              <w:bottom w:w="40" w:type="dxa"/>
              <w:right w:w="20" w:type="dxa"/>
            </w:tcMar>
            <w:vAlign w:val="bottom"/>
          </w:tcPr>
          <w:p w14:paraId="00BAFF2E" w14:textId="77777777" w:rsidR="00871BDF" w:rsidRDefault="00871BDF">
            <w:pPr>
              <w:jc w:val="right"/>
              <w:rPr>
                <w:rFonts w:ascii="宋体"/>
              </w:rPr>
            </w:pPr>
          </w:p>
        </w:tc>
      </w:tr>
      <w:tr w:rsidR="00871BDF" w14:paraId="00BAFF34" w14:textId="77777777">
        <w:trPr>
          <w:jc w:val="center"/>
        </w:trPr>
        <w:tc>
          <w:tcPr>
            <w:tcW w:w="0" w:type="auto"/>
            <w:gridSpan w:val="3"/>
            <w:shd w:val="clear" w:color="auto" w:fill="D7E4BC"/>
            <w:tcMar>
              <w:top w:w="40" w:type="dxa"/>
              <w:left w:w="20" w:type="dxa"/>
              <w:bottom w:w="40" w:type="dxa"/>
              <w:right w:w="20" w:type="dxa"/>
            </w:tcMar>
            <w:vAlign w:val="bottom"/>
          </w:tcPr>
          <w:p w14:paraId="00BAFF30" w14:textId="77777777" w:rsidR="00871BDF" w:rsidRDefault="005C5088">
            <w:pPr>
              <w:textAlignment w:val="bottom"/>
            </w:pPr>
            <w:r>
              <w:rPr>
                <w:rFonts w:ascii="Times New Roman" w:eastAsia="宋体" w:hAnsi="Times New Roman"/>
                <w:color w:val="000000"/>
                <w:sz w:val="20"/>
                <w:szCs w:val="20"/>
              </w:rPr>
              <w:t>Stored value cards and loyalty program at September 27, 2020</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F3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F32" w14:textId="77777777" w:rsidR="00871BDF" w:rsidRDefault="005C5088">
            <w:pPr>
              <w:jc w:val="right"/>
              <w:textAlignment w:val="bottom"/>
            </w:pPr>
            <w:r>
              <w:rPr>
                <w:rFonts w:ascii="Times New Roman" w:eastAsia="宋体" w:hAnsi="Times New Roman"/>
                <w:color w:val="000000"/>
                <w:sz w:val="20"/>
                <w:szCs w:val="20"/>
              </w:rPr>
              <w:t>1,280.5 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F33" w14:textId="77777777" w:rsidR="00871BDF" w:rsidRDefault="00871BDF">
            <w:pPr>
              <w:jc w:val="right"/>
              <w:rPr>
                <w:rFonts w:ascii="宋体"/>
              </w:rPr>
            </w:pPr>
          </w:p>
        </w:tc>
      </w:tr>
      <w:tr w:rsidR="00871BDF" w14:paraId="00BAFF37" w14:textId="77777777">
        <w:trPr>
          <w:trHeight w:val="240"/>
          <w:jc w:val="center"/>
        </w:trPr>
        <w:tc>
          <w:tcPr>
            <w:tcW w:w="0" w:type="auto"/>
            <w:gridSpan w:val="3"/>
            <w:shd w:val="clear" w:color="auto" w:fill="auto"/>
            <w:tcMar>
              <w:top w:w="0" w:type="dxa"/>
              <w:left w:w="20" w:type="dxa"/>
              <w:bottom w:w="0" w:type="dxa"/>
              <w:right w:w="20" w:type="dxa"/>
            </w:tcMar>
          </w:tcPr>
          <w:p w14:paraId="00BAFF35"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AFF36" w14:textId="77777777" w:rsidR="00871BDF" w:rsidRDefault="00871BDF">
            <w:pPr>
              <w:rPr>
                <w:rFonts w:ascii="宋体"/>
              </w:rPr>
            </w:pPr>
          </w:p>
        </w:tc>
      </w:tr>
      <w:tr w:rsidR="00871BDF" w14:paraId="00BAFF3A" w14:textId="77777777">
        <w:trPr>
          <w:jc w:val="center"/>
        </w:trPr>
        <w:tc>
          <w:tcPr>
            <w:tcW w:w="0" w:type="auto"/>
            <w:gridSpan w:val="3"/>
            <w:shd w:val="clear" w:color="auto" w:fill="auto"/>
            <w:tcMar>
              <w:top w:w="40" w:type="dxa"/>
              <w:left w:w="20" w:type="dxa"/>
              <w:bottom w:w="40" w:type="dxa"/>
              <w:right w:w="20" w:type="dxa"/>
            </w:tcMar>
            <w:vAlign w:val="bottom"/>
          </w:tcPr>
          <w:p w14:paraId="00BAFF38" w14:textId="77777777" w:rsidR="00871BDF" w:rsidRDefault="005C5088">
            <w:pPr>
              <w:textAlignment w:val="bottom"/>
            </w:pPr>
            <w:r>
              <w:rPr>
                <w:rFonts w:ascii="Times New Roman" w:eastAsia="宋体" w:hAnsi="Times New Roman"/>
                <w:b/>
                <w:bCs/>
                <w:color w:val="000000"/>
                <w:sz w:val="20"/>
                <w:szCs w:val="20"/>
              </w:rPr>
              <w:t>Fiscal Year Ended September 29, 2019</w:t>
            </w:r>
          </w:p>
        </w:tc>
        <w:tc>
          <w:tcPr>
            <w:tcW w:w="0" w:type="auto"/>
            <w:gridSpan w:val="3"/>
            <w:shd w:val="clear" w:color="auto" w:fill="00704A"/>
            <w:tcMar>
              <w:top w:w="40" w:type="dxa"/>
              <w:left w:w="20" w:type="dxa"/>
              <w:bottom w:w="40" w:type="dxa"/>
              <w:right w:w="20" w:type="dxa"/>
            </w:tcMar>
            <w:vAlign w:val="bottom"/>
          </w:tcPr>
          <w:p w14:paraId="00BAFF39" w14:textId="77777777" w:rsidR="00871BDF" w:rsidRDefault="005C5088">
            <w:pPr>
              <w:jc w:val="center"/>
              <w:textAlignment w:val="bottom"/>
            </w:pPr>
            <w:r>
              <w:rPr>
                <w:rFonts w:ascii="Times New Roman" w:eastAsia="宋体" w:hAnsi="Times New Roman"/>
                <w:b/>
                <w:bCs/>
                <w:color w:val="FFFFFF"/>
                <w:sz w:val="16"/>
                <w:szCs w:val="16"/>
              </w:rPr>
              <w:t>Total</w:t>
            </w:r>
          </w:p>
        </w:tc>
      </w:tr>
      <w:tr w:rsidR="00871BDF" w14:paraId="00BAFF3F" w14:textId="77777777">
        <w:trPr>
          <w:jc w:val="center"/>
        </w:trPr>
        <w:tc>
          <w:tcPr>
            <w:tcW w:w="0" w:type="auto"/>
            <w:gridSpan w:val="3"/>
            <w:shd w:val="clear" w:color="auto" w:fill="D7E4BC"/>
            <w:tcMar>
              <w:top w:w="40" w:type="dxa"/>
              <w:left w:w="20" w:type="dxa"/>
              <w:bottom w:w="40" w:type="dxa"/>
              <w:right w:w="20" w:type="dxa"/>
            </w:tcMar>
            <w:vAlign w:val="bottom"/>
          </w:tcPr>
          <w:p w14:paraId="00BAFF3B" w14:textId="77777777" w:rsidR="00871BDF" w:rsidRDefault="005C5088">
            <w:pPr>
              <w:textAlignment w:val="bottom"/>
            </w:pPr>
            <w:r>
              <w:rPr>
                <w:rFonts w:ascii="Times New Roman" w:eastAsia="宋体" w:hAnsi="Times New Roman"/>
                <w:color w:val="000000"/>
                <w:sz w:val="20"/>
                <w:szCs w:val="20"/>
              </w:rPr>
              <w:t xml:space="preserve">Stored value cards and loyalty </w:t>
            </w:r>
            <w:r>
              <w:rPr>
                <w:rFonts w:ascii="Times New Roman" w:eastAsia="宋体" w:hAnsi="Times New Roman"/>
                <w:color w:val="000000"/>
                <w:sz w:val="20"/>
                <w:szCs w:val="20"/>
              </w:rPr>
              <w:t>program at September 30, 2018</w:t>
            </w:r>
          </w:p>
        </w:tc>
        <w:tc>
          <w:tcPr>
            <w:tcW w:w="0" w:type="auto"/>
            <w:tcBorders>
              <w:top w:val="single" w:sz="8" w:space="0" w:color="000000"/>
            </w:tcBorders>
            <w:shd w:val="clear" w:color="auto" w:fill="D7E4BC"/>
            <w:tcMar>
              <w:top w:w="40" w:type="dxa"/>
              <w:left w:w="20" w:type="dxa"/>
              <w:bottom w:w="40" w:type="dxa"/>
              <w:right w:w="0" w:type="dxa"/>
            </w:tcMar>
            <w:vAlign w:val="bottom"/>
          </w:tcPr>
          <w:p w14:paraId="00BAFF3C"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AFF3D" w14:textId="77777777" w:rsidR="00871BDF" w:rsidRDefault="005C5088">
            <w:pPr>
              <w:jc w:val="right"/>
              <w:textAlignment w:val="bottom"/>
            </w:pPr>
            <w:r>
              <w:rPr>
                <w:rFonts w:ascii="Times New Roman" w:eastAsia="宋体" w:hAnsi="Times New Roman"/>
                <w:color w:val="000000"/>
                <w:sz w:val="20"/>
                <w:szCs w:val="20"/>
              </w:rPr>
              <w:t>1,328.6 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F3E" w14:textId="77777777" w:rsidR="00871BDF" w:rsidRDefault="00871BDF">
            <w:pPr>
              <w:jc w:val="right"/>
              <w:rPr>
                <w:rFonts w:ascii="宋体"/>
              </w:rPr>
            </w:pPr>
          </w:p>
        </w:tc>
      </w:tr>
      <w:tr w:rsidR="00871BDF" w14:paraId="00BAFF43" w14:textId="77777777">
        <w:trPr>
          <w:jc w:val="center"/>
        </w:trPr>
        <w:tc>
          <w:tcPr>
            <w:tcW w:w="0" w:type="auto"/>
            <w:gridSpan w:val="3"/>
            <w:shd w:val="clear" w:color="auto" w:fill="FFFFFF"/>
            <w:tcMar>
              <w:top w:w="40" w:type="dxa"/>
              <w:left w:w="20" w:type="dxa"/>
              <w:bottom w:w="40" w:type="dxa"/>
              <w:right w:w="20" w:type="dxa"/>
            </w:tcMar>
            <w:vAlign w:val="bottom"/>
          </w:tcPr>
          <w:p w14:paraId="00BAFF40" w14:textId="77777777" w:rsidR="00871BDF" w:rsidRDefault="005C5088">
            <w:pPr>
              <w:textAlignment w:val="bottom"/>
            </w:pPr>
            <w:r>
              <w:rPr>
                <w:rFonts w:ascii="Times New Roman" w:eastAsia="宋体" w:hAnsi="Times New Roman"/>
                <w:color w:val="000000"/>
                <w:sz w:val="20"/>
                <w:szCs w:val="20"/>
              </w:rPr>
              <w:t>Revenue recognition adoption impact</w:t>
            </w:r>
          </w:p>
        </w:tc>
        <w:tc>
          <w:tcPr>
            <w:tcW w:w="0" w:type="auto"/>
            <w:gridSpan w:val="2"/>
            <w:shd w:val="clear" w:color="auto" w:fill="FFFFFF"/>
            <w:tcMar>
              <w:top w:w="40" w:type="dxa"/>
              <w:left w:w="20" w:type="dxa"/>
              <w:bottom w:w="40" w:type="dxa"/>
              <w:right w:w="0" w:type="dxa"/>
            </w:tcMar>
            <w:vAlign w:val="bottom"/>
          </w:tcPr>
          <w:p w14:paraId="00BAFF41" w14:textId="77777777" w:rsidR="00871BDF" w:rsidRDefault="005C5088">
            <w:pPr>
              <w:jc w:val="right"/>
              <w:textAlignment w:val="bottom"/>
            </w:pPr>
            <w:r>
              <w:rPr>
                <w:rFonts w:ascii="Times New Roman" w:eastAsia="宋体" w:hAnsi="Times New Roman"/>
                <w:color w:val="000000"/>
                <w:sz w:val="20"/>
                <w:szCs w:val="20"/>
              </w:rPr>
              <w:t>(358.0)</w:t>
            </w:r>
          </w:p>
        </w:tc>
        <w:tc>
          <w:tcPr>
            <w:tcW w:w="0" w:type="auto"/>
            <w:shd w:val="clear" w:color="auto" w:fill="FFFFFF"/>
            <w:tcMar>
              <w:top w:w="40" w:type="dxa"/>
              <w:left w:w="0" w:type="dxa"/>
              <w:bottom w:w="40" w:type="dxa"/>
              <w:right w:w="20" w:type="dxa"/>
            </w:tcMar>
            <w:vAlign w:val="bottom"/>
          </w:tcPr>
          <w:p w14:paraId="00BAFF42" w14:textId="77777777" w:rsidR="00871BDF" w:rsidRDefault="00871BDF">
            <w:pPr>
              <w:jc w:val="right"/>
              <w:rPr>
                <w:rFonts w:ascii="宋体"/>
              </w:rPr>
            </w:pPr>
          </w:p>
        </w:tc>
      </w:tr>
      <w:tr w:rsidR="00871BDF" w14:paraId="00BAFF47" w14:textId="77777777">
        <w:trPr>
          <w:jc w:val="center"/>
        </w:trPr>
        <w:tc>
          <w:tcPr>
            <w:tcW w:w="0" w:type="auto"/>
            <w:gridSpan w:val="3"/>
            <w:shd w:val="clear" w:color="auto" w:fill="D7E4BC"/>
            <w:tcMar>
              <w:top w:w="40" w:type="dxa"/>
              <w:left w:w="20" w:type="dxa"/>
              <w:bottom w:w="40" w:type="dxa"/>
              <w:right w:w="20" w:type="dxa"/>
            </w:tcMar>
            <w:vAlign w:val="bottom"/>
          </w:tcPr>
          <w:p w14:paraId="00BAFF44" w14:textId="77777777" w:rsidR="00871BDF" w:rsidRDefault="005C5088">
            <w:pPr>
              <w:textAlignment w:val="bottom"/>
            </w:pPr>
            <w:r>
              <w:rPr>
                <w:rFonts w:ascii="Times New Roman" w:eastAsia="宋体" w:hAnsi="Times New Roman"/>
                <w:color w:val="000000"/>
                <w:sz w:val="20"/>
                <w:szCs w:val="20"/>
              </w:rPr>
              <w:t>Stored value cards and loyalty program at October 1, 2018</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AFF45" w14:textId="77777777" w:rsidR="00871BDF" w:rsidRDefault="005C5088">
            <w:pPr>
              <w:jc w:val="right"/>
              <w:textAlignment w:val="bottom"/>
            </w:pPr>
            <w:r>
              <w:rPr>
                <w:rFonts w:ascii="Times New Roman" w:eastAsia="宋体" w:hAnsi="Times New Roman"/>
                <w:color w:val="000000"/>
                <w:sz w:val="20"/>
                <w:szCs w:val="20"/>
              </w:rPr>
              <w:t>970.6 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AFF46" w14:textId="77777777" w:rsidR="00871BDF" w:rsidRDefault="00871BDF">
            <w:pPr>
              <w:jc w:val="right"/>
              <w:rPr>
                <w:rFonts w:ascii="宋体"/>
              </w:rPr>
            </w:pPr>
          </w:p>
        </w:tc>
      </w:tr>
      <w:tr w:rsidR="00871BDF" w14:paraId="00BAFF4B" w14:textId="77777777">
        <w:trPr>
          <w:jc w:val="center"/>
        </w:trPr>
        <w:tc>
          <w:tcPr>
            <w:tcW w:w="0" w:type="auto"/>
            <w:gridSpan w:val="3"/>
            <w:shd w:val="clear" w:color="auto" w:fill="FFFFFF"/>
            <w:tcMar>
              <w:top w:w="40" w:type="dxa"/>
              <w:left w:w="20" w:type="dxa"/>
              <w:bottom w:w="40" w:type="dxa"/>
              <w:right w:w="20" w:type="dxa"/>
            </w:tcMar>
            <w:vAlign w:val="bottom"/>
          </w:tcPr>
          <w:p w14:paraId="00BAFF48" w14:textId="77777777" w:rsidR="00871BDF" w:rsidRDefault="005C5088">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00BAFF49" w14:textId="77777777" w:rsidR="00871BDF" w:rsidRDefault="005C5088">
            <w:pPr>
              <w:jc w:val="right"/>
              <w:textAlignment w:val="bottom"/>
            </w:pPr>
            <w:r>
              <w:rPr>
                <w:rFonts w:ascii="Times New Roman" w:eastAsia="宋体" w:hAnsi="Times New Roman"/>
                <w:color w:val="000000"/>
                <w:sz w:val="20"/>
                <w:szCs w:val="20"/>
              </w:rPr>
              <w:t>10,983.6 </w:t>
            </w:r>
          </w:p>
        </w:tc>
        <w:tc>
          <w:tcPr>
            <w:tcW w:w="0" w:type="auto"/>
            <w:shd w:val="clear" w:color="auto" w:fill="FFFFFF"/>
            <w:tcMar>
              <w:top w:w="40" w:type="dxa"/>
              <w:left w:w="0" w:type="dxa"/>
              <w:bottom w:w="40" w:type="dxa"/>
              <w:right w:w="20" w:type="dxa"/>
            </w:tcMar>
            <w:vAlign w:val="bottom"/>
          </w:tcPr>
          <w:p w14:paraId="00BAFF4A" w14:textId="77777777" w:rsidR="00871BDF" w:rsidRDefault="00871BDF">
            <w:pPr>
              <w:jc w:val="right"/>
              <w:rPr>
                <w:rFonts w:ascii="宋体"/>
              </w:rPr>
            </w:pPr>
          </w:p>
        </w:tc>
      </w:tr>
      <w:tr w:rsidR="00871BDF" w14:paraId="00BAFF4F" w14:textId="77777777">
        <w:trPr>
          <w:jc w:val="center"/>
        </w:trPr>
        <w:tc>
          <w:tcPr>
            <w:tcW w:w="0" w:type="auto"/>
            <w:gridSpan w:val="3"/>
            <w:shd w:val="clear" w:color="auto" w:fill="D7E4BC"/>
            <w:tcMar>
              <w:top w:w="40" w:type="dxa"/>
              <w:left w:w="20" w:type="dxa"/>
              <w:bottom w:w="40" w:type="dxa"/>
              <w:right w:w="20" w:type="dxa"/>
            </w:tcMar>
            <w:vAlign w:val="bottom"/>
          </w:tcPr>
          <w:p w14:paraId="00BAFF4C" w14:textId="77777777" w:rsidR="00871BDF" w:rsidRDefault="005C5088">
            <w:pPr>
              <w:textAlignment w:val="bottom"/>
            </w:pPr>
            <w:r>
              <w:rPr>
                <w:rFonts w:ascii="Times New Roman" w:eastAsia="宋体" w:hAnsi="Times New Roman"/>
                <w:color w:val="000000"/>
                <w:sz w:val="20"/>
                <w:szCs w:val="20"/>
              </w:rPr>
              <w:t xml:space="preserve">Revenue </w:t>
            </w:r>
            <w:r>
              <w:rPr>
                <w:rFonts w:ascii="Times New Roman" w:eastAsia="宋体" w:hAnsi="Times New Roman"/>
                <w:color w:val="000000"/>
                <w:sz w:val="20"/>
                <w:szCs w:val="20"/>
              </w:rPr>
              <w:t>recognized - card and Stars redemptions and breakage</w:t>
            </w:r>
          </w:p>
        </w:tc>
        <w:tc>
          <w:tcPr>
            <w:tcW w:w="0" w:type="auto"/>
            <w:gridSpan w:val="2"/>
            <w:shd w:val="clear" w:color="auto" w:fill="D7E4BC"/>
            <w:tcMar>
              <w:top w:w="40" w:type="dxa"/>
              <w:left w:w="20" w:type="dxa"/>
              <w:bottom w:w="40" w:type="dxa"/>
              <w:right w:w="0" w:type="dxa"/>
            </w:tcMar>
            <w:vAlign w:val="bottom"/>
          </w:tcPr>
          <w:p w14:paraId="00BAFF4D" w14:textId="77777777" w:rsidR="00871BDF" w:rsidRDefault="005C5088">
            <w:pPr>
              <w:jc w:val="right"/>
              <w:textAlignment w:val="bottom"/>
            </w:pPr>
            <w:r>
              <w:rPr>
                <w:rFonts w:ascii="Times New Roman" w:eastAsia="宋体" w:hAnsi="Times New Roman"/>
                <w:color w:val="000000"/>
                <w:sz w:val="20"/>
                <w:szCs w:val="20"/>
              </w:rPr>
              <w:t>(10,819.7)</w:t>
            </w:r>
          </w:p>
        </w:tc>
        <w:tc>
          <w:tcPr>
            <w:tcW w:w="0" w:type="auto"/>
            <w:shd w:val="clear" w:color="auto" w:fill="D7E4BC"/>
            <w:tcMar>
              <w:top w:w="40" w:type="dxa"/>
              <w:left w:w="0" w:type="dxa"/>
              <w:bottom w:w="40" w:type="dxa"/>
              <w:right w:w="20" w:type="dxa"/>
            </w:tcMar>
            <w:vAlign w:val="bottom"/>
          </w:tcPr>
          <w:p w14:paraId="00BAFF4E" w14:textId="77777777" w:rsidR="00871BDF" w:rsidRDefault="00871BDF">
            <w:pPr>
              <w:jc w:val="right"/>
              <w:rPr>
                <w:rFonts w:ascii="宋体"/>
              </w:rPr>
            </w:pPr>
          </w:p>
        </w:tc>
      </w:tr>
      <w:tr w:rsidR="00871BDF" w14:paraId="00BAFF53" w14:textId="77777777">
        <w:trPr>
          <w:jc w:val="center"/>
        </w:trPr>
        <w:tc>
          <w:tcPr>
            <w:tcW w:w="0" w:type="auto"/>
            <w:gridSpan w:val="3"/>
            <w:shd w:val="clear" w:color="auto" w:fill="FFFFFF"/>
            <w:tcMar>
              <w:top w:w="40" w:type="dxa"/>
              <w:left w:w="20" w:type="dxa"/>
              <w:bottom w:w="40" w:type="dxa"/>
              <w:right w:w="20" w:type="dxa"/>
            </w:tcMar>
            <w:vAlign w:val="bottom"/>
          </w:tcPr>
          <w:p w14:paraId="00BAFF50" w14:textId="77777777" w:rsidR="00871BDF" w:rsidRDefault="005C5088">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0BAFF51" w14:textId="77777777" w:rsidR="00871BDF" w:rsidRDefault="005C5088">
            <w:pPr>
              <w:jc w:val="right"/>
              <w:textAlignment w:val="bottom"/>
            </w:pPr>
            <w:r>
              <w:rPr>
                <w:rFonts w:ascii="Times New Roman" w:eastAsia="宋体" w:hAnsi="Times New Roman"/>
                <w:color w:val="000000"/>
                <w:sz w:val="20"/>
                <w:szCs w:val="20"/>
              </w:rPr>
              <w:t>(20.8)</w:t>
            </w:r>
          </w:p>
        </w:tc>
        <w:tc>
          <w:tcPr>
            <w:tcW w:w="0" w:type="auto"/>
            <w:shd w:val="clear" w:color="auto" w:fill="FFFFFF"/>
            <w:tcMar>
              <w:top w:w="40" w:type="dxa"/>
              <w:left w:w="0" w:type="dxa"/>
              <w:bottom w:w="40" w:type="dxa"/>
              <w:right w:w="20" w:type="dxa"/>
            </w:tcMar>
            <w:vAlign w:val="bottom"/>
          </w:tcPr>
          <w:p w14:paraId="00BAFF52" w14:textId="77777777" w:rsidR="00871BDF" w:rsidRDefault="00871BDF">
            <w:pPr>
              <w:jc w:val="right"/>
              <w:rPr>
                <w:rFonts w:ascii="宋体"/>
              </w:rPr>
            </w:pPr>
          </w:p>
        </w:tc>
      </w:tr>
      <w:tr w:rsidR="00871BDF" w14:paraId="00BAFF58" w14:textId="77777777">
        <w:trPr>
          <w:jc w:val="center"/>
        </w:trPr>
        <w:tc>
          <w:tcPr>
            <w:tcW w:w="0" w:type="auto"/>
            <w:gridSpan w:val="3"/>
            <w:shd w:val="clear" w:color="auto" w:fill="D7E4BC"/>
            <w:tcMar>
              <w:top w:w="40" w:type="dxa"/>
              <w:left w:w="20" w:type="dxa"/>
              <w:bottom w:w="40" w:type="dxa"/>
              <w:right w:w="20" w:type="dxa"/>
            </w:tcMar>
            <w:vAlign w:val="bottom"/>
          </w:tcPr>
          <w:p w14:paraId="00BAFF54" w14:textId="77777777" w:rsidR="00871BDF" w:rsidRDefault="005C5088">
            <w:pPr>
              <w:textAlignment w:val="bottom"/>
            </w:pPr>
            <w:r>
              <w:rPr>
                <w:rFonts w:ascii="Times New Roman" w:eastAsia="宋体" w:hAnsi="Times New Roman"/>
                <w:color w:val="000000"/>
                <w:sz w:val="20"/>
                <w:szCs w:val="20"/>
              </w:rPr>
              <w:t>Stored value cards and loyalty program at September 29, 2019</w:t>
            </w:r>
            <w:r>
              <w:rPr>
                <w:rFonts w:ascii="Times New Roman" w:eastAsia="宋体" w:hAnsi="Times New Roman"/>
                <w:color w:val="000000"/>
                <w:sz w:val="13"/>
                <w:szCs w:val="13"/>
              </w:rPr>
              <w:t>(2)</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F5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F56" w14:textId="77777777" w:rsidR="00871BDF" w:rsidRDefault="005C5088">
            <w:pPr>
              <w:jc w:val="right"/>
              <w:textAlignment w:val="bottom"/>
            </w:pPr>
            <w:r>
              <w:rPr>
                <w:rFonts w:ascii="Times New Roman" w:eastAsia="宋体" w:hAnsi="Times New Roman"/>
                <w:color w:val="000000"/>
                <w:sz w:val="20"/>
                <w:szCs w:val="20"/>
              </w:rPr>
              <w:t>1,113.7 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F57" w14:textId="77777777" w:rsidR="00871BDF" w:rsidRDefault="00871BDF">
            <w:pPr>
              <w:jc w:val="right"/>
              <w:rPr>
                <w:rFonts w:ascii="宋体"/>
              </w:rPr>
            </w:pPr>
          </w:p>
        </w:tc>
      </w:tr>
    </w:tbl>
    <w:p w14:paraId="00BAFF59" w14:textId="77777777" w:rsidR="00871BDF" w:rsidRDefault="005C5088">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“Other” primarily consists of changes in the stored value cards and loyalty program </w:t>
      </w:r>
      <w:r>
        <w:rPr>
          <w:rFonts w:ascii="Times New Roman" w:eastAsia="宋体" w:hAnsi="Times New Roman"/>
          <w:color w:val="000000"/>
          <w:sz w:val="20"/>
          <w:szCs w:val="20"/>
        </w:rPr>
        <w:t>balances resulting from foreign currency translation.</w:t>
      </w:r>
      <w:r>
        <w:rPr>
          <w:rFonts w:ascii="Times New Roman" w:eastAsia="宋体" w:hAnsi="Times New Roman"/>
          <w:color w:val="000000"/>
          <w:sz w:val="13"/>
          <w:szCs w:val="13"/>
        </w:rPr>
        <w:t xml:space="preserve"> </w:t>
      </w:r>
    </w:p>
    <w:p w14:paraId="00BAFF5A" w14:textId="77777777" w:rsidR="00871BDF" w:rsidRDefault="005C5088">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As of September 27, 2020, approximately $1.2 billion of this amount was current. As of September 29, 2019, approximately $1.0 billion of this amount was current. </w:t>
      </w:r>
    </w:p>
    <w:p w14:paraId="00BAFF5B" w14:textId="77777777" w:rsidR="00871BDF" w:rsidRDefault="005C5088">
      <w:pPr>
        <w:spacing w:before="120"/>
      </w:pPr>
      <w:r>
        <w:rPr>
          <w:rFonts w:ascii="Times New Roman" w:eastAsia="宋体" w:hAnsi="Times New Roman"/>
          <w:b/>
          <w:bCs/>
          <w:color w:val="000000"/>
          <w:sz w:val="20"/>
          <w:szCs w:val="20"/>
        </w:rPr>
        <w:t>Note 12:    Equity</w:t>
      </w:r>
    </w:p>
    <w:p w14:paraId="00BAFF5C" w14:textId="77777777" w:rsidR="00871BDF" w:rsidRDefault="005C5088">
      <w:pPr>
        <w:spacing w:before="120"/>
      </w:pPr>
      <w:r>
        <w:rPr>
          <w:rFonts w:ascii="Times New Roman" w:eastAsia="宋体" w:hAnsi="Times New Roman"/>
          <w:color w:val="000000"/>
          <w:sz w:val="20"/>
          <w:szCs w:val="20"/>
        </w:rPr>
        <w:t>In addition to 2</w:t>
      </w:r>
      <w:r>
        <w:rPr>
          <w:rFonts w:ascii="Times New Roman" w:eastAsia="宋体" w:hAnsi="Times New Roman"/>
          <w:color w:val="000000"/>
          <w:sz w:val="20"/>
          <w:szCs w:val="20"/>
        </w:rPr>
        <w:t>.4 billion shares of authorized common stock with $0.001 par value per share, we have authorized 7.5 million shares of preferred stock, none of which was outstanding at September 27, 2020.</w:t>
      </w:r>
    </w:p>
    <w:p w14:paraId="00BAFF5D" w14:textId="77777777" w:rsidR="00871BDF" w:rsidRDefault="005C5088">
      <w:pPr>
        <w:spacing w:before="120"/>
      </w:pPr>
      <w:r>
        <w:rPr>
          <w:rFonts w:ascii="Times New Roman" w:eastAsia="宋体" w:hAnsi="Times New Roman"/>
          <w:color w:val="000000"/>
          <w:sz w:val="20"/>
          <w:szCs w:val="20"/>
        </w:rPr>
        <w:t>Through open market transactions under our share repurchase program</w:t>
      </w:r>
      <w:r>
        <w:rPr>
          <w:rFonts w:ascii="Times New Roman" w:eastAsia="宋体" w:hAnsi="Times New Roman"/>
          <w:color w:val="000000"/>
          <w:sz w:val="20"/>
          <w:szCs w:val="20"/>
        </w:rPr>
        <w:t>, we repurchased 131.5 million shares of common stock at a total cost of $7.2 billion for the year ended September 30, 2018.</w:t>
      </w:r>
    </w:p>
    <w:p w14:paraId="00BAFF5E" w14:textId="77777777" w:rsidR="00871BDF" w:rsidRDefault="005C5088">
      <w:pPr>
        <w:spacing w:before="120"/>
      </w:pPr>
      <w:r>
        <w:rPr>
          <w:rFonts w:ascii="Times New Roman" w:eastAsia="宋体" w:hAnsi="Times New Roman"/>
          <w:color w:val="000000"/>
          <w:sz w:val="20"/>
          <w:szCs w:val="20"/>
        </w:rPr>
        <w:t>In September 2018, we entered into accelerated share repurchase agreements (“ASR agreements”) with third-party financial institutio</w:t>
      </w:r>
      <w:r>
        <w:rPr>
          <w:rFonts w:ascii="Times New Roman" w:eastAsia="宋体" w:hAnsi="Times New Roman"/>
          <w:color w:val="000000"/>
          <w:sz w:val="20"/>
          <w:szCs w:val="20"/>
        </w:rPr>
        <w:t>ns totaling $5.0 billion, effective October 1, 2018. We made a $5.0 billion up-front payment to the financial institutions and received an initial delivery of 72.0 million shares. In March 2019, we received an additional 4.9 million shares upon the complet</w:t>
      </w:r>
      <w:r>
        <w:rPr>
          <w:rFonts w:ascii="Times New Roman" w:eastAsia="宋体" w:hAnsi="Times New Roman"/>
          <w:color w:val="000000"/>
          <w:sz w:val="20"/>
          <w:szCs w:val="20"/>
        </w:rPr>
        <w:t>ion of the program based on a volume-weighted average share price (less discount) of $65.03.</w:t>
      </w:r>
    </w:p>
    <w:p w14:paraId="00BAFF5F" w14:textId="77777777" w:rsidR="00871BDF" w:rsidRDefault="005C5088">
      <w:pPr>
        <w:spacing w:before="120"/>
      </w:pPr>
      <w:r>
        <w:rPr>
          <w:rFonts w:ascii="Times New Roman" w:eastAsia="宋体" w:hAnsi="Times New Roman"/>
          <w:color w:val="000000"/>
          <w:sz w:val="20"/>
          <w:szCs w:val="20"/>
        </w:rPr>
        <w:t>In March 2019, we entered into ASR agreements with third-party financial institutions totaling $2.0 billion, effective March 22, 2019. We made a $2.0 billion up-fr</w:t>
      </w:r>
      <w:r>
        <w:rPr>
          <w:rFonts w:ascii="Times New Roman" w:eastAsia="宋体" w:hAnsi="Times New Roman"/>
          <w:color w:val="000000"/>
          <w:sz w:val="20"/>
          <w:szCs w:val="20"/>
        </w:rPr>
        <w:t xml:space="preserve">ont payment to the financial institutions and received an initial delivery of 22.2 million shares. In June 2019, we received an additional 3.9 million shares upon the completion of the program based on a volume-weighted average share price (less discount) </w:t>
      </w:r>
      <w:r>
        <w:rPr>
          <w:rFonts w:ascii="Times New Roman" w:eastAsia="宋体" w:hAnsi="Times New Roman"/>
          <w:color w:val="000000"/>
          <w:sz w:val="20"/>
          <w:szCs w:val="20"/>
        </w:rPr>
        <w:t xml:space="preserve">of $76.50. </w:t>
      </w:r>
    </w:p>
    <w:p w14:paraId="00BAFF60" w14:textId="77777777" w:rsidR="00871BDF" w:rsidRDefault="005C5088">
      <w:pPr>
        <w:spacing w:before="120"/>
      </w:pPr>
      <w:r>
        <w:rPr>
          <w:rFonts w:ascii="Times New Roman" w:eastAsia="宋体" w:hAnsi="Times New Roman"/>
          <w:color w:val="000000"/>
          <w:sz w:val="20"/>
          <w:szCs w:val="20"/>
        </w:rPr>
        <w:t>Outside of the ASR agreements noted above, we repurchased 36.6 million shares of common stock for $3.1 billion on the open market during the year ended September 29, 2019. In total, we repurchased 139.6 million shares at a total cost of $10.1 b</w:t>
      </w:r>
      <w:r>
        <w:rPr>
          <w:rFonts w:ascii="Times New Roman" w:eastAsia="宋体" w:hAnsi="Times New Roman"/>
          <w:color w:val="000000"/>
          <w:sz w:val="20"/>
          <w:szCs w:val="20"/>
        </w:rPr>
        <w:t>illion for the year ended September 29, 2019.</w:t>
      </w:r>
    </w:p>
    <w:p w14:paraId="00BAFF61" w14:textId="77777777" w:rsidR="00871BDF" w:rsidRDefault="005C5088">
      <w:pPr>
        <w:jc w:val="center"/>
      </w:pPr>
      <w:r>
        <w:rPr>
          <w:rFonts w:ascii="Times New Roman" w:eastAsia="宋体" w:hAnsi="Times New Roman"/>
          <w:color w:val="000000"/>
          <w:sz w:val="20"/>
          <w:szCs w:val="20"/>
        </w:rPr>
        <w:t>79</w:t>
      </w:r>
    </w:p>
    <w:p w14:paraId="00BAFF62" w14:textId="77777777" w:rsidR="00871BDF" w:rsidRDefault="005C5088">
      <w:r>
        <w:pict w14:anchorId="00BB14B4">
          <v:rect id="_x0000_i1106" style="width:415.3pt;height:1.5pt" o:hralign="center" o:hrstd="t" o:hr="t" fillcolor="#a0a0a0" stroked="f"/>
        </w:pict>
      </w:r>
    </w:p>
    <w:p w14:paraId="00BAFF63" w14:textId="77777777" w:rsidR="00871BDF" w:rsidRDefault="005C5088">
      <w:hyperlink r:id="rId221" w:anchor="i54ccc64cb5384be5a4849ef1cdef4dde_7" w:history="1">
        <w:r>
          <w:rPr>
            <w:rStyle w:val="a5"/>
            <w:rFonts w:ascii="Times New Roman" w:eastAsia="宋体" w:hAnsi="Times New Roman"/>
            <w:sz w:val="20"/>
            <w:szCs w:val="20"/>
          </w:rPr>
          <w:t>Table of Contents</w:t>
        </w:r>
      </w:hyperlink>
    </w:p>
    <w:p w14:paraId="00BAFF64" w14:textId="77777777" w:rsidR="00871BDF" w:rsidRDefault="005C5088">
      <w:pPr>
        <w:spacing w:before="120"/>
      </w:pPr>
      <w:r>
        <w:rPr>
          <w:rFonts w:ascii="Times New Roman" w:eastAsia="宋体" w:hAnsi="Times New Roman"/>
          <w:color w:val="000000"/>
          <w:sz w:val="20"/>
          <w:szCs w:val="20"/>
        </w:rPr>
        <w:t>Our Board of Directors authorized the repurchase of up to an additional 120 million and 40 million shares under our ongoing share repurchase program during the fiscal first quarter of 2019 and fiscal second quarter of 2020, respectively. We temporarily sus</w:t>
      </w:r>
      <w:r>
        <w:rPr>
          <w:rFonts w:ascii="Times New Roman" w:eastAsia="宋体" w:hAnsi="Times New Roman"/>
          <w:color w:val="000000"/>
          <w:sz w:val="20"/>
          <w:szCs w:val="20"/>
        </w:rPr>
        <w:t>pended share repurchases in March 2020. We repurchased 20.3 million shares of common stock for $1.7 billion on the open market during the year ended September 27, 2020. As of September 27, 2020, 48.9 million shares remained available for repurchase under c</w:t>
      </w:r>
      <w:r>
        <w:rPr>
          <w:rFonts w:ascii="Times New Roman" w:eastAsia="宋体" w:hAnsi="Times New Roman"/>
          <w:color w:val="000000"/>
          <w:sz w:val="20"/>
          <w:szCs w:val="20"/>
        </w:rPr>
        <w:t xml:space="preserve">urrent authorizations. </w:t>
      </w:r>
    </w:p>
    <w:p w14:paraId="00BAFF65" w14:textId="77777777" w:rsidR="00871BDF" w:rsidRDefault="005C5088">
      <w:pPr>
        <w:spacing w:before="120"/>
      </w:pPr>
      <w:r>
        <w:rPr>
          <w:rFonts w:ascii="Times New Roman" w:eastAsia="宋体" w:hAnsi="Times New Roman"/>
          <w:color w:val="000000"/>
          <w:sz w:val="20"/>
          <w:szCs w:val="20"/>
        </w:rPr>
        <w:t>Subsequent to the fourth quarter of fiscal 2020, our Board of Directors declared a quarterly cash dividend to shareholders of $0.45 per share to be paid on November 27, 2020 to shareholders of record as of the close of business on N</w:t>
      </w:r>
      <w:r>
        <w:rPr>
          <w:rFonts w:ascii="Times New Roman" w:eastAsia="宋体" w:hAnsi="Times New Roman"/>
          <w:color w:val="000000"/>
          <w:sz w:val="20"/>
          <w:szCs w:val="20"/>
        </w:rPr>
        <w:t>ovember 12, 2020.</w:t>
      </w:r>
    </w:p>
    <w:p w14:paraId="00BAFF66" w14:textId="77777777" w:rsidR="00871BDF" w:rsidRDefault="005C5088">
      <w:pPr>
        <w:spacing w:before="120"/>
      </w:pPr>
      <w:r>
        <w:rPr>
          <w:rFonts w:ascii="Times New Roman" w:eastAsia="宋体" w:hAnsi="Times New Roman"/>
          <w:b/>
          <w:bCs/>
          <w:i/>
          <w:iCs/>
          <w:color w:val="000000"/>
          <w:sz w:val="20"/>
          <w:szCs w:val="20"/>
        </w:rPr>
        <w:t>Comprehensive Income</w:t>
      </w:r>
    </w:p>
    <w:p w14:paraId="00BAFF67" w14:textId="77777777" w:rsidR="00871BDF" w:rsidRDefault="005C5088">
      <w:pPr>
        <w:spacing w:before="120"/>
      </w:pPr>
      <w:r>
        <w:rPr>
          <w:rFonts w:ascii="Times New Roman" w:eastAsia="宋体" w:hAnsi="Times New Roman"/>
          <w:color w:val="000000"/>
          <w:sz w:val="20"/>
          <w:szCs w:val="20"/>
        </w:rPr>
        <w:t xml:space="preserve">Comprehensive income includes all changes in equity during the period, except those resulting from transactions with our shareholders. Comprehensive income is comprised of net earnings and other comprehensive income. </w:t>
      </w:r>
      <w:r>
        <w:rPr>
          <w:rFonts w:ascii="Times New Roman" w:eastAsia="宋体" w:hAnsi="Times New Roman"/>
          <w:color w:val="000000"/>
          <w:sz w:val="20"/>
          <w:szCs w:val="20"/>
        </w:rPr>
        <w:t xml:space="preserve">Accumulated other comprehensive income reported on our consolidated balance sheets consists of foreign currency translation adjustments and other items and the unrealized gains and losses, net of applicable taxes, on available-for-sale debt securities and </w:t>
      </w:r>
      <w:r>
        <w:rPr>
          <w:rFonts w:ascii="Times New Roman" w:eastAsia="宋体" w:hAnsi="Times New Roman"/>
          <w:color w:val="000000"/>
          <w:sz w:val="20"/>
          <w:szCs w:val="20"/>
        </w:rPr>
        <w:t>on derivative instruments designated and qualifying as cash flow and net investment hedges.</w:t>
      </w:r>
    </w:p>
    <w:p w14:paraId="00BAFF68" w14:textId="77777777" w:rsidR="00871BDF" w:rsidRDefault="005C5088">
      <w:pPr>
        <w:spacing w:before="120"/>
      </w:pPr>
      <w:r>
        <w:rPr>
          <w:rFonts w:ascii="Times New Roman" w:eastAsia="宋体" w:hAnsi="Times New Roman"/>
          <w:color w:val="000000"/>
          <w:sz w:val="20"/>
          <w:szCs w:val="20"/>
        </w:rPr>
        <w:t>Changes in AOCI by component for the years ended September 27, 2020, September 29, 2019 and September 30, 2018, net of tax, are as follows:</w:t>
      </w:r>
    </w:p>
    <w:tbl>
      <w:tblPr>
        <w:tblW w:w="4963" w:type="pct"/>
        <w:tblCellMar>
          <w:top w:w="15" w:type="dxa"/>
          <w:left w:w="15" w:type="dxa"/>
          <w:bottom w:w="15" w:type="dxa"/>
          <w:right w:w="15" w:type="dxa"/>
        </w:tblCellMar>
        <w:tblLook w:val="04A0" w:firstRow="1" w:lastRow="0" w:firstColumn="1" w:lastColumn="0" w:noHBand="0" w:noVBand="1"/>
      </w:tblPr>
      <w:tblGrid>
        <w:gridCol w:w="40"/>
        <w:gridCol w:w="3238"/>
        <w:gridCol w:w="39"/>
        <w:gridCol w:w="126"/>
        <w:gridCol w:w="1187"/>
        <w:gridCol w:w="36"/>
        <w:gridCol w:w="36"/>
        <w:gridCol w:w="36"/>
        <w:gridCol w:w="36"/>
        <w:gridCol w:w="120"/>
        <w:gridCol w:w="484"/>
        <w:gridCol w:w="36"/>
        <w:gridCol w:w="36"/>
        <w:gridCol w:w="36"/>
        <w:gridCol w:w="36"/>
        <w:gridCol w:w="121"/>
        <w:gridCol w:w="722"/>
        <w:gridCol w:w="36"/>
        <w:gridCol w:w="36"/>
        <w:gridCol w:w="36"/>
        <w:gridCol w:w="36"/>
        <w:gridCol w:w="121"/>
        <w:gridCol w:w="760"/>
        <w:gridCol w:w="36"/>
        <w:gridCol w:w="36"/>
        <w:gridCol w:w="36"/>
        <w:gridCol w:w="36"/>
        <w:gridCol w:w="120"/>
        <w:gridCol w:w="584"/>
        <w:gridCol w:w="36"/>
      </w:tblGrid>
      <w:tr w:rsidR="00871BDF" w14:paraId="00BAFF87" w14:textId="77777777">
        <w:tc>
          <w:tcPr>
            <w:tcW w:w="50" w:type="pct"/>
            <w:shd w:val="clear" w:color="auto" w:fill="auto"/>
          </w:tcPr>
          <w:p w14:paraId="00BAFF69" w14:textId="77777777" w:rsidR="00871BDF" w:rsidRDefault="00871BDF">
            <w:pPr>
              <w:rPr>
                <w:rFonts w:ascii="宋体"/>
              </w:rPr>
            </w:pPr>
          </w:p>
        </w:tc>
        <w:tc>
          <w:tcPr>
            <w:tcW w:w="2146" w:type="pct"/>
            <w:shd w:val="clear" w:color="auto" w:fill="auto"/>
          </w:tcPr>
          <w:p w14:paraId="00BAFF6A" w14:textId="77777777" w:rsidR="00871BDF" w:rsidRDefault="00871BDF">
            <w:pPr>
              <w:rPr>
                <w:rFonts w:ascii="宋体"/>
              </w:rPr>
            </w:pPr>
          </w:p>
        </w:tc>
        <w:tc>
          <w:tcPr>
            <w:tcW w:w="5" w:type="pct"/>
            <w:shd w:val="clear" w:color="auto" w:fill="auto"/>
          </w:tcPr>
          <w:p w14:paraId="00BAFF6B" w14:textId="77777777" w:rsidR="00871BDF" w:rsidRDefault="00871BDF">
            <w:pPr>
              <w:rPr>
                <w:rFonts w:ascii="宋体"/>
              </w:rPr>
            </w:pPr>
          </w:p>
        </w:tc>
        <w:tc>
          <w:tcPr>
            <w:tcW w:w="50" w:type="pct"/>
            <w:shd w:val="clear" w:color="auto" w:fill="auto"/>
          </w:tcPr>
          <w:p w14:paraId="00BAFF6C" w14:textId="77777777" w:rsidR="00871BDF" w:rsidRDefault="00871BDF">
            <w:pPr>
              <w:rPr>
                <w:rFonts w:ascii="宋体"/>
              </w:rPr>
            </w:pPr>
          </w:p>
        </w:tc>
        <w:tc>
          <w:tcPr>
            <w:tcW w:w="475" w:type="pct"/>
            <w:shd w:val="clear" w:color="auto" w:fill="auto"/>
          </w:tcPr>
          <w:p w14:paraId="00BAFF6D" w14:textId="77777777" w:rsidR="00871BDF" w:rsidRDefault="00871BDF">
            <w:pPr>
              <w:rPr>
                <w:rFonts w:ascii="宋体"/>
              </w:rPr>
            </w:pPr>
          </w:p>
        </w:tc>
        <w:tc>
          <w:tcPr>
            <w:tcW w:w="5" w:type="pct"/>
            <w:shd w:val="clear" w:color="auto" w:fill="auto"/>
          </w:tcPr>
          <w:p w14:paraId="00BAFF6E" w14:textId="77777777" w:rsidR="00871BDF" w:rsidRDefault="00871BDF">
            <w:pPr>
              <w:rPr>
                <w:rFonts w:ascii="宋体"/>
              </w:rPr>
            </w:pPr>
          </w:p>
        </w:tc>
        <w:tc>
          <w:tcPr>
            <w:tcW w:w="5" w:type="pct"/>
            <w:shd w:val="clear" w:color="auto" w:fill="auto"/>
          </w:tcPr>
          <w:p w14:paraId="00BAFF6F" w14:textId="77777777" w:rsidR="00871BDF" w:rsidRDefault="00871BDF">
            <w:pPr>
              <w:rPr>
                <w:rFonts w:ascii="宋体"/>
              </w:rPr>
            </w:pPr>
          </w:p>
        </w:tc>
        <w:tc>
          <w:tcPr>
            <w:tcW w:w="26" w:type="pct"/>
            <w:shd w:val="clear" w:color="auto" w:fill="auto"/>
          </w:tcPr>
          <w:p w14:paraId="00BAFF70" w14:textId="77777777" w:rsidR="00871BDF" w:rsidRDefault="00871BDF">
            <w:pPr>
              <w:rPr>
                <w:rFonts w:ascii="宋体"/>
              </w:rPr>
            </w:pPr>
          </w:p>
        </w:tc>
        <w:tc>
          <w:tcPr>
            <w:tcW w:w="5" w:type="pct"/>
            <w:shd w:val="clear" w:color="auto" w:fill="auto"/>
          </w:tcPr>
          <w:p w14:paraId="00BAFF71" w14:textId="77777777" w:rsidR="00871BDF" w:rsidRDefault="00871BDF">
            <w:pPr>
              <w:rPr>
                <w:rFonts w:ascii="宋体"/>
              </w:rPr>
            </w:pPr>
          </w:p>
        </w:tc>
        <w:tc>
          <w:tcPr>
            <w:tcW w:w="50" w:type="pct"/>
            <w:shd w:val="clear" w:color="auto" w:fill="auto"/>
          </w:tcPr>
          <w:p w14:paraId="00BAFF72" w14:textId="77777777" w:rsidR="00871BDF" w:rsidRDefault="00871BDF">
            <w:pPr>
              <w:rPr>
                <w:rFonts w:ascii="宋体"/>
              </w:rPr>
            </w:pPr>
          </w:p>
        </w:tc>
        <w:tc>
          <w:tcPr>
            <w:tcW w:w="475" w:type="pct"/>
            <w:shd w:val="clear" w:color="auto" w:fill="auto"/>
          </w:tcPr>
          <w:p w14:paraId="00BAFF73" w14:textId="77777777" w:rsidR="00871BDF" w:rsidRDefault="00871BDF">
            <w:pPr>
              <w:rPr>
                <w:rFonts w:ascii="宋体"/>
              </w:rPr>
            </w:pPr>
          </w:p>
        </w:tc>
        <w:tc>
          <w:tcPr>
            <w:tcW w:w="5" w:type="pct"/>
            <w:shd w:val="clear" w:color="auto" w:fill="auto"/>
          </w:tcPr>
          <w:p w14:paraId="00BAFF74" w14:textId="77777777" w:rsidR="00871BDF" w:rsidRDefault="00871BDF">
            <w:pPr>
              <w:rPr>
                <w:rFonts w:ascii="宋体"/>
              </w:rPr>
            </w:pPr>
          </w:p>
        </w:tc>
        <w:tc>
          <w:tcPr>
            <w:tcW w:w="5" w:type="pct"/>
            <w:shd w:val="clear" w:color="auto" w:fill="auto"/>
          </w:tcPr>
          <w:p w14:paraId="00BAFF75" w14:textId="77777777" w:rsidR="00871BDF" w:rsidRDefault="00871BDF">
            <w:pPr>
              <w:rPr>
                <w:rFonts w:ascii="宋体"/>
              </w:rPr>
            </w:pPr>
          </w:p>
        </w:tc>
        <w:tc>
          <w:tcPr>
            <w:tcW w:w="26" w:type="pct"/>
            <w:shd w:val="clear" w:color="auto" w:fill="auto"/>
          </w:tcPr>
          <w:p w14:paraId="00BAFF76" w14:textId="77777777" w:rsidR="00871BDF" w:rsidRDefault="00871BDF">
            <w:pPr>
              <w:rPr>
                <w:rFonts w:ascii="宋体"/>
              </w:rPr>
            </w:pPr>
          </w:p>
        </w:tc>
        <w:tc>
          <w:tcPr>
            <w:tcW w:w="5" w:type="pct"/>
            <w:shd w:val="clear" w:color="auto" w:fill="auto"/>
          </w:tcPr>
          <w:p w14:paraId="00BAFF77" w14:textId="77777777" w:rsidR="00871BDF" w:rsidRDefault="00871BDF">
            <w:pPr>
              <w:rPr>
                <w:rFonts w:ascii="宋体"/>
              </w:rPr>
            </w:pPr>
          </w:p>
        </w:tc>
        <w:tc>
          <w:tcPr>
            <w:tcW w:w="50" w:type="pct"/>
            <w:shd w:val="clear" w:color="auto" w:fill="auto"/>
          </w:tcPr>
          <w:p w14:paraId="00BAFF78" w14:textId="77777777" w:rsidR="00871BDF" w:rsidRDefault="00871BDF">
            <w:pPr>
              <w:rPr>
                <w:rFonts w:ascii="宋体"/>
              </w:rPr>
            </w:pPr>
          </w:p>
        </w:tc>
        <w:tc>
          <w:tcPr>
            <w:tcW w:w="475" w:type="pct"/>
            <w:shd w:val="clear" w:color="auto" w:fill="auto"/>
          </w:tcPr>
          <w:p w14:paraId="00BAFF79" w14:textId="77777777" w:rsidR="00871BDF" w:rsidRDefault="00871BDF">
            <w:pPr>
              <w:rPr>
                <w:rFonts w:ascii="宋体"/>
              </w:rPr>
            </w:pPr>
          </w:p>
        </w:tc>
        <w:tc>
          <w:tcPr>
            <w:tcW w:w="5" w:type="pct"/>
            <w:shd w:val="clear" w:color="auto" w:fill="auto"/>
          </w:tcPr>
          <w:p w14:paraId="00BAFF7A" w14:textId="77777777" w:rsidR="00871BDF" w:rsidRDefault="00871BDF">
            <w:pPr>
              <w:rPr>
                <w:rFonts w:ascii="宋体"/>
              </w:rPr>
            </w:pPr>
          </w:p>
        </w:tc>
        <w:tc>
          <w:tcPr>
            <w:tcW w:w="5" w:type="pct"/>
            <w:shd w:val="clear" w:color="auto" w:fill="auto"/>
          </w:tcPr>
          <w:p w14:paraId="00BAFF7B" w14:textId="77777777" w:rsidR="00871BDF" w:rsidRDefault="00871BDF">
            <w:pPr>
              <w:rPr>
                <w:rFonts w:ascii="宋体"/>
              </w:rPr>
            </w:pPr>
          </w:p>
        </w:tc>
        <w:tc>
          <w:tcPr>
            <w:tcW w:w="26" w:type="pct"/>
            <w:shd w:val="clear" w:color="auto" w:fill="auto"/>
          </w:tcPr>
          <w:p w14:paraId="00BAFF7C" w14:textId="77777777" w:rsidR="00871BDF" w:rsidRDefault="00871BDF">
            <w:pPr>
              <w:rPr>
                <w:rFonts w:ascii="宋体"/>
              </w:rPr>
            </w:pPr>
          </w:p>
        </w:tc>
        <w:tc>
          <w:tcPr>
            <w:tcW w:w="5" w:type="pct"/>
            <w:shd w:val="clear" w:color="auto" w:fill="auto"/>
          </w:tcPr>
          <w:p w14:paraId="00BAFF7D" w14:textId="77777777" w:rsidR="00871BDF" w:rsidRDefault="00871BDF">
            <w:pPr>
              <w:rPr>
                <w:rFonts w:ascii="宋体"/>
              </w:rPr>
            </w:pPr>
          </w:p>
        </w:tc>
        <w:tc>
          <w:tcPr>
            <w:tcW w:w="50" w:type="pct"/>
            <w:shd w:val="clear" w:color="auto" w:fill="auto"/>
          </w:tcPr>
          <w:p w14:paraId="00BAFF7E" w14:textId="77777777" w:rsidR="00871BDF" w:rsidRDefault="00871BDF">
            <w:pPr>
              <w:rPr>
                <w:rFonts w:ascii="宋体"/>
              </w:rPr>
            </w:pPr>
          </w:p>
        </w:tc>
        <w:tc>
          <w:tcPr>
            <w:tcW w:w="475" w:type="pct"/>
            <w:shd w:val="clear" w:color="auto" w:fill="auto"/>
          </w:tcPr>
          <w:p w14:paraId="00BAFF7F" w14:textId="77777777" w:rsidR="00871BDF" w:rsidRDefault="00871BDF">
            <w:pPr>
              <w:rPr>
                <w:rFonts w:ascii="宋体"/>
              </w:rPr>
            </w:pPr>
          </w:p>
        </w:tc>
        <w:tc>
          <w:tcPr>
            <w:tcW w:w="5" w:type="pct"/>
            <w:shd w:val="clear" w:color="auto" w:fill="auto"/>
          </w:tcPr>
          <w:p w14:paraId="00BAFF80" w14:textId="77777777" w:rsidR="00871BDF" w:rsidRDefault="00871BDF">
            <w:pPr>
              <w:rPr>
                <w:rFonts w:ascii="宋体"/>
              </w:rPr>
            </w:pPr>
          </w:p>
        </w:tc>
        <w:tc>
          <w:tcPr>
            <w:tcW w:w="5" w:type="pct"/>
            <w:shd w:val="clear" w:color="auto" w:fill="auto"/>
          </w:tcPr>
          <w:p w14:paraId="00BAFF81" w14:textId="77777777" w:rsidR="00871BDF" w:rsidRDefault="00871BDF">
            <w:pPr>
              <w:rPr>
                <w:rFonts w:ascii="宋体"/>
              </w:rPr>
            </w:pPr>
          </w:p>
        </w:tc>
        <w:tc>
          <w:tcPr>
            <w:tcW w:w="26" w:type="pct"/>
            <w:shd w:val="clear" w:color="auto" w:fill="auto"/>
          </w:tcPr>
          <w:p w14:paraId="00BAFF82" w14:textId="77777777" w:rsidR="00871BDF" w:rsidRDefault="00871BDF">
            <w:pPr>
              <w:rPr>
                <w:rFonts w:ascii="宋体"/>
              </w:rPr>
            </w:pPr>
          </w:p>
        </w:tc>
        <w:tc>
          <w:tcPr>
            <w:tcW w:w="5" w:type="pct"/>
            <w:shd w:val="clear" w:color="auto" w:fill="auto"/>
          </w:tcPr>
          <w:p w14:paraId="00BAFF83" w14:textId="77777777" w:rsidR="00871BDF" w:rsidRDefault="00871BDF">
            <w:pPr>
              <w:rPr>
                <w:rFonts w:ascii="宋体"/>
              </w:rPr>
            </w:pPr>
          </w:p>
        </w:tc>
        <w:tc>
          <w:tcPr>
            <w:tcW w:w="50" w:type="pct"/>
            <w:shd w:val="clear" w:color="auto" w:fill="auto"/>
          </w:tcPr>
          <w:p w14:paraId="00BAFF84" w14:textId="77777777" w:rsidR="00871BDF" w:rsidRDefault="00871BDF">
            <w:pPr>
              <w:rPr>
                <w:rFonts w:ascii="宋体"/>
              </w:rPr>
            </w:pPr>
          </w:p>
        </w:tc>
        <w:tc>
          <w:tcPr>
            <w:tcW w:w="475" w:type="pct"/>
            <w:shd w:val="clear" w:color="auto" w:fill="auto"/>
          </w:tcPr>
          <w:p w14:paraId="00BAFF85" w14:textId="77777777" w:rsidR="00871BDF" w:rsidRDefault="00871BDF">
            <w:pPr>
              <w:rPr>
                <w:rFonts w:ascii="宋体"/>
              </w:rPr>
            </w:pPr>
          </w:p>
        </w:tc>
        <w:tc>
          <w:tcPr>
            <w:tcW w:w="5" w:type="pct"/>
            <w:shd w:val="clear" w:color="auto" w:fill="auto"/>
          </w:tcPr>
          <w:p w14:paraId="00BAFF86" w14:textId="77777777" w:rsidR="00871BDF" w:rsidRDefault="00871BDF">
            <w:pPr>
              <w:rPr>
                <w:rFonts w:ascii="宋体"/>
              </w:rPr>
            </w:pPr>
          </w:p>
        </w:tc>
      </w:tr>
      <w:tr w:rsidR="00871BDF" w14:paraId="00BAFF92" w14:textId="77777777">
        <w:tc>
          <w:tcPr>
            <w:tcW w:w="0" w:type="auto"/>
            <w:gridSpan w:val="3"/>
            <w:shd w:val="clear" w:color="auto" w:fill="auto"/>
            <w:tcMar>
              <w:top w:w="40" w:type="dxa"/>
              <w:left w:w="20" w:type="dxa"/>
              <w:bottom w:w="40" w:type="dxa"/>
              <w:right w:w="20" w:type="dxa"/>
            </w:tcMar>
            <w:vAlign w:val="bottom"/>
          </w:tcPr>
          <w:p w14:paraId="00BAFF88" w14:textId="77777777" w:rsidR="00871BDF" w:rsidRDefault="005C5088">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00BAFF89" w14:textId="77777777" w:rsidR="00871BDF" w:rsidRDefault="005C5088">
            <w:pPr>
              <w:jc w:val="center"/>
              <w:textAlignment w:val="bottom"/>
            </w:pPr>
            <w:r>
              <w:rPr>
                <w:rFonts w:ascii="Times New Roman" w:eastAsia="宋体" w:hAnsi="Times New Roman"/>
                <w:b/>
                <w:bCs/>
                <w:color w:val="FFFFFF"/>
                <w:sz w:val="16"/>
                <w:szCs w:val="16"/>
              </w:rPr>
              <w:t> Available-for-Sale Securities</w:t>
            </w:r>
          </w:p>
        </w:tc>
        <w:tc>
          <w:tcPr>
            <w:tcW w:w="0" w:type="auto"/>
            <w:gridSpan w:val="3"/>
            <w:shd w:val="clear" w:color="auto" w:fill="auto"/>
            <w:tcMar>
              <w:top w:w="0" w:type="dxa"/>
              <w:left w:w="20" w:type="dxa"/>
              <w:bottom w:w="0" w:type="dxa"/>
              <w:right w:w="20" w:type="dxa"/>
            </w:tcMar>
          </w:tcPr>
          <w:p w14:paraId="00BAFF8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F8B" w14:textId="77777777" w:rsidR="00871BDF" w:rsidRDefault="005C5088">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tcPr>
          <w:p w14:paraId="00BAFF8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F8D" w14:textId="77777777" w:rsidR="00871BDF" w:rsidRDefault="005C5088">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tcPr>
          <w:p w14:paraId="00BAFF8E"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F8F" w14:textId="77777777" w:rsidR="00871BDF" w:rsidRDefault="005C5088">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tcPr>
          <w:p w14:paraId="00BAFF9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AFF91" w14:textId="77777777" w:rsidR="00871BDF" w:rsidRDefault="005C5088">
            <w:pPr>
              <w:jc w:val="center"/>
              <w:textAlignment w:val="bottom"/>
            </w:pPr>
            <w:r>
              <w:rPr>
                <w:rFonts w:ascii="Times New Roman" w:eastAsia="宋体" w:hAnsi="Times New Roman"/>
                <w:b/>
                <w:bCs/>
                <w:color w:val="FFFFFF"/>
                <w:sz w:val="16"/>
                <w:szCs w:val="16"/>
              </w:rPr>
              <w:t>Total</w:t>
            </w:r>
          </w:p>
        </w:tc>
      </w:tr>
      <w:tr w:rsidR="00871BDF" w14:paraId="00BAFF9D" w14:textId="77777777">
        <w:tc>
          <w:tcPr>
            <w:tcW w:w="0" w:type="auto"/>
            <w:gridSpan w:val="3"/>
            <w:shd w:val="clear" w:color="auto" w:fill="D7E4BC"/>
            <w:tcMar>
              <w:top w:w="40" w:type="dxa"/>
              <w:left w:w="20" w:type="dxa"/>
              <w:bottom w:w="40" w:type="dxa"/>
              <w:right w:w="20" w:type="dxa"/>
            </w:tcMar>
          </w:tcPr>
          <w:p w14:paraId="00BAFF93" w14:textId="77777777" w:rsidR="00871BDF" w:rsidRDefault="005C5088">
            <w:pPr>
              <w:textAlignment w:val="top"/>
            </w:pPr>
            <w:r>
              <w:rPr>
                <w:rFonts w:ascii="Times New Roman" w:eastAsia="宋体" w:hAnsi="Times New Roman"/>
                <w:i/>
                <w:iCs/>
                <w:color w:val="000000"/>
                <w:sz w:val="20"/>
                <w:szCs w:val="20"/>
              </w:rPr>
              <w:t>September 27, 2020</w:t>
            </w:r>
          </w:p>
        </w:tc>
        <w:tc>
          <w:tcPr>
            <w:tcW w:w="0" w:type="auto"/>
            <w:gridSpan w:val="3"/>
            <w:tcBorders>
              <w:top w:val="single" w:sz="8" w:space="0" w:color="000000"/>
            </w:tcBorders>
            <w:shd w:val="clear" w:color="auto" w:fill="D7E4BC"/>
            <w:tcMar>
              <w:top w:w="0" w:type="dxa"/>
              <w:left w:w="20" w:type="dxa"/>
              <w:bottom w:w="0" w:type="dxa"/>
              <w:right w:w="20" w:type="dxa"/>
            </w:tcMar>
          </w:tcPr>
          <w:p w14:paraId="00BAFF9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F9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F9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F9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F9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F99"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F9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AFF9B"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AFF9C" w14:textId="77777777" w:rsidR="00871BDF" w:rsidRDefault="00871BDF">
            <w:pPr>
              <w:rPr>
                <w:rFonts w:ascii="宋体"/>
              </w:rPr>
            </w:pPr>
          </w:p>
        </w:tc>
      </w:tr>
      <w:tr w:rsidR="00871BDF" w14:paraId="00BAFFB2" w14:textId="77777777">
        <w:tc>
          <w:tcPr>
            <w:tcW w:w="0" w:type="auto"/>
            <w:gridSpan w:val="3"/>
            <w:shd w:val="clear" w:color="auto" w:fill="FFFFFF"/>
            <w:tcMar>
              <w:top w:w="40" w:type="dxa"/>
              <w:left w:w="20" w:type="dxa"/>
              <w:bottom w:w="40" w:type="dxa"/>
              <w:right w:w="20" w:type="dxa"/>
            </w:tcMar>
          </w:tcPr>
          <w:p w14:paraId="00BAFF9E" w14:textId="77777777" w:rsidR="00871BDF" w:rsidRDefault="005C5088">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00BAFF9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FA0" w14:textId="77777777" w:rsidR="00871BDF" w:rsidRDefault="005C5088">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00BAFFA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FA2"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FA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FA4" w14:textId="77777777" w:rsidR="00871BDF" w:rsidRDefault="005C5088">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00BAFFA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FA6"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FA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FA8" w14:textId="77777777" w:rsidR="00871BDF" w:rsidRDefault="005C5088">
            <w:pPr>
              <w:jc w:val="right"/>
              <w:textAlignment w:val="bottom"/>
            </w:pPr>
            <w:r>
              <w:rPr>
                <w:rFonts w:ascii="Times New Roman" w:eastAsia="宋体" w:hAnsi="Times New Roman"/>
                <w:color w:val="000000"/>
                <w:sz w:val="20"/>
                <w:szCs w:val="20"/>
              </w:rPr>
              <w:t>(10.1)</w:t>
            </w:r>
          </w:p>
        </w:tc>
        <w:tc>
          <w:tcPr>
            <w:tcW w:w="0" w:type="auto"/>
            <w:shd w:val="clear" w:color="auto" w:fill="FFFFFF"/>
            <w:tcMar>
              <w:top w:w="40" w:type="dxa"/>
              <w:left w:w="0" w:type="dxa"/>
              <w:bottom w:w="40" w:type="dxa"/>
              <w:right w:w="20" w:type="dxa"/>
            </w:tcMar>
            <w:vAlign w:val="bottom"/>
          </w:tcPr>
          <w:p w14:paraId="00BAFFA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FAA"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FA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FAC" w14:textId="77777777" w:rsidR="00871BDF" w:rsidRDefault="005C5088">
            <w:pPr>
              <w:jc w:val="right"/>
              <w:textAlignment w:val="bottom"/>
            </w:pPr>
            <w:r>
              <w:rPr>
                <w:rFonts w:ascii="Times New Roman" w:eastAsia="宋体" w:hAnsi="Times New Roman"/>
                <w:color w:val="000000"/>
                <w:sz w:val="20"/>
                <w:szCs w:val="20"/>
              </w:rPr>
              <w:t>(508.1)</w:t>
            </w:r>
          </w:p>
        </w:tc>
        <w:tc>
          <w:tcPr>
            <w:tcW w:w="0" w:type="auto"/>
            <w:shd w:val="clear" w:color="auto" w:fill="FFFFFF"/>
            <w:tcMar>
              <w:top w:w="40" w:type="dxa"/>
              <w:left w:w="0" w:type="dxa"/>
              <w:bottom w:w="40" w:type="dxa"/>
              <w:right w:w="20" w:type="dxa"/>
            </w:tcMar>
            <w:vAlign w:val="bottom"/>
          </w:tcPr>
          <w:p w14:paraId="00BAFFA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FAE"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AFFA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AFFB0" w14:textId="77777777" w:rsidR="00871BDF" w:rsidRDefault="005C5088">
            <w:pPr>
              <w:jc w:val="right"/>
              <w:textAlignment w:val="bottom"/>
            </w:pPr>
            <w:r>
              <w:rPr>
                <w:rFonts w:ascii="Times New Roman" w:eastAsia="宋体" w:hAnsi="Times New Roman"/>
                <w:color w:val="000000"/>
                <w:sz w:val="20"/>
                <w:szCs w:val="20"/>
              </w:rPr>
              <w:t>(503.3)</w:t>
            </w:r>
          </w:p>
        </w:tc>
        <w:tc>
          <w:tcPr>
            <w:tcW w:w="0" w:type="auto"/>
            <w:shd w:val="clear" w:color="auto" w:fill="FFFFFF"/>
            <w:tcMar>
              <w:top w:w="40" w:type="dxa"/>
              <w:left w:w="0" w:type="dxa"/>
              <w:bottom w:w="40" w:type="dxa"/>
              <w:right w:w="20" w:type="dxa"/>
            </w:tcMar>
            <w:vAlign w:val="bottom"/>
          </w:tcPr>
          <w:p w14:paraId="00BAFFB1" w14:textId="77777777" w:rsidR="00871BDF" w:rsidRDefault="00871BDF">
            <w:pPr>
              <w:jc w:val="right"/>
              <w:rPr>
                <w:rFonts w:ascii="宋体"/>
              </w:rPr>
            </w:pPr>
          </w:p>
        </w:tc>
      </w:tr>
      <w:tr w:rsidR="00871BDF" w14:paraId="00BAFFC2" w14:textId="77777777">
        <w:tc>
          <w:tcPr>
            <w:tcW w:w="0" w:type="auto"/>
            <w:gridSpan w:val="3"/>
            <w:shd w:val="clear" w:color="auto" w:fill="D7E4BC"/>
            <w:tcMar>
              <w:top w:w="40" w:type="dxa"/>
              <w:left w:w="245" w:type="dxa"/>
              <w:bottom w:w="40" w:type="dxa"/>
              <w:right w:w="20" w:type="dxa"/>
            </w:tcMar>
          </w:tcPr>
          <w:p w14:paraId="00BAFFB3" w14:textId="77777777" w:rsidR="00871BDF" w:rsidRDefault="005C5088">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00BAFFB4" w14:textId="77777777" w:rsidR="00871BDF" w:rsidRDefault="005C5088">
            <w:pPr>
              <w:jc w:val="right"/>
              <w:textAlignment w:val="bottom"/>
            </w:pPr>
            <w:r>
              <w:rPr>
                <w:rFonts w:ascii="Times New Roman" w:eastAsia="宋体" w:hAnsi="Times New Roman"/>
                <w:color w:val="000000"/>
                <w:sz w:val="20"/>
                <w:szCs w:val="20"/>
              </w:rPr>
              <w:t>6.5 </w:t>
            </w:r>
          </w:p>
        </w:tc>
        <w:tc>
          <w:tcPr>
            <w:tcW w:w="0" w:type="auto"/>
            <w:shd w:val="clear" w:color="auto" w:fill="D7E4BC"/>
            <w:tcMar>
              <w:top w:w="40" w:type="dxa"/>
              <w:left w:w="0" w:type="dxa"/>
              <w:bottom w:w="40" w:type="dxa"/>
              <w:right w:w="20" w:type="dxa"/>
            </w:tcMar>
            <w:vAlign w:val="bottom"/>
          </w:tcPr>
          <w:p w14:paraId="00BAFFB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FB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FB7" w14:textId="77777777" w:rsidR="00871BDF" w:rsidRDefault="005C5088">
            <w:pPr>
              <w:jc w:val="right"/>
              <w:textAlignment w:val="bottom"/>
            </w:pPr>
            <w:r>
              <w:rPr>
                <w:rFonts w:ascii="Times New Roman" w:eastAsia="宋体" w:hAnsi="Times New Roman"/>
                <w:color w:val="000000"/>
                <w:sz w:val="20"/>
                <w:szCs w:val="20"/>
              </w:rPr>
              <w:t>(95.0)</w:t>
            </w:r>
          </w:p>
        </w:tc>
        <w:tc>
          <w:tcPr>
            <w:tcW w:w="0" w:type="auto"/>
            <w:shd w:val="clear" w:color="auto" w:fill="D7E4BC"/>
            <w:tcMar>
              <w:top w:w="40" w:type="dxa"/>
              <w:left w:w="0" w:type="dxa"/>
              <w:bottom w:w="40" w:type="dxa"/>
              <w:right w:w="20" w:type="dxa"/>
            </w:tcMar>
            <w:vAlign w:val="bottom"/>
          </w:tcPr>
          <w:p w14:paraId="00BAFFB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FB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FBA" w14:textId="77777777" w:rsidR="00871BDF" w:rsidRDefault="005C5088">
            <w:pPr>
              <w:jc w:val="right"/>
              <w:textAlignment w:val="bottom"/>
            </w:pPr>
            <w:r>
              <w:rPr>
                <w:rFonts w:ascii="Times New Roman" w:eastAsia="宋体" w:hAnsi="Times New Roman"/>
                <w:color w:val="000000"/>
                <w:sz w:val="20"/>
                <w:szCs w:val="20"/>
              </w:rPr>
              <w:t>28.9 </w:t>
            </w:r>
          </w:p>
        </w:tc>
        <w:tc>
          <w:tcPr>
            <w:tcW w:w="0" w:type="auto"/>
            <w:shd w:val="clear" w:color="auto" w:fill="D7E4BC"/>
            <w:tcMar>
              <w:top w:w="40" w:type="dxa"/>
              <w:left w:w="0" w:type="dxa"/>
              <w:bottom w:w="40" w:type="dxa"/>
              <w:right w:w="20" w:type="dxa"/>
            </w:tcMar>
            <w:vAlign w:val="bottom"/>
          </w:tcPr>
          <w:p w14:paraId="00BAFFB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FB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FBD" w14:textId="77777777" w:rsidR="00871BDF" w:rsidRDefault="005C5088">
            <w:pPr>
              <w:jc w:val="right"/>
              <w:textAlignment w:val="bottom"/>
            </w:pPr>
            <w:r>
              <w:rPr>
                <w:rFonts w:ascii="Times New Roman" w:eastAsia="宋体" w:hAnsi="Times New Roman"/>
                <w:color w:val="000000"/>
                <w:sz w:val="20"/>
                <w:szCs w:val="20"/>
              </w:rPr>
              <w:t>208.4 </w:t>
            </w:r>
          </w:p>
        </w:tc>
        <w:tc>
          <w:tcPr>
            <w:tcW w:w="0" w:type="auto"/>
            <w:shd w:val="clear" w:color="auto" w:fill="D7E4BC"/>
            <w:tcMar>
              <w:top w:w="40" w:type="dxa"/>
              <w:left w:w="0" w:type="dxa"/>
              <w:bottom w:w="40" w:type="dxa"/>
              <w:right w:w="20" w:type="dxa"/>
            </w:tcMar>
            <w:vAlign w:val="bottom"/>
          </w:tcPr>
          <w:p w14:paraId="00BAFFB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FB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AFFC0" w14:textId="77777777" w:rsidR="00871BDF" w:rsidRDefault="005C5088">
            <w:pPr>
              <w:jc w:val="right"/>
              <w:textAlignment w:val="bottom"/>
            </w:pPr>
            <w:r>
              <w:rPr>
                <w:rFonts w:ascii="Times New Roman" w:eastAsia="宋体" w:hAnsi="Times New Roman"/>
                <w:color w:val="000000"/>
                <w:sz w:val="20"/>
                <w:szCs w:val="20"/>
              </w:rPr>
              <w:t>148.8 </w:t>
            </w:r>
          </w:p>
        </w:tc>
        <w:tc>
          <w:tcPr>
            <w:tcW w:w="0" w:type="auto"/>
            <w:shd w:val="clear" w:color="auto" w:fill="D7E4BC"/>
            <w:tcMar>
              <w:top w:w="40" w:type="dxa"/>
              <w:left w:w="0" w:type="dxa"/>
              <w:bottom w:w="40" w:type="dxa"/>
              <w:right w:w="20" w:type="dxa"/>
            </w:tcMar>
            <w:vAlign w:val="bottom"/>
          </w:tcPr>
          <w:p w14:paraId="00BAFFC1" w14:textId="77777777" w:rsidR="00871BDF" w:rsidRDefault="00871BDF">
            <w:pPr>
              <w:jc w:val="right"/>
              <w:rPr>
                <w:rFonts w:ascii="宋体"/>
              </w:rPr>
            </w:pPr>
          </w:p>
        </w:tc>
      </w:tr>
      <w:tr w:rsidR="00871BDF" w14:paraId="00BAFFD2" w14:textId="77777777">
        <w:tc>
          <w:tcPr>
            <w:tcW w:w="0" w:type="auto"/>
            <w:gridSpan w:val="3"/>
            <w:shd w:val="clear" w:color="auto" w:fill="FFFFFF"/>
            <w:tcMar>
              <w:top w:w="40" w:type="dxa"/>
              <w:left w:w="245" w:type="dxa"/>
              <w:bottom w:w="40" w:type="dxa"/>
              <w:right w:w="20" w:type="dxa"/>
            </w:tcMar>
          </w:tcPr>
          <w:p w14:paraId="00BAFFC3" w14:textId="77777777" w:rsidR="00871BDF" w:rsidRDefault="005C5088">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00BAFFC4" w14:textId="77777777" w:rsidR="00871BDF" w:rsidRDefault="005C5088">
            <w:pPr>
              <w:jc w:val="right"/>
              <w:textAlignment w:val="bottom"/>
            </w:pPr>
            <w:r>
              <w:rPr>
                <w:rFonts w:ascii="Times New Roman" w:eastAsia="宋体" w:hAnsi="Times New Roman"/>
                <w:color w:val="000000"/>
                <w:sz w:val="20"/>
                <w:szCs w:val="20"/>
              </w:rPr>
              <w:t>(4.0)</w:t>
            </w:r>
          </w:p>
        </w:tc>
        <w:tc>
          <w:tcPr>
            <w:tcW w:w="0" w:type="auto"/>
            <w:shd w:val="clear" w:color="auto" w:fill="FFFFFF"/>
            <w:tcMar>
              <w:top w:w="40" w:type="dxa"/>
              <w:left w:w="0" w:type="dxa"/>
              <w:bottom w:w="40" w:type="dxa"/>
              <w:right w:w="20" w:type="dxa"/>
            </w:tcMar>
            <w:vAlign w:val="bottom"/>
          </w:tcPr>
          <w:p w14:paraId="00BAFFC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FC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FC7" w14:textId="77777777" w:rsidR="00871BDF" w:rsidRDefault="005C5088">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00BAFFC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FC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FCA" w14:textId="77777777" w:rsidR="00871BDF" w:rsidRDefault="005C5088">
            <w:pPr>
              <w:jc w:val="right"/>
              <w:textAlignment w:val="bottom"/>
            </w:pPr>
            <w:r>
              <w:rPr>
                <w:rFonts w:ascii="Times New Roman" w:eastAsia="宋体" w:hAnsi="Times New Roman"/>
                <w:color w:val="000000"/>
                <w:sz w:val="20"/>
                <w:szCs w:val="20"/>
              </w:rPr>
              <w:t>(9.8)</w:t>
            </w:r>
          </w:p>
        </w:tc>
        <w:tc>
          <w:tcPr>
            <w:tcW w:w="0" w:type="auto"/>
            <w:shd w:val="clear" w:color="auto" w:fill="FFFFFF"/>
            <w:tcMar>
              <w:top w:w="40" w:type="dxa"/>
              <w:left w:w="0" w:type="dxa"/>
              <w:bottom w:w="40" w:type="dxa"/>
              <w:right w:w="20" w:type="dxa"/>
            </w:tcMar>
            <w:vAlign w:val="bottom"/>
          </w:tcPr>
          <w:p w14:paraId="00BAFFC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FC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FC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FC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FC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FD0" w14:textId="77777777" w:rsidR="00871BDF" w:rsidRDefault="005C5088">
            <w:pPr>
              <w:jc w:val="right"/>
              <w:textAlignment w:val="bottom"/>
            </w:pPr>
            <w:r>
              <w:rPr>
                <w:rFonts w:ascii="Times New Roman" w:eastAsia="宋体" w:hAnsi="Times New Roman"/>
                <w:color w:val="000000"/>
                <w:sz w:val="20"/>
                <w:szCs w:val="20"/>
              </w:rPr>
              <w:t>(14.9)</w:t>
            </w:r>
          </w:p>
        </w:tc>
        <w:tc>
          <w:tcPr>
            <w:tcW w:w="0" w:type="auto"/>
            <w:shd w:val="clear" w:color="auto" w:fill="FFFFFF"/>
            <w:tcMar>
              <w:top w:w="40" w:type="dxa"/>
              <w:left w:w="0" w:type="dxa"/>
              <w:bottom w:w="40" w:type="dxa"/>
              <w:right w:w="20" w:type="dxa"/>
            </w:tcMar>
            <w:vAlign w:val="bottom"/>
          </w:tcPr>
          <w:p w14:paraId="00BAFFD1" w14:textId="77777777" w:rsidR="00871BDF" w:rsidRDefault="00871BDF">
            <w:pPr>
              <w:jc w:val="right"/>
              <w:rPr>
                <w:rFonts w:ascii="宋体"/>
              </w:rPr>
            </w:pPr>
          </w:p>
        </w:tc>
      </w:tr>
      <w:tr w:rsidR="00871BDF" w14:paraId="00BAFFE2" w14:textId="77777777">
        <w:tc>
          <w:tcPr>
            <w:tcW w:w="0" w:type="auto"/>
            <w:gridSpan w:val="3"/>
            <w:shd w:val="clear" w:color="auto" w:fill="D7E4BC"/>
            <w:tcMar>
              <w:top w:w="40" w:type="dxa"/>
              <w:left w:w="20" w:type="dxa"/>
              <w:bottom w:w="40" w:type="dxa"/>
              <w:right w:w="20" w:type="dxa"/>
            </w:tcMar>
          </w:tcPr>
          <w:p w14:paraId="00BAFFD3" w14:textId="77777777" w:rsidR="00871BDF" w:rsidRDefault="005C5088">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00BAFFD4" w14:textId="77777777" w:rsidR="00871BDF" w:rsidRDefault="005C5088">
            <w:pPr>
              <w:jc w:val="right"/>
              <w:textAlignment w:val="center"/>
            </w:pPr>
            <w:r>
              <w:rPr>
                <w:rFonts w:ascii="Times New Roman" w:eastAsia="宋体" w:hAnsi="Times New Roman"/>
                <w:color w:val="000000"/>
                <w:sz w:val="20"/>
                <w:szCs w:val="20"/>
              </w:rPr>
              <w:t>2.5 </w:t>
            </w:r>
          </w:p>
        </w:tc>
        <w:tc>
          <w:tcPr>
            <w:tcW w:w="0" w:type="auto"/>
            <w:tcBorders>
              <w:top w:val="single" w:sz="8" w:space="0" w:color="000000"/>
            </w:tcBorders>
            <w:shd w:val="clear" w:color="auto" w:fill="D7E4BC"/>
            <w:tcMar>
              <w:top w:w="40" w:type="dxa"/>
              <w:left w:w="0" w:type="dxa"/>
              <w:bottom w:w="40" w:type="dxa"/>
              <w:right w:w="20" w:type="dxa"/>
            </w:tcMar>
            <w:vAlign w:val="center"/>
          </w:tcPr>
          <w:p w14:paraId="00BAFFD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FD6"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00BAFFD7" w14:textId="77777777" w:rsidR="00871BDF" w:rsidRDefault="005C5088">
            <w:pPr>
              <w:jc w:val="right"/>
              <w:textAlignment w:val="center"/>
            </w:pPr>
            <w:r>
              <w:rPr>
                <w:rFonts w:ascii="Times New Roman" w:eastAsia="宋体" w:hAnsi="Times New Roman"/>
                <w:color w:val="000000"/>
                <w:sz w:val="20"/>
                <w:szCs w:val="20"/>
              </w:rPr>
              <w:t>(96.1)</w:t>
            </w:r>
          </w:p>
        </w:tc>
        <w:tc>
          <w:tcPr>
            <w:tcW w:w="0" w:type="auto"/>
            <w:tcBorders>
              <w:top w:val="single" w:sz="8" w:space="0" w:color="000000"/>
            </w:tcBorders>
            <w:shd w:val="clear" w:color="auto" w:fill="D7E4BC"/>
            <w:tcMar>
              <w:top w:w="40" w:type="dxa"/>
              <w:left w:w="0" w:type="dxa"/>
              <w:bottom w:w="40" w:type="dxa"/>
              <w:right w:w="20" w:type="dxa"/>
            </w:tcMar>
            <w:vAlign w:val="center"/>
          </w:tcPr>
          <w:p w14:paraId="00BAFFD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FD9"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00BAFFDA" w14:textId="77777777" w:rsidR="00871BDF" w:rsidRDefault="005C5088">
            <w:pPr>
              <w:jc w:val="right"/>
              <w:textAlignment w:val="center"/>
            </w:pPr>
            <w:r>
              <w:rPr>
                <w:rFonts w:ascii="Times New Roman" w:eastAsia="宋体" w:hAnsi="Times New Roman"/>
                <w:color w:val="000000"/>
                <w:sz w:val="20"/>
                <w:szCs w:val="20"/>
              </w:rPr>
              <w:t>19.1 </w:t>
            </w:r>
          </w:p>
        </w:tc>
        <w:tc>
          <w:tcPr>
            <w:tcW w:w="0" w:type="auto"/>
            <w:tcBorders>
              <w:top w:val="single" w:sz="8" w:space="0" w:color="000000"/>
            </w:tcBorders>
            <w:shd w:val="clear" w:color="auto" w:fill="D7E4BC"/>
            <w:tcMar>
              <w:top w:w="40" w:type="dxa"/>
              <w:left w:w="0" w:type="dxa"/>
              <w:bottom w:w="40" w:type="dxa"/>
              <w:right w:w="20" w:type="dxa"/>
            </w:tcMar>
            <w:vAlign w:val="center"/>
          </w:tcPr>
          <w:p w14:paraId="00BAFFD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FDC"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00BAFFDD" w14:textId="77777777" w:rsidR="00871BDF" w:rsidRDefault="005C5088">
            <w:pPr>
              <w:jc w:val="right"/>
              <w:textAlignment w:val="center"/>
            </w:pPr>
            <w:r>
              <w:rPr>
                <w:rFonts w:ascii="Times New Roman" w:eastAsia="宋体" w:hAnsi="Times New Roman"/>
                <w:color w:val="000000"/>
                <w:sz w:val="20"/>
                <w:szCs w:val="20"/>
              </w:rPr>
              <w:t>208.4 </w:t>
            </w:r>
          </w:p>
        </w:tc>
        <w:tc>
          <w:tcPr>
            <w:tcW w:w="0" w:type="auto"/>
            <w:tcBorders>
              <w:top w:val="single" w:sz="8" w:space="0" w:color="000000"/>
            </w:tcBorders>
            <w:shd w:val="clear" w:color="auto" w:fill="D7E4BC"/>
            <w:tcMar>
              <w:top w:w="40" w:type="dxa"/>
              <w:left w:w="0" w:type="dxa"/>
              <w:bottom w:w="40" w:type="dxa"/>
              <w:right w:w="20" w:type="dxa"/>
            </w:tcMar>
            <w:vAlign w:val="center"/>
          </w:tcPr>
          <w:p w14:paraId="00BAFFD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FDF"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00BAFFE0" w14:textId="77777777" w:rsidR="00871BDF" w:rsidRDefault="005C5088">
            <w:pPr>
              <w:jc w:val="right"/>
              <w:textAlignment w:val="center"/>
            </w:pPr>
            <w:r>
              <w:rPr>
                <w:rFonts w:ascii="Times New Roman" w:eastAsia="宋体" w:hAnsi="Times New Roman"/>
                <w:color w:val="000000"/>
                <w:sz w:val="20"/>
                <w:szCs w:val="20"/>
              </w:rPr>
              <w:t>133.9 </w:t>
            </w:r>
          </w:p>
        </w:tc>
        <w:tc>
          <w:tcPr>
            <w:tcW w:w="0" w:type="auto"/>
            <w:tcBorders>
              <w:top w:val="single" w:sz="8" w:space="0" w:color="000000"/>
            </w:tcBorders>
            <w:shd w:val="clear" w:color="auto" w:fill="D7E4BC"/>
            <w:tcMar>
              <w:top w:w="40" w:type="dxa"/>
              <w:left w:w="0" w:type="dxa"/>
              <w:bottom w:w="40" w:type="dxa"/>
              <w:right w:w="20" w:type="dxa"/>
            </w:tcMar>
            <w:vAlign w:val="center"/>
          </w:tcPr>
          <w:p w14:paraId="00BAFFE1" w14:textId="77777777" w:rsidR="00871BDF" w:rsidRDefault="00871BDF">
            <w:pPr>
              <w:jc w:val="right"/>
              <w:rPr>
                <w:rFonts w:ascii="宋体"/>
              </w:rPr>
            </w:pPr>
          </w:p>
        </w:tc>
      </w:tr>
      <w:tr w:rsidR="00871BDF" w14:paraId="00BAFFF2" w14:textId="77777777">
        <w:tc>
          <w:tcPr>
            <w:tcW w:w="0" w:type="auto"/>
            <w:gridSpan w:val="3"/>
            <w:shd w:val="clear" w:color="auto" w:fill="FFFFFF"/>
            <w:tcMar>
              <w:top w:w="40" w:type="dxa"/>
              <w:left w:w="20" w:type="dxa"/>
              <w:bottom w:w="40" w:type="dxa"/>
              <w:right w:w="20" w:type="dxa"/>
            </w:tcMar>
          </w:tcPr>
          <w:p w14:paraId="00BAFFE3" w14:textId="77777777" w:rsidR="00871BDF" w:rsidRDefault="005C5088">
            <w:pPr>
              <w:textAlignment w:val="top"/>
            </w:pPr>
            <w:r>
              <w:rPr>
                <w:rFonts w:ascii="Times New Roman" w:eastAsia="宋体" w:hAnsi="Times New Roman"/>
                <w:color w:val="000000"/>
                <w:sz w:val="20"/>
                <w:szCs w:val="20"/>
              </w:rPr>
              <w:t>Cumulative effect of accounting adoption</w:t>
            </w:r>
          </w:p>
        </w:tc>
        <w:tc>
          <w:tcPr>
            <w:tcW w:w="0" w:type="auto"/>
            <w:gridSpan w:val="2"/>
            <w:shd w:val="clear" w:color="auto" w:fill="FFFFFF"/>
            <w:tcMar>
              <w:top w:w="40" w:type="dxa"/>
              <w:left w:w="20" w:type="dxa"/>
              <w:bottom w:w="40" w:type="dxa"/>
              <w:right w:w="0" w:type="dxa"/>
            </w:tcMar>
            <w:vAlign w:val="bottom"/>
          </w:tcPr>
          <w:p w14:paraId="00BAFFE4" w14:textId="77777777" w:rsidR="00871BDF" w:rsidRDefault="005C5088">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left w:w="0" w:type="dxa"/>
              <w:bottom w:w="40" w:type="dxa"/>
              <w:right w:w="20" w:type="dxa"/>
            </w:tcMar>
            <w:vAlign w:val="bottom"/>
          </w:tcPr>
          <w:p w14:paraId="00BAFFE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FE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FE7" w14:textId="77777777" w:rsidR="00871BDF" w:rsidRDefault="005C5088">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00BAFFE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FE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FEA" w14:textId="77777777" w:rsidR="00871BDF" w:rsidRDefault="005C5088">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00BAFFE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FE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FE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AFFE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AFFE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AFFF0" w14:textId="77777777" w:rsidR="00871BDF" w:rsidRDefault="005C5088">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00BAFFF1" w14:textId="77777777" w:rsidR="00871BDF" w:rsidRDefault="00871BDF">
            <w:pPr>
              <w:jc w:val="right"/>
              <w:rPr>
                <w:rFonts w:ascii="宋体"/>
              </w:rPr>
            </w:pPr>
          </w:p>
        </w:tc>
      </w:tr>
      <w:tr w:rsidR="00871BDF" w14:paraId="00BB0007" w14:textId="77777777">
        <w:tc>
          <w:tcPr>
            <w:tcW w:w="0" w:type="auto"/>
            <w:gridSpan w:val="3"/>
            <w:shd w:val="clear" w:color="auto" w:fill="D7E4BC"/>
            <w:tcMar>
              <w:top w:w="40" w:type="dxa"/>
              <w:left w:w="20" w:type="dxa"/>
              <w:bottom w:w="40" w:type="dxa"/>
              <w:right w:w="20" w:type="dxa"/>
            </w:tcMar>
          </w:tcPr>
          <w:p w14:paraId="00BAFFF3" w14:textId="77777777" w:rsidR="00871BDF" w:rsidRDefault="005C5088">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FF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FF5" w14:textId="77777777" w:rsidR="00871BDF" w:rsidRDefault="005C5088">
            <w:pPr>
              <w:jc w:val="right"/>
              <w:textAlignment w:val="bottom"/>
            </w:pPr>
            <w:r>
              <w:rPr>
                <w:rFonts w:ascii="Times New Roman" w:eastAsia="宋体" w:hAnsi="Times New Roman"/>
                <w:color w:val="000000"/>
                <w:sz w:val="20"/>
                <w:szCs w:val="20"/>
              </w:rPr>
              <w:t>5.7 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FF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FF7"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FF8"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FF9" w14:textId="77777777" w:rsidR="00871BDF" w:rsidRDefault="005C5088">
            <w:pPr>
              <w:jc w:val="right"/>
              <w:textAlignment w:val="bottom"/>
            </w:pPr>
            <w:r>
              <w:rPr>
                <w:rFonts w:ascii="Times New Roman" w:eastAsia="宋体" w:hAnsi="Times New Roman"/>
                <w:color w:val="000000"/>
                <w:sz w:val="20"/>
                <w:szCs w:val="20"/>
              </w:rPr>
              <w:t>(82.1)</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FF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FFB"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AFFFC"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AFFFD" w14:textId="77777777" w:rsidR="00871BDF" w:rsidRDefault="005C5088">
            <w:pPr>
              <w:jc w:val="right"/>
              <w:textAlignment w:val="bottom"/>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AFFF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AFFFF"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000"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001" w14:textId="77777777" w:rsidR="00871BDF" w:rsidRDefault="005C5088">
            <w:pPr>
              <w:jc w:val="right"/>
              <w:textAlignment w:val="bottom"/>
            </w:pPr>
            <w:r>
              <w:rPr>
                <w:rFonts w:ascii="Times New Roman" w:eastAsia="宋体" w:hAnsi="Times New Roman"/>
                <w:color w:val="000000"/>
                <w:sz w:val="20"/>
                <w:szCs w:val="20"/>
              </w:rPr>
              <w:t>(299.7)</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00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003"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00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005" w14:textId="77777777" w:rsidR="00871BDF" w:rsidRDefault="005C5088">
            <w:pPr>
              <w:jc w:val="right"/>
              <w:textAlignment w:val="bottom"/>
            </w:pPr>
            <w:r>
              <w:rPr>
                <w:rFonts w:ascii="Times New Roman" w:eastAsia="宋体" w:hAnsi="Times New Roman"/>
                <w:color w:val="000000"/>
                <w:sz w:val="20"/>
                <w:szCs w:val="20"/>
              </w:rPr>
              <w:t>(364.6)</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006" w14:textId="77777777" w:rsidR="00871BDF" w:rsidRDefault="00871BDF">
            <w:pPr>
              <w:jc w:val="right"/>
              <w:rPr>
                <w:rFonts w:ascii="宋体"/>
              </w:rPr>
            </w:pPr>
          </w:p>
        </w:tc>
      </w:tr>
    </w:tbl>
    <w:p w14:paraId="00BB0008" w14:textId="77777777" w:rsidR="00871BDF" w:rsidRDefault="00871BDF">
      <w:pPr>
        <w:spacing w:before="120"/>
      </w:pPr>
    </w:p>
    <w:tbl>
      <w:tblPr>
        <w:tblW w:w="4963" w:type="pct"/>
        <w:tblCellMar>
          <w:top w:w="15" w:type="dxa"/>
          <w:left w:w="15" w:type="dxa"/>
          <w:bottom w:w="15" w:type="dxa"/>
          <w:right w:w="15" w:type="dxa"/>
        </w:tblCellMar>
        <w:tblLook w:val="04A0" w:firstRow="1" w:lastRow="0" w:firstColumn="1" w:lastColumn="0" w:noHBand="0" w:noVBand="1"/>
      </w:tblPr>
      <w:tblGrid>
        <w:gridCol w:w="40"/>
        <w:gridCol w:w="3262"/>
        <w:gridCol w:w="39"/>
        <w:gridCol w:w="126"/>
        <w:gridCol w:w="1187"/>
        <w:gridCol w:w="36"/>
        <w:gridCol w:w="36"/>
        <w:gridCol w:w="36"/>
        <w:gridCol w:w="36"/>
        <w:gridCol w:w="120"/>
        <w:gridCol w:w="460"/>
        <w:gridCol w:w="36"/>
        <w:gridCol w:w="36"/>
        <w:gridCol w:w="36"/>
        <w:gridCol w:w="36"/>
        <w:gridCol w:w="121"/>
        <w:gridCol w:w="722"/>
        <w:gridCol w:w="36"/>
        <w:gridCol w:w="36"/>
        <w:gridCol w:w="36"/>
        <w:gridCol w:w="36"/>
        <w:gridCol w:w="121"/>
        <w:gridCol w:w="760"/>
        <w:gridCol w:w="36"/>
        <w:gridCol w:w="36"/>
        <w:gridCol w:w="36"/>
        <w:gridCol w:w="36"/>
        <w:gridCol w:w="120"/>
        <w:gridCol w:w="584"/>
        <w:gridCol w:w="36"/>
      </w:tblGrid>
      <w:tr w:rsidR="00871BDF" w14:paraId="00BB0027" w14:textId="77777777">
        <w:tc>
          <w:tcPr>
            <w:tcW w:w="50" w:type="pct"/>
            <w:shd w:val="clear" w:color="auto" w:fill="auto"/>
          </w:tcPr>
          <w:p w14:paraId="00BB0009" w14:textId="77777777" w:rsidR="00871BDF" w:rsidRDefault="00871BDF">
            <w:pPr>
              <w:rPr>
                <w:rFonts w:ascii="宋体"/>
              </w:rPr>
            </w:pPr>
          </w:p>
        </w:tc>
        <w:tc>
          <w:tcPr>
            <w:tcW w:w="2146" w:type="pct"/>
            <w:shd w:val="clear" w:color="auto" w:fill="auto"/>
          </w:tcPr>
          <w:p w14:paraId="00BB000A" w14:textId="77777777" w:rsidR="00871BDF" w:rsidRDefault="00871BDF">
            <w:pPr>
              <w:rPr>
                <w:rFonts w:ascii="宋体"/>
              </w:rPr>
            </w:pPr>
          </w:p>
        </w:tc>
        <w:tc>
          <w:tcPr>
            <w:tcW w:w="5" w:type="pct"/>
            <w:shd w:val="clear" w:color="auto" w:fill="auto"/>
          </w:tcPr>
          <w:p w14:paraId="00BB000B" w14:textId="77777777" w:rsidR="00871BDF" w:rsidRDefault="00871BDF">
            <w:pPr>
              <w:rPr>
                <w:rFonts w:ascii="宋体"/>
              </w:rPr>
            </w:pPr>
          </w:p>
        </w:tc>
        <w:tc>
          <w:tcPr>
            <w:tcW w:w="50" w:type="pct"/>
            <w:shd w:val="clear" w:color="auto" w:fill="auto"/>
          </w:tcPr>
          <w:p w14:paraId="00BB000C" w14:textId="77777777" w:rsidR="00871BDF" w:rsidRDefault="00871BDF">
            <w:pPr>
              <w:rPr>
                <w:rFonts w:ascii="宋体"/>
              </w:rPr>
            </w:pPr>
          </w:p>
        </w:tc>
        <w:tc>
          <w:tcPr>
            <w:tcW w:w="475" w:type="pct"/>
            <w:shd w:val="clear" w:color="auto" w:fill="auto"/>
          </w:tcPr>
          <w:p w14:paraId="00BB000D" w14:textId="77777777" w:rsidR="00871BDF" w:rsidRDefault="00871BDF">
            <w:pPr>
              <w:rPr>
                <w:rFonts w:ascii="宋体"/>
              </w:rPr>
            </w:pPr>
          </w:p>
        </w:tc>
        <w:tc>
          <w:tcPr>
            <w:tcW w:w="5" w:type="pct"/>
            <w:shd w:val="clear" w:color="auto" w:fill="auto"/>
          </w:tcPr>
          <w:p w14:paraId="00BB000E" w14:textId="77777777" w:rsidR="00871BDF" w:rsidRDefault="00871BDF">
            <w:pPr>
              <w:rPr>
                <w:rFonts w:ascii="宋体"/>
              </w:rPr>
            </w:pPr>
          </w:p>
        </w:tc>
        <w:tc>
          <w:tcPr>
            <w:tcW w:w="5" w:type="pct"/>
            <w:shd w:val="clear" w:color="auto" w:fill="auto"/>
          </w:tcPr>
          <w:p w14:paraId="00BB000F" w14:textId="77777777" w:rsidR="00871BDF" w:rsidRDefault="00871BDF">
            <w:pPr>
              <w:rPr>
                <w:rFonts w:ascii="宋体"/>
              </w:rPr>
            </w:pPr>
          </w:p>
        </w:tc>
        <w:tc>
          <w:tcPr>
            <w:tcW w:w="26" w:type="pct"/>
            <w:shd w:val="clear" w:color="auto" w:fill="auto"/>
          </w:tcPr>
          <w:p w14:paraId="00BB0010" w14:textId="77777777" w:rsidR="00871BDF" w:rsidRDefault="00871BDF">
            <w:pPr>
              <w:rPr>
                <w:rFonts w:ascii="宋体"/>
              </w:rPr>
            </w:pPr>
          </w:p>
        </w:tc>
        <w:tc>
          <w:tcPr>
            <w:tcW w:w="5" w:type="pct"/>
            <w:shd w:val="clear" w:color="auto" w:fill="auto"/>
          </w:tcPr>
          <w:p w14:paraId="00BB0011" w14:textId="77777777" w:rsidR="00871BDF" w:rsidRDefault="00871BDF">
            <w:pPr>
              <w:rPr>
                <w:rFonts w:ascii="宋体"/>
              </w:rPr>
            </w:pPr>
          </w:p>
        </w:tc>
        <w:tc>
          <w:tcPr>
            <w:tcW w:w="50" w:type="pct"/>
            <w:shd w:val="clear" w:color="auto" w:fill="auto"/>
          </w:tcPr>
          <w:p w14:paraId="00BB0012" w14:textId="77777777" w:rsidR="00871BDF" w:rsidRDefault="00871BDF">
            <w:pPr>
              <w:rPr>
                <w:rFonts w:ascii="宋体"/>
              </w:rPr>
            </w:pPr>
          </w:p>
        </w:tc>
        <w:tc>
          <w:tcPr>
            <w:tcW w:w="475" w:type="pct"/>
            <w:shd w:val="clear" w:color="auto" w:fill="auto"/>
          </w:tcPr>
          <w:p w14:paraId="00BB0013" w14:textId="77777777" w:rsidR="00871BDF" w:rsidRDefault="00871BDF">
            <w:pPr>
              <w:rPr>
                <w:rFonts w:ascii="宋体"/>
              </w:rPr>
            </w:pPr>
          </w:p>
        </w:tc>
        <w:tc>
          <w:tcPr>
            <w:tcW w:w="5" w:type="pct"/>
            <w:shd w:val="clear" w:color="auto" w:fill="auto"/>
          </w:tcPr>
          <w:p w14:paraId="00BB0014" w14:textId="77777777" w:rsidR="00871BDF" w:rsidRDefault="00871BDF">
            <w:pPr>
              <w:rPr>
                <w:rFonts w:ascii="宋体"/>
              </w:rPr>
            </w:pPr>
          </w:p>
        </w:tc>
        <w:tc>
          <w:tcPr>
            <w:tcW w:w="5" w:type="pct"/>
            <w:shd w:val="clear" w:color="auto" w:fill="auto"/>
          </w:tcPr>
          <w:p w14:paraId="00BB0015" w14:textId="77777777" w:rsidR="00871BDF" w:rsidRDefault="00871BDF">
            <w:pPr>
              <w:rPr>
                <w:rFonts w:ascii="宋体"/>
              </w:rPr>
            </w:pPr>
          </w:p>
        </w:tc>
        <w:tc>
          <w:tcPr>
            <w:tcW w:w="26" w:type="pct"/>
            <w:shd w:val="clear" w:color="auto" w:fill="auto"/>
          </w:tcPr>
          <w:p w14:paraId="00BB0016" w14:textId="77777777" w:rsidR="00871BDF" w:rsidRDefault="00871BDF">
            <w:pPr>
              <w:rPr>
                <w:rFonts w:ascii="宋体"/>
              </w:rPr>
            </w:pPr>
          </w:p>
        </w:tc>
        <w:tc>
          <w:tcPr>
            <w:tcW w:w="5" w:type="pct"/>
            <w:shd w:val="clear" w:color="auto" w:fill="auto"/>
          </w:tcPr>
          <w:p w14:paraId="00BB0017" w14:textId="77777777" w:rsidR="00871BDF" w:rsidRDefault="00871BDF">
            <w:pPr>
              <w:rPr>
                <w:rFonts w:ascii="宋体"/>
              </w:rPr>
            </w:pPr>
          </w:p>
        </w:tc>
        <w:tc>
          <w:tcPr>
            <w:tcW w:w="50" w:type="pct"/>
            <w:shd w:val="clear" w:color="auto" w:fill="auto"/>
          </w:tcPr>
          <w:p w14:paraId="00BB0018" w14:textId="77777777" w:rsidR="00871BDF" w:rsidRDefault="00871BDF">
            <w:pPr>
              <w:rPr>
                <w:rFonts w:ascii="宋体"/>
              </w:rPr>
            </w:pPr>
          </w:p>
        </w:tc>
        <w:tc>
          <w:tcPr>
            <w:tcW w:w="475" w:type="pct"/>
            <w:shd w:val="clear" w:color="auto" w:fill="auto"/>
          </w:tcPr>
          <w:p w14:paraId="00BB0019" w14:textId="77777777" w:rsidR="00871BDF" w:rsidRDefault="00871BDF">
            <w:pPr>
              <w:rPr>
                <w:rFonts w:ascii="宋体"/>
              </w:rPr>
            </w:pPr>
          </w:p>
        </w:tc>
        <w:tc>
          <w:tcPr>
            <w:tcW w:w="5" w:type="pct"/>
            <w:shd w:val="clear" w:color="auto" w:fill="auto"/>
          </w:tcPr>
          <w:p w14:paraId="00BB001A" w14:textId="77777777" w:rsidR="00871BDF" w:rsidRDefault="00871BDF">
            <w:pPr>
              <w:rPr>
                <w:rFonts w:ascii="宋体"/>
              </w:rPr>
            </w:pPr>
          </w:p>
        </w:tc>
        <w:tc>
          <w:tcPr>
            <w:tcW w:w="5" w:type="pct"/>
            <w:shd w:val="clear" w:color="auto" w:fill="auto"/>
          </w:tcPr>
          <w:p w14:paraId="00BB001B" w14:textId="77777777" w:rsidR="00871BDF" w:rsidRDefault="00871BDF">
            <w:pPr>
              <w:rPr>
                <w:rFonts w:ascii="宋体"/>
              </w:rPr>
            </w:pPr>
          </w:p>
        </w:tc>
        <w:tc>
          <w:tcPr>
            <w:tcW w:w="26" w:type="pct"/>
            <w:shd w:val="clear" w:color="auto" w:fill="auto"/>
          </w:tcPr>
          <w:p w14:paraId="00BB001C" w14:textId="77777777" w:rsidR="00871BDF" w:rsidRDefault="00871BDF">
            <w:pPr>
              <w:rPr>
                <w:rFonts w:ascii="宋体"/>
              </w:rPr>
            </w:pPr>
          </w:p>
        </w:tc>
        <w:tc>
          <w:tcPr>
            <w:tcW w:w="5" w:type="pct"/>
            <w:shd w:val="clear" w:color="auto" w:fill="auto"/>
          </w:tcPr>
          <w:p w14:paraId="00BB001D" w14:textId="77777777" w:rsidR="00871BDF" w:rsidRDefault="00871BDF">
            <w:pPr>
              <w:rPr>
                <w:rFonts w:ascii="宋体"/>
              </w:rPr>
            </w:pPr>
          </w:p>
        </w:tc>
        <w:tc>
          <w:tcPr>
            <w:tcW w:w="50" w:type="pct"/>
            <w:shd w:val="clear" w:color="auto" w:fill="auto"/>
          </w:tcPr>
          <w:p w14:paraId="00BB001E" w14:textId="77777777" w:rsidR="00871BDF" w:rsidRDefault="00871BDF">
            <w:pPr>
              <w:rPr>
                <w:rFonts w:ascii="宋体"/>
              </w:rPr>
            </w:pPr>
          </w:p>
        </w:tc>
        <w:tc>
          <w:tcPr>
            <w:tcW w:w="475" w:type="pct"/>
            <w:shd w:val="clear" w:color="auto" w:fill="auto"/>
          </w:tcPr>
          <w:p w14:paraId="00BB001F" w14:textId="77777777" w:rsidR="00871BDF" w:rsidRDefault="00871BDF">
            <w:pPr>
              <w:rPr>
                <w:rFonts w:ascii="宋体"/>
              </w:rPr>
            </w:pPr>
          </w:p>
        </w:tc>
        <w:tc>
          <w:tcPr>
            <w:tcW w:w="5" w:type="pct"/>
            <w:shd w:val="clear" w:color="auto" w:fill="auto"/>
          </w:tcPr>
          <w:p w14:paraId="00BB0020" w14:textId="77777777" w:rsidR="00871BDF" w:rsidRDefault="00871BDF">
            <w:pPr>
              <w:rPr>
                <w:rFonts w:ascii="宋体"/>
              </w:rPr>
            </w:pPr>
          </w:p>
        </w:tc>
        <w:tc>
          <w:tcPr>
            <w:tcW w:w="5" w:type="pct"/>
            <w:shd w:val="clear" w:color="auto" w:fill="auto"/>
          </w:tcPr>
          <w:p w14:paraId="00BB0021" w14:textId="77777777" w:rsidR="00871BDF" w:rsidRDefault="00871BDF">
            <w:pPr>
              <w:rPr>
                <w:rFonts w:ascii="宋体"/>
              </w:rPr>
            </w:pPr>
          </w:p>
        </w:tc>
        <w:tc>
          <w:tcPr>
            <w:tcW w:w="26" w:type="pct"/>
            <w:shd w:val="clear" w:color="auto" w:fill="auto"/>
          </w:tcPr>
          <w:p w14:paraId="00BB0022" w14:textId="77777777" w:rsidR="00871BDF" w:rsidRDefault="00871BDF">
            <w:pPr>
              <w:rPr>
                <w:rFonts w:ascii="宋体"/>
              </w:rPr>
            </w:pPr>
          </w:p>
        </w:tc>
        <w:tc>
          <w:tcPr>
            <w:tcW w:w="5" w:type="pct"/>
            <w:shd w:val="clear" w:color="auto" w:fill="auto"/>
          </w:tcPr>
          <w:p w14:paraId="00BB0023" w14:textId="77777777" w:rsidR="00871BDF" w:rsidRDefault="00871BDF">
            <w:pPr>
              <w:rPr>
                <w:rFonts w:ascii="宋体"/>
              </w:rPr>
            </w:pPr>
          </w:p>
        </w:tc>
        <w:tc>
          <w:tcPr>
            <w:tcW w:w="50" w:type="pct"/>
            <w:shd w:val="clear" w:color="auto" w:fill="auto"/>
          </w:tcPr>
          <w:p w14:paraId="00BB0024" w14:textId="77777777" w:rsidR="00871BDF" w:rsidRDefault="00871BDF">
            <w:pPr>
              <w:rPr>
                <w:rFonts w:ascii="宋体"/>
              </w:rPr>
            </w:pPr>
          </w:p>
        </w:tc>
        <w:tc>
          <w:tcPr>
            <w:tcW w:w="475" w:type="pct"/>
            <w:shd w:val="clear" w:color="auto" w:fill="auto"/>
          </w:tcPr>
          <w:p w14:paraId="00BB0025" w14:textId="77777777" w:rsidR="00871BDF" w:rsidRDefault="00871BDF">
            <w:pPr>
              <w:rPr>
                <w:rFonts w:ascii="宋体"/>
              </w:rPr>
            </w:pPr>
          </w:p>
        </w:tc>
        <w:tc>
          <w:tcPr>
            <w:tcW w:w="5" w:type="pct"/>
            <w:shd w:val="clear" w:color="auto" w:fill="auto"/>
          </w:tcPr>
          <w:p w14:paraId="00BB0026" w14:textId="77777777" w:rsidR="00871BDF" w:rsidRDefault="00871BDF">
            <w:pPr>
              <w:rPr>
                <w:rFonts w:ascii="宋体"/>
              </w:rPr>
            </w:pPr>
          </w:p>
        </w:tc>
      </w:tr>
      <w:tr w:rsidR="00871BDF" w14:paraId="00BB0032" w14:textId="77777777">
        <w:tc>
          <w:tcPr>
            <w:tcW w:w="0" w:type="auto"/>
            <w:gridSpan w:val="3"/>
            <w:shd w:val="clear" w:color="auto" w:fill="auto"/>
            <w:tcMar>
              <w:top w:w="40" w:type="dxa"/>
              <w:left w:w="20" w:type="dxa"/>
              <w:bottom w:w="40" w:type="dxa"/>
              <w:right w:w="20" w:type="dxa"/>
            </w:tcMar>
            <w:vAlign w:val="bottom"/>
          </w:tcPr>
          <w:p w14:paraId="00BB0028" w14:textId="77777777" w:rsidR="00871BDF" w:rsidRDefault="005C5088">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00BB0029" w14:textId="77777777" w:rsidR="00871BDF" w:rsidRDefault="005C5088">
            <w:pPr>
              <w:jc w:val="center"/>
              <w:textAlignment w:val="bottom"/>
            </w:pPr>
            <w:r>
              <w:rPr>
                <w:rFonts w:ascii="Times New Roman" w:eastAsia="宋体" w:hAnsi="Times New Roman"/>
                <w:b/>
                <w:bCs/>
                <w:color w:val="FFFFFF"/>
                <w:sz w:val="16"/>
                <w:szCs w:val="16"/>
              </w:rPr>
              <w:t> Available-for-Sale Securities</w:t>
            </w:r>
          </w:p>
        </w:tc>
        <w:tc>
          <w:tcPr>
            <w:tcW w:w="0" w:type="auto"/>
            <w:gridSpan w:val="3"/>
            <w:shd w:val="clear" w:color="auto" w:fill="auto"/>
            <w:tcMar>
              <w:top w:w="0" w:type="dxa"/>
              <w:left w:w="20" w:type="dxa"/>
              <w:bottom w:w="0" w:type="dxa"/>
              <w:right w:w="20" w:type="dxa"/>
            </w:tcMar>
          </w:tcPr>
          <w:p w14:paraId="00BB002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02B" w14:textId="77777777" w:rsidR="00871BDF" w:rsidRDefault="005C5088">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tcPr>
          <w:p w14:paraId="00BB002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02D" w14:textId="77777777" w:rsidR="00871BDF" w:rsidRDefault="005C5088">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tcPr>
          <w:p w14:paraId="00BB002E"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02F" w14:textId="77777777" w:rsidR="00871BDF" w:rsidRDefault="005C5088">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tcPr>
          <w:p w14:paraId="00BB003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031" w14:textId="77777777" w:rsidR="00871BDF" w:rsidRDefault="005C5088">
            <w:pPr>
              <w:jc w:val="center"/>
              <w:textAlignment w:val="bottom"/>
            </w:pPr>
            <w:r>
              <w:rPr>
                <w:rFonts w:ascii="Times New Roman" w:eastAsia="宋体" w:hAnsi="Times New Roman"/>
                <w:b/>
                <w:bCs/>
                <w:color w:val="FFFFFF"/>
                <w:sz w:val="16"/>
                <w:szCs w:val="16"/>
              </w:rPr>
              <w:t>Total</w:t>
            </w:r>
          </w:p>
        </w:tc>
      </w:tr>
      <w:tr w:rsidR="00871BDF" w14:paraId="00BB003D" w14:textId="77777777">
        <w:tc>
          <w:tcPr>
            <w:tcW w:w="0" w:type="auto"/>
            <w:gridSpan w:val="3"/>
            <w:shd w:val="clear" w:color="auto" w:fill="D7E4BC"/>
            <w:tcMar>
              <w:top w:w="40" w:type="dxa"/>
              <w:left w:w="20" w:type="dxa"/>
              <w:bottom w:w="40" w:type="dxa"/>
              <w:right w:w="20" w:type="dxa"/>
            </w:tcMar>
            <w:vAlign w:val="bottom"/>
          </w:tcPr>
          <w:p w14:paraId="00BB0033" w14:textId="77777777" w:rsidR="00871BDF" w:rsidRDefault="005C5088">
            <w:pPr>
              <w:textAlignment w:val="bottom"/>
            </w:pPr>
            <w:r>
              <w:rPr>
                <w:rFonts w:ascii="Times New Roman" w:eastAsia="宋体" w:hAnsi="Times New Roman"/>
                <w:i/>
                <w:iCs/>
                <w:color w:val="000000"/>
                <w:sz w:val="20"/>
                <w:szCs w:val="20"/>
              </w:rPr>
              <w:t>September 29, 2019</w:t>
            </w:r>
          </w:p>
        </w:tc>
        <w:tc>
          <w:tcPr>
            <w:tcW w:w="0" w:type="auto"/>
            <w:gridSpan w:val="3"/>
            <w:tcBorders>
              <w:top w:val="single" w:sz="8" w:space="0" w:color="000000"/>
            </w:tcBorders>
            <w:shd w:val="clear" w:color="auto" w:fill="D7E4BC"/>
            <w:tcMar>
              <w:top w:w="0" w:type="dxa"/>
              <w:left w:w="20" w:type="dxa"/>
              <w:bottom w:w="0" w:type="dxa"/>
              <w:right w:w="20" w:type="dxa"/>
            </w:tcMar>
          </w:tcPr>
          <w:p w14:paraId="00BB003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03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03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03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03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039"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03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03B"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03C" w14:textId="77777777" w:rsidR="00871BDF" w:rsidRDefault="00871BDF">
            <w:pPr>
              <w:rPr>
                <w:rFonts w:ascii="宋体"/>
              </w:rPr>
            </w:pPr>
          </w:p>
        </w:tc>
      </w:tr>
      <w:tr w:rsidR="00871BDF" w14:paraId="00BB0052" w14:textId="77777777">
        <w:tc>
          <w:tcPr>
            <w:tcW w:w="0" w:type="auto"/>
            <w:gridSpan w:val="3"/>
            <w:shd w:val="clear" w:color="auto" w:fill="FFFFFF"/>
            <w:tcMar>
              <w:top w:w="40" w:type="dxa"/>
              <w:left w:w="20" w:type="dxa"/>
              <w:bottom w:w="40" w:type="dxa"/>
              <w:right w:w="20" w:type="dxa"/>
            </w:tcMar>
            <w:vAlign w:val="bottom"/>
          </w:tcPr>
          <w:p w14:paraId="00BB003E" w14:textId="77777777" w:rsidR="00871BDF" w:rsidRDefault="005C5088">
            <w:pPr>
              <w:textAlignment w:val="bottom"/>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00BB003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040" w14:textId="77777777" w:rsidR="00871BDF" w:rsidRDefault="005C5088">
            <w:pPr>
              <w:jc w:val="right"/>
              <w:textAlignment w:val="bottom"/>
            </w:pPr>
            <w:r>
              <w:rPr>
                <w:rFonts w:ascii="Times New Roman" w:eastAsia="宋体" w:hAnsi="Times New Roman"/>
                <w:color w:val="000000"/>
                <w:sz w:val="20"/>
                <w:szCs w:val="20"/>
              </w:rPr>
              <w:t>(4.9)</w:t>
            </w:r>
          </w:p>
        </w:tc>
        <w:tc>
          <w:tcPr>
            <w:tcW w:w="0" w:type="auto"/>
            <w:shd w:val="clear" w:color="auto" w:fill="FFFFFF"/>
            <w:tcMar>
              <w:top w:w="40" w:type="dxa"/>
              <w:left w:w="0" w:type="dxa"/>
              <w:bottom w:w="40" w:type="dxa"/>
              <w:right w:w="20" w:type="dxa"/>
            </w:tcMar>
            <w:vAlign w:val="bottom"/>
          </w:tcPr>
          <w:p w14:paraId="00BB004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42"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04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044" w14:textId="77777777" w:rsidR="00871BDF" w:rsidRDefault="005C5088">
            <w:pPr>
              <w:jc w:val="right"/>
              <w:textAlignment w:val="bottom"/>
            </w:pPr>
            <w:r>
              <w:rPr>
                <w:rFonts w:ascii="Times New Roman" w:eastAsia="宋体" w:hAnsi="Times New Roman"/>
                <w:color w:val="000000"/>
                <w:sz w:val="20"/>
                <w:szCs w:val="20"/>
              </w:rPr>
              <w:t>17.7 </w:t>
            </w:r>
          </w:p>
        </w:tc>
        <w:tc>
          <w:tcPr>
            <w:tcW w:w="0" w:type="auto"/>
            <w:shd w:val="clear" w:color="auto" w:fill="FFFFFF"/>
            <w:tcMar>
              <w:top w:w="40" w:type="dxa"/>
              <w:left w:w="0" w:type="dxa"/>
              <w:bottom w:w="40" w:type="dxa"/>
              <w:right w:w="20" w:type="dxa"/>
            </w:tcMar>
            <w:vAlign w:val="bottom"/>
          </w:tcPr>
          <w:p w14:paraId="00BB004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46"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04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048" w14:textId="77777777" w:rsidR="00871BDF" w:rsidRDefault="005C5088">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left w:w="0" w:type="dxa"/>
              <w:bottom w:w="40" w:type="dxa"/>
              <w:right w:w="20" w:type="dxa"/>
            </w:tcMar>
            <w:vAlign w:val="bottom"/>
          </w:tcPr>
          <w:p w14:paraId="00BB004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4A"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04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04C" w14:textId="77777777" w:rsidR="00871BDF" w:rsidRDefault="005C5088">
            <w:pPr>
              <w:jc w:val="right"/>
              <w:textAlignment w:val="bottom"/>
            </w:pPr>
            <w:r>
              <w:rPr>
                <w:rFonts w:ascii="Times New Roman" w:eastAsia="宋体" w:hAnsi="Times New Roman"/>
                <w:color w:val="000000"/>
                <w:sz w:val="20"/>
                <w:szCs w:val="20"/>
              </w:rPr>
              <w:t>(362.7)</w:t>
            </w:r>
          </w:p>
        </w:tc>
        <w:tc>
          <w:tcPr>
            <w:tcW w:w="0" w:type="auto"/>
            <w:shd w:val="clear" w:color="auto" w:fill="FFFFFF"/>
            <w:tcMar>
              <w:top w:w="40" w:type="dxa"/>
              <w:left w:w="0" w:type="dxa"/>
              <w:bottom w:w="40" w:type="dxa"/>
              <w:right w:w="20" w:type="dxa"/>
            </w:tcMar>
            <w:vAlign w:val="bottom"/>
          </w:tcPr>
          <w:p w14:paraId="00BB004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4E"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04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050" w14:textId="77777777" w:rsidR="00871BDF" w:rsidRDefault="005C5088">
            <w:pPr>
              <w:jc w:val="right"/>
              <w:textAlignment w:val="bottom"/>
            </w:pPr>
            <w:r>
              <w:rPr>
                <w:rFonts w:ascii="Times New Roman" w:eastAsia="宋体" w:hAnsi="Times New Roman"/>
                <w:color w:val="000000"/>
                <w:sz w:val="20"/>
                <w:szCs w:val="20"/>
              </w:rPr>
              <w:t>(330.3)</w:t>
            </w:r>
          </w:p>
        </w:tc>
        <w:tc>
          <w:tcPr>
            <w:tcW w:w="0" w:type="auto"/>
            <w:shd w:val="clear" w:color="auto" w:fill="FFFFFF"/>
            <w:tcMar>
              <w:top w:w="40" w:type="dxa"/>
              <w:left w:w="0" w:type="dxa"/>
              <w:bottom w:w="40" w:type="dxa"/>
              <w:right w:w="20" w:type="dxa"/>
            </w:tcMar>
            <w:vAlign w:val="bottom"/>
          </w:tcPr>
          <w:p w14:paraId="00BB0051" w14:textId="77777777" w:rsidR="00871BDF" w:rsidRDefault="00871BDF">
            <w:pPr>
              <w:jc w:val="right"/>
              <w:rPr>
                <w:rFonts w:ascii="宋体"/>
              </w:rPr>
            </w:pPr>
          </w:p>
        </w:tc>
      </w:tr>
      <w:tr w:rsidR="00871BDF" w14:paraId="00BB0062" w14:textId="77777777">
        <w:tc>
          <w:tcPr>
            <w:tcW w:w="0" w:type="auto"/>
            <w:gridSpan w:val="3"/>
            <w:shd w:val="clear" w:color="auto" w:fill="D7E4BC"/>
            <w:tcMar>
              <w:top w:w="40" w:type="dxa"/>
              <w:left w:w="245" w:type="dxa"/>
              <w:bottom w:w="40" w:type="dxa"/>
              <w:right w:w="20" w:type="dxa"/>
            </w:tcMar>
            <w:vAlign w:val="bottom"/>
          </w:tcPr>
          <w:p w14:paraId="00BB0053" w14:textId="77777777" w:rsidR="00871BDF" w:rsidRDefault="005C5088">
            <w:pPr>
              <w:textAlignment w:val="bottom"/>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00BB0054" w14:textId="77777777" w:rsidR="00871BDF" w:rsidRDefault="005C5088">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bottom"/>
          </w:tcPr>
          <w:p w14:paraId="00BB005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05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057" w14:textId="77777777" w:rsidR="00871BDF" w:rsidRDefault="005C5088">
            <w:pPr>
              <w:jc w:val="right"/>
              <w:textAlignment w:val="bottom"/>
            </w:pPr>
            <w:r>
              <w:rPr>
                <w:rFonts w:ascii="Times New Roman" w:eastAsia="宋体" w:hAnsi="Times New Roman"/>
                <w:color w:val="000000"/>
                <w:sz w:val="20"/>
                <w:szCs w:val="20"/>
              </w:rPr>
              <w:t>(10.7)</w:t>
            </w:r>
          </w:p>
        </w:tc>
        <w:tc>
          <w:tcPr>
            <w:tcW w:w="0" w:type="auto"/>
            <w:shd w:val="clear" w:color="auto" w:fill="D7E4BC"/>
            <w:tcMar>
              <w:top w:w="40" w:type="dxa"/>
              <w:left w:w="0" w:type="dxa"/>
              <w:bottom w:w="40" w:type="dxa"/>
              <w:right w:w="20" w:type="dxa"/>
            </w:tcMar>
            <w:vAlign w:val="bottom"/>
          </w:tcPr>
          <w:p w14:paraId="00BB005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05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05A" w14:textId="77777777" w:rsidR="00871BDF" w:rsidRDefault="005C5088">
            <w:pPr>
              <w:jc w:val="right"/>
              <w:textAlignment w:val="bottom"/>
            </w:pPr>
            <w:r>
              <w:rPr>
                <w:rFonts w:ascii="Times New Roman" w:eastAsia="宋体" w:hAnsi="Times New Roman"/>
                <w:color w:val="000000"/>
                <w:sz w:val="20"/>
                <w:szCs w:val="20"/>
              </w:rPr>
              <w:t>(29.7)</w:t>
            </w:r>
          </w:p>
        </w:tc>
        <w:tc>
          <w:tcPr>
            <w:tcW w:w="0" w:type="auto"/>
            <w:shd w:val="clear" w:color="auto" w:fill="D7E4BC"/>
            <w:tcMar>
              <w:top w:w="40" w:type="dxa"/>
              <w:left w:w="0" w:type="dxa"/>
              <w:bottom w:w="40" w:type="dxa"/>
              <w:right w:w="20" w:type="dxa"/>
            </w:tcMar>
            <w:vAlign w:val="bottom"/>
          </w:tcPr>
          <w:p w14:paraId="00BB005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05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05D" w14:textId="77777777" w:rsidR="00871BDF" w:rsidRDefault="005C5088">
            <w:pPr>
              <w:jc w:val="right"/>
              <w:textAlignment w:val="bottom"/>
            </w:pPr>
            <w:r>
              <w:rPr>
                <w:rFonts w:ascii="Times New Roman" w:eastAsia="宋体" w:hAnsi="Times New Roman"/>
                <w:color w:val="000000"/>
                <w:sz w:val="20"/>
                <w:szCs w:val="20"/>
              </w:rPr>
              <w:t>(143.7)</w:t>
            </w:r>
          </w:p>
        </w:tc>
        <w:tc>
          <w:tcPr>
            <w:tcW w:w="0" w:type="auto"/>
            <w:shd w:val="clear" w:color="auto" w:fill="D7E4BC"/>
            <w:tcMar>
              <w:top w:w="40" w:type="dxa"/>
              <w:left w:w="0" w:type="dxa"/>
              <w:bottom w:w="40" w:type="dxa"/>
              <w:right w:w="20" w:type="dxa"/>
            </w:tcMar>
            <w:vAlign w:val="bottom"/>
          </w:tcPr>
          <w:p w14:paraId="00BB005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05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060" w14:textId="77777777" w:rsidR="00871BDF" w:rsidRDefault="005C5088">
            <w:pPr>
              <w:jc w:val="right"/>
              <w:textAlignment w:val="bottom"/>
            </w:pPr>
            <w:r>
              <w:rPr>
                <w:rFonts w:ascii="Times New Roman" w:eastAsia="宋体" w:hAnsi="Times New Roman"/>
                <w:color w:val="000000"/>
                <w:sz w:val="20"/>
                <w:szCs w:val="20"/>
              </w:rPr>
              <w:t>(175.9)</w:t>
            </w:r>
          </w:p>
        </w:tc>
        <w:tc>
          <w:tcPr>
            <w:tcW w:w="0" w:type="auto"/>
            <w:shd w:val="clear" w:color="auto" w:fill="D7E4BC"/>
            <w:tcMar>
              <w:top w:w="40" w:type="dxa"/>
              <w:left w:w="0" w:type="dxa"/>
              <w:bottom w:w="40" w:type="dxa"/>
              <w:right w:w="20" w:type="dxa"/>
            </w:tcMar>
            <w:vAlign w:val="bottom"/>
          </w:tcPr>
          <w:p w14:paraId="00BB0061" w14:textId="77777777" w:rsidR="00871BDF" w:rsidRDefault="00871BDF">
            <w:pPr>
              <w:jc w:val="right"/>
              <w:rPr>
                <w:rFonts w:ascii="宋体"/>
              </w:rPr>
            </w:pPr>
          </w:p>
        </w:tc>
      </w:tr>
      <w:tr w:rsidR="00871BDF" w14:paraId="00BB0072" w14:textId="77777777">
        <w:tc>
          <w:tcPr>
            <w:tcW w:w="0" w:type="auto"/>
            <w:gridSpan w:val="3"/>
            <w:shd w:val="clear" w:color="auto" w:fill="FFFFFF"/>
            <w:tcMar>
              <w:top w:w="40" w:type="dxa"/>
              <w:left w:w="245" w:type="dxa"/>
              <w:bottom w:w="40" w:type="dxa"/>
              <w:right w:w="20" w:type="dxa"/>
            </w:tcMar>
            <w:vAlign w:val="bottom"/>
          </w:tcPr>
          <w:p w14:paraId="00BB0063" w14:textId="77777777" w:rsidR="00871BDF" w:rsidRDefault="005C5088">
            <w:pPr>
              <w:textAlignment w:val="bottom"/>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00BB0064" w14:textId="77777777" w:rsidR="00871BDF" w:rsidRDefault="005C5088">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00BB006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6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067" w14:textId="77777777" w:rsidR="00871BDF" w:rsidRDefault="005C5088">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00BB006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6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06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06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6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06D" w14:textId="77777777" w:rsidR="00871BDF" w:rsidRDefault="005C5088">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00BB006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6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070" w14:textId="77777777" w:rsidR="00871BDF" w:rsidRDefault="005C5088">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00BB0071" w14:textId="77777777" w:rsidR="00871BDF" w:rsidRDefault="00871BDF">
            <w:pPr>
              <w:jc w:val="right"/>
              <w:rPr>
                <w:rFonts w:ascii="宋体"/>
              </w:rPr>
            </w:pPr>
          </w:p>
        </w:tc>
      </w:tr>
      <w:tr w:rsidR="00871BDF" w14:paraId="00BB0082" w14:textId="77777777">
        <w:tc>
          <w:tcPr>
            <w:tcW w:w="0" w:type="auto"/>
            <w:gridSpan w:val="3"/>
            <w:shd w:val="clear" w:color="auto" w:fill="D7E4BC"/>
            <w:tcMar>
              <w:top w:w="40" w:type="dxa"/>
              <w:left w:w="20" w:type="dxa"/>
              <w:bottom w:w="40" w:type="dxa"/>
              <w:right w:w="20" w:type="dxa"/>
            </w:tcMar>
            <w:vAlign w:val="bottom"/>
          </w:tcPr>
          <w:p w14:paraId="00BB0073" w14:textId="77777777" w:rsidR="00871BDF" w:rsidRDefault="005C5088">
            <w:pPr>
              <w:textAlignment w:val="bottom"/>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074" w14:textId="77777777" w:rsidR="00871BDF" w:rsidRDefault="005C5088">
            <w:pPr>
              <w:jc w:val="right"/>
              <w:textAlignment w:val="bottom"/>
            </w:pPr>
            <w:r>
              <w:rPr>
                <w:rFonts w:ascii="Times New Roman" w:eastAsia="宋体" w:hAnsi="Times New Roman"/>
                <w:color w:val="000000"/>
                <w:sz w:val="20"/>
                <w:szCs w:val="20"/>
              </w:rPr>
              <w:t>8.8 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07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076"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077" w14:textId="77777777" w:rsidR="00871BDF" w:rsidRDefault="005C5088">
            <w:pPr>
              <w:jc w:val="right"/>
              <w:textAlignment w:val="bottom"/>
            </w:pPr>
            <w:r>
              <w:rPr>
                <w:rFonts w:ascii="Times New Roman" w:eastAsia="宋体" w:hAnsi="Times New Roman"/>
                <w:color w:val="000000"/>
                <w:sz w:val="20"/>
                <w:szCs w:val="20"/>
              </w:rPr>
              <w:t>(6.7)</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07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079"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07A" w14:textId="77777777" w:rsidR="00871BDF" w:rsidRDefault="005C5088">
            <w:pPr>
              <w:jc w:val="right"/>
              <w:textAlignment w:val="bottom"/>
            </w:pPr>
            <w:r>
              <w:rPr>
                <w:rFonts w:ascii="Times New Roman" w:eastAsia="宋体" w:hAnsi="Times New Roman"/>
                <w:color w:val="000000"/>
                <w:sz w:val="20"/>
                <w:szCs w:val="20"/>
              </w:rPr>
              <w:t>(29.7)</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07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07C"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07D" w14:textId="77777777" w:rsidR="00871BDF" w:rsidRDefault="005C5088">
            <w:pPr>
              <w:jc w:val="right"/>
              <w:textAlignment w:val="bottom"/>
            </w:pPr>
            <w:r>
              <w:rPr>
                <w:rFonts w:ascii="Times New Roman" w:eastAsia="宋体" w:hAnsi="Times New Roman"/>
                <w:color w:val="000000"/>
                <w:sz w:val="20"/>
                <w:szCs w:val="20"/>
              </w:rPr>
              <w:t>(145.4)</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07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07F"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080" w14:textId="77777777" w:rsidR="00871BDF" w:rsidRDefault="005C5088">
            <w:pPr>
              <w:jc w:val="right"/>
              <w:textAlignment w:val="bottom"/>
            </w:pPr>
            <w:r>
              <w:rPr>
                <w:rFonts w:ascii="Times New Roman" w:eastAsia="宋体" w:hAnsi="Times New Roman"/>
                <w:color w:val="000000"/>
                <w:sz w:val="20"/>
                <w:szCs w:val="20"/>
              </w:rPr>
              <w:t>(173.0)</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081" w14:textId="77777777" w:rsidR="00871BDF" w:rsidRDefault="00871BDF">
            <w:pPr>
              <w:jc w:val="right"/>
              <w:rPr>
                <w:rFonts w:ascii="宋体"/>
              </w:rPr>
            </w:pPr>
          </w:p>
        </w:tc>
      </w:tr>
      <w:tr w:rsidR="00871BDF" w14:paraId="00BB008D" w14:textId="77777777">
        <w:trPr>
          <w:hidden/>
        </w:trPr>
        <w:tc>
          <w:tcPr>
            <w:tcW w:w="0" w:type="auto"/>
            <w:gridSpan w:val="3"/>
            <w:shd w:val="clear" w:color="auto" w:fill="auto"/>
          </w:tcPr>
          <w:p w14:paraId="00BB0083" w14:textId="77777777" w:rsidR="00871BDF" w:rsidRDefault="00871BDF">
            <w:pPr>
              <w:rPr>
                <w:rFonts w:ascii="宋体"/>
                <w:vanish/>
              </w:rPr>
            </w:pPr>
          </w:p>
        </w:tc>
        <w:tc>
          <w:tcPr>
            <w:tcW w:w="0" w:type="auto"/>
            <w:gridSpan w:val="3"/>
            <w:shd w:val="clear" w:color="auto" w:fill="auto"/>
          </w:tcPr>
          <w:p w14:paraId="00BB0084" w14:textId="77777777" w:rsidR="00871BDF" w:rsidRDefault="00871BDF">
            <w:pPr>
              <w:rPr>
                <w:rFonts w:ascii="宋体"/>
                <w:vanish/>
              </w:rPr>
            </w:pPr>
          </w:p>
        </w:tc>
        <w:tc>
          <w:tcPr>
            <w:tcW w:w="0" w:type="auto"/>
            <w:gridSpan w:val="3"/>
            <w:shd w:val="clear" w:color="auto" w:fill="auto"/>
          </w:tcPr>
          <w:p w14:paraId="00BB0085" w14:textId="77777777" w:rsidR="00871BDF" w:rsidRDefault="00871BDF">
            <w:pPr>
              <w:rPr>
                <w:rFonts w:ascii="宋体"/>
                <w:vanish/>
              </w:rPr>
            </w:pPr>
          </w:p>
        </w:tc>
        <w:tc>
          <w:tcPr>
            <w:tcW w:w="0" w:type="auto"/>
            <w:gridSpan w:val="3"/>
            <w:shd w:val="clear" w:color="auto" w:fill="auto"/>
          </w:tcPr>
          <w:p w14:paraId="00BB0086" w14:textId="77777777" w:rsidR="00871BDF" w:rsidRDefault="00871BDF">
            <w:pPr>
              <w:rPr>
                <w:rFonts w:ascii="宋体"/>
                <w:vanish/>
              </w:rPr>
            </w:pPr>
          </w:p>
        </w:tc>
        <w:tc>
          <w:tcPr>
            <w:tcW w:w="0" w:type="auto"/>
            <w:gridSpan w:val="3"/>
            <w:shd w:val="clear" w:color="auto" w:fill="auto"/>
          </w:tcPr>
          <w:p w14:paraId="00BB0087" w14:textId="77777777" w:rsidR="00871BDF" w:rsidRDefault="00871BDF">
            <w:pPr>
              <w:rPr>
                <w:rFonts w:ascii="宋体"/>
                <w:vanish/>
              </w:rPr>
            </w:pPr>
          </w:p>
        </w:tc>
        <w:tc>
          <w:tcPr>
            <w:tcW w:w="0" w:type="auto"/>
            <w:gridSpan w:val="3"/>
            <w:shd w:val="clear" w:color="auto" w:fill="auto"/>
          </w:tcPr>
          <w:p w14:paraId="00BB0088" w14:textId="77777777" w:rsidR="00871BDF" w:rsidRDefault="00871BDF">
            <w:pPr>
              <w:rPr>
                <w:rFonts w:ascii="宋体"/>
                <w:vanish/>
              </w:rPr>
            </w:pPr>
          </w:p>
        </w:tc>
        <w:tc>
          <w:tcPr>
            <w:tcW w:w="0" w:type="auto"/>
            <w:gridSpan w:val="3"/>
            <w:shd w:val="clear" w:color="auto" w:fill="auto"/>
          </w:tcPr>
          <w:p w14:paraId="00BB0089" w14:textId="77777777" w:rsidR="00871BDF" w:rsidRDefault="00871BDF">
            <w:pPr>
              <w:rPr>
                <w:rFonts w:ascii="宋体"/>
                <w:vanish/>
              </w:rPr>
            </w:pPr>
          </w:p>
        </w:tc>
        <w:tc>
          <w:tcPr>
            <w:tcW w:w="0" w:type="auto"/>
            <w:gridSpan w:val="3"/>
            <w:shd w:val="clear" w:color="auto" w:fill="auto"/>
          </w:tcPr>
          <w:p w14:paraId="00BB008A" w14:textId="77777777" w:rsidR="00871BDF" w:rsidRDefault="00871BDF">
            <w:pPr>
              <w:rPr>
                <w:rFonts w:ascii="宋体"/>
                <w:vanish/>
              </w:rPr>
            </w:pPr>
          </w:p>
        </w:tc>
        <w:tc>
          <w:tcPr>
            <w:tcW w:w="0" w:type="auto"/>
            <w:gridSpan w:val="3"/>
            <w:shd w:val="clear" w:color="auto" w:fill="auto"/>
          </w:tcPr>
          <w:p w14:paraId="00BB008B" w14:textId="77777777" w:rsidR="00871BDF" w:rsidRDefault="00871BDF">
            <w:pPr>
              <w:rPr>
                <w:rFonts w:ascii="宋体"/>
                <w:vanish/>
              </w:rPr>
            </w:pPr>
          </w:p>
        </w:tc>
        <w:tc>
          <w:tcPr>
            <w:tcW w:w="0" w:type="auto"/>
            <w:gridSpan w:val="3"/>
            <w:shd w:val="clear" w:color="auto" w:fill="auto"/>
          </w:tcPr>
          <w:p w14:paraId="00BB008C" w14:textId="77777777" w:rsidR="00871BDF" w:rsidRDefault="00871BDF">
            <w:pPr>
              <w:rPr>
                <w:rFonts w:ascii="宋体"/>
                <w:vanish/>
              </w:rPr>
            </w:pPr>
          </w:p>
        </w:tc>
      </w:tr>
      <w:tr w:rsidR="00871BDF" w14:paraId="00BB00A2" w14:textId="77777777">
        <w:tc>
          <w:tcPr>
            <w:tcW w:w="0" w:type="auto"/>
            <w:gridSpan w:val="3"/>
            <w:shd w:val="clear" w:color="auto" w:fill="FFFFFF"/>
            <w:tcMar>
              <w:top w:w="40" w:type="dxa"/>
              <w:left w:w="20" w:type="dxa"/>
              <w:bottom w:w="40" w:type="dxa"/>
              <w:right w:w="20" w:type="dxa"/>
            </w:tcMar>
            <w:vAlign w:val="bottom"/>
          </w:tcPr>
          <w:p w14:paraId="00BB008E" w14:textId="77777777" w:rsidR="00871BDF" w:rsidRDefault="005C5088">
            <w:pPr>
              <w:textAlignment w:val="bottom"/>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08F"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090" w14:textId="77777777" w:rsidR="00871BDF" w:rsidRDefault="005C5088">
            <w:pPr>
              <w:jc w:val="right"/>
              <w:textAlignment w:val="bottom"/>
            </w:pPr>
            <w:r>
              <w:rPr>
                <w:rFonts w:ascii="Times New Roman" w:eastAsia="宋体" w:hAnsi="Times New Roman"/>
                <w:color w:val="000000"/>
                <w:sz w:val="20"/>
                <w:szCs w:val="20"/>
              </w:rPr>
              <w:t>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09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92"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093"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094" w14:textId="77777777" w:rsidR="00871BDF" w:rsidRDefault="005C5088">
            <w:pPr>
              <w:jc w:val="right"/>
              <w:textAlignment w:val="bottom"/>
            </w:pPr>
            <w:r>
              <w:rPr>
                <w:rFonts w:ascii="Times New Roman" w:eastAsia="宋体" w:hAnsi="Times New Roman"/>
                <w:color w:val="000000"/>
                <w:sz w:val="20"/>
                <w:szCs w:val="20"/>
              </w:rPr>
              <w:t>11.0 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09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96"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097"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098" w14:textId="77777777" w:rsidR="00871BDF" w:rsidRDefault="005C5088">
            <w:pPr>
              <w:jc w:val="right"/>
              <w:textAlignment w:val="bottom"/>
            </w:pPr>
            <w:r>
              <w:rPr>
                <w:rFonts w:ascii="Times New Roman" w:eastAsia="宋体" w:hAnsi="Times New Roman"/>
                <w:color w:val="000000"/>
                <w:sz w:val="20"/>
                <w:szCs w:val="20"/>
              </w:rPr>
              <w:t>(10.1)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09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9A"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09B"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09C" w14:textId="77777777" w:rsidR="00871BDF" w:rsidRDefault="005C5088">
            <w:pPr>
              <w:jc w:val="right"/>
              <w:textAlignment w:val="bottom"/>
            </w:pPr>
            <w:r>
              <w:rPr>
                <w:rFonts w:ascii="Times New Roman" w:eastAsia="宋体" w:hAnsi="Times New Roman"/>
                <w:color w:val="000000"/>
                <w:sz w:val="20"/>
                <w:szCs w:val="20"/>
              </w:rPr>
              <w:t>(508.1)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09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9E"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09F"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0A0" w14:textId="77777777" w:rsidR="00871BDF" w:rsidRDefault="005C5088">
            <w:pPr>
              <w:jc w:val="right"/>
              <w:textAlignment w:val="bottom"/>
            </w:pPr>
            <w:r>
              <w:rPr>
                <w:rFonts w:ascii="Times New Roman" w:eastAsia="宋体" w:hAnsi="Times New Roman"/>
                <w:color w:val="000000"/>
                <w:sz w:val="20"/>
                <w:szCs w:val="20"/>
              </w:rPr>
              <w:t>(503.3)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0A1" w14:textId="77777777" w:rsidR="00871BDF" w:rsidRDefault="00871BDF">
            <w:pPr>
              <w:jc w:val="right"/>
              <w:rPr>
                <w:rFonts w:ascii="宋体"/>
              </w:rPr>
            </w:pPr>
          </w:p>
        </w:tc>
      </w:tr>
    </w:tbl>
    <w:p w14:paraId="00BB00A3" w14:textId="77777777" w:rsidR="00871BDF" w:rsidRDefault="00871BDF">
      <w:pPr>
        <w:spacing w:before="120"/>
      </w:pPr>
    </w:p>
    <w:p w14:paraId="00BB00A4" w14:textId="77777777" w:rsidR="00871BDF" w:rsidRDefault="005C5088">
      <w:pPr>
        <w:jc w:val="center"/>
      </w:pPr>
      <w:r>
        <w:rPr>
          <w:rFonts w:ascii="Times New Roman" w:eastAsia="宋体" w:hAnsi="Times New Roman"/>
          <w:color w:val="000000"/>
          <w:sz w:val="20"/>
          <w:szCs w:val="20"/>
        </w:rPr>
        <w:t>80</w:t>
      </w:r>
    </w:p>
    <w:p w14:paraId="00BB00A5" w14:textId="77777777" w:rsidR="00871BDF" w:rsidRDefault="005C5088">
      <w:r>
        <w:pict w14:anchorId="00BB14B5">
          <v:rect id="_x0000_i1107" style="width:415.3pt;height:1.5pt" o:hralign="center" o:hrstd="t" o:hr="t" fillcolor="#a0a0a0" stroked="f"/>
        </w:pict>
      </w:r>
    </w:p>
    <w:p w14:paraId="00BB00A6" w14:textId="77777777" w:rsidR="00871BDF" w:rsidRDefault="005C5088">
      <w:hyperlink r:id="rId222" w:anchor="i54ccc64cb5384be5a4849ef1cdef4dde_7" w:history="1">
        <w:r>
          <w:rPr>
            <w:rStyle w:val="a5"/>
            <w:rFonts w:ascii="Times New Roman" w:eastAsia="宋体" w:hAnsi="Times New Roman"/>
            <w:sz w:val="20"/>
            <w:szCs w:val="20"/>
          </w:rPr>
          <w:t>Table of Contents</w:t>
        </w:r>
      </w:hyperlink>
    </w:p>
    <w:tbl>
      <w:tblPr>
        <w:tblW w:w="4963" w:type="pct"/>
        <w:tblCellMar>
          <w:top w:w="15" w:type="dxa"/>
          <w:left w:w="15" w:type="dxa"/>
          <w:bottom w:w="15" w:type="dxa"/>
          <w:right w:w="15" w:type="dxa"/>
        </w:tblCellMar>
        <w:tblLook w:val="04A0" w:firstRow="1" w:lastRow="0" w:firstColumn="1" w:lastColumn="0" w:noHBand="0" w:noVBand="1"/>
      </w:tblPr>
      <w:tblGrid>
        <w:gridCol w:w="40"/>
        <w:gridCol w:w="3262"/>
        <w:gridCol w:w="39"/>
        <w:gridCol w:w="126"/>
        <w:gridCol w:w="1187"/>
        <w:gridCol w:w="36"/>
        <w:gridCol w:w="36"/>
        <w:gridCol w:w="36"/>
        <w:gridCol w:w="36"/>
        <w:gridCol w:w="120"/>
        <w:gridCol w:w="460"/>
        <w:gridCol w:w="36"/>
        <w:gridCol w:w="36"/>
        <w:gridCol w:w="36"/>
        <w:gridCol w:w="36"/>
        <w:gridCol w:w="121"/>
        <w:gridCol w:w="722"/>
        <w:gridCol w:w="36"/>
        <w:gridCol w:w="36"/>
        <w:gridCol w:w="36"/>
        <w:gridCol w:w="36"/>
        <w:gridCol w:w="121"/>
        <w:gridCol w:w="760"/>
        <w:gridCol w:w="36"/>
        <w:gridCol w:w="36"/>
        <w:gridCol w:w="36"/>
        <w:gridCol w:w="36"/>
        <w:gridCol w:w="120"/>
        <w:gridCol w:w="584"/>
        <w:gridCol w:w="36"/>
      </w:tblGrid>
      <w:tr w:rsidR="00871BDF" w14:paraId="00BB00C5" w14:textId="77777777">
        <w:tc>
          <w:tcPr>
            <w:tcW w:w="50" w:type="pct"/>
            <w:shd w:val="clear" w:color="auto" w:fill="auto"/>
          </w:tcPr>
          <w:p w14:paraId="00BB00A7" w14:textId="77777777" w:rsidR="00871BDF" w:rsidRDefault="00871BDF">
            <w:pPr>
              <w:rPr>
                <w:rFonts w:ascii="宋体"/>
              </w:rPr>
            </w:pPr>
          </w:p>
        </w:tc>
        <w:tc>
          <w:tcPr>
            <w:tcW w:w="2146" w:type="pct"/>
            <w:shd w:val="clear" w:color="auto" w:fill="auto"/>
          </w:tcPr>
          <w:p w14:paraId="00BB00A8" w14:textId="77777777" w:rsidR="00871BDF" w:rsidRDefault="00871BDF">
            <w:pPr>
              <w:rPr>
                <w:rFonts w:ascii="宋体"/>
              </w:rPr>
            </w:pPr>
          </w:p>
        </w:tc>
        <w:tc>
          <w:tcPr>
            <w:tcW w:w="5" w:type="pct"/>
            <w:shd w:val="clear" w:color="auto" w:fill="auto"/>
          </w:tcPr>
          <w:p w14:paraId="00BB00A9" w14:textId="77777777" w:rsidR="00871BDF" w:rsidRDefault="00871BDF">
            <w:pPr>
              <w:rPr>
                <w:rFonts w:ascii="宋体"/>
              </w:rPr>
            </w:pPr>
          </w:p>
        </w:tc>
        <w:tc>
          <w:tcPr>
            <w:tcW w:w="50" w:type="pct"/>
            <w:shd w:val="clear" w:color="auto" w:fill="auto"/>
          </w:tcPr>
          <w:p w14:paraId="00BB00AA" w14:textId="77777777" w:rsidR="00871BDF" w:rsidRDefault="00871BDF">
            <w:pPr>
              <w:rPr>
                <w:rFonts w:ascii="宋体"/>
              </w:rPr>
            </w:pPr>
          </w:p>
        </w:tc>
        <w:tc>
          <w:tcPr>
            <w:tcW w:w="475" w:type="pct"/>
            <w:shd w:val="clear" w:color="auto" w:fill="auto"/>
          </w:tcPr>
          <w:p w14:paraId="00BB00AB" w14:textId="77777777" w:rsidR="00871BDF" w:rsidRDefault="00871BDF">
            <w:pPr>
              <w:rPr>
                <w:rFonts w:ascii="宋体"/>
              </w:rPr>
            </w:pPr>
          </w:p>
        </w:tc>
        <w:tc>
          <w:tcPr>
            <w:tcW w:w="5" w:type="pct"/>
            <w:shd w:val="clear" w:color="auto" w:fill="auto"/>
          </w:tcPr>
          <w:p w14:paraId="00BB00AC" w14:textId="77777777" w:rsidR="00871BDF" w:rsidRDefault="00871BDF">
            <w:pPr>
              <w:rPr>
                <w:rFonts w:ascii="宋体"/>
              </w:rPr>
            </w:pPr>
          </w:p>
        </w:tc>
        <w:tc>
          <w:tcPr>
            <w:tcW w:w="5" w:type="pct"/>
            <w:shd w:val="clear" w:color="auto" w:fill="auto"/>
          </w:tcPr>
          <w:p w14:paraId="00BB00AD" w14:textId="77777777" w:rsidR="00871BDF" w:rsidRDefault="00871BDF">
            <w:pPr>
              <w:rPr>
                <w:rFonts w:ascii="宋体"/>
              </w:rPr>
            </w:pPr>
          </w:p>
        </w:tc>
        <w:tc>
          <w:tcPr>
            <w:tcW w:w="26" w:type="pct"/>
            <w:shd w:val="clear" w:color="auto" w:fill="auto"/>
          </w:tcPr>
          <w:p w14:paraId="00BB00AE" w14:textId="77777777" w:rsidR="00871BDF" w:rsidRDefault="00871BDF">
            <w:pPr>
              <w:rPr>
                <w:rFonts w:ascii="宋体"/>
              </w:rPr>
            </w:pPr>
          </w:p>
        </w:tc>
        <w:tc>
          <w:tcPr>
            <w:tcW w:w="5" w:type="pct"/>
            <w:shd w:val="clear" w:color="auto" w:fill="auto"/>
          </w:tcPr>
          <w:p w14:paraId="00BB00AF" w14:textId="77777777" w:rsidR="00871BDF" w:rsidRDefault="00871BDF">
            <w:pPr>
              <w:rPr>
                <w:rFonts w:ascii="宋体"/>
              </w:rPr>
            </w:pPr>
          </w:p>
        </w:tc>
        <w:tc>
          <w:tcPr>
            <w:tcW w:w="50" w:type="pct"/>
            <w:shd w:val="clear" w:color="auto" w:fill="auto"/>
          </w:tcPr>
          <w:p w14:paraId="00BB00B0" w14:textId="77777777" w:rsidR="00871BDF" w:rsidRDefault="00871BDF">
            <w:pPr>
              <w:rPr>
                <w:rFonts w:ascii="宋体"/>
              </w:rPr>
            </w:pPr>
          </w:p>
        </w:tc>
        <w:tc>
          <w:tcPr>
            <w:tcW w:w="475" w:type="pct"/>
            <w:shd w:val="clear" w:color="auto" w:fill="auto"/>
          </w:tcPr>
          <w:p w14:paraId="00BB00B1" w14:textId="77777777" w:rsidR="00871BDF" w:rsidRDefault="00871BDF">
            <w:pPr>
              <w:rPr>
                <w:rFonts w:ascii="宋体"/>
              </w:rPr>
            </w:pPr>
          </w:p>
        </w:tc>
        <w:tc>
          <w:tcPr>
            <w:tcW w:w="5" w:type="pct"/>
            <w:shd w:val="clear" w:color="auto" w:fill="auto"/>
          </w:tcPr>
          <w:p w14:paraId="00BB00B2" w14:textId="77777777" w:rsidR="00871BDF" w:rsidRDefault="00871BDF">
            <w:pPr>
              <w:rPr>
                <w:rFonts w:ascii="宋体"/>
              </w:rPr>
            </w:pPr>
          </w:p>
        </w:tc>
        <w:tc>
          <w:tcPr>
            <w:tcW w:w="5" w:type="pct"/>
            <w:shd w:val="clear" w:color="auto" w:fill="auto"/>
          </w:tcPr>
          <w:p w14:paraId="00BB00B3" w14:textId="77777777" w:rsidR="00871BDF" w:rsidRDefault="00871BDF">
            <w:pPr>
              <w:rPr>
                <w:rFonts w:ascii="宋体"/>
              </w:rPr>
            </w:pPr>
          </w:p>
        </w:tc>
        <w:tc>
          <w:tcPr>
            <w:tcW w:w="26" w:type="pct"/>
            <w:shd w:val="clear" w:color="auto" w:fill="auto"/>
          </w:tcPr>
          <w:p w14:paraId="00BB00B4" w14:textId="77777777" w:rsidR="00871BDF" w:rsidRDefault="00871BDF">
            <w:pPr>
              <w:rPr>
                <w:rFonts w:ascii="宋体"/>
              </w:rPr>
            </w:pPr>
          </w:p>
        </w:tc>
        <w:tc>
          <w:tcPr>
            <w:tcW w:w="5" w:type="pct"/>
            <w:shd w:val="clear" w:color="auto" w:fill="auto"/>
          </w:tcPr>
          <w:p w14:paraId="00BB00B5" w14:textId="77777777" w:rsidR="00871BDF" w:rsidRDefault="00871BDF">
            <w:pPr>
              <w:rPr>
                <w:rFonts w:ascii="宋体"/>
              </w:rPr>
            </w:pPr>
          </w:p>
        </w:tc>
        <w:tc>
          <w:tcPr>
            <w:tcW w:w="50" w:type="pct"/>
            <w:shd w:val="clear" w:color="auto" w:fill="auto"/>
          </w:tcPr>
          <w:p w14:paraId="00BB00B6" w14:textId="77777777" w:rsidR="00871BDF" w:rsidRDefault="00871BDF">
            <w:pPr>
              <w:rPr>
                <w:rFonts w:ascii="宋体"/>
              </w:rPr>
            </w:pPr>
          </w:p>
        </w:tc>
        <w:tc>
          <w:tcPr>
            <w:tcW w:w="475" w:type="pct"/>
            <w:shd w:val="clear" w:color="auto" w:fill="auto"/>
          </w:tcPr>
          <w:p w14:paraId="00BB00B7" w14:textId="77777777" w:rsidR="00871BDF" w:rsidRDefault="00871BDF">
            <w:pPr>
              <w:rPr>
                <w:rFonts w:ascii="宋体"/>
              </w:rPr>
            </w:pPr>
          </w:p>
        </w:tc>
        <w:tc>
          <w:tcPr>
            <w:tcW w:w="5" w:type="pct"/>
            <w:shd w:val="clear" w:color="auto" w:fill="auto"/>
          </w:tcPr>
          <w:p w14:paraId="00BB00B8" w14:textId="77777777" w:rsidR="00871BDF" w:rsidRDefault="00871BDF">
            <w:pPr>
              <w:rPr>
                <w:rFonts w:ascii="宋体"/>
              </w:rPr>
            </w:pPr>
          </w:p>
        </w:tc>
        <w:tc>
          <w:tcPr>
            <w:tcW w:w="5" w:type="pct"/>
            <w:shd w:val="clear" w:color="auto" w:fill="auto"/>
          </w:tcPr>
          <w:p w14:paraId="00BB00B9" w14:textId="77777777" w:rsidR="00871BDF" w:rsidRDefault="00871BDF">
            <w:pPr>
              <w:rPr>
                <w:rFonts w:ascii="宋体"/>
              </w:rPr>
            </w:pPr>
          </w:p>
        </w:tc>
        <w:tc>
          <w:tcPr>
            <w:tcW w:w="26" w:type="pct"/>
            <w:shd w:val="clear" w:color="auto" w:fill="auto"/>
          </w:tcPr>
          <w:p w14:paraId="00BB00BA" w14:textId="77777777" w:rsidR="00871BDF" w:rsidRDefault="00871BDF">
            <w:pPr>
              <w:rPr>
                <w:rFonts w:ascii="宋体"/>
              </w:rPr>
            </w:pPr>
          </w:p>
        </w:tc>
        <w:tc>
          <w:tcPr>
            <w:tcW w:w="5" w:type="pct"/>
            <w:shd w:val="clear" w:color="auto" w:fill="auto"/>
          </w:tcPr>
          <w:p w14:paraId="00BB00BB" w14:textId="77777777" w:rsidR="00871BDF" w:rsidRDefault="00871BDF">
            <w:pPr>
              <w:rPr>
                <w:rFonts w:ascii="宋体"/>
              </w:rPr>
            </w:pPr>
          </w:p>
        </w:tc>
        <w:tc>
          <w:tcPr>
            <w:tcW w:w="50" w:type="pct"/>
            <w:shd w:val="clear" w:color="auto" w:fill="auto"/>
          </w:tcPr>
          <w:p w14:paraId="00BB00BC" w14:textId="77777777" w:rsidR="00871BDF" w:rsidRDefault="00871BDF">
            <w:pPr>
              <w:rPr>
                <w:rFonts w:ascii="宋体"/>
              </w:rPr>
            </w:pPr>
          </w:p>
        </w:tc>
        <w:tc>
          <w:tcPr>
            <w:tcW w:w="475" w:type="pct"/>
            <w:shd w:val="clear" w:color="auto" w:fill="auto"/>
          </w:tcPr>
          <w:p w14:paraId="00BB00BD" w14:textId="77777777" w:rsidR="00871BDF" w:rsidRDefault="00871BDF">
            <w:pPr>
              <w:rPr>
                <w:rFonts w:ascii="宋体"/>
              </w:rPr>
            </w:pPr>
          </w:p>
        </w:tc>
        <w:tc>
          <w:tcPr>
            <w:tcW w:w="5" w:type="pct"/>
            <w:shd w:val="clear" w:color="auto" w:fill="auto"/>
          </w:tcPr>
          <w:p w14:paraId="00BB00BE" w14:textId="77777777" w:rsidR="00871BDF" w:rsidRDefault="00871BDF">
            <w:pPr>
              <w:rPr>
                <w:rFonts w:ascii="宋体"/>
              </w:rPr>
            </w:pPr>
          </w:p>
        </w:tc>
        <w:tc>
          <w:tcPr>
            <w:tcW w:w="5" w:type="pct"/>
            <w:shd w:val="clear" w:color="auto" w:fill="auto"/>
          </w:tcPr>
          <w:p w14:paraId="00BB00BF" w14:textId="77777777" w:rsidR="00871BDF" w:rsidRDefault="00871BDF">
            <w:pPr>
              <w:rPr>
                <w:rFonts w:ascii="宋体"/>
              </w:rPr>
            </w:pPr>
          </w:p>
        </w:tc>
        <w:tc>
          <w:tcPr>
            <w:tcW w:w="26" w:type="pct"/>
            <w:shd w:val="clear" w:color="auto" w:fill="auto"/>
          </w:tcPr>
          <w:p w14:paraId="00BB00C0" w14:textId="77777777" w:rsidR="00871BDF" w:rsidRDefault="00871BDF">
            <w:pPr>
              <w:rPr>
                <w:rFonts w:ascii="宋体"/>
              </w:rPr>
            </w:pPr>
          </w:p>
        </w:tc>
        <w:tc>
          <w:tcPr>
            <w:tcW w:w="5" w:type="pct"/>
            <w:shd w:val="clear" w:color="auto" w:fill="auto"/>
          </w:tcPr>
          <w:p w14:paraId="00BB00C1" w14:textId="77777777" w:rsidR="00871BDF" w:rsidRDefault="00871BDF">
            <w:pPr>
              <w:rPr>
                <w:rFonts w:ascii="宋体"/>
              </w:rPr>
            </w:pPr>
          </w:p>
        </w:tc>
        <w:tc>
          <w:tcPr>
            <w:tcW w:w="50" w:type="pct"/>
            <w:shd w:val="clear" w:color="auto" w:fill="auto"/>
          </w:tcPr>
          <w:p w14:paraId="00BB00C2" w14:textId="77777777" w:rsidR="00871BDF" w:rsidRDefault="00871BDF">
            <w:pPr>
              <w:rPr>
                <w:rFonts w:ascii="宋体"/>
              </w:rPr>
            </w:pPr>
          </w:p>
        </w:tc>
        <w:tc>
          <w:tcPr>
            <w:tcW w:w="475" w:type="pct"/>
            <w:shd w:val="clear" w:color="auto" w:fill="auto"/>
          </w:tcPr>
          <w:p w14:paraId="00BB00C3" w14:textId="77777777" w:rsidR="00871BDF" w:rsidRDefault="00871BDF">
            <w:pPr>
              <w:rPr>
                <w:rFonts w:ascii="宋体"/>
              </w:rPr>
            </w:pPr>
          </w:p>
        </w:tc>
        <w:tc>
          <w:tcPr>
            <w:tcW w:w="5" w:type="pct"/>
            <w:shd w:val="clear" w:color="auto" w:fill="auto"/>
          </w:tcPr>
          <w:p w14:paraId="00BB00C4" w14:textId="77777777" w:rsidR="00871BDF" w:rsidRDefault="00871BDF">
            <w:pPr>
              <w:rPr>
                <w:rFonts w:ascii="宋体"/>
              </w:rPr>
            </w:pPr>
          </w:p>
        </w:tc>
      </w:tr>
      <w:tr w:rsidR="00871BDF" w14:paraId="00BB00D0" w14:textId="77777777">
        <w:tc>
          <w:tcPr>
            <w:tcW w:w="0" w:type="auto"/>
            <w:gridSpan w:val="3"/>
            <w:shd w:val="clear" w:color="auto" w:fill="auto"/>
            <w:tcMar>
              <w:top w:w="40" w:type="dxa"/>
              <w:left w:w="20" w:type="dxa"/>
              <w:bottom w:w="40" w:type="dxa"/>
              <w:right w:w="20" w:type="dxa"/>
            </w:tcMar>
            <w:vAlign w:val="bottom"/>
          </w:tcPr>
          <w:p w14:paraId="00BB00C6" w14:textId="77777777" w:rsidR="00871BDF" w:rsidRDefault="005C5088">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00BB00C7" w14:textId="77777777" w:rsidR="00871BDF" w:rsidRDefault="005C5088">
            <w:pPr>
              <w:jc w:val="center"/>
              <w:textAlignment w:val="bottom"/>
            </w:pPr>
            <w:r>
              <w:rPr>
                <w:rFonts w:ascii="Times New Roman" w:eastAsia="宋体" w:hAnsi="Times New Roman"/>
                <w:b/>
                <w:bCs/>
                <w:color w:val="FFFFFF"/>
                <w:sz w:val="16"/>
                <w:szCs w:val="16"/>
              </w:rPr>
              <w:t> Available-for-Sale Securities</w:t>
            </w:r>
          </w:p>
        </w:tc>
        <w:tc>
          <w:tcPr>
            <w:tcW w:w="0" w:type="auto"/>
            <w:gridSpan w:val="3"/>
            <w:shd w:val="clear" w:color="auto" w:fill="auto"/>
            <w:tcMar>
              <w:top w:w="0" w:type="dxa"/>
              <w:left w:w="20" w:type="dxa"/>
              <w:bottom w:w="0" w:type="dxa"/>
              <w:right w:w="20" w:type="dxa"/>
            </w:tcMar>
          </w:tcPr>
          <w:p w14:paraId="00BB00C8"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0C9" w14:textId="77777777" w:rsidR="00871BDF" w:rsidRDefault="005C5088">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tcPr>
          <w:p w14:paraId="00BB00C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0CB" w14:textId="77777777" w:rsidR="00871BDF" w:rsidRDefault="005C5088">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tcPr>
          <w:p w14:paraId="00BB00C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0CD" w14:textId="77777777" w:rsidR="00871BDF" w:rsidRDefault="005C5088">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tcPr>
          <w:p w14:paraId="00BB00CE"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0CF" w14:textId="77777777" w:rsidR="00871BDF" w:rsidRDefault="005C5088">
            <w:pPr>
              <w:jc w:val="center"/>
              <w:textAlignment w:val="bottom"/>
            </w:pPr>
            <w:r>
              <w:rPr>
                <w:rFonts w:ascii="Times New Roman" w:eastAsia="宋体" w:hAnsi="Times New Roman"/>
                <w:b/>
                <w:bCs/>
                <w:color w:val="FFFFFF"/>
                <w:sz w:val="16"/>
                <w:szCs w:val="16"/>
              </w:rPr>
              <w:t>Total</w:t>
            </w:r>
          </w:p>
        </w:tc>
      </w:tr>
      <w:tr w:rsidR="00871BDF" w14:paraId="00BB00DB" w14:textId="77777777">
        <w:tc>
          <w:tcPr>
            <w:tcW w:w="0" w:type="auto"/>
            <w:gridSpan w:val="3"/>
            <w:shd w:val="clear" w:color="auto" w:fill="D7E4BC"/>
            <w:tcMar>
              <w:top w:w="40" w:type="dxa"/>
              <w:left w:w="20" w:type="dxa"/>
              <w:bottom w:w="40" w:type="dxa"/>
              <w:right w:w="20" w:type="dxa"/>
            </w:tcMar>
            <w:vAlign w:val="bottom"/>
          </w:tcPr>
          <w:p w14:paraId="00BB00D1" w14:textId="77777777" w:rsidR="00871BDF" w:rsidRDefault="005C5088">
            <w:pPr>
              <w:textAlignment w:val="bottom"/>
            </w:pPr>
            <w:r>
              <w:rPr>
                <w:rFonts w:ascii="Times New Roman" w:eastAsia="宋体" w:hAnsi="Times New Roman"/>
                <w:i/>
                <w:iCs/>
                <w:color w:val="000000"/>
                <w:sz w:val="20"/>
                <w:szCs w:val="20"/>
              </w:rPr>
              <w:t>September 30, 2018</w:t>
            </w:r>
          </w:p>
        </w:tc>
        <w:tc>
          <w:tcPr>
            <w:tcW w:w="0" w:type="auto"/>
            <w:gridSpan w:val="3"/>
            <w:tcBorders>
              <w:top w:val="single" w:sz="8" w:space="0" w:color="000000"/>
            </w:tcBorders>
            <w:shd w:val="clear" w:color="auto" w:fill="D7E4BC"/>
            <w:tcMar>
              <w:top w:w="0" w:type="dxa"/>
              <w:left w:w="20" w:type="dxa"/>
              <w:bottom w:w="0" w:type="dxa"/>
              <w:right w:w="20" w:type="dxa"/>
            </w:tcMar>
          </w:tcPr>
          <w:p w14:paraId="00BB00D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0D3"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0D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0D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0D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0D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0D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0D9"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0DA" w14:textId="77777777" w:rsidR="00871BDF" w:rsidRDefault="00871BDF">
            <w:pPr>
              <w:rPr>
                <w:rFonts w:ascii="宋体"/>
              </w:rPr>
            </w:pPr>
          </w:p>
        </w:tc>
      </w:tr>
      <w:tr w:rsidR="00871BDF" w14:paraId="00BB00F0" w14:textId="77777777">
        <w:tc>
          <w:tcPr>
            <w:tcW w:w="0" w:type="auto"/>
            <w:gridSpan w:val="3"/>
            <w:shd w:val="clear" w:color="auto" w:fill="FFFFFF"/>
            <w:tcMar>
              <w:top w:w="40" w:type="dxa"/>
              <w:left w:w="20" w:type="dxa"/>
              <w:bottom w:w="40" w:type="dxa"/>
              <w:right w:w="20" w:type="dxa"/>
            </w:tcMar>
            <w:vAlign w:val="bottom"/>
          </w:tcPr>
          <w:p w14:paraId="00BB00DC" w14:textId="77777777" w:rsidR="00871BDF" w:rsidRDefault="005C5088">
            <w:pPr>
              <w:textAlignment w:val="bottom"/>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00BB00DD"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0DE" w14:textId="77777777" w:rsidR="00871BDF" w:rsidRDefault="005C5088">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00BB00D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E0"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0E1"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0E2" w14:textId="77777777" w:rsidR="00871BDF" w:rsidRDefault="005C5088">
            <w:pPr>
              <w:jc w:val="right"/>
              <w:textAlignment w:val="bottom"/>
            </w:pPr>
            <w:r>
              <w:rPr>
                <w:rFonts w:ascii="Times New Roman" w:eastAsia="宋体" w:hAnsi="Times New Roman"/>
                <w:color w:val="000000"/>
                <w:sz w:val="20"/>
                <w:szCs w:val="20"/>
              </w:rPr>
              <w:t>(4.1)</w:t>
            </w:r>
          </w:p>
        </w:tc>
        <w:tc>
          <w:tcPr>
            <w:tcW w:w="0" w:type="auto"/>
            <w:shd w:val="clear" w:color="auto" w:fill="FFFFFF"/>
            <w:tcMar>
              <w:top w:w="40" w:type="dxa"/>
              <w:left w:w="0" w:type="dxa"/>
              <w:bottom w:w="40" w:type="dxa"/>
              <w:right w:w="20" w:type="dxa"/>
            </w:tcMar>
            <w:vAlign w:val="bottom"/>
          </w:tcPr>
          <w:p w14:paraId="00BB00E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E4"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0E5"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0E6" w14:textId="77777777" w:rsidR="00871BDF" w:rsidRDefault="005C5088">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00BB00E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E8"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0E9"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0EA" w14:textId="77777777" w:rsidR="00871BDF" w:rsidRDefault="005C5088">
            <w:pPr>
              <w:jc w:val="right"/>
              <w:textAlignment w:val="bottom"/>
            </w:pPr>
            <w:r>
              <w:rPr>
                <w:rFonts w:ascii="Times New Roman" w:eastAsia="宋体" w:hAnsi="Times New Roman"/>
                <w:color w:val="000000"/>
                <w:sz w:val="20"/>
                <w:szCs w:val="20"/>
              </w:rPr>
              <w:t>(163.0)</w:t>
            </w:r>
          </w:p>
        </w:tc>
        <w:tc>
          <w:tcPr>
            <w:tcW w:w="0" w:type="auto"/>
            <w:shd w:val="clear" w:color="auto" w:fill="FFFFFF"/>
            <w:tcMar>
              <w:top w:w="40" w:type="dxa"/>
              <w:left w:w="0" w:type="dxa"/>
              <w:bottom w:w="40" w:type="dxa"/>
              <w:right w:w="20" w:type="dxa"/>
            </w:tcMar>
            <w:vAlign w:val="bottom"/>
          </w:tcPr>
          <w:p w14:paraId="00BB00E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0EC"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0ED"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0EE" w14:textId="77777777" w:rsidR="00871BDF" w:rsidRDefault="005C5088">
            <w:pPr>
              <w:jc w:val="right"/>
              <w:textAlignment w:val="bottom"/>
            </w:pPr>
            <w:r>
              <w:rPr>
                <w:rFonts w:ascii="Times New Roman" w:eastAsia="宋体" w:hAnsi="Times New Roman"/>
                <w:color w:val="000000"/>
                <w:sz w:val="20"/>
                <w:szCs w:val="20"/>
              </w:rPr>
              <w:t>(155.6)</w:t>
            </w:r>
          </w:p>
        </w:tc>
        <w:tc>
          <w:tcPr>
            <w:tcW w:w="0" w:type="auto"/>
            <w:shd w:val="clear" w:color="auto" w:fill="FFFFFF"/>
            <w:tcMar>
              <w:top w:w="40" w:type="dxa"/>
              <w:left w:w="0" w:type="dxa"/>
              <w:bottom w:w="40" w:type="dxa"/>
              <w:right w:w="20" w:type="dxa"/>
            </w:tcMar>
            <w:vAlign w:val="bottom"/>
          </w:tcPr>
          <w:p w14:paraId="00BB00EF" w14:textId="77777777" w:rsidR="00871BDF" w:rsidRDefault="00871BDF">
            <w:pPr>
              <w:jc w:val="right"/>
              <w:rPr>
                <w:rFonts w:ascii="宋体"/>
              </w:rPr>
            </w:pPr>
          </w:p>
        </w:tc>
      </w:tr>
      <w:tr w:rsidR="00871BDF" w14:paraId="00BB0100" w14:textId="77777777">
        <w:tc>
          <w:tcPr>
            <w:tcW w:w="0" w:type="auto"/>
            <w:gridSpan w:val="3"/>
            <w:shd w:val="clear" w:color="auto" w:fill="D7E4BC"/>
            <w:tcMar>
              <w:top w:w="40" w:type="dxa"/>
              <w:left w:w="245" w:type="dxa"/>
              <w:bottom w:w="40" w:type="dxa"/>
              <w:right w:w="20" w:type="dxa"/>
            </w:tcMar>
            <w:vAlign w:val="bottom"/>
          </w:tcPr>
          <w:p w14:paraId="00BB00F1" w14:textId="77777777" w:rsidR="00871BDF" w:rsidRDefault="005C5088">
            <w:pPr>
              <w:textAlignment w:val="bottom"/>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00BB00F2" w14:textId="77777777" w:rsidR="00871BDF" w:rsidRDefault="005C5088">
            <w:pPr>
              <w:jc w:val="right"/>
              <w:textAlignment w:val="bottom"/>
            </w:pPr>
            <w:r>
              <w:rPr>
                <w:rFonts w:ascii="Times New Roman" w:eastAsia="宋体" w:hAnsi="Times New Roman"/>
                <w:color w:val="000000"/>
                <w:sz w:val="20"/>
                <w:szCs w:val="20"/>
              </w:rPr>
              <w:t>(5.1)</w:t>
            </w:r>
          </w:p>
        </w:tc>
        <w:tc>
          <w:tcPr>
            <w:tcW w:w="0" w:type="auto"/>
            <w:shd w:val="clear" w:color="auto" w:fill="D7E4BC"/>
            <w:tcMar>
              <w:top w:w="40" w:type="dxa"/>
              <w:left w:w="0" w:type="dxa"/>
              <w:bottom w:w="40" w:type="dxa"/>
              <w:right w:w="20" w:type="dxa"/>
            </w:tcMar>
            <w:vAlign w:val="bottom"/>
          </w:tcPr>
          <w:p w14:paraId="00BB00F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0F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0F5" w14:textId="77777777" w:rsidR="00871BDF" w:rsidRDefault="005C5088">
            <w:pPr>
              <w:jc w:val="right"/>
              <w:textAlignment w:val="bottom"/>
            </w:pPr>
            <w:r>
              <w:rPr>
                <w:rFonts w:ascii="Times New Roman" w:eastAsia="宋体" w:hAnsi="Times New Roman"/>
                <w:color w:val="000000"/>
                <w:sz w:val="20"/>
                <w:szCs w:val="20"/>
              </w:rPr>
              <w:t>17.9 </w:t>
            </w:r>
          </w:p>
        </w:tc>
        <w:tc>
          <w:tcPr>
            <w:tcW w:w="0" w:type="auto"/>
            <w:shd w:val="clear" w:color="auto" w:fill="D7E4BC"/>
            <w:tcMar>
              <w:top w:w="40" w:type="dxa"/>
              <w:left w:w="0" w:type="dxa"/>
              <w:bottom w:w="40" w:type="dxa"/>
              <w:right w:w="20" w:type="dxa"/>
            </w:tcMar>
            <w:vAlign w:val="bottom"/>
          </w:tcPr>
          <w:p w14:paraId="00BB00F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0F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0F8" w14:textId="77777777" w:rsidR="00871BDF" w:rsidRDefault="005C5088">
            <w:pPr>
              <w:jc w:val="right"/>
              <w:textAlignment w:val="bottom"/>
            </w:pPr>
            <w:r>
              <w:rPr>
                <w:rFonts w:ascii="Times New Roman" w:eastAsia="宋体" w:hAnsi="Times New Roman"/>
                <w:color w:val="000000"/>
                <w:sz w:val="20"/>
                <w:szCs w:val="20"/>
              </w:rPr>
              <w:t>5.6 </w:t>
            </w:r>
          </w:p>
        </w:tc>
        <w:tc>
          <w:tcPr>
            <w:tcW w:w="0" w:type="auto"/>
            <w:shd w:val="clear" w:color="auto" w:fill="D7E4BC"/>
            <w:tcMar>
              <w:top w:w="40" w:type="dxa"/>
              <w:left w:w="0" w:type="dxa"/>
              <w:bottom w:w="40" w:type="dxa"/>
              <w:right w:w="20" w:type="dxa"/>
            </w:tcMar>
            <w:vAlign w:val="bottom"/>
          </w:tcPr>
          <w:p w14:paraId="00BB00F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0F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0FB" w14:textId="77777777" w:rsidR="00871BDF" w:rsidRDefault="005C5088">
            <w:pPr>
              <w:jc w:val="right"/>
              <w:textAlignment w:val="bottom"/>
            </w:pPr>
            <w:r>
              <w:rPr>
                <w:rFonts w:ascii="Times New Roman" w:eastAsia="宋体" w:hAnsi="Times New Roman"/>
                <w:color w:val="000000"/>
                <w:sz w:val="20"/>
                <w:szCs w:val="20"/>
              </w:rPr>
              <w:t>(216.6)</w:t>
            </w:r>
          </w:p>
        </w:tc>
        <w:tc>
          <w:tcPr>
            <w:tcW w:w="0" w:type="auto"/>
            <w:shd w:val="clear" w:color="auto" w:fill="D7E4BC"/>
            <w:tcMar>
              <w:top w:w="40" w:type="dxa"/>
              <w:left w:w="0" w:type="dxa"/>
              <w:bottom w:w="40" w:type="dxa"/>
              <w:right w:w="20" w:type="dxa"/>
            </w:tcMar>
            <w:vAlign w:val="bottom"/>
          </w:tcPr>
          <w:p w14:paraId="00BB00F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0F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0FE" w14:textId="77777777" w:rsidR="00871BDF" w:rsidRDefault="005C5088">
            <w:pPr>
              <w:jc w:val="right"/>
              <w:textAlignment w:val="bottom"/>
            </w:pPr>
            <w:r>
              <w:rPr>
                <w:rFonts w:ascii="Times New Roman" w:eastAsia="宋体" w:hAnsi="Times New Roman"/>
                <w:color w:val="000000"/>
                <w:sz w:val="20"/>
                <w:szCs w:val="20"/>
              </w:rPr>
              <w:t>(198.2)</w:t>
            </w:r>
          </w:p>
        </w:tc>
        <w:tc>
          <w:tcPr>
            <w:tcW w:w="0" w:type="auto"/>
            <w:shd w:val="clear" w:color="auto" w:fill="D7E4BC"/>
            <w:tcMar>
              <w:top w:w="40" w:type="dxa"/>
              <w:left w:w="0" w:type="dxa"/>
              <w:bottom w:w="40" w:type="dxa"/>
              <w:right w:w="20" w:type="dxa"/>
            </w:tcMar>
            <w:vAlign w:val="bottom"/>
          </w:tcPr>
          <w:p w14:paraId="00BB00FF" w14:textId="77777777" w:rsidR="00871BDF" w:rsidRDefault="00871BDF">
            <w:pPr>
              <w:jc w:val="right"/>
              <w:rPr>
                <w:rFonts w:ascii="宋体"/>
              </w:rPr>
            </w:pPr>
          </w:p>
        </w:tc>
      </w:tr>
      <w:tr w:rsidR="00871BDF" w14:paraId="00BB0110" w14:textId="77777777">
        <w:tc>
          <w:tcPr>
            <w:tcW w:w="0" w:type="auto"/>
            <w:gridSpan w:val="3"/>
            <w:shd w:val="clear" w:color="auto" w:fill="FFFFFF"/>
            <w:tcMar>
              <w:top w:w="40" w:type="dxa"/>
              <w:left w:w="245" w:type="dxa"/>
              <w:bottom w:w="40" w:type="dxa"/>
              <w:right w:w="20" w:type="dxa"/>
            </w:tcMar>
            <w:vAlign w:val="bottom"/>
          </w:tcPr>
          <w:p w14:paraId="00BB0101" w14:textId="77777777" w:rsidR="00871BDF" w:rsidRDefault="005C5088">
            <w:pPr>
              <w:textAlignment w:val="bottom"/>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00BB0102" w14:textId="77777777" w:rsidR="00871BDF" w:rsidRDefault="005C5088">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left w:w="0" w:type="dxa"/>
              <w:bottom w:w="40" w:type="dxa"/>
              <w:right w:w="20" w:type="dxa"/>
            </w:tcMar>
            <w:vAlign w:val="bottom"/>
          </w:tcPr>
          <w:p w14:paraId="00BB010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0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105" w14:textId="77777777" w:rsidR="00871BDF" w:rsidRDefault="005C5088">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00BB010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0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10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10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0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10B" w14:textId="77777777" w:rsidR="00871BDF" w:rsidRDefault="005C5088">
            <w:pPr>
              <w:jc w:val="right"/>
              <w:textAlignment w:val="bottom"/>
            </w:pPr>
            <w:r>
              <w:rPr>
                <w:rFonts w:ascii="Times New Roman" w:eastAsia="宋体" w:hAnsi="Times New Roman"/>
                <w:color w:val="000000"/>
                <w:sz w:val="20"/>
                <w:szCs w:val="20"/>
              </w:rPr>
              <w:t>16.9 </w:t>
            </w:r>
          </w:p>
        </w:tc>
        <w:tc>
          <w:tcPr>
            <w:tcW w:w="0" w:type="auto"/>
            <w:shd w:val="clear" w:color="auto" w:fill="FFFFFF"/>
            <w:tcMar>
              <w:top w:w="40" w:type="dxa"/>
              <w:left w:w="0" w:type="dxa"/>
              <w:bottom w:w="40" w:type="dxa"/>
              <w:right w:w="20" w:type="dxa"/>
            </w:tcMar>
            <w:vAlign w:val="bottom"/>
          </w:tcPr>
          <w:p w14:paraId="00BB010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0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10E" w14:textId="77777777" w:rsidR="00871BDF" w:rsidRDefault="005C5088">
            <w:pPr>
              <w:jc w:val="right"/>
              <w:textAlignment w:val="bottom"/>
            </w:pPr>
            <w:r>
              <w:rPr>
                <w:rFonts w:ascii="Times New Roman" w:eastAsia="宋体" w:hAnsi="Times New Roman"/>
                <w:color w:val="000000"/>
                <w:sz w:val="20"/>
                <w:szCs w:val="20"/>
              </w:rPr>
              <w:t>23.5 </w:t>
            </w:r>
          </w:p>
        </w:tc>
        <w:tc>
          <w:tcPr>
            <w:tcW w:w="0" w:type="auto"/>
            <w:shd w:val="clear" w:color="auto" w:fill="FFFFFF"/>
            <w:tcMar>
              <w:top w:w="40" w:type="dxa"/>
              <w:left w:w="0" w:type="dxa"/>
              <w:bottom w:w="40" w:type="dxa"/>
              <w:right w:w="20" w:type="dxa"/>
            </w:tcMar>
            <w:vAlign w:val="bottom"/>
          </w:tcPr>
          <w:p w14:paraId="00BB010F" w14:textId="77777777" w:rsidR="00871BDF" w:rsidRDefault="00871BDF">
            <w:pPr>
              <w:jc w:val="right"/>
              <w:rPr>
                <w:rFonts w:ascii="宋体"/>
              </w:rPr>
            </w:pPr>
          </w:p>
        </w:tc>
      </w:tr>
      <w:tr w:rsidR="00871BDF" w14:paraId="00BB0120" w14:textId="77777777">
        <w:tc>
          <w:tcPr>
            <w:tcW w:w="0" w:type="auto"/>
            <w:gridSpan w:val="3"/>
            <w:shd w:val="clear" w:color="auto" w:fill="D7E4BC"/>
            <w:tcMar>
              <w:top w:w="40" w:type="dxa"/>
              <w:left w:w="20" w:type="dxa"/>
              <w:bottom w:w="40" w:type="dxa"/>
              <w:right w:w="20" w:type="dxa"/>
            </w:tcMar>
            <w:vAlign w:val="bottom"/>
          </w:tcPr>
          <w:p w14:paraId="00BB0111" w14:textId="77777777" w:rsidR="00871BDF" w:rsidRDefault="005C5088">
            <w:pPr>
              <w:textAlignment w:val="bottom"/>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112" w14:textId="77777777" w:rsidR="00871BDF" w:rsidRDefault="005C5088">
            <w:pPr>
              <w:jc w:val="right"/>
              <w:textAlignment w:val="bottom"/>
            </w:pPr>
            <w:r>
              <w:rPr>
                <w:rFonts w:ascii="Times New Roman" w:eastAsia="宋体" w:hAnsi="Times New Roman"/>
                <w:color w:val="000000"/>
                <w:sz w:val="20"/>
                <w:szCs w:val="20"/>
              </w:rPr>
              <w:t>(2.4)</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11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14"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115" w14:textId="77777777" w:rsidR="00871BDF" w:rsidRDefault="005C5088">
            <w:pPr>
              <w:jc w:val="right"/>
              <w:textAlignment w:val="bottom"/>
            </w:pPr>
            <w:r>
              <w:rPr>
                <w:rFonts w:ascii="Times New Roman" w:eastAsia="宋体" w:hAnsi="Times New Roman"/>
                <w:color w:val="000000"/>
                <w:sz w:val="20"/>
                <w:szCs w:val="20"/>
              </w:rPr>
              <w:t>21.8 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11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17"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118" w14:textId="77777777" w:rsidR="00871BDF" w:rsidRDefault="005C5088">
            <w:pPr>
              <w:jc w:val="right"/>
              <w:textAlignment w:val="bottom"/>
            </w:pPr>
            <w:r>
              <w:rPr>
                <w:rFonts w:ascii="Times New Roman" w:eastAsia="宋体" w:hAnsi="Times New Roman"/>
                <w:color w:val="000000"/>
                <w:sz w:val="20"/>
                <w:szCs w:val="20"/>
              </w:rPr>
              <w:t>5.6 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11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1A"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11B" w14:textId="77777777" w:rsidR="00871BDF" w:rsidRDefault="005C5088">
            <w:pPr>
              <w:jc w:val="right"/>
              <w:textAlignment w:val="bottom"/>
            </w:pPr>
            <w:r>
              <w:rPr>
                <w:rFonts w:ascii="Times New Roman" w:eastAsia="宋体" w:hAnsi="Times New Roman"/>
                <w:color w:val="000000"/>
                <w:sz w:val="20"/>
                <w:szCs w:val="20"/>
              </w:rPr>
              <w:t>(199.7)</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11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1D"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11E" w14:textId="77777777" w:rsidR="00871BDF" w:rsidRDefault="005C5088">
            <w:pPr>
              <w:jc w:val="right"/>
              <w:textAlignment w:val="bottom"/>
            </w:pPr>
            <w:r>
              <w:rPr>
                <w:rFonts w:ascii="Times New Roman" w:eastAsia="宋体" w:hAnsi="Times New Roman"/>
                <w:color w:val="000000"/>
                <w:sz w:val="20"/>
                <w:szCs w:val="20"/>
              </w:rPr>
              <w:t>(174.7)</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11F" w14:textId="77777777" w:rsidR="00871BDF" w:rsidRDefault="00871BDF">
            <w:pPr>
              <w:jc w:val="right"/>
              <w:rPr>
                <w:rFonts w:ascii="宋体"/>
              </w:rPr>
            </w:pPr>
          </w:p>
        </w:tc>
      </w:tr>
      <w:tr w:rsidR="00871BDF" w14:paraId="00BB012B" w14:textId="77777777">
        <w:trPr>
          <w:hidden/>
        </w:trPr>
        <w:tc>
          <w:tcPr>
            <w:tcW w:w="0" w:type="auto"/>
            <w:gridSpan w:val="3"/>
            <w:shd w:val="clear" w:color="auto" w:fill="auto"/>
          </w:tcPr>
          <w:p w14:paraId="00BB0121" w14:textId="77777777" w:rsidR="00871BDF" w:rsidRDefault="00871BDF">
            <w:pPr>
              <w:rPr>
                <w:rFonts w:ascii="宋体"/>
                <w:vanish/>
              </w:rPr>
            </w:pPr>
          </w:p>
        </w:tc>
        <w:tc>
          <w:tcPr>
            <w:tcW w:w="0" w:type="auto"/>
            <w:gridSpan w:val="3"/>
            <w:shd w:val="clear" w:color="auto" w:fill="auto"/>
          </w:tcPr>
          <w:p w14:paraId="00BB0122" w14:textId="77777777" w:rsidR="00871BDF" w:rsidRDefault="00871BDF">
            <w:pPr>
              <w:rPr>
                <w:rFonts w:ascii="宋体"/>
                <w:vanish/>
              </w:rPr>
            </w:pPr>
          </w:p>
        </w:tc>
        <w:tc>
          <w:tcPr>
            <w:tcW w:w="0" w:type="auto"/>
            <w:gridSpan w:val="3"/>
            <w:shd w:val="clear" w:color="auto" w:fill="auto"/>
          </w:tcPr>
          <w:p w14:paraId="00BB0123" w14:textId="77777777" w:rsidR="00871BDF" w:rsidRDefault="00871BDF">
            <w:pPr>
              <w:rPr>
                <w:rFonts w:ascii="宋体"/>
                <w:vanish/>
              </w:rPr>
            </w:pPr>
          </w:p>
        </w:tc>
        <w:tc>
          <w:tcPr>
            <w:tcW w:w="0" w:type="auto"/>
            <w:gridSpan w:val="3"/>
            <w:shd w:val="clear" w:color="auto" w:fill="auto"/>
          </w:tcPr>
          <w:p w14:paraId="00BB0124" w14:textId="77777777" w:rsidR="00871BDF" w:rsidRDefault="00871BDF">
            <w:pPr>
              <w:rPr>
                <w:rFonts w:ascii="宋体"/>
                <w:vanish/>
              </w:rPr>
            </w:pPr>
          </w:p>
        </w:tc>
        <w:tc>
          <w:tcPr>
            <w:tcW w:w="0" w:type="auto"/>
            <w:gridSpan w:val="3"/>
            <w:shd w:val="clear" w:color="auto" w:fill="auto"/>
          </w:tcPr>
          <w:p w14:paraId="00BB0125" w14:textId="77777777" w:rsidR="00871BDF" w:rsidRDefault="00871BDF">
            <w:pPr>
              <w:rPr>
                <w:rFonts w:ascii="宋体"/>
                <w:vanish/>
              </w:rPr>
            </w:pPr>
          </w:p>
        </w:tc>
        <w:tc>
          <w:tcPr>
            <w:tcW w:w="0" w:type="auto"/>
            <w:gridSpan w:val="3"/>
            <w:shd w:val="clear" w:color="auto" w:fill="auto"/>
          </w:tcPr>
          <w:p w14:paraId="00BB0126" w14:textId="77777777" w:rsidR="00871BDF" w:rsidRDefault="00871BDF">
            <w:pPr>
              <w:rPr>
                <w:rFonts w:ascii="宋体"/>
                <w:vanish/>
              </w:rPr>
            </w:pPr>
          </w:p>
        </w:tc>
        <w:tc>
          <w:tcPr>
            <w:tcW w:w="0" w:type="auto"/>
            <w:gridSpan w:val="3"/>
            <w:shd w:val="clear" w:color="auto" w:fill="auto"/>
          </w:tcPr>
          <w:p w14:paraId="00BB0127" w14:textId="77777777" w:rsidR="00871BDF" w:rsidRDefault="00871BDF">
            <w:pPr>
              <w:rPr>
                <w:rFonts w:ascii="宋体"/>
                <w:vanish/>
              </w:rPr>
            </w:pPr>
          </w:p>
        </w:tc>
        <w:tc>
          <w:tcPr>
            <w:tcW w:w="0" w:type="auto"/>
            <w:gridSpan w:val="3"/>
            <w:shd w:val="clear" w:color="auto" w:fill="auto"/>
          </w:tcPr>
          <w:p w14:paraId="00BB0128" w14:textId="77777777" w:rsidR="00871BDF" w:rsidRDefault="00871BDF">
            <w:pPr>
              <w:rPr>
                <w:rFonts w:ascii="宋体"/>
                <w:vanish/>
              </w:rPr>
            </w:pPr>
          </w:p>
        </w:tc>
        <w:tc>
          <w:tcPr>
            <w:tcW w:w="0" w:type="auto"/>
            <w:gridSpan w:val="3"/>
            <w:shd w:val="clear" w:color="auto" w:fill="auto"/>
          </w:tcPr>
          <w:p w14:paraId="00BB0129" w14:textId="77777777" w:rsidR="00871BDF" w:rsidRDefault="00871BDF">
            <w:pPr>
              <w:rPr>
                <w:rFonts w:ascii="宋体"/>
                <w:vanish/>
              </w:rPr>
            </w:pPr>
          </w:p>
        </w:tc>
        <w:tc>
          <w:tcPr>
            <w:tcW w:w="0" w:type="auto"/>
            <w:gridSpan w:val="3"/>
            <w:shd w:val="clear" w:color="auto" w:fill="auto"/>
          </w:tcPr>
          <w:p w14:paraId="00BB012A" w14:textId="77777777" w:rsidR="00871BDF" w:rsidRDefault="00871BDF">
            <w:pPr>
              <w:rPr>
                <w:rFonts w:ascii="宋体"/>
                <w:vanish/>
              </w:rPr>
            </w:pPr>
          </w:p>
        </w:tc>
      </w:tr>
      <w:tr w:rsidR="00871BDF" w14:paraId="00BB0140" w14:textId="77777777">
        <w:tc>
          <w:tcPr>
            <w:tcW w:w="0" w:type="auto"/>
            <w:gridSpan w:val="3"/>
            <w:shd w:val="clear" w:color="auto" w:fill="FFFFFF"/>
            <w:tcMar>
              <w:top w:w="40" w:type="dxa"/>
              <w:left w:w="20" w:type="dxa"/>
              <w:bottom w:w="40" w:type="dxa"/>
              <w:right w:w="20" w:type="dxa"/>
            </w:tcMar>
            <w:vAlign w:val="bottom"/>
          </w:tcPr>
          <w:p w14:paraId="00BB012C" w14:textId="77777777" w:rsidR="00871BDF" w:rsidRDefault="005C5088">
            <w:pPr>
              <w:textAlignment w:val="bottom"/>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12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12E" w14:textId="77777777" w:rsidR="00871BDF" w:rsidRDefault="005C5088">
            <w:pPr>
              <w:jc w:val="right"/>
              <w:textAlignment w:val="bottom"/>
            </w:pPr>
            <w:r>
              <w:rPr>
                <w:rFonts w:ascii="Times New Roman" w:eastAsia="宋体" w:hAnsi="Times New Roman"/>
                <w:color w:val="000000"/>
                <w:sz w:val="20"/>
                <w:szCs w:val="20"/>
              </w:rPr>
              <w:t>(4.9)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12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30"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13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132" w14:textId="77777777" w:rsidR="00871BDF" w:rsidRDefault="005C5088">
            <w:pPr>
              <w:jc w:val="right"/>
              <w:textAlignment w:val="bottom"/>
            </w:pPr>
            <w:r>
              <w:rPr>
                <w:rFonts w:ascii="Times New Roman" w:eastAsia="宋体" w:hAnsi="Times New Roman"/>
                <w:color w:val="000000"/>
                <w:sz w:val="20"/>
                <w:szCs w:val="20"/>
              </w:rPr>
              <w:t>17.7 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13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34"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13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136" w14:textId="77777777" w:rsidR="00871BDF" w:rsidRDefault="005C5088">
            <w:pPr>
              <w:jc w:val="right"/>
              <w:textAlignment w:val="bottom"/>
            </w:pPr>
            <w:r>
              <w:rPr>
                <w:rFonts w:ascii="Times New Roman" w:eastAsia="宋体" w:hAnsi="Times New Roman"/>
                <w:color w:val="000000"/>
                <w:sz w:val="20"/>
                <w:szCs w:val="20"/>
              </w:rPr>
              <w:t>19.6 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13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38"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13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13A" w14:textId="77777777" w:rsidR="00871BDF" w:rsidRDefault="005C5088">
            <w:pPr>
              <w:jc w:val="right"/>
              <w:textAlignment w:val="bottom"/>
            </w:pPr>
            <w:r>
              <w:rPr>
                <w:rFonts w:ascii="Times New Roman" w:eastAsia="宋体" w:hAnsi="Times New Roman"/>
                <w:color w:val="000000"/>
                <w:sz w:val="20"/>
                <w:szCs w:val="20"/>
              </w:rPr>
              <w:t>(362.7)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13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3C"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13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13E" w14:textId="77777777" w:rsidR="00871BDF" w:rsidRDefault="005C5088">
            <w:pPr>
              <w:jc w:val="right"/>
              <w:textAlignment w:val="bottom"/>
            </w:pPr>
            <w:r>
              <w:rPr>
                <w:rFonts w:ascii="Times New Roman" w:eastAsia="宋体" w:hAnsi="Times New Roman"/>
                <w:color w:val="000000"/>
                <w:sz w:val="20"/>
                <w:szCs w:val="20"/>
              </w:rPr>
              <w:t>(330.3)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13F" w14:textId="77777777" w:rsidR="00871BDF" w:rsidRDefault="00871BDF">
            <w:pPr>
              <w:jc w:val="right"/>
              <w:rPr>
                <w:rFonts w:ascii="宋体"/>
              </w:rPr>
            </w:pPr>
          </w:p>
        </w:tc>
      </w:tr>
    </w:tbl>
    <w:p w14:paraId="00BB0141" w14:textId="77777777" w:rsidR="00871BDF" w:rsidRDefault="005C5088">
      <w:pPr>
        <w:spacing w:before="120"/>
      </w:pPr>
      <w:r>
        <w:rPr>
          <w:rFonts w:ascii="Times New Roman" w:eastAsia="宋体" w:hAnsi="Times New Roman"/>
          <w:color w:val="000000"/>
          <w:sz w:val="20"/>
          <w:szCs w:val="20"/>
        </w:rPr>
        <w:t>Impact o</w:t>
      </w:r>
      <w:r>
        <w:rPr>
          <w:rFonts w:ascii="Times New Roman" w:eastAsia="宋体" w:hAnsi="Times New Roman"/>
          <w:color w:val="000000"/>
          <w:sz w:val="20"/>
          <w:szCs w:val="20"/>
        </w:rPr>
        <w:t xml:space="preserve">f reclassifications from AOCI on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50"/>
        <w:gridCol w:w="2294"/>
        <w:gridCol w:w="36"/>
        <w:gridCol w:w="36"/>
        <w:gridCol w:w="36"/>
        <w:gridCol w:w="36"/>
        <w:gridCol w:w="120"/>
        <w:gridCol w:w="658"/>
        <w:gridCol w:w="36"/>
        <w:gridCol w:w="36"/>
        <w:gridCol w:w="36"/>
        <w:gridCol w:w="36"/>
        <w:gridCol w:w="120"/>
        <w:gridCol w:w="670"/>
        <w:gridCol w:w="36"/>
        <w:gridCol w:w="36"/>
        <w:gridCol w:w="36"/>
        <w:gridCol w:w="36"/>
        <w:gridCol w:w="120"/>
        <w:gridCol w:w="658"/>
        <w:gridCol w:w="36"/>
        <w:gridCol w:w="36"/>
        <w:gridCol w:w="36"/>
        <w:gridCol w:w="36"/>
        <w:gridCol w:w="39"/>
        <w:gridCol w:w="2956"/>
        <w:gridCol w:w="38"/>
      </w:tblGrid>
      <w:tr w:rsidR="00871BDF" w14:paraId="00BB015D" w14:textId="77777777">
        <w:tc>
          <w:tcPr>
            <w:tcW w:w="50" w:type="pct"/>
            <w:shd w:val="clear" w:color="auto" w:fill="auto"/>
          </w:tcPr>
          <w:p w14:paraId="00BB0142" w14:textId="77777777" w:rsidR="00871BDF" w:rsidRDefault="00871BDF">
            <w:pPr>
              <w:rPr>
                <w:rFonts w:ascii="宋体"/>
              </w:rPr>
            </w:pPr>
          </w:p>
        </w:tc>
        <w:tc>
          <w:tcPr>
            <w:tcW w:w="1413" w:type="pct"/>
            <w:shd w:val="clear" w:color="auto" w:fill="auto"/>
          </w:tcPr>
          <w:p w14:paraId="00BB0143" w14:textId="77777777" w:rsidR="00871BDF" w:rsidRDefault="00871BDF">
            <w:pPr>
              <w:rPr>
                <w:rFonts w:ascii="宋体"/>
              </w:rPr>
            </w:pPr>
          </w:p>
        </w:tc>
        <w:tc>
          <w:tcPr>
            <w:tcW w:w="5" w:type="pct"/>
            <w:shd w:val="clear" w:color="auto" w:fill="auto"/>
          </w:tcPr>
          <w:p w14:paraId="00BB0144" w14:textId="77777777" w:rsidR="00871BDF" w:rsidRDefault="00871BDF">
            <w:pPr>
              <w:rPr>
                <w:rFonts w:ascii="宋体"/>
              </w:rPr>
            </w:pPr>
          </w:p>
        </w:tc>
        <w:tc>
          <w:tcPr>
            <w:tcW w:w="5" w:type="pct"/>
            <w:shd w:val="clear" w:color="auto" w:fill="auto"/>
          </w:tcPr>
          <w:p w14:paraId="00BB0145" w14:textId="77777777" w:rsidR="00871BDF" w:rsidRDefault="00871BDF">
            <w:pPr>
              <w:rPr>
                <w:rFonts w:ascii="宋体"/>
              </w:rPr>
            </w:pPr>
          </w:p>
        </w:tc>
        <w:tc>
          <w:tcPr>
            <w:tcW w:w="26" w:type="pct"/>
            <w:shd w:val="clear" w:color="auto" w:fill="auto"/>
          </w:tcPr>
          <w:p w14:paraId="00BB0146" w14:textId="77777777" w:rsidR="00871BDF" w:rsidRDefault="00871BDF">
            <w:pPr>
              <w:rPr>
                <w:rFonts w:ascii="宋体"/>
              </w:rPr>
            </w:pPr>
          </w:p>
        </w:tc>
        <w:tc>
          <w:tcPr>
            <w:tcW w:w="5" w:type="pct"/>
            <w:shd w:val="clear" w:color="auto" w:fill="auto"/>
          </w:tcPr>
          <w:p w14:paraId="00BB0147" w14:textId="77777777" w:rsidR="00871BDF" w:rsidRDefault="00871BDF">
            <w:pPr>
              <w:rPr>
                <w:rFonts w:ascii="宋体"/>
              </w:rPr>
            </w:pPr>
          </w:p>
        </w:tc>
        <w:tc>
          <w:tcPr>
            <w:tcW w:w="50" w:type="pct"/>
            <w:shd w:val="clear" w:color="auto" w:fill="auto"/>
          </w:tcPr>
          <w:p w14:paraId="00BB0148" w14:textId="77777777" w:rsidR="00871BDF" w:rsidRDefault="00871BDF">
            <w:pPr>
              <w:rPr>
                <w:rFonts w:ascii="宋体"/>
              </w:rPr>
            </w:pPr>
          </w:p>
        </w:tc>
        <w:tc>
          <w:tcPr>
            <w:tcW w:w="444" w:type="pct"/>
            <w:shd w:val="clear" w:color="auto" w:fill="auto"/>
          </w:tcPr>
          <w:p w14:paraId="00BB0149" w14:textId="77777777" w:rsidR="00871BDF" w:rsidRDefault="00871BDF">
            <w:pPr>
              <w:rPr>
                <w:rFonts w:ascii="宋体"/>
              </w:rPr>
            </w:pPr>
          </w:p>
        </w:tc>
        <w:tc>
          <w:tcPr>
            <w:tcW w:w="5" w:type="pct"/>
            <w:shd w:val="clear" w:color="auto" w:fill="auto"/>
          </w:tcPr>
          <w:p w14:paraId="00BB014A" w14:textId="77777777" w:rsidR="00871BDF" w:rsidRDefault="00871BDF">
            <w:pPr>
              <w:rPr>
                <w:rFonts w:ascii="宋体"/>
              </w:rPr>
            </w:pPr>
          </w:p>
        </w:tc>
        <w:tc>
          <w:tcPr>
            <w:tcW w:w="5" w:type="pct"/>
            <w:shd w:val="clear" w:color="auto" w:fill="auto"/>
          </w:tcPr>
          <w:p w14:paraId="00BB014B" w14:textId="77777777" w:rsidR="00871BDF" w:rsidRDefault="00871BDF">
            <w:pPr>
              <w:rPr>
                <w:rFonts w:ascii="宋体"/>
              </w:rPr>
            </w:pPr>
          </w:p>
        </w:tc>
        <w:tc>
          <w:tcPr>
            <w:tcW w:w="26" w:type="pct"/>
            <w:shd w:val="clear" w:color="auto" w:fill="auto"/>
          </w:tcPr>
          <w:p w14:paraId="00BB014C" w14:textId="77777777" w:rsidR="00871BDF" w:rsidRDefault="00871BDF">
            <w:pPr>
              <w:rPr>
                <w:rFonts w:ascii="宋体"/>
              </w:rPr>
            </w:pPr>
          </w:p>
        </w:tc>
        <w:tc>
          <w:tcPr>
            <w:tcW w:w="5" w:type="pct"/>
            <w:shd w:val="clear" w:color="auto" w:fill="auto"/>
          </w:tcPr>
          <w:p w14:paraId="00BB014D" w14:textId="77777777" w:rsidR="00871BDF" w:rsidRDefault="00871BDF">
            <w:pPr>
              <w:rPr>
                <w:rFonts w:ascii="宋体"/>
              </w:rPr>
            </w:pPr>
          </w:p>
        </w:tc>
        <w:tc>
          <w:tcPr>
            <w:tcW w:w="50" w:type="pct"/>
            <w:shd w:val="clear" w:color="auto" w:fill="auto"/>
          </w:tcPr>
          <w:p w14:paraId="00BB014E" w14:textId="77777777" w:rsidR="00871BDF" w:rsidRDefault="00871BDF">
            <w:pPr>
              <w:rPr>
                <w:rFonts w:ascii="宋体"/>
              </w:rPr>
            </w:pPr>
          </w:p>
        </w:tc>
        <w:tc>
          <w:tcPr>
            <w:tcW w:w="451" w:type="pct"/>
            <w:shd w:val="clear" w:color="auto" w:fill="auto"/>
          </w:tcPr>
          <w:p w14:paraId="00BB014F" w14:textId="77777777" w:rsidR="00871BDF" w:rsidRDefault="00871BDF">
            <w:pPr>
              <w:rPr>
                <w:rFonts w:ascii="宋体"/>
              </w:rPr>
            </w:pPr>
          </w:p>
        </w:tc>
        <w:tc>
          <w:tcPr>
            <w:tcW w:w="5" w:type="pct"/>
            <w:shd w:val="clear" w:color="auto" w:fill="auto"/>
          </w:tcPr>
          <w:p w14:paraId="00BB0150" w14:textId="77777777" w:rsidR="00871BDF" w:rsidRDefault="00871BDF">
            <w:pPr>
              <w:rPr>
                <w:rFonts w:ascii="宋体"/>
              </w:rPr>
            </w:pPr>
          </w:p>
        </w:tc>
        <w:tc>
          <w:tcPr>
            <w:tcW w:w="5" w:type="pct"/>
            <w:shd w:val="clear" w:color="auto" w:fill="auto"/>
          </w:tcPr>
          <w:p w14:paraId="00BB0151" w14:textId="77777777" w:rsidR="00871BDF" w:rsidRDefault="00871BDF">
            <w:pPr>
              <w:rPr>
                <w:rFonts w:ascii="宋体"/>
              </w:rPr>
            </w:pPr>
          </w:p>
        </w:tc>
        <w:tc>
          <w:tcPr>
            <w:tcW w:w="26" w:type="pct"/>
            <w:shd w:val="clear" w:color="auto" w:fill="auto"/>
          </w:tcPr>
          <w:p w14:paraId="00BB0152" w14:textId="77777777" w:rsidR="00871BDF" w:rsidRDefault="00871BDF">
            <w:pPr>
              <w:rPr>
                <w:rFonts w:ascii="宋体"/>
              </w:rPr>
            </w:pPr>
          </w:p>
        </w:tc>
        <w:tc>
          <w:tcPr>
            <w:tcW w:w="5" w:type="pct"/>
            <w:shd w:val="clear" w:color="auto" w:fill="auto"/>
          </w:tcPr>
          <w:p w14:paraId="00BB0153" w14:textId="77777777" w:rsidR="00871BDF" w:rsidRDefault="00871BDF">
            <w:pPr>
              <w:rPr>
                <w:rFonts w:ascii="宋体"/>
              </w:rPr>
            </w:pPr>
          </w:p>
        </w:tc>
        <w:tc>
          <w:tcPr>
            <w:tcW w:w="50" w:type="pct"/>
            <w:shd w:val="clear" w:color="auto" w:fill="auto"/>
          </w:tcPr>
          <w:p w14:paraId="00BB0154" w14:textId="77777777" w:rsidR="00871BDF" w:rsidRDefault="00871BDF">
            <w:pPr>
              <w:rPr>
                <w:rFonts w:ascii="宋体"/>
              </w:rPr>
            </w:pPr>
          </w:p>
        </w:tc>
        <w:tc>
          <w:tcPr>
            <w:tcW w:w="444" w:type="pct"/>
            <w:shd w:val="clear" w:color="auto" w:fill="auto"/>
          </w:tcPr>
          <w:p w14:paraId="00BB0155" w14:textId="77777777" w:rsidR="00871BDF" w:rsidRDefault="00871BDF">
            <w:pPr>
              <w:rPr>
                <w:rFonts w:ascii="宋体"/>
              </w:rPr>
            </w:pPr>
          </w:p>
        </w:tc>
        <w:tc>
          <w:tcPr>
            <w:tcW w:w="5" w:type="pct"/>
            <w:shd w:val="clear" w:color="auto" w:fill="auto"/>
          </w:tcPr>
          <w:p w14:paraId="00BB0156" w14:textId="77777777" w:rsidR="00871BDF" w:rsidRDefault="00871BDF">
            <w:pPr>
              <w:rPr>
                <w:rFonts w:ascii="宋体"/>
              </w:rPr>
            </w:pPr>
          </w:p>
        </w:tc>
        <w:tc>
          <w:tcPr>
            <w:tcW w:w="5" w:type="pct"/>
            <w:shd w:val="clear" w:color="auto" w:fill="auto"/>
          </w:tcPr>
          <w:p w14:paraId="00BB0157" w14:textId="77777777" w:rsidR="00871BDF" w:rsidRDefault="00871BDF">
            <w:pPr>
              <w:rPr>
                <w:rFonts w:ascii="宋体"/>
              </w:rPr>
            </w:pPr>
          </w:p>
        </w:tc>
        <w:tc>
          <w:tcPr>
            <w:tcW w:w="26" w:type="pct"/>
            <w:shd w:val="clear" w:color="auto" w:fill="auto"/>
          </w:tcPr>
          <w:p w14:paraId="00BB0158" w14:textId="77777777" w:rsidR="00871BDF" w:rsidRDefault="00871BDF">
            <w:pPr>
              <w:rPr>
                <w:rFonts w:ascii="宋体"/>
              </w:rPr>
            </w:pPr>
          </w:p>
        </w:tc>
        <w:tc>
          <w:tcPr>
            <w:tcW w:w="5" w:type="pct"/>
            <w:shd w:val="clear" w:color="auto" w:fill="auto"/>
          </w:tcPr>
          <w:p w14:paraId="00BB0159" w14:textId="77777777" w:rsidR="00871BDF" w:rsidRDefault="00871BDF">
            <w:pPr>
              <w:rPr>
                <w:rFonts w:ascii="宋体"/>
              </w:rPr>
            </w:pPr>
          </w:p>
        </w:tc>
        <w:tc>
          <w:tcPr>
            <w:tcW w:w="50" w:type="pct"/>
            <w:shd w:val="clear" w:color="auto" w:fill="auto"/>
          </w:tcPr>
          <w:p w14:paraId="00BB015A" w14:textId="77777777" w:rsidR="00871BDF" w:rsidRDefault="00871BDF">
            <w:pPr>
              <w:rPr>
                <w:rFonts w:ascii="宋体"/>
              </w:rPr>
            </w:pPr>
          </w:p>
        </w:tc>
        <w:tc>
          <w:tcPr>
            <w:tcW w:w="1824" w:type="pct"/>
            <w:shd w:val="clear" w:color="auto" w:fill="auto"/>
          </w:tcPr>
          <w:p w14:paraId="00BB015B" w14:textId="77777777" w:rsidR="00871BDF" w:rsidRDefault="00871BDF">
            <w:pPr>
              <w:rPr>
                <w:rFonts w:ascii="宋体"/>
              </w:rPr>
            </w:pPr>
          </w:p>
        </w:tc>
        <w:tc>
          <w:tcPr>
            <w:tcW w:w="5" w:type="pct"/>
            <w:shd w:val="clear" w:color="auto" w:fill="auto"/>
          </w:tcPr>
          <w:p w14:paraId="00BB015C" w14:textId="77777777" w:rsidR="00871BDF" w:rsidRDefault="00871BDF">
            <w:pPr>
              <w:rPr>
                <w:rFonts w:ascii="宋体"/>
              </w:rPr>
            </w:pPr>
          </w:p>
        </w:tc>
      </w:tr>
      <w:tr w:rsidR="00871BDF" w14:paraId="00BB0165" w14:textId="77777777">
        <w:trPr>
          <w:trHeight w:val="240"/>
        </w:trPr>
        <w:tc>
          <w:tcPr>
            <w:tcW w:w="0" w:type="auto"/>
            <w:gridSpan w:val="3"/>
            <w:vMerge w:val="restart"/>
            <w:shd w:val="clear" w:color="auto" w:fill="00704A"/>
            <w:tcMar>
              <w:top w:w="40" w:type="dxa"/>
              <w:left w:w="20" w:type="dxa"/>
              <w:bottom w:w="40" w:type="dxa"/>
              <w:right w:w="20" w:type="dxa"/>
            </w:tcMar>
            <w:vAlign w:val="bottom"/>
          </w:tcPr>
          <w:p w14:paraId="00BB015E" w14:textId="77777777" w:rsidR="00871BDF" w:rsidRDefault="005C5088">
            <w:pPr>
              <w:jc w:val="center"/>
              <w:textAlignment w:val="bottom"/>
            </w:pPr>
            <w:r>
              <w:rPr>
                <w:rFonts w:ascii="Times New Roman" w:eastAsia="宋体" w:hAnsi="Times New Roman"/>
                <w:b/>
                <w:bCs/>
                <w:color w:val="FFFFFF"/>
                <w:sz w:val="16"/>
                <w:szCs w:val="16"/>
              </w:rPr>
              <w:t xml:space="preserve">AOCI </w:t>
            </w:r>
          </w:p>
          <w:p w14:paraId="00BB015F" w14:textId="77777777" w:rsidR="00871BDF" w:rsidRDefault="005C5088">
            <w:pPr>
              <w:jc w:val="center"/>
              <w:textAlignment w:val="bottom"/>
            </w:pPr>
            <w:r>
              <w:rPr>
                <w:rFonts w:ascii="Times New Roman" w:eastAsia="宋体" w:hAnsi="Times New Roman"/>
                <w:b/>
                <w:bCs/>
                <w:color w:val="FFFFFF"/>
                <w:sz w:val="16"/>
                <w:szCs w:val="16"/>
              </w:rPr>
              <w:t>Components</w:t>
            </w:r>
          </w:p>
        </w:tc>
        <w:tc>
          <w:tcPr>
            <w:tcW w:w="0" w:type="auto"/>
            <w:gridSpan w:val="3"/>
            <w:shd w:val="clear" w:color="auto" w:fill="auto"/>
            <w:tcMar>
              <w:top w:w="0" w:type="dxa"/>
              <w:left w:w="20" w:type="dxa"/>
              <w:bottom w:w="0" w:type="dxa"/>
              <w:right w:w="20" w:type="dxa"/>
            </w:tcMar>
          </w:tcPr>
          <w:p w14:paraId="00BB0160" w14:textId="77777777" w:rsidR="00871BDF" w:rsidRDefault="00871BDF">
            <w:pPr>
              <w:rPr>
                <w:rFonts w:ascii="宋体"/>
              </w:rPr>
            </w:pPr>
          </w:p>
        </w:tc>
        <w:tc>
          <w:tcPr>
            <w:tcW w:w="0" w:type="auto"/>
            <w:gridSpan w:val="15"/>
            <w:shd w:val="clear" w:color="auto" w:fill="00704A"/>
            <w:tcMar>
              <w:top w:w="40" w:type="dxa"/>
              <w:left w:w="20" w:type="dxa"/>
              <w:bottom w:w="40" w:type="dxa"/>
              <w:right w:w="20" w:type="dxa"/>
            </w:tcMar>
            <w:vAlign w:val="bottom"/>
          </w:tcPr>
          <w:p w14:paraId="00BB0161" w14:textId="77777777" w:rsidR="00871BDF" w:rsidRDefault="005C5088">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auto"/>
            <w:tcMar>
              <w:top w:w="0" w:type="dxa"/>
              <w:left w:w="20" w:type="dxa"/>
              <w:bottom w:w="0" w:type="dxa"/>
              <w:right w:w="20" w:type="dxa"/>
            </w:tcMar>
          </w:tcPr>
          <w:p w14:paraId="00BB0162" w14:textId="77777777" w:rsidR="00871BDF" w:rsidRDefault="00871BDF">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0BB0163" w14:textId="77777777" w:rsidR="00871BDF" w:rsidRDefault="005C5088">
            <w:pPr>
              <w:jc w:val="center"/>
              <w:textAlignment w:val="bottom"/>
            </w:pPr>
            <w:r>
              <w:rPr>
                <w:rFonts w:ascii="Times New Roman" w:eastAsia="宋体" w:hAnsi="Times New Roman"/>
                <w:b/>
                <w:bCs/>
                <w:color w:val="FFFFFF"/>
                <w:sz w:val="16"/>
                <w:szCs w:val="16"/>
              </w:rPr>
              <w:t xml:space="preserve">Affected Line Item in </w:t>
            </w:r>
          </w:p>
          <w:p w14:paraId="00BB0164" w14:textId="77777777" w:rsidR="00871BDF" w:rsidRDefault="005C5088">
            <w:pPr>
              <w:jc w:val="center"/>
              <w:textAlignment w:val="bottom"/>
            </w:pPr>
            <w:r>
              <w:rPr>
                <w:rFonts w:ascii="Times New Roman" w:eastAsia="宋体" w:hAnsi="Times New Roman"/>
                <w:b/>
                <w:bCs/>
                <w:color w:val="FFFFFF"/>
                <w:sz w:val="16"/>
                <w:szCs w:val="16"/>
              </w:rPr>
              <w:t>the Statements of Earnings</w:t>
            </w:r>
          </w:p>
        </w:tc>
      </w:tr>
      <w:tr w:rsidR="00871BDF" w14:paraId="00BB016B" w14:textId="77777777">
        <w:trPr>
          <w:trHeight w:val="240"/>
        </w:trPr>
        <w:tc>
          <w:tcPr>
            <w:tcW w:w="0" w:type="auto"/>
            <w:gridSpan w:val="3"/>
            <w:vMerge/>
            <w:shd w:val="clear" w:color="auto" w:fill="00704A"/>
            <w:tcMar>
              <w:top w:w="40" w:type="dxa"/>
              <w:left w:w="20" w:type="dxa"/>
              <w:bottom w:w="40" w:type="dxa"/>
              <w:right w:w="20" w:type="dxa"/>
            </w:tcMar>
            <w:vAlign w:val="bottom"/>
          </w:tcPr>
          <w:p w14:paraId="00BB0166"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0167" w14:textId="77777777" w:rsidR="00871BDF" w:rsidRDefault="00871BDF">
            <w:pPr>
              <w:rPr>
                <w:rFonts w:ascii="宋体"/>
              </w:rPr>
            </w:pPr>
          </w:p>
        </w:tc>
        <w:tc>
          <w:tcPr>
            <w:tcW w:w="0" w:type="auto"/>
            <w:gridSpan w:val="15"/>
            <w:shd w:val="clear" w:color="auto" w:fill="00704A"/>
            <w:tcMar>
              <w:top w:w="40" w:type="dxa"/>
              <w:left w:w="20" w:type="dxa"/>
              <w:bottom w:w="40" w:type="dxa"/>
              <w:right w:w="20" w:type="dxa"/>
            </w:tcMar>
            <w:vAlign w:val="bottom"/>
          </w:tcPr>
          <w:p w14:paraId="00BB0168" w14:textId="77777777" w:rsidR="00871BDF" w:rsidRDefault="005C5088">
            <w:pPr>
              <w:jc w:val="center"/>
              <w:textAlignment w:val="bottom"/>
            </w:pPr>
            <w:r>
              <w:rPr>
                <w:rFonts w:ascii="Times New Roman" w:eastAsia="宋体" w:hAnsi="Times New Roman"/>
                <w:b/>
                <w:bCs/>
                <w:color w:val="FFFFFF"/>
                <w:sz w:val="16"/>
                <w:szCs w:val="16"/>
              </w:rPr>
              <w:t>Year Ended</w:t>
            </w:r>
          </w:p>
        </w:tc>
        <w:tc>
          <w:tcPr>
            <w:tcW w:w="0" w:type="auto"/>
            <w:gridSpan w:val="3"/>
            <w:shd w:val="clear" w:color="auto" w:fill="auto"/>
            <w:tcMar>
              <w:top w:w="0" w:type="dxa"/>
              <w:left w:w="20" w:type="dxa"/>
              <w:bottom w:w="0" w:type="dxa"/>
              <w:right w:w="20" w:type="dxa"/>
            </w:tcMar>
          </w:tcPr>
          <w:p w14:paraId="00BB0169"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bottom"/>
          </w:tcPr>
          <w:p w14:paraId="00BB016A" w14:textId="77777777" w:rsidR="00871BDF" w:rsidRDefault="00871BDF">
            <w:pPr>
              <w:rPr>
                <w:rFonts w:ascii="宋体"/>
              </w:rPr>
            </w:pPr>
          </w:p>
        </w:tc>
      </w:tr>
      <w:tr w:rsidR="00871BDF" w14:paraId="00BB0175" w14:textId="77777777">
        <w:trPr>
          <w:trHeight w:val="240"/>
        </w:trPr>
        <w:tc>
          <w:tcPr>
            <w:tcW w:w="0" w:type="auto"/>
            <w:gridSpan w:val="3"/>
            <w:vMerge/>
            <w:shd w:val="clear" w:color="auto" w:fill="00704A"/>
            <w:tcMar>
              <w:top w:w="40" w:type="dxa"/>
              <w:left w:w="20" w:type="dxa"/>
              <w:bottom w:w="40" w:type="dxa"/>
              <w:right w:w="20" w:type="dxa"/>
            </w:tcMar>
            <w:vAlign w:val="bottom"/>
          </w:tcPr>
          <w:p w14:paraId="00BB016C"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016D"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16E"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tcBorders>
              <w:top w:val="single" w:sz="8" w:space="0" w:color="000000"/>
            </w:tcBorders>
            <w:shd w:val="clear" w:color="auto" w:fill="auto"/>
            <w:tcMar>
              <w:top w:w="0" w:type="dxa"/>
              <w:left w:w="20" w:type="dxa"/>
              <w:bottom w:w="0" w:type="dxa"/>
              <w:right w:w="20" w:type="dxa"/>
            </w:tcMar>
          </w:tcPr>
          <w:p w14:paraId="00BB016F"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170" w14:textId="77777777" w:rsidR="00871BDF" w:rsidRDefault="005C5088">
            <w:pPr>
              <w:jc w:val="center"/>
              <w:textAlignment w:val="bottom"/>
            </w:pPr>
            <w:r>
              <w:rPr>
                <w:rFonts w:ascii="Times New Roman" w:eastAsia="宋体" w:hAnsi="Times New Roman"/>
                <w:b/>
                <w:bCs/>
                <w:color w:val="FFFFFF"/>
                <w:sz w:val="16"/>
                <w:szCs w:val="16"/>
              </w:rPr>
              <w:t>Sep 29, 2019</w:t>
            </w:r>
          </w:p>
        </w:tc>
        <w:tc>
          <w:tcPr>
            <w:tcW w:w="0" w:type="auto"/>
            <w:gridSpan w:val="3"/>
            <w:tcBorders>
              <w:top w:val="single" w:sz="8" w:space="0" w:color="000000"/>
            </w:tcBorders>
            <w:shd w:val="clear" w:color="auto" w:fill="auto"/>
            <w:tcMar>
              <w:top w:w="0" w:type="dxa"/>
              <w:left w:w="20" w:type="dxa"/>
              <w:bottom w:w="0" w:type="dxa"/>
              <w:right w:w="20" w:type="dxa"/>
            </w:tcMar>
          </w:tcPr>
          <w:p w14:paraId="00BB0171"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172" w14:textId="77777777" w:rsidR="00871BDF" w:rsidRDefault="005C5088">
            <w:pPr>
              <w:jc w:val="center"/>
              <w:textAlignment w:val="bottom"/>
            </w:pPr>
            <w:r>
              <w:rPr>
                <w:rFonts w:ascii="Times New Roman" w:eastAsia="宋体" w:hAnsi="Times New Roman"/>
                <w:b/>
                <w:bCs/>
                <w:color w:val="FFFFFF"/>
                <w:sz w:val="16"/>
                <w:szCs w:val="16"/>
              </w:rPr>
              <w:t>Sep 30, 2018</w:t>
            </w:r>
          </w:p>
        </w:tc>
        <w:tc>
          <w:tcPr>
            <w:tcW w:w="0" w:type="auto"/>
            <w:gridSpan w:val="3"/>
            <w:shd w:val="clear" w:color="auto" w:fill="auto"/>
            <w:tcMar>
              <w:top w:w="0" w:type="dxa"/>
              <w:left w:w="20" w:type="dxa"/>
              <w:bottom w:w="0" w:type="dxa"/>
              <w:right w:w="20" w:type="dxa"/>
            </w:tcMar>
          </w:tcPr>
          <w:p w14:paraId="00BB0173" w14:textId="77777777" w:rsidR="00871BDF" w:rsidRDefault="00871BDF">
            <w:pPr>
              <w:rPr>
                <w:rFonts w:ascii="宋体"/>
              </w:rPr>
            </w:pPr>
          </w:p>
        </w:tc>
        <w:tc>
          <w:tcPr>
            <w:tcW w:w="0" w:type="auto"/>
            <w:gridSpan w:val="3"/>
            <w:vMerge/>
            <w:shd w:val="clear" w:color="auto" w:fill="00704A"/>
            <w:tcMar>
              <w:top w:w="40" w:type="dxa"/>
              <w:left w:w="20" w:type="dxa"/>
              <w:bottom w:w="40" w:type="dxa"/>
              <w:right w:w="20" w:type="dxa"/>
            </w:tcMar>
            <w:vAlign w:val="bottom"/>
          </w:tcPr>
          <w:p w14:paraId="00BB0174" w14:textId="77777777" w:rsidR="00871BDF" w:rsidRDefault="00871BDF">
            <w:pPr>
              <w:rPr>
                <w:rFonts w:ascii="宋体"/>
              </w:rPr>
            </w:pPr>
          </w:p>
        </w:tc>
      </w:tr>
      <w:tr w:rsidR="00871BDF" w14:paraId="00BB0185"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00BB0176" w14:textId="77777777" w:rsidR="00871BDF" w:rsidRDefault="005C5088">
            <w:pPr>
              <w:textAlignment w:val="top"/>
            </w:pPr>
            <w:r>
              <w:rPr>
                <w:rFonts w:ascii="Times New Roman" w:eastAsia="宋体" w:hAnsi="Times New Roman"/>
                <w:color w:val="000000"/>
                <w:sz w:val="20"/>
                <w:szCs w:val="20"/>
              </w:rPr>
              <w:t xml:space="preserve">Gains/(losses) on </w:t>
            </w:r>
            <w:r>
              <w:rPr>
                <w:rFonts w:ascii="Times New Roman" w:eastAsia="宋体" w:hAnsi="Times New Roman"/>
                <w:color w:val="000000"/>
                <w:sz w:val="20"/>
                <w:szCs w:val="20"/>
              </w:rPr>
              <w:t>available-for-sale securities</w:t>
            </w:r>
          </w:p>
        </w:tc>
        <w:tc>
          <w:tcPr>
            <w:tcW w:w="0" w:type="auto"/>
            <w:gridSpan w:val="3"/>
            <w:shd w:val="clear" w:color="auto" w:fill="D7E4BC"/>
            <w:tcMar>
              <w:top w:w="0" w:type="dxa"/>
              <w:left w:w="20" w:type="dxa"/>
              <w:bottom w:w="0" w:type="dxa"/>
              <w:right w:w="20" w:type="dxa"/>
            </w:tcMar>
          </w:tcPr>
          <w:p w14:paraId="00BB0177"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00BB0178" w14:textId="77777777" w:rsidR="00871BDF" w:rsidRDefault="005C5088">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00BB0179" w14:textId="77777777" w:rsidR="00871BDF" w:rsidRDefault="005C5088">
            <w:pPr>
              <w:jc w:val="right"/>
              <w:textAlignment w:val="top"/>
            </w:pPr>
            <w:r>
              <w:rPr>
                <w:rFonts w:ascii="Times New Roman" w:eastAsia="宋体" w:hAnsi="Times New Roman"/>
                <w:color w:val="000000"/>
                <w:sz w:val="20"/>
                <w:szCs w:val="20"/>
              </w:rPr>
              <w:t>4.9 </w:t>
            </w:r>
          </w:p>
        </w:tc>
        <w:tc>
          <w:tcPr>
            <w:tcW w:w="0" w:type="auto"/>
            <w:tcBorders>
              <w:top w:val="single" w:sz="8" w:space="0" w:color="000000"/>
            </w:tcBorders>
            <w:shd w:val="clear" w:color="auto" w:fill="D7E4BC"/>
            <w:tcMar>
              <w:top w:w="40" w:type="dxa"/>
              <w:left w:w="0" w:type="dxa"/>
              <w:bottom w:w="40" w:type="dxa"/>
              <w:right w:w="20" w:type="dxa"/>
            </w:tcMar>
          </w:tcPr>
          <w:p w14:paraId="00BB017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7B"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00BB017C" w14:textId="77777777" w:rsidR="00871BDF" w:rsidRDefault="005C5088">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00BB017D" w14:textId="77777777" w:rsidR="00871BDF" w:rsidRDefault="005C5088">
            <w:pPr>
              <w:jc w:val="right"/>
              <w:textAlignment w:val="top"/>
            </w:pPr>
            <w:r>
              <w:rPr>
                <w:rFonts w:ascii="Times New Roman" w:eastAsia="宋体" w:hAnsi="Times New Roman"/>
                <w:color w:val="000000"/>
                <w:sz w:val="20"/>
                <w:szCs w:val="20"/>
              </w:rPr>
              <w:t>0.9 </w:t>
            </w:r>
          </w:p>
        </w:tc>
        <w:tc>
          <w:tcPr>
            <w:tcW w:w="0" w:type="auto"/>
            <w:tcBorders>
              <w:top w:val="single" w:sz="8" w:space="0" w:color="000000"/>
            </w:tcBorders>
            <w:shd w:val="clear" w:color="auto" w:fill="D7E4BC"/>
            <w:tcMar>
              <w:top w:w="40" w:type="dxa"/>
              <w:left w:w="0" w:type="dxa"/>
              <w:bottom w:w="40" w:type="dxa"/>
              <w:right w:w="20" w:type="dxa"/>
            </w:tcMar>
          </w:tcPr>
          <w:p w14:paraId="00BB017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7F"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00BB0180" w14:textId="77777777" w:rsidR="00871BDF" w:rsidRDefault="005C5088">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00BB0181" w14:textId="77777777" w:rsidR="00871BDF" w:rsidRDefault="005C5088">
            <w:pPr>
              <w:jc w:val="right"/>
              <w:textAlignment w:val="top"/>
            </w:pPr>
            <w:r>
              <w:rPr>
                <w:rFonts w:ascii="Times New Roman" w:eastAsia="宋体" w:hAnsi="Times New Roman"/>
                <w:color w:val="000000"/>
                <w:sz w:val="20"/>
                <w:szCs w:val="20"/>
              </w:rPr>
              <w:t>(3.6)</w:t>
            </w:r>
          </w:p>
        </w:tc>
        <w:tc>
          <w:tcPr>
            <w:tcW w:w="0" w:type="auto"/>
            <w:tcBorders>
              <w:top w:val="single" w:sz="8" w:space="0" w:color="000000"/>
            </w:tcBorders>
            <w:shd w:val="clear" w:color="auto" w:fill="D7E4BC"/>
            <w:tcMar>
              <w:top w:w="40" w:type="dxa"/>
              <w:left w:w="0" w:type="dxa"/>
              <w:bottom w:w="40" w:type="dxa"/>
              <w:right w:w="20" w:type="dxa"/>
            </w:tcMar>
          </w:tcPr>
          <w:p w14:paraId="00BB018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83"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B0184" w14:textId="77777777" w:rsidR="00871BDF" w:rsidRDefault="005C5088">
            <w:pPr>
              <w:textAlignment w:val="top"/>
            </w:pPr>
            <w:r>
              <w:rPr>
                <w:rFonts w:ascii="Times New Roman" w:eastAsia="宋体" w:hAnsi="Times New Roman"/>
                <w:color w:val="000000"/>
                <w:sz w:val="20"/>
                <w:szCs w:val="20"/>
              </w:rPr>
              <w:t>Interest income and other, net</w:t>
            </w:r>
          </w:p>
        </w:tc>
      </w:tr>
      <w:tr w:rsidR="00871BDF" w14:paraId="00BB0192" w14:textId="77777777">
        <w:tc>
          <w:tcPr>
            <w:tcW w:w="0" w:type="auto"/>
            <w:gridSpan w:val="3"/>
            <w:shd w:val="clear" w:color="auto" w:fill="FFFFFF"/>
            <w:tcMar>
              <w:top w:w="40" w:type="dxa"/>
              <w:left w:w="20" w:type="dxa"/>
              <w:bottom w:w="40" w:type="dxa"/>
              <w:right w:w="20" w:type="dxa"/>
            </w:tcMar>
          </w:tcPr>
          <w:p w14:paraId="00BB0186" w14:textId="77777777" w:rsidR="00871BDF" w:rsidRDefault="005C5088">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top w:w="0" w:type="dxa"/>
              <w:left w:w="20" w:type="dxa"/>
              <w:bottom w:w="0" w:type="dxa"/>
              <w:right w:w="20" w:type="dxa"/>
            </w:tcMar>
          </w:tcPr>
          <w:p w14:paraId="00BB018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tcPr>
          <w:p w14:paraId="00BB0188" w14:textId="77777777" w:rsidR="00871BDF" w:rsidRDefault="005C5088">
            <w:pPr>
              <w:jc w:val="right"/>
              <w:textAlignment w:val="top"/>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tcPr>
          <w:p w14:paraId="00BB018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8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tcPr>
          <w:p w14:paraId="00BB018B" w14:textId="77777777" w:rsidR="00871BDF" w:rsidRDefault="005C5088">
            <w:pPr>
              <w:jc w:val="right"/>
              <w:textAlignment w:val="top"/>
            </w:pPr>
            <w:r>
              <w:rPr>
                <w:rFonts w:ascii="Times New Roman" w:eastAsia="宋体" w:hAnsi="Times New Roman"/>
                <w:color w:val="000000"/>
                <w:sz w:val="20"/>
                <w:szCs w:val="20"/>
              </w:rPr>
              <w:t>(3.9)</w:t>
            </w:r>
          </w:p>
        </w:tc>
        <w:tc>
          <w:tcPr>
            <w:tcW w:w="0" w:type="auto"/>
            <w:shd w:val="clear" w:color="auto" w:fill="FFFFFF"/>
            <w:tcMar>
              <w:top w:w="40" w:type="dxa"/>
              <w:left w:w="0" w:type="dxa"/>
              <w:bottom w:w="40" w:type="dxa"/>
              <w:right w:w="20" w:type="dxa"/>
            </w:tcMar>
          </w:tcPr>
          <w:p w14:paraId="00BB018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8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tcPr>
          <w:p w14:paraId="00BB018E" w14:textId="77777777" w:rsidR="00871BDF" w:rsidRDefault="005C5088">
            <w:pPr>
              <w:jc w:val="right"/>
              <w:textAlignment w:val="top"/>
            </w:pPr>
            <w:r>
              <w:rPr>
                <w:rFonts w:ascii="Times New Roman" w:eastAsia="宋体" w:hAnsi="Times New Roman"/>
                <w:color w:val="000000"/>
                <w:sz w:val="20"/>
                <w:szCs w:val="20"/>
              </w:rPr>
              <w:t>(3.9)</w:t>
            </w:r>
          </w:p>
        </w:tc>
        <w:tc>
          <w:tcPr>
            <w:tcW w:w="0" w:type="auto"/>
            <w:shd w:val="clear" w:color="auto" w:fill="FFFFFF"/>
            <w:tcMar>
              <w:top w:w="40" w:type="dxa"/>
              <w:left w:w="0" w:type="dxa"/>
              <w:bottom w:w="40" w:type="dxa"/>
              <w:right w:w="20" w:type="dxa"/>
            </w:tcMar>
          </w:tcPr>
          <w:p w14:paraId="00BB018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90"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191" w14:textId="77777777" w:rsidR="00871BDF" w:rsidRDefault="005C5088">
            <w:pPr>
              <w:textAlignment w:val="top"/>
            </w:pPr>
            <w:r>
              <w:rPr>
                <w:rFonts w:ascii="Times New Roman" w:eastAsia="宋体" w:hAnsi="Times New Roman"/>
                <w:color w:val="000000"/>
                <w:sz w:val="20"/>
                <w:szCs w:val="20"/>
              </w:rPr>
              <w:t xml:space="preserve">Please refer to </w:t>
            </w:r>
            <w:hyperlink r:id="rId223" w:anchor="i54ccc64cb5384be5a4849ef1cdef4dde_14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Instruments for additional information.</w:t>
            </w:r>
          </w:p>
        </w:tc>
      </w:tr>
      <w:tr w:rsidR="00871BDF" w14:paraId="00BB019C" w14:textId="77777777">
        <w:trPr>
          <w:hidden/>
        </w:trPr>
        <w:tc>
          <w:tcPr>
            <w:tcW w:w="0" w:type="auto"/>
            <w:gridSpan w:val="3"/>
            <w:shd w:val="clear" w:color="auto" w:fill="auto"/>
          </w:tcPr>
          <w:p w14:paraId="00BB0193" w14:textId="77777777" w:rsidR="00871BDF" w:rsidRDefault="00871BDF">
            <w:pPr>
              <w:rPr>
                <w:rFonts w:ascii="宋体"/>
                <w:vanish/>
              </w:rPr>
            </w:pPr>
          </w:p>
        </w:tc>
        <w:tc>
          <w:tcPr>
            <w:tcW w:w="0" w:type="auto"/>
            <w:gridSpan w:val="3"/>
            <w:shd w:val="clear" w:color="auto" w:fill="auto"/>
          </w:tcPr>
          <w:p w14:paraId="00BB0194" w14:textId="77777777" w:rsidR="00871BDF" w:rsidRDefault="00871BDF">
            <w:pPr>
              <w:rPr>
                <w:rFonts w:ascii="宋体"/>
                <w:vanish/>
              </w:rPr>
            </w:pPr>
          </w:p>
        </w:tc>
        <w:tc>
          <w:tcPr>
            <w:tcW w:w="0" w:type="auto"/>
            <w:gridSpan w:val="3"/>
            <w:shd w:val="clear" w:color="auto" w:fill="auto"/>
          </w:tcPr>
          <w:p w14:paraId="00BB0195" w14:textId="77777777" w:rsidR="00871BDF" w:rsidRDefault="00871BDF">
            <w:pPr>
              <w:rPr>
                <w:rFonts w:ascii="宋体"/>
                <w:vanish/>
              </w:rPr>
            </w:pPr>
          </w:p>
        </w:tc>
        <w:tc>
          <w:tcPr>
            <w:tcW w:w="0" w:type="auto"/>
            <w:gridSpan w:val="3"/>
            <w:shd w:val="clear" w:color="auto" w:fill="auto"/>
          </w:tcPr>
          <w:p w14:paraId="00BB0196" w14:textId="77777777" w:rsidR="00871BDF" w:rsidRDefault="00871BDF">
            <w:pPr>
              <w:rPr>
                <w:rFonts w:ascii="宋体"/>
                <w:vanish/>
              </w:rPr>
            </w:pPr>
          </w:p>
        </w:tc>
        <w:tc>
          <w:tcPr>
            <w:tcW w:w="0" w:type="auto"/>
            <w:gridSpan w:val="3"/>
            <w:shd w:val="clear" w:color="auto" w:fill="auto"/>
          </w:tcPr>
          <w:p w14:paraId="00BB0197" w14:textId="77777777" w:rsidR="00871BDF" w:rsidRDefault="00871BDF">
            <w:pPr>
              <w:rPr>
                <w:rFonts w:ascii="宋体"/>
                <w:vanish/>
              </w:rPr>
            </w:pPr>
          </w:p>
        </w:tc>
        <w:tc>
          <w:tcPr>
            <w:tcW w:w="0" w:type="auto"/>
            <w:gridSpan w:val="3"/>
            <w:shd w:val="clear" w:color="auto" w:fill="auto"/>
          </w:tcPr>
          <w:p w14:paraId="00BB0198" w14:textId="77777777" w:rsidR="00871BDF" w:rsidRDefault="00871BDF">
            <w:pPr>
              <w:rPr>
                <w:rFonts w:ascii="宋体"/>
                <w:vanish/>
              </w:rPr>
            </w:pPr>
          </w:p>
        </w:tc>
        <w:tc>
          <w:tcPr>
            <w:tcW w:w="0" w:type="auto"/>
            <w:gridSpan w:val="3"/>
            <w:shd w:val="clear" w:color="auto" w:fill="auto"/>
          </w:tcPr>
          <w:p w14:paraId="00BB0199" w14:textId="77777777" w:rsidR="00871BDF" w:rsidRDefault="00871BDF">
            <w:pPr>
              <w:rPr>
                <w:rFonts w:ascii="宋体"/>
                <w:vanish/>
              </w:rPr>
            </w:pPr>
          </w:p>
        </w:tc>
        <w:tc>
          <w:tcPr>
            <w:tcW w:w="0" w:type="auto"/>
            <w:gridSpan w:val="3"/>
            <w:shd w:val="clear" w:color="auto" w:fill="auto"/>
          </w:tcPr>
          <w:p w14:paraId="00BB019A" w14:textId="77777777" w:rsidR="00871BDF" w:rsidRDefault="00871BDF">
            <w:pPr>
              <w:rPr>
                <w:rFonts w:ascii="宋体"/>
                <w:vanish/>
              </w:rPr>
            </w:pPr>
          </w:p>
        </w:tc>
        <w:tc>
          <w:tcPr>
            <w:tcW w:w="0" w:type="auto"/>
            <w:gridSpan w:val="3"/>
            <w:shd w:val="clear" w:color="auto" w:fill="auto"/>
          </w:tcPr>
          <w:p w14:paraId="00BB019B" w14:textId="77777777" w:rsidR="00871BDF" w:rsidRDefault="00871BDF">
            <w:pPr>
              <w:rPr>
                <w:rFonts w:ascii="宋体"/>
                <w:vanish/>
              </w:rPr>
            </w:pPr>
          </w:p>
        </w:tc>
      </w:tr>
      <w:tr w:rsidR="00871BDF" w14:paraId="00BB01A6" w14:textId="77777777">
        <w:trPr>
          <w:hidden/>
        </w:trPr>
        <w:tc>
          <w:tcPr>
            <w:tcW w:w="0" w:type="auto"/>
            <w:gridSpan w:val="3"/>
            <w:shd w:val="clear" w:color="auto" w:fill="auto"/>
          </w:tcPr>
          <w:p w14:paraId="00BB019D" w14:textId="77777777" w:rsidR="00871BDF" w:rsidRDefault="00871BDF">
            <w:pPr>
              <w:rPr>
                <w:rFonts w:ascii="宋体"/>
                <w:vanish/>
              </w:rPr>
            </w:pPr>
          </w:p>
        </w:tc>
        <w:tc>
          <w:tcPr>
            <w:tcW w:w="0" w:type="auto"/>
            <w:gridSpan w:val="3"/>
            <w:shd w:val="clear" w:color="auto" w:fill="auto"/>
          </w:tcPr>
          <w:p w14:paraId="00BB019E" w14:textId="77777777" w:rsidR="00871BDF" w:rsidRDefault="00871BDF">
            <w:pPr>
              <w:rPr>
                <w:rFonts w:ascii="宋体"/>
                <w:vanish/>
              </w:rPr>
            </w:pPr>
          </w:p>
        </w:tc>
        <w:tc>
          <w:tcPr>
            <w:tcW w:w="0" w:type="auto"/>
            <w:gridSpan w:val="3"/>
            <w:shd w:val="clear" w:color="auto" w:fill="auto"/>
          </w:tcPr>
          <w:p w14:paraId="00BB019F" w14:textId="77777777" w:rsidR="00871BDF" w:rsidRDefault="00871BDF">
            <w:pPr>
              <w:rPr>
                <w:rFonts w:ascii="宋体"/>
                <w:vanish/>
              </w:rPr>
            </w:pPr>
          </w:p>
        </w:tc>
        <w:tc>
          <w:tcPr>
            <w:tcW w:w="0" w:type="auto"/>
            <w:gridSpan w:val="3"/>
            <w:shd w:val="clear" w:color="auto" w:fill="auto"/>
          </w:tcPr>
          <w:p w14:paraId="00BB01A0" w14:textId="77777777" w:rsidR="00871BDF" w:rsidRDefault="00871BDF">
            <w:pPr>
              <w:rPr>
                <w:rFonts w:ascii="宋体"/>
                <w:vanish/>
              </w:rPr>
            </w:pPr>
          </w:p>
        </w:tc>
        <w:tc>
          <w:tcPr>
            <w:tcW w:w="0" w:type="auto"/>
            <w:gridSpan w:val="3"/>
            <w:shd w:val="clear" w:color="auto" w:fill="auto"/>
          </w:tcPr>
          <w:p w14:paraId="00BB01A1" w14:textId="77777777" w:rsidR="00871BDF" w:rsidRDefault="00871BDF">
            <w:pPr>
              <w:rPr>
                <w:rFonts w:ascii="宋体"/>
                <w:vanish/>
              </w:rPr>
            </w:pPr>
          </w:p>
        </w:tc>
        <w:tc>
          <w:tcPr>
            <w:tcW w:w="0" w:type="auto"/>
            <w:gridSpan w:val="3"/>
            <w:shd w:val="clear" w:color="auto" w:fill="auto"/>
          </w:tcPr>
          <w:p w14:paraId="00BB01A2" w14:textId="77777777" w:rsidR="00871BDF" w:rsidRDefault="00871BDF">
            <w:pPr>
              <w:rPr>
                <w:rFonts w:ascii="宋体"/>
                <w:vanish/>
              </w:rPr>
            </w:pPr>
          </w:p>
        </w:tc>
        <w:tc>
          <w:tcPr>
            <w:tcW w:w="0" w:type="auto"/>
            <w:gridSpan w:val="3"/>
            <w:shd w:val="clear" w:color="auto" w:fill="auto"/>
          </w:tcPr>
          <w:p w14:paraId="00BB01A3" w14:textId="77777777" w:rsidR="00871BDF" w:rsidRDefault="00871BDF">
            <w:pPr>
              <w:rPr>
                <w:rFonts w:ascii="宋体"/>
                <w:vanish/>
              </w:rPr>
            </w:pPr>
          </w:p>
        </w:tc>
        <w:tc>
          <w:tcPr>
            <w:tcW w:w="0" w:type="auto"/>
            <w:gridSpan w:val="3"/>
            <w:shd w:val="clear" w:color="auto" w:fill="auto"/>
          </w:tcPr>
          <w:p w14:paraId="00BB01A4" w14:textId="77777777" w:rsidR="00871BDF" w:rsidRDefault="00871BDF">
            <w:pPr>
              <w:rPr>
                <w:rFonts w:ascii="宋体"/>
                <w:vanish/>
              </w:rPr>
            </w:pPr>
          </w:p>
        </w:tc>
        <w:tc>
          <w:tcPr>
            <w:tcW w:w="0" w:type="auto"/>
            <w:gridSpan w:val="3"/>
            <w:shd w:val="clear" w:color="auto" w:fill="auto"/>
          </w:tcPr>
          <w:p w14:paraId="00BB01A5" w14:textId="77777777" w:rsidR="00871BDF" w:rsidRDefault="00871BDF">
            <w:pPr>
              <w:rPr>
                <w:rFonts w:ascii="宋体"/>
                <w:vanish/>
              </w:rPr>
            </w:pPr>
          </w:p>
        </w:tc>
      </w:tr>
      <w:tr w:rsidR="00871BDF" w14:paraId="00BB01B0" w14:textId="77777777">
        <w:trPr>
          <w:hidden/>
        </w:trPr>
        <w:tc>
          <w:tcPr>
            <w:tcW w:w="0" w:type="auto"/>
            <w:gridSpan w:val="3"/>
            <w:shd w:val="clear" w:color="auto" w:fill="auto"/>
          </w:tcPr>
          <w:p w14:paraId="00BB01A7" w14:textId="77777777" w:rsidR="00871BDF" w:rsidRDefault="00871BDF">
            <w:pPr>
              <w:rPr>
                <w:rFonts w:ascii="宋体"/>
                <w:vanish/>
              </w:rPr>
            </w:pPr>
          </w:p>
        </w:tc>
        <w:tc>
          <w:tcPr>
            <w:tcW w:w="0" w:type="auto"/>
            <w:gridSpan w:val="3"/>
            <w:shd w:val="clear" w:color="auto" w:fill="auto"/>
          </w:tcPr>
          <w:p w14:paraId="00BB01A8" w14:textId="77777777" w:rsidR="00871BDF" w:rsidRDefault="00871BDF">
            <w:pPr>
              <w:rPr>
                <w:rFonts w:ascii="宋体"/>
                <w:vanish/>
              </w:rPr>
            </w:pPr>
          </w:p>
        </w:tc>
        <w:tc>
          <w:tcPr>
            <w:tcW w:w="0" w:type="auto"/>
            <w:gridSpan w:val="3"/>
            <w:shd w:val="clear" w:color="auto" w:fill="auto"/>
          </w:tcPr>
          <w:p w14:paraId="00BB01A9" w14:textId="77777777" w:rsidR="00871BDF" w:rsidRDefault="00871BDF">
            <w:pPr>
              <w:rPr>
                <w:rFonts w:ascii="宋体"/>
                <w:vanish/>
              </w:rPr>
            </w:pPr>
          </w:p>
        </w:tc>
        <w:tc>
          <w:tcPr>
            <w:tcW w:w="0" w:type="auto"/>
            <w:gridSpan w:val="3"/>
            <w:shd w:val="clear" w:color="auto" w:fill="auto"/>
          </w:tcPr>
          <w:p w14:paraId="00BB01AA" w14:textId="77777777" w:rsidR="00871BDF" w:rsidRDefault="00871BDF">
            <w:pPr>
              <w:rPr>
                <w:rFonts w:ascii="宋体"/>
                <w:vanish/>
              </w:rPr>
            </w:pPr>
          </w:p>
        </w:tc>
        <w:tc>
          <w:tcPr>
            <w:tcW w:w="0" w:type="auto"/>
            <w:gridSpan w:val="3"/>
            <w:shd w:val="clear" w:color="auto" w:fill="auto"/>
          </w:tcPr>
          <w:p w14:paraId="00BB01AB" w14:textId="77777777" w:rsidR="00871BDF" w:rsidRDefault="00871BDF">
            <w:pPr>
              <w:rPr>
                <w:rFonts w:ascii="宋体"/>
                <w:vanish/>
              </w:rPr>
            </w:pPr>
          </w:p>
        </w:tc>
        <w:tc>
          <w:tcPr>
            <w:tcW w:w="0" w:type="auto"/>
            <w:gridSpan w:val="3"/>
            <w:shd w:val="clear" w:color="auto" w:fill="auto"/>
          </w:tcPr>
          <w:p w14:paraId="00BB01AC" w14:textId="77777777" w:rsidR="00871BDF" w:rsidRDefault="00871BDF">
            <w:pPr>
              <w:rPr>
                <w:rFonts w:ascii="宋体"/>
                <w:vanish/>
              </w:rPr>
            </w:pPr>
          </w:p>
        </w:tc>
        <w:tc>
          <w:tcPr>
            <w:tcW w:w="0" w:type="auto"/>
            <w:gridSpan w:val="3"/>
            <w:shd w:val="clear" w:color="auto" w:fill="auto"/>
          </w:tcPr>
          <w:p w14:paraId="00BB01AD" w14:textId="77777777" w:rsidR="00871BDF" w:rsidRDefault="00871BDF">
            <w:pPr>
              <w:rPr>
                <w:rFonts w:ascii="宋体"/>
                <w:vanish/>
              </w:rPr>
            </w:pPr>
          </w:p>
        </w:tc>
        <w:tc>
          <w:tcPr>
            <w:tcW w:w="0" w:type="auto"/>
            <w:gridSpan w:val="3"/>
            <w:shd w:val="clear" w:color="auto" w:fill="auto"/>
          </w:tcPr>
          <w:p w14:paraId="00BB01AE" w14:textId="77777777" w:rsidR="00871BDF" w:rsidRDefault="00871BDF">
            <w:pPr>
              <w:rPr>
                <w:rFonts w:ascii="宋体"/>
                <w:vanish/>
              </w:rPr>
            </w:pPr>
          </w:p>
        </w:tc>
        <w:tc>
          <w:tcPr>
            <w:tcW w:w="0" w:type="auto"/>
            <w:gridSpan w:val="3"/>
            <w:shd w:val="clear" w:color="auto" w:fill="auto"/>
          </w:tcPr>
          <w:p w14:paraId="00BB01AF" w14:textId="77777777" w:rsidR="00871BDF" w:rsidRDefault="00871BDF">
            <w:pPr>
              <w:rPr>
                <w:rFonts w:ascii="宋体"/>
                <w:vanish/>
              </w:rPr>
            </w:pPr>
          </w:p>
        </w:tc>
      </w:tr>
      <w:tr w:rsidR="00871BDF" w14:paraId="00BB01BA" w14:textId="77777777">
        <w:trPr>
          <w:hidden/>
        </w:trPr>
        <w:tc>
          <w:tcPr>
            <w:tcW w:w="0" w:type="auto"/>
            <w:gridSpan w:val="3"/>
            <w:shd w:val="clear" w:color="auto" w:fill="auto"/>
          </w:tcPr>
          <w:p w14:paraId="00BB01B1" w14:textId="77777777" w:rsidR="00871BDF" w:rsidRDefault="00871BDF">
            <w:pPr>
              <w:rPr>
                <w:rFonts w:ascii="宋体"/>
                <w:vanish/>
              </w:rPr>
            </w:pPr>
          </w:p>
        </w:tc>
        <w:tc>
          <w:tcPr>
            <w:tcW w:w="0" w:type="auto"/>
            <w:gridSpan w:val="3"/>
            <w:shd w:val="clear" w:color="auto" w:fill="auto"/>
          </w:tcPr>
          <w:p w14:paraId="00BB01B2" w14:textId="77777777" w:rsidR="00871BDF" w:rsidRDefault="00871BDF">
            <w:pPr>
              <w:rPr>
                <w:rFonts w:ascii="宋体"/>
                <w:vanish/>
              </w:rPr>
            </w:pPr>
          </w:p>
        </w:tc>
        <w:tc>
          <w:tcPr>
            <w:tcW w:w="0" w:type="auto"/>
            <w:gridSpan w:val="3"/>
            <w:shd w:val="clear" w:color="auto" w:fill="auto"/>
          </w:tcPr>
          <w:p w14:paraId="00BB01B3" w14:textId="77777777" w:rsidR="00871BDF" w:rsidRDefault="00871BDF">
            <w:pPr>
              <w:rPr>
                <w:rFonts w:ascii="宋体"/>
                <w:vanish/>
              </w:rPr>
            </w:pPr>
          </w:p>
        </w:tc>
        <w:tc>
          <w:tcPr>
            <w:tcW w:w="0" w:type="auto"/>
            <w:gridSpan w:val="3"/>
            <w:shd w:val="clear" w:color="auto" w:fill="auto"/>
          </w:tcPr>
          <w:p w14:paraId="00BB01B4" w14:textId="77777777" w:rsidR="00871BDF" w:rsidRDefault="00871BDF">
            <w:pPr>
              <w:rPr>
                <w:rFonts w:ascii="宋体"/>
                <w:vanish/>
              </w:rPr>
            </w:pPr>
          </w:p>
        </w:tc>
        <w:tc>
          <w:tcPr>
            <w:tcW w:w="0" w:type="auto"/>
            <w:gridSpan w:val="3"/>
            <w:shd w:val="clear" w:color="auto" w:fill="auto"/>
          </w:tcPr>
          <w:p w14:paraId="00BB01B5" w14:textId="77777777" w:rsidR="00871BDF" w:rsidRDefault="00871BDF">
            <w:pPr>
              <w:rPr>
                <w:rFonts w:ascii="宋体"/>
                <w:vanish/>
              </w:rPr>
            </w:pPr>
          </w:p>
        </w:tc>
        <w:tc>
          <w:tcPr>
            <w:tcW w:w="0" w:type="auto"/>
            <w:gridSpan w:val="3"/>
            <w:shd w:val="clear" w:color="auto" w:fill="auto"/>
          </w:tcPr>
          <w:p w14:paraId="00BB01B6" w14:textId="77777777" w:rsidR="00871BDF" w:rsidRDefault="00871BDF">
            <w:pPr>
              <w:rPr>
                <w:rFonts w:ascii="宋体"/>
                <w:vanish/>
              </w:rPr>
            </w:pPr>
          </w:p>
        </w:tc>
        <w:tc>
          <w:tcPr>
            <w:tcW w:w="0" w:type="auto"/>
            <w:gridSpan w:val="3"/>
            <w:shd w:val="clear" w:color="auto" w:fill="auto"/>
          </w:tcPr>
          <w:p w14:paraId="00BB01B7" w14:textId="77777777" w:rsidR="00871BDF" w:rsidRDefault="00871BDF">
            <w:pPr>
              <w:rPr>
                <w:rFonts w:ascii="宋体"/>
                <w:vanish/>
              </w:rPr>
            </w:pPr>
          </w:p>
        </w:tc>
        <w:tc>
          <w:tcPr>
            <w:tcW w:w="0" w:type="auto"/>
            <w:gridSpan w:val="3"/>
            <w:shd w:val="clear" w:color="auto" w:fill="auto"/>
          </w:tcPr>
          <w:p w14:paraId="00BB01B8" w14:textId="77777777" w:rsidR="00871BDF" w:rsidRDefault="00871BDF">
            <w:pPr>
              <w:rPr>
                <w:rFonts w:ascii="宋体"/>
                <w:vanish/>
              </w:rPr>
            </w:pPr>
          </w:p>
        </w:tc>
        <w:tc>
          <w:tcPr>
            <w:tcW w:w="0" w:type="auto"/>
            <w:gridSpan w:val="3"/>
            <w:shd w:val="clear" w:color="auto" w:fill="auto"/>
          </w:tcPr>
          <w:p w14:paraId="00BB01B9" w14:textId="77777777" w:rsidR="00871BDF" w:rsidRDefault="00871BDF">
            <w:pPr>
              <w:rPr>
                <w:rFonts w:ascii="宋体"/>
                <w:vanish/>
              </w:rPr>
            </w:pPr>
          </w:p>
        </w:tc>
      </w:tr>
      <w:tr w:rsidR="00871BDF" w14:paraId="00BB01C7" w14:textId="77777777">
        <w:tc>
          <w:tcPr>
            <w:tcW w:w="0" w:type="auto"/>
            <w:gridSpan w:val="3"/>
            <w:shd w:val="clear" w:color="auto" w:fill="D7E4BC"/>
            <w:tcMar>
              <w:top w:w="40" w:type="dxa"/>
              <w:left w:w="20" w:type="dxa"/>
              <w:bottom w:w="40" w:type="dxa"/>
              <w:right w:w="20" w:type="dxa"/>
            </w:tcMar>
            <w:vAlign w:val="center"/>
          </w:tcPr>
          <w:p w14:paraId="00BB01BB" w14:textId="77777777" w:rsidR="00871BDF" w:rsidRDefault="005C5088">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top w:w="0" w:type="dxa"/>
              <w:left w:w="20" w:type="dxa"/>
              <w:bottom w:w="0" w:type="dxa"/>
              <w:right w:w="20" w:type="dxa"/>
            </w:tcMar>
          </w:tcPr>
          <w:p w14:paraId="00BB01B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tcPr>
          <w:p w14:paraId="00BB01BD" w14:textId="77777777" w:rsidR="00871BDF" w:rsidRDefault="005C5088">
            <w:pPr>
              <w:jc w:val="right"/>
              <w:textAlignment w:val="top"/>
            </w:pPr>
            <w:r>
              <w:rPr>
                <w:rFonts w:ascii="Times New Roman" w:eastAsia="宋体" w:hAnsi="Times New Roman"/>
                <w:color w:val="000000"/>
                <w:sz w:val="20"/>
                <w:szCs w:val="20"/>
              </w:rPr>
              <w:t>13.3 </w:t>
            </w:r>
          </w:p>
        </w:tc>
        <w:tc>
          <w:tcPr>
            <w:tcW w:w="0" w:type="auto"/>
            <w:shd w:val="clear" w:color="auto" w:fill="D7E4BC"/>
            <w:tcMar>
              <w:top w:w="40" w:type="dxa"/>
              <w:left w:w="0" w:type="dxa"/>
              <w:bottom w:w="40" w:type="dxa"/>
              <w:right w:w="20" w:type="dxa"/>
            </w:tcMar>
          </w:tcPr>
          <w:p w14:paraId="00BB01B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B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tcPr>
          <w:p w14:paraId="00BB01C0" w14:textId="77777777" w:rsidR="00871BDF" w:rsidRDefault="005C5088">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tcPr>
          <w:p w14:paraId="00BB01C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C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tcPr>
          <w:p w14:paraId="00BB01C3" w14:textId="77777777" w:rsidR="00871BDF" w:rsidRDefault="005C5088">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tcPr>
          <w:p w14:paraId="00BB01C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C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1C6" w14:textId="77777777" w:rsidR="00871BDF" w:rsidRDefault="005C5088">
            <w:pPr>
              <w:textAlignment w:val="top"/>
            </w:pPr>
            <w:r>
              <w:rPr>
                <w:rFonts w:ascii="Times New Roman" w:eastAsia="宋体" w:hAnsi="Times New Roman"/>
                <w:color w:val="000000"/>
                <w:sz w:val="20"/>
                <w:szCs w:val="20"/>
              </w:rPr>
              <w:t>Interest expense</w:t>
            </w:r>
          </w:p>
        </w:tc>
      </w:tr>
      <w:tr w:rsidR="00871BDF" w14:paraId="00BB01D1" w14:textId="77777777">
        <w:tc>
          <w:tcPr>
            <w:tcW w:w="0" w:type="auto"/>
            <w:gridSpan w:val="3"/>
            <w:shd w:val="clear" w:color="auto" w:fill="FFFFFF"/>
            <w:tcMar>
              <w:top w:w="40" w:type="dxa"/>
              <w:left w:w="20" w:type="dxa"/>
              <w:bottom w:w="40" w:type="dxa"/>
              <w:right w:w="20" w:type="dxa"/>
            </w:tcMar>
            <w:vAlign w:val="bottom"/>
          </w:tcPr>
          <w:p w14:paraId="00BB01C8" w14:textId="77777777" w:rsidR="00871BDF" w:rsidRDefault="005C5088">
            <w:pPr>
              <w:textAlignment w:val="bottom"/>
            </w:pPr>
            <w:r>
              <w:rPr>
                <w:rFonts w:ascii="Times New Roman" w:eastAsia="宋体" w:hAnsi="Times New Roman"/>
                <w:color w:val="000000"/>
                <w:sz w:val="20"/>
                <w:szCs w:val="20"/>
              </w:rPr>
              <w:t>Translation adjustment</w:t>
            </w:r>
            <w:r>
              <w:rPr>
                <w:rFonts w:ascii="Times New Roman" w:eastAsia="宋体" w:hAnsi="Times New Roman"/>
                <w:color w:val="000000"/>
                <w:sz w:val="13"/>
                <w:szCs w:val="13"/>
              </w:rPr>
              <w:t>(1)</w:t>
            </w:r>
          </w:p>
        </w:tc>
        <w:tc>
          <w:tcPr>
            <w:tcW w:w="0" w:type="auto"/>
            <w:gridSpan w:val="3"/>
            <w:shd w:val="clear" w:color="auto" w:fill="FFFFFF"/>
            <w:tcMar>
              <w:top w:w="0" w:type="dxa"/>
              <w:left w:w="20" w:type="dxa"/>
              <w:bottom w:w="0" w:type="dxa"/>
              <w:right w:w="20" w:type="dxa"/>
            </w:tcMar>
          </w:tcPr>
          <w:p w14:paraId="00BB01C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1C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1C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1C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1C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1C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1C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1D0" w14:textId="77777777" w:rsidR="00871BDF" w:rsidRDefault="00871BDF">
            <w:pPr>
              <w:rPr>
                <w:rFonts w:ascii="宋体"/>
              </w:rPr>
            </w:pPr>
          </w:p>
        </w:tc>
      </w:tr>
      <w:tr w:rsidR="00871BDF" w14:paraId="00BB01DE" w14:textId="77777777">
        <w:tc>
          <w:tcPr>
            <w:tcW w:w="0" w:type="auto"/>
            <w:gridSpan w:val="3"/>
            <w:shd w:val="clear" w:color="auto" w:fill="D7E4BC"/>
            <w:tcMar>
              <w:top w:w="40" w:type="dxa"/>
              <w:left w:w="245" w:type="dxa"/>
              <w:bottom w:w="40" w:type="dxa"/>
              <w:right w:w="20" w:type="dxa"/>
            </w:tcMar>
          </w:tcPr>
          <w:p w14:paraId="00BB01D2" w14:textId="77777777" w:rsidR="00871BDF" w:rsidRDefault="005C5088">
            <w:pPr>
              <w:textAlignment w:val="top"/>
            </w:pPr>
            <w:r>
              <w:rPr>
                <w:rFonts w:ascii="Times New Roman" w:eastAsia="宋体" w:hAnsi="Times New Roman"/>
                <w:color w:val="000000"/>
                <w:sz w:val="20"/>
                <w:szCs w:val="20"/>
              </w:rPr>
              <w:t xml:space="preserve">Brazil </w:t>
            </w:r>
          </w:p>
        </w:tc>
        <w:tc>
          <w:tcPr>
            <w:tcW w:w="0" w:type="auto"/>
            <w:gridSpan w:val="3"/>
            <w:shd w:val="clear" w:color="auto" w:fill="D7E4BC"/>
            <w:tcMar>
              <w:top w:w="0" w:type="dxa"/>
              <w:left w:w="20" w:type="dxa"/>
              <w:bottom w:w="0" w:type="dxa"/>
              <w:right w:w="20" w:type="dxa"/>
            </w:tcMar>
          </w:tcPr>
          <w:p w14:paraId="00BB01D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tcPr>
          <w:p w14:paraId="00BB01D4" w14:textId="77777777" w:rsidR="00871BDF" w:rsidRDefault="005C5088">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tcPr>
          <w:p w14:paraId="00BB01D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D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tcPr>
          <w:p w14:paraId="00BB01D7" w14:textId="77777777" w:rsidR="00871BDF" w:rsidRDefault="005C5088">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tcPr>
          <w:p w14:paraId="00BB01D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D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tcPr>
          <w:p w14:paraId="00BB01DA" w14:textId="77777777" w:rsidR="00871BDF" w:rsidRDefault="005C5088">
            <w:pPr>
              <w:jc w:val="right"/>
              <w:textAlignment w:val="top"/>
            </w:pPr>
            <w:r>
              <w:rPr>
                <w:rFonts w:ascii="Times New Roman" w:eastAsia="宋体" w:hAnsi="Times New Roman"/>
                <w:color w:val="000000"/>
                <w:sz w:val="20"/>
                <w:szCs w:val="20"/>
              </w:rPr>
              <w:t>(24.1)</w:t>
            </w:r>
          </w:p>
        </w:tc>
        <w:tc>
          <w:tcPr>
            <w:tcW w:w="0" w:type="auto"/>
            <w:shd w:val="clear" w:color="auto" w:fill="D7E4BC"/>
            <w:tcMar>
              <w:top w:w="40" w:type="dxa"/>
              <w:left w:w="0" w:type="dxa"/>
              <w:bottom w:w="40" w:type="dxa"/>
              <w:right w:w="20" w:type="dxa"/>
            </w:tcMar>
          </w:tcPr>
          <w:p w14:paraId="00BB01D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DC"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1DD" w14:textId="77777777" w:rsidR="00871BDF" w:rsidRDefault="005C5088">
            <w:pPr>
              <w:textAlignment w:val="top"/>
            </w:pPr>
            <w:r>
              <w:rPr>
                <w:rFonts w:ascii="Times New Roman" w:eastAsia="宋体" w:hAnsi="Times New Roman"/>
                <w:color w:val="000000"/>
                <w:sz w:val="20"/>
                <w:szCs w:val="20"/>
              </w:rPr>
              <w:t xml:space="preserve">Net gain resulting from divestiture of certain operations </w:t>
            </w:r>
          </w:p>
        </w:tc>
      </w:tr>
      <w:tr w:rsidR="00871BDF" w14:paraId="00BB01EB" w14:textId="77777777">
        <w:tc>
          <w:tcPr>
            <w:tcW w:w="0" w:type="auto"/>
            <w:gridSpan w:val="3"/>
            <w:shd w:val="clear" w:color="auto" w:fill="FFFFFF"/>
            <w:tcMar>
              <w:top w:w="40" w:type="dxa"/>
              <w:left w:w="245" w:type="dxa"/>
              <w:bottom w:w="40" w:type="dxa"/>
              <w:right w:w="20" w:type="dxa"/>
            </w:tcMar>
          </w:tcPr>
          <w:p w14:paraId="00BB01DF" w14:textId="77777777" w:rsidR="00871BDF" w:rsidRDefault="005C5088">
            <w:pPr>
              <w:textAlignment w:val="top"/>
            </w:pPr>
            <w:r>
              <w:rPr>
                <w:rFonts w:ascii="Times New Roman" w:eastAsia="宋体" w:hAnsi="Times New Roman"/>
                <w:color w:val="000000"/>
                <w:sz w:val="20"/>
                <w:szCs w:val="20"/>
              </w:rPr>
              <w:t xml:space="preserve">East China joint venture </w:t>
            </w:r>
          </w:p>
        </w:tc>
        <w:tc>
          <w:tcPr>
            <w:tcW w:w="0" w:type="auto"/>
            <w:gridSpan w:val="3"/>
            <w:shd w:val="clear" w:color="auto" w:fill="FFFFFF"/>
            <w:tcMar>
              <w:top w:w="0" w:type="dxa"/>
              <w:left w:w="20" w:type="dxa"/>
              <w:bottom w:w="0" w:type="dxa"/>
              <w:right w:w="20" w:type="dxa"/>
            </w:tcMar>
          </w:tcPr>
          <w:p w14:paraId="00BB01E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tcPr>
          <w:p w14:paraId="00BB01E1" w14:textId="77777777" w:rsidR="00871BDF" w:rsidRDefault="005C5088">
            <w:pPr>
              <w:jc w:val="right"/>
              <w:textAlignment w:val="top"/>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tcPr>
          <w:p w14:paraId="00BB01E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E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tcPr>
          <w:p w14:paraId="00BB01E4" w14:textId="77777777" w:rsidR="00871BDF" w:rsidRDefault="005C5088">
            <w:pPr>
              <w:jc w:val="right"/>
              <w:textAlignment w:val="top"/>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tcPr>
          <w:p w14:paraId="00BB01E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E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tcPr>
          <w:p w14:paraId="00BB01E7" w14:textId="77777777" w:rsidR="00871BDF" w:rsidRDefault="005C5088">
            <w:pPr>
              <w:jc w:val="right"/>
              <w:textAlignment w:val="top"/>
            </w:pPr>
            <w:r>
              <w:rPr>
                <w:rFonts w:ascii="Times New Roman" w:eastAsia="宋体" w:hAnsi="Times New Roman"/>
                <w:color w:val="000000"/>
                <w:sz w:val="20"/>
                <w:szCs w:val="20"/>
              </w:rPr>
              <w:t>7.2 </w:t>
            </w:r>
          </w:p>
        </w:tc>
        <w:tc>
          <w:tcPr>
            <w:tcW w:w="0" w:type="auto"/>
            <w:shd w:val="clear" w:color="auto" w:fill="FFFFFF"/>
            <w:tcMar>
              <w:top w:w="40" w:type="dxa"/>
              <w:left w:w="0" w:type="dxa"/>
              <w:bottom w:w="40" w:type="dxa"/>
              <w:right w:w="20" w:type="dxa"/>
            </w:tcMar>
          </w:tcPr>
          <w:p w14:paraId="00BB01E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E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1EA" w14:textId="77777777" w:rsidR="00871BDF" w:rsidRDefault="005C5088">
            <w:pPr>
              <w:textAlignment w:val="top"/>
            </w:pPr>
            <w:r>
              <w:rPr>
                <w:rFonts w:ascii="Times New Roman" w:eastAsia="宋体" w:hAnsi="Times New Roman"/>
                <w:color w:val="000000"/>
                <w:sz w:val="20"/>
                <w:szCs w:val="20"/>
              </w:rPr>
              <w:t>Gain resulting from acquisition of joint venture</w:t>
            </w:r>
          </w:p>
        </w:tc>
      </w:tr>
      <w:tr w:rsidR="00871BDF" w14:paraId="00BB01F8" w14:textId="77777777">
        <w:tc>
          <w:tcPr>
            <w:tcW w:w="0" w:type="auto"/>
            <w:gridSpan w:val="3"/>
            <w:shd w:val="clear" w:color="auto" w:fill="D7E4BC"/>
            <w:tcMar>
              <w:top w:w="40" w:type="dxa"/>
              <w:left w:w="245" w:type="dxa"/>
              <w:bottom w:w="40" w:type="dxa"/>
              <w:right w:w="20" w:type="dxa"/>
            </w:tcMar>
          </w:tcPr>
          <w:p w14:paraId="00BB01EC" w14:textId="77777777" w:rsidR="00871BDF" w:rsidRDefault="005C5088">
            <w:pPr>
              <w:textAlignment w:val="top"/>
            </w:pPr>
            <w:r>
              <w:rPr>
                <w:rFonts w:ascii="Times New Roman" w:eastAsia="宋体" w:hAnsi="Times New Roman"/>
                <w:color w:val="000000"/>
                <w:sz w:val="20"/>
                <w:szCs w:val="20"/>
              </w:rPr>
              <w:t>Taiwan joint venture</w:t>
            </w:r>
          </w:p>
        </w:tc>
        <w:tc>
          <w:tcPr>
            <w:tcW w:w="0" w:type="auto"/>
            <w:gridSpan w:val="3"/>
            <w:shd w:val="clear" w:color="auto" w:fill="D7E4BC"/>
            <w:tcMar>
              <w:top w:w="0" w:type="dxa"/>
              <w:left w:w="20" w:type="dxa"/>
              <w:bottom w:w="0" w:type="dxa"/>
              <w:right w:w="20" w:type="dxa"/>
            </w:tcMar>
          </w:tcPr>
          <w:p w14:paraId="00BB01E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tcPr>
          <w:p w14:paraId="00BB01EE" w14:textId="77777777" w:rsidR="00871BDF" w:rsidRDefault="005C5088">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tcPr>
          <w:p w14:paraId="00BB01E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F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tcPr>
          <w:p w14:paraId="00BB01F1" w14:textId="77777777" w:rsidR="00871BDF" w:rsidRDefault="005C5088">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tcPr>
          <w:p w14:paraId="00BB01F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F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tcPr>
          <w:p w14:paraId="00BB01F4" w14:textId="77777777" w:rsidR="00871BDF" w:rsidRDefault="005C5088">
            <w:pPr>
              <w:jc w:val="right"/>
              <w:textAlignment w:val="top"/>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tcPr>
          <w:p w14:paraId="00BB01F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1F6"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1F7" w14:textId="77777777" w:rsidR="00871BDF" w:rsidRDefault="005C5088">
            <w:pPr>
              <w:textAlignment w:val="top"/>
            </w:pPr>
            <w:r>
              <w:rPr>
                <w:rFonts w:ascii="Times New Roman" w:eastAsia="宋体" w:hAnsi="Times New Roman"/>
                <w:color w:val="000000"/>
                <w:sz w:val="20"/>
                <w:szCs w:val="20"/>
              </w:rPr>
              <w:t xml:space="preserve">Net gain resulting from divestiture of certain operations </w:t>
            </w:r>
          </w:p>
        </w:tc>
      </w:tr>
      <w:tr w:rsidR="00871BDF" w14:paraId="00BB0205" w14:textId="77777777">
        <w:tc>
          <w:tcPr>
            <w:tcW w:w="0" w:type="auto"/>
            <w:gridSpan w:val="3"/>
            <w:shd w:val="clear" w:color="auto" w:fill="FFFFFF"/>
            <w:tcMar>
              <w:top w:w="40" w:type="dxa"/>
              <w:left w:w="245" w:type="dxa"/>
              <w:bottom w:w="40" w:type="dxa"/>
              <w:right w:w="20" w:type="dxa"/>
            </w:tcMar>
          </w:tcPr>
          <w:p w14:paraId="00BB01F9" w14:textId="77777777" w:rsidR="00871BDF" w:rsidRDefault="005C5088">
            <w:pPr>
              <w:textAlignment w:val="top"/>
            </w:pPr>
            <w:r>
              <w:rPr>
                <w:rFonts w:ascii="Times New Roman" w:eastAsia="宋体" w:hAnsi="Times New Roman"/>
                <w:color w:val="000000"/>
                <w:sz w:val="20"/>
                <w:szCs w:val="20"/>
              </w:rPr>
              <w:t>Thailand</w:t>
            </w:r>
          </w:p>
        </w:tc>
        <w:tc>
          <w:tcPr>
            <w:tcW w:w="0" w:type="auto"/>
            <w:gridSpan w:val="3"/>
            <w:shd w:val="clear" w:color="auto" w:fill="FFFFFF"/>
            <w:tcMar>
              <w:top w:w="0" w:type="dxa"/>
              <w:left w:w="20" w:type="dxa"/>
              <w:bottom w:w="0" w:type="dxa"/>
              <w:right w:w="20" w:type="dxa"/>
            </w:tcMar>
          </w:tcPr>
          <w:p w14:paraId="00BB01F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tcPr>
          <w:p w14:paraId="00BB01FB" w14:textId="77777777" w:rsidR="00871BDF" w:rsidRDefault="005C5088">
            <w:pPr>
              <w:jc w:val="right"/>
              <w:textAlignment w:val="top"/>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tcPr>
          <w:p w14:paraId="00BB01F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1F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tcPr>
          <w:p w14:paraId="00BB01FE" w14:textId="77777777" w:rsidR="00871BDF" w:rsidRDefault="005C5088">
            <w:pPr>
              <w:jc w:val="right"/>
              <w:textAlignment w:val="top"/>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tcPr>
          <w:p w14:paraId="00BB01F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0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tcPr>
          <w:p w14:paraId="00BB0201" w14:textId="77777777" w:rsidR="00871BDF" w:rsidRDefault="005C5088">
            <w:pPr>
              <w:jc w:val="right"/>
              <w:textAlignment w:val="top"/>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tcPr>
          <w:p w14:paraId="00BB020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0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204" w14:textId="77777777" w:rsidR="00871BDF" w:rsidRDefault="005C5088">
            <w:pPr>
              <w:textAlignment w:val="top"/>
            </w:pPr>
            <w:r>
              <w:rPr>
                <w:rFonts w:ascii="Times New Roman" w:eastAsia="宋体" w:hAnsi="Times New Roman"/>
                <w:color w:val="000000"/>
                <w:sz w:val="20"/>
                <w:szCs w:val="20"/>
              </w:rPr>
              <w:t>Net gain resulting from divestiture of certain operations</w:t>
            </w:r>
          </w:p>
        </w:tc>
      </w:tr>
      <w:tr w:rsidR="00871BDF" w14:paraId="00BB0212" w14:textId="77777777">
        <w:tc>
          <w:tcPr>
            <w:tcW w:w="0" w:type="auto"/>
            <w:gridSpan w:val="3"/>
            <w:shd w:val="clear" w:color="auto" w:fill="D7E4BC"/>
            <w:tcMar>
              <w:top w:w="40" w:type="dxa"/>
              <w:left w:w="245" w:type="dxa"/>
              <w:bottom w:w="40" w:type="dxa"/>
              <w:right w:w="20" w:type="dxa"/>
            </w:tcMar>
          </w:tcPr>
          <w:p w14:paraId="00BB0206" w14:textId="77777777" w:rsidR="00871BDF" w:rsidRDefault="005C5088">
            <w:pPr>
              <w:textAlignment w:val="top"/>
            </w:pPr>
            <w:r>
              <w:rPr>
                <w:rFonts w:ascii="Times New Roman" w:eastAsia="宋体" w:hAnsi="Times New Roman"/>
                <w:color w:val="000000"/>
                <w:sz w:val="20"/>
                <w:szCs w:val="20"/>
              </w:rPr>
              <w:t>Other</w:t>
            </w:r>
          </w:p>
        </w:tc>
        <w:tc>
          <w:tcPr>
            <w:tcW w:w="0" w:type="auto"/>
            <w:gridSpan w:val="3"/>
            <w:shd w:val="clear" w:color="auto" w:fill="D7E4BC"/>
            <w:tcMar>
              <w:top w:w="0" w:type="dxa"/>
              <w:left w:w="20" w:type="dxa"/>
              <w:bottom w:w="0" w:type="dxa"/>
              <w:right w:w="20" w:type="dxa"/>
            </w:tcMar>
          </w:tcPr>
          <w:p w14:paraId="00BB020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tcPr>
          <w:p w14:paraId="00BB0208" w14:textId="77777777" w:rsidR="00871BDF" w:rsidRDefault="005C5088">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tcPr>
          <w:p w14:paraId="00BB020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0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tcPr>
          <w:p w14:paraId="00BB020B" w14:textId="77777777" w:rsidR="00871BDF" w:rsidRDefault="005C5088">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tcPr>
          <w:p w14:paraId="00BB020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0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tcPr>
          <w:p w14:paraId="00BB020E" w14:textId="77777777" w:rsidR="00871BDF" w:rsidRDefault="005C5088">
            <w:pPr>
              <w:jc w:val="right"/>
              <w:textAlignment w:val="top"/>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tcPr>
          <w:p w14:paraId="00BB020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10"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211" w14:textId="77777777" w:rsidR="00871BDF" w:rsidRDefault="005C5088">
            <w:pPr>
              <w:textAlignment w:val="top"/>
            </w:pPr>
            <w:r>
              <w:rPr>
                <w:rFonts w:ascii="Times New Roman" w:eastAsia="宋体" w:hAnsi="Times New Roman"/>
                <w:color w:val="000000"/>
                <w:sz w:val="20"/>
                <w:szCs w:val="20"/>
              </w:rPr>
              <w:t>Interest income and other, net</w:t>
            </w:r>
          </w:p>
        </w:tc>
      </w:tr>
      <w:tr w:rsidR="00871BDF" w14:paraId="00BB021F" w14:textId="77777777">
        <w:tc>
          <w:tcPr>
            <w:tcW w:w="0" w:type="auto"/>
            <w:gridSpan w:val="3"/>
            <w:shd w:val="clear" w:color="auto" w:fill="FFFFFF"/>
            <w:tcMar>
              <w:top w:w="0" w:type="dxa"/>
              <w:left w:w="20" w:type="dxa"/>
              <w:bottom w:w="0" w:type="dxa"/>
              <w:right w:w="20" w:type="dxa"/>
            </w:tcMar>
          </w:tcPr>
          <w:p w14:paraId="00BB021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214"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00BB0215" w14:textId="77777777" w:rsidR="00871BDF" w:rsidRDefault="005C5088">
            <w:pPr>
              <w:jc w:val="right"/>
              <w:textAlignment w:val="top"/>
            </w:pPr>
            <w:r>
              <w:rPr>
                <w:rFonts w:ascii="Times New Roman" w:eastAsia="宋体" w:hAnsi="Times New Roman"/>
                <w:color w:val="000000"/>
                <w:sz w:val="20"/>
                <w:szCs w:val="20"/>
              </w:rPr>
              <w:t>20.1 </w:t>
            </w:r>
          </w:p>
        </w:tc>
        <w:tc>
          <w:tcPr>
            <w:tcW w:w="0" w:type="auto"/>
            <w:tcBorders>
              <w:top w:val="single" w:sz="8" w:space="0" w:color="000000"/>
            </w:tcBorders>
            <w:shd w:val="clear" w:color="auto" w:fill="FFFFFF"/>
            <w:tcMar>
              <w:top w:w="40" w:type="dxa"/>
              <w:left w:w="0" w:type="dxa"/>
              <w:bottom w:w="40" w:type="dxa"/>
              <w:right w:w="20" w:type="dxa"/>
            </w:tcMar>
          </w:tcPr>
          <w:p w14:paraId="00BB021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17"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00BB0218" w14:textId="77777777" w:rsidR="00871BDF" w:rsidRDefault="005C5088">
            <w:pPr>
              <w:jc w:val="right"/>
              <w:textAlignment w:val="top"/>
            </w:pPr>
            <w:r>
              <w:rPr>
                <w:rFonts w:ascii="Times New Roman" w:eastAsia="宋体" w:hAnsi="Times New Roman"/>
                <w:color w:val="000000"/>
                <w:sz w:val="20"/>
                <w:szCs w:val="20"/>
              </w:rPr>
              <w:t>(1.3)</w:t>
            </w:r>
          </w:p>
        </w:tc>
        <w:tc>
          <w:tcPr>
            <w:tcW w:w="0" w:type="auto"/>
            <w:tcBorders>
              <w:top w:val="single" w:sz="8" w:space="0" w:color="000000"/>
            </w:tcBorders>
            <w:shd w:val="clear" w:color="auto" w:fill="FFFFFF"/>
            <w:tcMar>
              <w:top w:w="40" w:type="dxa"/>
              <w:left w:w="0" w:type="dxa"/>
              <w:bottom w:w="40" w:type="dxa"/>
              <w:right w:w="20" w:type="dxa"/>
            </w:tcMar>
          </w:tcPr>
          <w:p w14:paraId="00BB021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1A"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00BB021B" w14:textId="77777777" w:rsidR="00871BDF" w:rsidRDefault="005C5088">
            <w:pPr>
              <w:jc w:val="right"/>
              <w:textAlignment w:val="top"/>
            </w:pPr>
            <w:r>
              <w:rPr>
                <w:rFonts w:ascii="Times New Roman" w:eastAsia="宋体" w:hAnsi="Times New Roman"/>
                <w:color w:val="000000"/>
                <w:sz w:val="20"/>
                <w:szCs w:val="20"/>
              </w:rPr>
              <w:t>(24.7)</w:t>
            </w:r>
          </w:p>
        </w:tc>
        <w:tc>
          <w:tcPr>
            <w:tcW w:w="0" w:type="auto"/>
            <w:tcBorders>
              <w:top w:val="single" w:sz="8" w:space="0" w:color="000000"/>
            </w:tcBorders>
            <w:shd w:val="clear" w:color="auto" w:fill="FFFFFF"/>
            <w:tcMar>
              <w:top w:w="40" w:type="dxa"/>
              <w:left w:w="0" w:type="dxa"/>
              <w:bottom w:w="40" w:type="dxa"/>
              <w:right w:w="20" w:type="dxa"/>
            </w:tcMar>
          </w:tcPr>
          <w:p w14:paraId="00BB021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1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21E" w14:textId="77777777" w:rsidR="00871BDF" w:rsidRDefault="005C5088">
            <w:pPr>
              <w:textAlignment w:val="top"/>
            </w:pPr>
            <w:r>
              <w:rPr>
                <w:rFonts w:ascii="Times New Roman" w:eastAsia="宋体" w:hAnsi="Times New Roman"/>
                <w:color w:val="000000"/>
                <w:sz w:val="20"/>
                <w:szCs w:val="20"/>
              </w:rPr>
              <w:t>Total before tax</w:t>
            </w:r>
          </w:p>
        </w:tc>
      </w:tr>
      <w:tr w:rsidR="00871BDF" w14:paraId="00BB022C" w14:textId="77777777">
        <w:tc>
          <w:tcPr>
            <w:tcW w:w="0" w:type="auto"/>
            <w:gridSpan w:val="3"/>
            <w:shd w:val="clear" w:color="auto" w:fill="D7E4BC"/>
            <w:tcMar>
              <w:top w:w="0" w:type="dxa"/>
              <w:left w:w="20" w:type="dxa"/>
              <w:bottom w:w="0" w:type="dxa"/>
              <w:right w:w="20" w:type="dxa"/>
            </w:tcMar>
          </w:tcPr>
          <w:p w14:paraId="00BB022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22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center"/>
          </w:tcPr>
          <w:p w14:paraId="00BB0222" w14:textId="77777777" w:rsidR="00871BDF" w:rsidRDefault="005C5088">
            <w:pPr>
              <w:jc w:val="right"/>
              <w:textAlignment w:val="center"/>
            </w:pPr>
            <w:r>
              <w:rPr>
                <w:rFonts w:ascii="Times New Roman" w:eastAsia="宋体" w:hAnsi="Times New Roman"/>
                <w:color w:val="000000"/>
                <w:sz w:val="20"/>
                <w:szCs w:val="20"/>
              </w:rPr>
              <w:t>(5.2)</w:t>
            </w:r>
          </w:p>
        </w:tc>
        <w:tc>
          <w:tcPr>
            <w:tcW w:w="0" w:type="auto"/>
            <w:shd w:val="clear" w:color="auto" w:fill="D7E4BC"/>
            <w:tcMar>
              <w:top w:w="40" w:type="dxa"/>
              <w:left w:w="0" w:type="dxa"/>
              <w:bottom w:w="40" w:type="dxa"/>
              <w:right w:w="20" w:type="dxa"/>
            </w:tcMar>
            <w:vAlign w:val="center"/>
          </w:tcPr>
          <w:p w14:paraId="00BB022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2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center"/>
          </w:tcPr>
          <w:p w14:paraId="00BB0225" w14:textId="77777777" w:rsidR="00871BDF" w:rsidRDefault="005C5088">
            <w:pPr>
              <w:jc w:val="right"/>
              <w:textAlignment w:val="center"/>
            </w:pPr>
            <w:r>
              <w:rPr>
                <w:rFonts w:ascii="Times New Roman" w:eastAsia="宋体" w:hAnsi="Times New Roman"/>
                <w:color w:val="000000"/>
                <w:sz w:val="20"/>
                <w:szCs w:val="20"/>
              </w:rPr>
              <w:t>(1.6)</w:t>
            </w:r>
          </w:p>
        </w:tc>
        <w:tc>
          <w:tcPr>
            <w:tcW w:w="0" w:type="auto"/>
            <w:shd w:val="clear" w:color="auto" w:fill="D7E4BC"/>
            <w:tcMar>
              <w:top w:w="40" w:type="dxa"/>
              <w:left w:w="0" w:type="dxa"/>
              <w:bottom w:w="40" w:type="dxa"/>
              <w:right w:w="20" w:type="dxa"/>
            </w:tcMar>
            <w:vAlign w:val="center"/>
          </w:tcPr>
          <w:p w14:paraId="00BB022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2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center"/>
          </w:tcPr>
          <w:p w14:paraId="00BB0228" w14:textId="77777777" w:rsidR="00871BDF" w:rsidRDefault="005C5088">
            <w:pPr>
              <w:jc w:val="right"/>
              <w:textAlignment w:val="center"/>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center"/>
          </w:tcPr>
          <w:p w14:paraId="00BB022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2A"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22B" w14:textId="77777777" w:rsidR="00871BDF" w:rsidRDefault="005C5088">
            <w:pPr>
              <w:textAlignment w:val="top"/>
            </w:pPr>
            <w:r>
              <w:rPr>
                <w:rFonts w:ascii="Times New Roman" w:eastAsia="宋体" w:hAnsi="Times New Roman"/>
                <w:color w:val="000000"/>
                <w:sz w:val="20"/>
                <w:szCs w:val="20"/>
              </w:rPr>
              <w:t>Tax (expense)/benefit</w:t>
            </w:r>
          </w:p>
        </w:tc>
      </w:tr>
      <w:tr w:rsidR="00871BDF" w14:paraId="00BB023C" w14:textId="77777777">
        <w:tc>
          <w:tcPr>
            <w:tcW w:w="0" w:type="auto"/>
            <w:gridSpan w:val="3"/>
            <w:shd w:val="clear" w:color="auto" w:fill="FFFFFF"/>
            <w:tcMar>
              <w:top w:w="0" w:type="dxa"/>
              <w:left w:w="20" w:type="dxa"/>
              <w:bottom w:w="0" w:type="dxa"/>
              <w:right w:w="20" w:type="dxa"/>
            </w:tcMar>
          </w:tcPr>
          <w:p w14:paraId="00BB022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22E"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00BB022F" w14:textId="77777777" w:rsidR="00871BDF" w:rsidRDefault="005C5088">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00BB0230" w14:textId="77777777" w:rsidR="00871BDF" w:rsidRDefault="005C5088">
            <w:pPr>
              <w:jc w:val="right"/>
              <w:textAlignment w:val="top"/>
            </w:pPr>
            <w:r>
              <w:rPr>
                <w:rFonts w:ascii="Times New Roman" w:eastAsia="宋体" w:hAnsi="Times New Roman"/>
                <w:color w:val="000000"/>
                <w:sz w:val="20"/>
                <w:szCs w:val="20"/>
              </w:rPr>
              <w:t>14.9 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00BB023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32"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00BB0233" w14:textId="77777777" w:rsidR="00871BDF" w:rsidRDefault="005C5088">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00BB0234" w14:textId="77777777" w:rsidR="00871BDF" w:rsidRDefault="005C5088">
            <w:pPr>
              <w:jc w:val="right"/>
              <w:textAlignment w:val="top"/>
            </w:pPr>
            <w:r>
              <w:rPr>
                <w:rFonts w:ascii="Times New Roman" w:eastAsia="宋体" w:hAnsi="Times New Roman"/>
                <w:color w:val="000000"/>
                <w:sz w:val="20"/>
                <w:szCs w:val="20"/>
              </w:rPr>
              <w:t>(2.9)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00BB023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36"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00BB0237" w14:textId="77777777" w:rsidR="00871BDF" w:rsidRDefault="005C5088">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00BB0238" w14:textId="77777777" w:rsidR="00871BDF" w:rsidRDefault="005C5088">
            <w:pPr>
              <w:jc w:val="right"/>
              <w:textAlignment w:val="top"/>
            </w:pPr>
            <w:r>
              <w:rPr>
                <w:rFonts w:ascii="Times New Roman" w:eastAsia="宋体" w:hAnsi="Times New Roman"/>
                <w:color w:val="000000"/>
                <w:sz w:val="20"/>
                <w:szCs w:val="20"/>
              </w:rPr>
              <w:t>(23.5)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00BB023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3A"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23B" w14:textId="77777777" w:rsidR="00871BDF" w:rsidRDefault="005C5088">
            <w:pPr>
              <w:textAlignment w:val="top"/>
            </w:pPr>
            <w:r>
              <w:rPr>
                <w:rFonts w:ascii="Times New Roman" w:eastAsia="宋体" w:hAnsi="Times New Roman"/>
                <w:color w:val="000000"/>
                <w:sz w:val="20"/>
                <w:szCs w:val="20"/>
              </w:rPr>
              <w:t>Net of tax</w:t>
            </w:r>
          </w:p>
        </w:tc>
      </w:tr>
    </w:tbl>
    <w:p w14:paraId="00BB023D" w14:textId="77777777" w:rsidR="00871BDF" w:rsidRDefault="005C5088">
      <w:pPr>
        <w:spacing w:before="120"/>
        <w:ind w:hanging="450"/>
      </w:pPr>
      <w:r>
        <w:rPr>
          <w:rFonts w:ascii="Times New Roman" w:eastAsia="宋体" w:hAnsi="Times New Roman"/>
          <w:color w:val="000000"/>
          <w:sz w:val="13"/>
          <w:szCs w:val="13"/>
        </w:rPr>
        <w:t>(1)     </w:t>
      </w:r>
      <w:r>
        <w:rPr>
          <w:rFonts w:ascii="Times New Roman" w:eastAsia="宋体" w:hAnsi="Times New Roman"/>
          <w:color w:val="000000"/>
          <w:sz w:val="20"/>
          <w:szCs w:val="20"/>
        </w:rPr>
        <w:t>Release of cumulative translation adjustments to earnings upon sale or liquidation of foreign businesses.</w:t>
      </w:r>
    </w:p>
    <w:p w14:paraId="00BB023E" w14:textId="77777777" w:rsidR="00871BDF" w:rsidRDefault="005C5088">
      <w:pPr>
        <w:spacing w:before="120"/>
      </w:pPr>
      <w:r>
        <w:rPr>
          <w:rFonts w:ascii="Times New Roman" w:eastAsia="宋体" w:hAnsi="Times New Roman"/>
          <w:b/>
          <w:bCs/>
          <w:color w:val="000000"/>
          <w:sz w:val="20"/>
          <w:szCs w:val="20"/>
        </w:rPr>
        <w:t>Note 13:    Employee Stock and Benefit Plans</w:t>
      </w:r>
    </w:p>
    <w:p w14:paraId="00BB023F" w14:textId="77777777" w:rsidR="00871BDF" w:rsidRDefault="005C5088">
      <w:pPr>
        <w:spacing w:before="120"/>
      </w:pPr>
      <w:r>
        <w:rPr>
          <w:rFonts w:ascii="Times New Roman" w:eastAsia="宋体" w:hAnsi="Times New Roman"/>
          <w:color w:val="000000"/>
          <w:sz w:val="20"/>
          <w:szCs w:val="20"/>
        </w:rPr>
        <w:t>We m</w:t>
      </w:r>
      <w:r>
        <w:rPr>
          <w:rFonts w:ascii="Times New Roman" w:eastAsia="宋体" w:hAnsi="Times New Roman"/>
          <w:color w:val="000000"/>
          <w:sz w:val="20"/>
          <w:szCs w:val="20"/>
        </w:rPr>
        <w:t>aintain several equity incentive plans under which we may grant non-qualified stock options, incentive stock options, restricted stock, restricted stock units (“RSUs”) or stock appreciation rights to employees, non-employee directors and consultants. We is</w:t>
      </w:r>
      <w:r>
        <w:rPr>
          <w:rFonts w:ascii="Times New Roman" w:eastAsia="宋体" w:hAnsi="Times New Roman"/>
          <w:color w:val="000000"/>
          <w:sz w:val="20"/>
          <w:szCs w:val="20"/>
        </w:rPr>
        <w:t>sue new shares of common stock upon exercise of stock options and the vesting of RSUs. We also have an employee stock purchase plan (“ESPP”).</w:t>
      </w:r>
    </w:p>
    <w:p w14:paraId="00BB0240" w14:textId="77777777" w:rsidR="00871BDF" w:rsidRDefault="005C5088">
      <w:pPr>
        <w:spacing w:before="120"/>
      </w:pPr>
      <w:r>
        <w:rPr>
          <w:rFonts w:ascii="Times New Roman" w:eastAsia="宋体" w:hAnsi="Times New Roman"/>
          <w:color w:val="000000"/>
          <w:sz w:val="20"/>
          <w:szCs w:val="20"/>
        </w:rPr>
        <w:t xml:space="preserve">As of September 27, 2020, there were 46.5 million shares of common stock available for issuance pursuant to </w:t>
      </w:r>
      <w:r>
        <w:rPr>
          <w:rFonts w:ascii="Times New Roman" w:eastAsia="宋体" w:hAnsi="Times New Roman"/>
          <w:color w:val="000000"/>
          <w:sz w:val="20"/>
          <w:szCs w:val="20"/>
        </w:rPr>
        <w:t>future equity-based compensation awards and 11.9 million shares available for issuance under our ESPP.</w:t>
      </w:r>
    </w:p>
    <w:p w14:paraId="00BB0241" w14:textId="77777777" w:rsidR="00871BDF" w:rsidRDefault="005C5088">
      <w:pPr>
        <w:jc w:val="center"/>
      </w:pPr>
      <w:r>
        <w:rPr>
          <w:rFonts w:ascii="Times New Roman" w:eastAsia="宋体" w:hAnsi="Times New Roman"/>
          <w:color w:val="000000"/>
          <w:sz w:val="20"/>
          <w:szCs w:val="20"/>
        </w:rPr>
        <w:t>81</w:t>
      </w:r>
    </w:p>
    <w:p w14:paraId="00BB0242" w14:textId="77777777" w:rsidR="00871BDF" w:rsidRDefault="005C5088">
      <w:r>
        <w:pict w14:anchorId="00BB14B6">
          <v:rect id="_x0000_i1108" style="width:415.3pt;height:1.5pt" o:hralign="center" o:hrstd="t" o:hr="t" fillcolor="#a0a0a0" stroked="f"/>
        </w:pict>
      </w:r>
    </w:p>
    <w:p w14:paraId="00BB0243" w14:textId="77777777" w:rsidR="00871BDF" w:rsidRDefault="005C5088">
      <w:hyperlink r:id="rId224" w:anchor="i54ccc64cb5384be5a4849ef1cdef4dde_7" w:history="1">
        <w:r>
          <w:rPr>
            <w:rStyle w:val="a5"/>
            <w:rFonts w:ascii="Times New Roman" w:eastAsia="宋体" w:hAnsi="Times New Roman"/>
            <w:sz w:val="20"/>
            <w:szCs w:val="20"/>
          </w:rPr>
          <w:t>Table of Contents</w:t>
        </w:r>
      </w:hyperlink>
    </w:p>
    <w:p w14:paraId="00BB0244" w14:textId="77777777" w:rsidR="00871BDF" w:rsidRDefault="005C5088">
      <w:pPr>
        <w:spacing w:before="120"/>
      </w:pPr>
      <w:r>
        <w:rPr>
          <w:rFonts w:ascii="Times New Roman" w:eastAsia="宋体" w:hAnsi="Times New Roman"/>
          <w:color w:val="000000"/>
          <w:sz w:val="20"/>
          <w:szCs w:val="20"/>
        </w:rPr>
        <w:t xml:space="preserve">Stock-based compensation expense recognized in the consolidated financial statements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9"/>
        <w:gridCol w:w="4293"/>
        <w:gridCol w:w="38"/>
        <w:gridCol w:w="120"/>
        <w:gridCol w:w="1116"/>
        <w:gridCol w:w="36"/>
        <w:gridCol w:w="36"/>
        <w:gridCol w:w="36"/>
        <w:gridCol w:w="36"/>
        <w:gridCol w:w="120"/>
        <w:gridCol w:w="1077"/>
        <w:gridCol w:w="36"/>
        <w:gridCol w:w="36"/>
        <w:gridCol w:w="36"/>
        <w:gridCol w:w="36"/>
        <w:gridCol w:w="120"/>
        <w:gridCol w:w="1077"/>
        <w:gridCol w:w="36"/>
      </w:tblGrid>
      <w:tr w:rsidR="00871BDF" w14:paraId="00BB0257" w14:textId="77777777">
        <w:tc>
          <w:tcPr>
            <w:tcW w:w="50" w:type="pct"/>
            <w:shd w:val="clear" w:color="auto" w:fill="auto"/>
          </w:tcPr>
          <w:p w14:paraId="00BB0245" w14:textId="77777777" w:rsidR="00871BDF" w:rsidRDefault="00871BDF">
            <w:pPr>
              <w:rPr>
                <w:rFonts w:ascii="宋体"/>
              </w:rPr>
            </w:pPr>
          </w:p>
        </w:tc>
        <w:tc>
          <w:tcPr>
            <w:tcW w:w="2609" w:type="pct"/>
            <w:shd w:val="clear" w:color="auto" w:fill="auto"/>
          </w:tcPr>
          <w:p w14:paraId="00BB0246" w14:textId="77777777" w:rsidR="00871BDF" w:rsidRDefault="00871BDF">
            <w:pPr>
              <w:rPr>
                <w:rFonts w:ascii="宋体"/>
              </w:rPr>
            </w:pPr>
          </w:p>
        </w:tc>
        <w:tc>
          <w:tcPr>
            <w:tcW w:w="5" w:type="pct"/>
            <w:shd w:val="clear" w:color="auto" w:fill="auto"/>
          </w:tcPr>
          <w:p w14:paraId="00BB0247" w14:textId="77777777" w:rsidR="00871BDF" w:rsidRDefault="00871BDF">
            <w:pPr>
              <w:rPr>
                <w:rFonts w:ascii="宋体"/>
              </w:rPr>
            </w:pPr>
          </w:p>
        </w:tc>
        <w:tc>
          <w:tcPr>
            <w:tcW w:w="50" w:type="pct"/>
            <w:shd w:val="clear" w:color="auto" w:fill="auto"/>
          </w:tcPr>
          <w:p w14:paraId="00BB0248" w14:textId="77777777" w:rsidR="00871BDF" w:rsidRDefault="00871BDF">
            <w:pPr>
              <w:rPr>
                <w:rFonts w:ascii="宋体"/>
              </w:rPr>
            </w:pPr>
          </w:p>
        </w:tc>
        <w:tc>
          <w:tcPr>
            <w:tcW w:w="699" w:type="pct"/>
            <w:shd w:val="clear" w:color="auto" w:fill="auto"/>
          </w:tcPr>
          <w:p w14:paraId="00BB0249" w14:textId="77777777" w:rsidR="00871BDF" w:rsidRDefault="00871BDF">
            <w:pPr>
              <w:rPr>
                <w:rFonts w:ascii="宋体"/>
              </w:rPr>
            </w:pPr>
          </w:p>
        </w:tc>
        <w:tc>
          <w:tcPr>
            <w:tcW w:w="5" w:type="pct"/>
            <w:shd w:val="clear" w:color="auto" w:fill="auto"/>
          </w:tcPr>
          <w:p w14:paraId="00BB024A" w14:textId="77777777" w:rsidR="00871BDF" w:rsidRDefault="00871BDF">
            <w:pPr>
              <w:rPr>
                <w:rFonts w:ascii="宋体"/>
              </w:rPr>
            </w:pPr>
          </w:p>
        </w:tc>
        <w:tc>
          <w:tcPr>
            <w:tcW w:w="5" w:type="pct"/>
            <w:shd w:val="clear" w:color="auto" w:fill="auto"/>
          </w:tcPr>
          <w:p w14:paraId="00BB024B" w14:textId="77777777" w:rsidR="00871BDF" w:rsidRDefault="00871BDF">
            <w:pPr>
              <w:rPr>
                <w:rFonts w:ascii="宋体"/>
              </w:rPr>
            </w:pPr>
          </w:p>
        </w:tc>
        <w:tc>
          <w:tcPr>
            <w:tcW w:w="26" w:type="pct"/>
            <w:shd w:val="clear" w:color="auto" w:fill="auto"/>
          </w:tcPr>
          <w:p w14:paraId="00BB024C" w14:textId="77777777" w:rsidR="00871BDF" w:rsidRDefault="00871BDF">
            <w:pPr>
              <w:rPr>
                <w:rFonts w:ascii="宋体"/>
              </w:rPr>
            </w:pPr>
          </w:p>
        </w:tc>
        <w:tc>
          <w:tcPr>
            <w:tcW w:w="5" w:type="pct"/>
            <w:shd w:val="clear" w:color="auto" w:fill="auto"/>
          </w:tcPr>
          <w:p w14:paraId="00BB024D" w14:textId="77777777" w:rsidR="00871BDF" w:rsidRDefault="00871BDF">
            <w:pPr>
              <w:rPr>
                <w:rFonts w:ascii="宋体"/>
              </w:rPr>
            </w:pPr>
          </w:p>
        </w:tc>
        <w:tc>
          <w:tcPr>
            <w:tcW w:w="50" w:type="pct"/>
            <w:shd w:val="clear" w:color="auto" w:fill="auto"/>
          </w:tcPr>
          <w:p w14:paraId="00BB024E" w14:textId="77777777" w:rsidR="00871BDF" w:rsidRDefault="00871BDF">
            <w:pPr>
              <w:rPr>
                <w:rFonts w:ascii="宋体"/>
              </w:rPr>
            </w:pPr>
          </w:p>
        </w:tc>
        <w:tc>
          <w:tcPr>
            <w:tcW w:w="699" w:type="pct"/>
            <w:shd w:val="clear" w:color="auto" w:fill="auto"/>
          </w:tcPr>
          <w:p w14:paraId="00BB024F" w14:textId="77777777" w:rsidR="00871BDF" w:rsidRDefault="00871BDF">
            <w:pPr>
              <w:rPr>
                <w:rFonts w:ascii="宋体"/>
              </w:rPr>
            </w:pPr>
          </w:p>
        </w:tc>
        <w:tc>
          <w:tcPr>
            <w:tcW w:w="5" w:type="pct"/>
            <w:shd w:val="clear" w:color="auto" w:fill="auto"/>
          </w:tcPr>
          <w:p w14:paraId="00BB0250" w14:textId="77777777" w:rsidR="00871BDF" w:rsidRDefault="00871BDF">
            <w:pPr>
              <w:rPr>
                <w:rFonts w:ascii="宋体"/>
              </w:rPr>
            </w:pPr>
          </w:p>
        </w:tc>
        <w:tc>
          <w:tcPr>
            <w:tcW w:w="5" w:type="pct"/>
            <w:shd w:val="clear" w:color="auto" w:fill="auto"/>
          </w:tcPr>
          <w:p w14:paraId="00BB0251" w14:textId="77777777" w:rsidR="00871BDF" w:rsidRDefault="00871BDF">
            <w:pPr>
              <w:rPr>
                <w:rFonts w:ascii="宋体"/>
              </w:rPr>
            </w:pPr>
          </w:p>
        </w:tc>
        <w:tc>
          <w:tcPr>
            <w:tcW w:w="26" w:type="pct"/>
            <w:shd w:val="clear" w:color="auto" w:fill="auto"/>
          </w:tcPr>
          <w:p w14:paraId="00BB0252" w14:textId="77777777" w:rsidR="00871BDF" w:rsidRDefault="00871BDF">
            <w:pPr>
              <w:rPr>
                <w:rFonts w:ascii="宋体"/>
              </w:rPr>
            </w:pPr>
          </w:p>
        </w:tc>
        <w:tc>
          <w:tcPr>
            <w:tcW w:w="5" w:type="pct"/>
            <w:shd w:val="clear" w:color="auto" w:fill="auto"/>
          </w:tcPr>
          <w:p w14:paraId="00BB0253" w14:textId="77777777" w:rsidR="00871BDF" w:rsidRDefault="00871BDF">
            <w:pPr>
              <w:rPr>
                <w:rFonts w:ascii="宋体"/>
              </w:rPr>
            </w:pPr>
          </w:p>
        </w:tc>
        <w:tc>
          <w:tcPr>
            <w:tcW w:w="50" w:type="pct"/>
            <w:shd w:val="clear" w:color="auto" w:fill="auto"/>
          </w:tcPr>
          <w:p w14:paraId="00BB0254" w14:textId="77777777" w:rsidR="00871BDF" w:rsidRDefault="00871BDF">
            <w:pPr>
              <w:rPr>
                <w:rFonts w:ascii="宋体"/>
              </w:rPr>
            </w:pPr>
          </w:p>
        </w:tc>
        <w:tc>
          <w:tcPr>
            <w:tcW w:w="699" w:type="pct"/>
            <w:shd w:val="clear" w:color="auto" w:fill="auto"/>
          </w:tcPr>
          <w:p w14:paraId="00BB0255" w14:textId="77777777" w:rsidR="00871BDF" w:rsidRDefault="00871BDF">
            <w:pPr>
              <w:rPr>
                <w:rFonts w:ascii="宋体"/>
              </w:rPr>
            </w:pPr>
          </w:p>
        </w:tc>
        <w:tc>
          <w:tcPr>
            <w:tcW w:w="5" w:type="pct"/>
            <w:shd w:val="clear" w:color="auto" w:fill="auto"/>
          </w:tcPr>
          <w:p w14:paraId="00BB0256" w14:textId="77777777" w:rsidR="00871BDF" w:rsidRDefault="00871BDF">
            <w:pPr>
              <w:rPr>
                <w:rFonts w:ascii="宋体"/>
              </w:rPr>
            </w:pPr>
          </w:p>
        </w:tc>
      </w:tr>
      <w:tr w:rsidR="00871BDF" w14:paraId="00BB025E" w14:textId="77777777">
        <w:tc>
          <w:tcPr>
            <w:tcW w:w="0" w:type="auto"/>
            <w:gridSpan w:val="3"/>
            <w:shd w:val="clear" w:color="auto" w:fill="auto"/>
            <w:tcMar>
              <w:top w:w="40" w:type="dxa"/>
              <w:left w:w="20" w:type="dxa"/>
              <w:bottom w:w="40" w:type="dxa"/>
              <w:right w:w="20" w:type="dxa"/>
            </w:tcMar>
            <w:vAlign w:val="bottom"/>
          </w:tcPr>
          <w:p w14:paraId="00BB0258"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B0259"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B025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25B" w14:textId="77777777" w:rsidR="00871BDF" w:rsidRDefault="005C5088">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B025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25D" w14:textId="77777777" w:rsidR="00871BDF" w:rsidRDefault="005C5088">
            <w:pPr>
              <w:jc w:val="center"/>
              <w:textAlignment w:val="bottom"/>
            </w:pPr>
            <w:r>
              <w:rPr>
                <w:rFonts w:ascii="Times New Roman" w:eastAsia="宋体" w:hAnsi="Times New Roman"/>
                <w:b/>
                <w:bCs/>
                <w:color w:val="FFFFFF"/>
                <w:sz w:val="16"/>
                <w:szCs w:val="16"/>
              </w:rPr>
              <w:t>Sep 30, 2018</w:t>
            </w:r>
          </w:p>
        </w:tc>
      </w:tr>
      <w:tr w:rsidR="00871BDF" w14:paraId="00BB026B" w14:textId="77777777">
        <w:tc>
          <w:tcPr>
            <w:tcW w:w="0" w:type="auto"/>
            <w:gridSpan w:val="3"/>
            <w:shd w:val="clear" w:color="auto" w:fill="D7E4BC"/>
            <w:tcMar>
              <w:top w:w="40" w:type="dxa"/>
              <w:left w:w="20" w:type="dxa"/>
              <w:bottom w:w="40" w:type="dxa"/>
              <w:right w:w="20" w:type="dxa"/>
            </w:tcMar>
          </w:tcPr>
          <w:p w14:paraId="00BB025F" w14:textId="77777777" w:rsidR="00871BDF" w:rsidRDefault="005C5088">
            <w:pPr>
              <w:textAlignment w:val="top"/>
            </w:pPr>
            <w:r>
              <w:rPr>
                <w:rFonts w:ascii="Times New Roman" w:eastAsia="宋体" w:hAnsi="Times New Roman"/>
                <w:color w:val="000000"/>
                <w:sz w:val="20"/>
                <w:szCs w:val="20"/>
              </w:rPr>
              <w:t>Options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B0260"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261" w14:textId="77777777" w:rsidR="00871BDF" w:rsidRDefault="005C5088">
            <w:pPr>
              <w:jc w:val="right"/>
              <w:textAlignment w:val="bottom"/>
            </w:pPr>
            <w:r>
              <w:rPr>
                <w:rFonts w:ascii="Times New Roman" w:eastAsia="宋体" w:hAnsi="Times New Roman"/>
                <w:color w:val="000000"/>
                <w:sz w:val="20"/>
                <w:szCs w:val="20"/>
              </w:rPr>
              <w:t>7.5 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26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63"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26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265" w14:textId="77777777" w:rsidR="00871BDF" w:rsidRDefault="005C5088">
            <w:pPr>
              <w:jc w:val="right"/>
              <w:textAlignment w:val="bottom"/>
            </w:pPr>
            <w:r>
              <w:rPr>
                <w:rFonts w:ascii="Times New Roman" w:eastAsia="宋体" w:hAnsi="Times New Roman"/>
                <w:color w:val="000000"/>
                <w:sz w:val="20"/>
                <w:szCs w:val="20"/>
              </w:rPr>
              <w:t>20.0 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26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67"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268"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269" w14:textId="77777777" w:rsidR="00871BDF" w:rsidRDefault="005C5088">
            <w:pPr>
              <w:jc w:val="right"/>
              <w:textAlignment w:val="bottom"/>
            </w:pPr>
            <w:r>
              <w:rPr>
                <w:rFonts w:ascii="Times New Roman" w:eastAsia="宋体" w:hAnsi="Times New Roman"/>
                <w:color w:val="000000"/>
                <w:sz w:val="20"/>
                <w:szCs w:val="20"/>
              </w:rPr>
              <w:t>28.0 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26A" w14:textId="77777777" w:rsidR="00871BDF" w:rsidRDefault="00871BDF">
            <w:pPr>
              <w:jc w:val="right"/>
              <w:rPr>
                <w:rFonts w:ascii="宋体"/>
              </w:rPr>
            </w:pPr>
          </w:p>
        </w:tc>
      </w:tr>
      <w:tr w:rsidR="00871BDF" w14:paraId="00BB0275" w14:textId="77777777">
        <w:tc>
          <w:tcPr>
            <w:tcW w:w="0" w:type="auto"/>
            <w:gridSpan w:val="3"/>
            <w:shd w:val="clear" w:color="auto" w:fill="FFFFFF"/>
            <w:tcMar>
              <w:top w:w="40" w:type="dxa"/>
              <w:left w:w="20" w:type="dxa"/>
              <w:bottom w:w="40" w:type="dxa"/>
              <w:right w:w="20" w:type="dxa"/>
            </w:tcMar>
          </w:tcPr>
          <w:p w14:paraId="00BB026C" w14:textId="77777777" w:rsidR="00871BDF" w:rsidRDefault="005C5088">
            <w:pPr>
              <w:textAlignment w:val="top"/>
            </w:pPr>
            <w:r>
              <w:rPr>
                <w:rFonts w:ascii="Times New Roman" w:eastAsia="宋体" w:hAnsi="Times New Roman"/>
                <w:color w:val="000000"/>
                <w:sz w:val="20"/>
                <w:szCs w:val="20"/>
              </w:rPr>
              <w:t>RSUs</w:t>
            </w:r>
          </w:p>
        </w:tc>
        <w:tc>
          <w:tcPr>
            <w:tcW w:w="0" w:type="auto"/>
            <w:gridSpan w:val="2"/>
            <w:shd w:val="clear" w:color="auto" w:fill="FFFFFF"/>
            <w:tcMar>
              <w:top w:w="40" w:type="dxa"/>
              <w:left w:w="20" w:type="dxa"/>
              <w:bottom w:w="40" w:type="dxa"/>
              <w:right w:w="0" w:type="dxa"/>
            </w:tcMar>
            <w:vAlign w:val="bottom"/>
          </w:tcPr>
          <w:p w14:paraId="00BB026D" w14:textId="77777777" w:rsidR="00871BDF" w:rsidRDefault="005C5088">
            <w:pPr>
              <w:jc w:val="right"/>
              <w:textAlignment w:val="bottom"/>
            </w:pPr>
            <w:r>
              <w:rPr>
                <w:rFonts w:ascii="Times New Roman" w:eastAsia="宋体" w:hAnsi="Times New Roman"/>
                <w:color w:val="000000"/>
                <w:sz w:val="20"/>
                <w:szCs w:val="20"/>
              </w:rPr>
              <w:t>241.0 </w:t>
            </w:r>
          </w:p>
        </w:tc>
        <w:tc>
          <w:tcPr>
            <w:tcW w:w="0" w:type="auto"/>
            <w:shd w:val="clear" w:color="auto" w:fill="FFFFFF"/>
            <w:tcMar>
              <w:top w:w="40" w:type="dxa"/>
              <w:left w:w="0" w:type="dxa"/>
              <w:bottom w:w="40" w:type="dxa"/>
              <w:right w:w="20" w:type="dxa"/>
            </w:tcMar>
            <w:vAlign w:val="bottom"/>
          </w:tcPr>
          <w:p w14:paraId="00BB026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6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270" w14:textId="77777777" w:rsidR="00871BDF" w:rsidRDefault="005C5088">
            <w:pPr>
              <w:jc w:val="right"/>
              <w:textAlignment w:val="bottom"/>
            </w:pPr>
            <w:r>
              <w:rPr>
                <w:rFonts w:ascii="Times New Roman" w:eastAsia="宋体" w:hAnsi="Times New Roman"/>
                <w:color w:val="000000"/>
                <w:sz w:val="20"/>
                <w:szCs w:val="20"/>
              </w:rPr>
              <w:t>288.0 </w:t>
            </w:r>
          </w:p>
        </w:tc>
        <w:tc>
          <w:tcPr>
            <w:tcW w:w="0" w:type="auto"/>
            <w:shd w:val="clear" w:color="auto" w:fill="FFFFFF"/>
            <w:tcMar>
              <w:top w:w="40" w:type="dxa"/>
              <w:left w:w="0" w:type="dxa"/>
              <w:bottom w:w="40" w:type="dxa"/>
              <w:right w:w="20" w:type="dxa"/>
            </w:tcMar>
            <w:vAlign w:val="bottom"/>
          </w:tcPr>
          <w:p w14:paraId="00BB027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7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273" w14:textId="77777777" w:rsidR="00871BDF" w:rsidRDefault="005C5088">
            <w:pPr>
              <w:jc w:val="right"/>
              <w:textAlignment w:val="bottom"/>
            </w:pPr>
            <w:r>
              <w:rPr>
                <w:rFonts w:ascii="Times New Roman" w:eastAsia="宋体" w:hAnsi="Times New Roman"/>
                <w:color w:val="000000"/>
                <w:sz w:val="20"/>
                <w:szCs w:val="20"/>
              </w:rPr>
              <w:t>222.3 </w:t>
            </w:r>
          </w:p>
        </w:tc>
        <w:tc>
          <w:tcPr>
            <w:tcW w:w="0" w:type="auto"/>
            <w:shd w:val="clear" w:color="auto" w:fill="FFFFFF"/>
            <w:tcMar>
              <w:top w:w="40" w:type="dxa"/>
              <w:left w:w="0" w:type="dxa"/>
              <w:bottom w:w="40" w:type="dxa"/>
              <w:right w:w="20" w:type="dxa"/>
            </w:tcMar>
            <w:vAlign w:val="bottom"/>
          </w:tcPr>
          <w:p w14:paraId="00BB0274" w14:textId="77777777" w:rsidR="00871BDF" w:rsidRDefault="00871BDF">
            <w:pPr>
              <w:jc w:val="right"/>
              <w:rPr>
                <w:rFonts w:ascii="宋体"/>
              </w:rPr>
            </w:pPr>
          </w:p>
        </w:tc>
      </w:tr>
      <w:tr w:rsidR="00871BDF" w14:paraId="00BB0282" w14:textId="77777777">
        <w:tc>
          <w:tcPr>
            <w:tcW w:w="0" w:type="auto"/>
            <w:gridSpan w:val="3"/>
            <w:shd w:val="clear" w:color="auto" w:fill="D7E4BC"/>
            <w:tcMar>
              <w:top w:w="40" w:type="dxa"/>
              <w:left w:w="20" w:type="dxa"/>
              <w:bottom w:w="40" w:type="dxa"/>
              <w:right w:w="20" w:type="dxa"/>
            </w:tcMar>
          </w:tcPr>
          <w:p w14:paraId="00BB0276" w14:textId="77777777" w:rsidR="00871BDF" w:rsidRDefault="005C5088">
            <w:pPr>
              <w:textAlignment w:val="top"/>
            </w:pPr>
            <w:r>
              <w:rPr>
                <w:rFonts w:ascii="Times New Roman" w:eastAsia="宋体" w:hAnsi="Times New Roman"/>
                <w:color w:val="000000"/>
                <w:sz w:val="20"/>
                <w:szCs w:val="20"/>
              </w:rPr>
              <w:t>Total stock-based compensation expense recognized in the consolidated statements of earnings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B0277"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278" w14:textId="77777777" w:rsidR="00871BDF" w:rsidRDefault="005C5088">
            <w:pPr>
              <w:jc w:val="right"/>
              <w:textAlignment w:val="bottom"/>
            </w:pPr>
            <w:r>
              <w:rPr>
                <w:rFonts w:ascii="Times New Roman" w:eastAsia="宋体" w:hAnsi="Times New Roman"/>
                <w:color w:val="000000"/>
                <w:sz w:val="20"/>
                <w:szCs w:val="20"/>
              </w:rPr>
              <w:t>248.5 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27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7A"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27B"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27C" w14:textId="77777777" w:rsidR="00871BDF" w:rsidRDefault="005C5088">
            <w:pPr>
              <w:jc w:val="right"/>
              <w:textAlignment w:val="bottom"/>
            </w:pPr>
            <w:r>
              <w:rPr>
                <w:rFonts w:ascii="Times New Roman" w:eastAsia="宋体" w:hAnsi="Times New Roman"/>
                <w:color w:val="000000"/>
                <w:sz w:val="20"/>
                <w:szCs w:val="20"/>
              </w:rPr>
              <w:t>308.0 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27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7E"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27F"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280" w14:textId="77777777" w:rsidR="00871BDF" w:rsidRDefault="005C5088">
            <w:pPr>
              <w:jc w:val="right"/>
              <w:textAlignment w:val="bottom"/>
            </w:pPr>
            <w:r>
              <w:rPr>
                <w:rFonts w:ascii="Times New Roman" w:eastAsia="宋体" w:hAnsi="Times New Roman"/>
                <w:color w:val="000000"/>
                <w:sz w:val="20"/>
                <w:szCs w:val="20"/>
              </w:rPr>
              <w:t>250.3 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281" w14:textId="77777777" w:rsidR="00871BDF" w:rsidRDefault="00871BDF">
            <w:pPr>
              <w:jc w:val="right"/>
              <w:rPr>
                <w:rFonts w:ascii="宋体"/>
              </w:rPr>
            </w:pPr>
          </w:p>
        </w:tc>
      </w:tr>
      <w:tr w:rsidR="00871BDF" w14:paraId="00BB028F" w14:textId="77777777">
        <w:tc>
          <w:tcPr>
            <w:tcW w:w="0" w:type="auto"/>
            <w:gridSpan w:val="3"/>
            <w:shd w:val="clear" w:color="auto" w:fill="FFFFFF"/>
            <w:tcMar>
              <w:top w:w="40" w:type="dxa"/>
              <w:left w:w="20" w:type="dxa"/>
              <w:bottom w:w="40" w:type="dxa"/>
              <w:right w:w="20" w:type="dxa"/>
            </w:tcMar>
          </w:tcPr>
          <w:p w14:paraId="00BB0283" w14:textId="77777777" w:rsidR="00871BDF" w:rsidRDefault="005C5088">
            <w:pPr>
              <w:textAlignment w:val="top"/>
            </w:pPr>
            <w:r>
              <w:rPr>
                <w:rFonts w:ascii="Times New Roman" w:eastAsia="宋体" w:hAnsi="Times New Roman"/>
                <w:color w:val="000000"/>
                <w:sz w:val="20"/>
                <w:szCs w:val="20"/>
              </w:rPr>
              <w:t>Total related tax benefit</w:t>
            </w:r>
          </w:p>
        </w:tc>
        <w:tc>
          <w:tcPr>
            <w:tcW w:w="0" w:type="auto"/>
            <w:tcBorders>
              <w:top w:val="double" w:sz="6" w:space="0" w:color="000000"/>
            </w:tcBorders>
            <w:shd w:val="clear" w:color="auto" w:fill="FFFFFF"/>
            <w:tcMar>
              <w:top w:w="40" w:type="dxa"/>
              <w:left w:w="20" w:type="dxa"/>
              <w:bottom w:w="40" w:type="dxa"/>
              <w:right w:w="0" w:type="dxa"/>
            </w:tcMar>
            <w:vAlign w:val="bottom"/>
          </w:tcPr>
          <w:p w14:paraId="00BB028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0BB0285" w14:textId="77777777" w:rsidR="00871BDF" w:rsidRDefault="005C5088">
            <w:pPr>
              <w:jc w:val="right"/>
              <w:textAlignment w:val="bottom"/>
            </w:pPr>
            <w:r>
              <w:rPr>
                <w:rFonts w:ascii="Times New Roman" w:eastAsia="宋体" w:hAnsi="Times New Roman"/>
                <w:color w:val="000000"/>
                <w:sz w:val="20"/>
                <w:szCs w:val="20"/>
              </w:rPr>
              <w:t>47.8 </w:t>
            </w:r>
          </w:p>
        </w:tc>
        <w:tc>
          <w:tcPr>
            <w:tcW w:w="0" w:type="auto"/>
            <w:tcBorders>
              <w:top w:val="double" w:sz="6" w:space="0" w:color="000000"/>
            </w:tcBorders>
            <w:shd w:val="clear" w:color="auto" w:fill="FFFFFF"/>
            <w:tcMar>
              <w:top w:w="40" w:type="dxa"/>
              <w:left w:w="0" w:type="dxa"/>
              <w:bottom w:w="40" w:type="dxa"/>
              <w:right w:w="20" w:type="dxa"/>
            </w:tcMar>
            <w:vAlign w:val="bottom"/>
          </w:tcPr>
          <w:p w14:paraId="00BB028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87" w14:textId="77777777" w:rsidR="00871BDF" w:rsidRDefault="00871BD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0BB0288"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0BB0289" w14:textId="77777777" w:rsidR="00871BDF" w:rsidRDefault="005C5088">
            <w:pPr>
              <w:jc w:val="right"/>
              <w:textAlignment w:val="bottom"/>
            </w:pPr>
            <w:r>
              <w:rPr>
                <w:rFonts w:ascii="Times New Roman" w:eastAsia="宋体" w:hAnsi="Times New Roman"/>
                <w:color w:val="000000"/>
                <w:sz w:val="20"/>
                <w:szCs w:val="20"/>
              </w:rPr>
              <w:t>59.3 </w:t>
            </w:r>
          </w:p>
        </w:tc>
        <w:tc>
          <w:tcPr>
            <w:tcW w:w="0" w:type="auto"/>
            <w:tcBorders>
              <w:top w:val="double" w:sz="6" w:space="0" w:color="000000"/>
            </w:tcBorders>
            <w:shd w:val="clear" w:color="auto" w:fill="FFFFFF"/>
            <w:tcMar>
              <w:top w:w="40" w:type="dxa"/>
              <w:left w:w="0" w:type="dxa"/>
              <w:bottom w:w="40" w:type="dxa"/>
              <w:right w:w="20" w:type="dxa"/>
            </w:tcMar>
            <w:vAlign w:val="bottom"/>
          </w:tcPr>
          <w:p w14:paraId="00BB028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8B" w14:textId="77777777" w:rsidR="00871BDF" w:rsidRDefault="00871BD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0BB028C"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0BB028D" w14:textId="77777777" w:rsidR="00871BDF" w:rsidRDefault="005C5088">
            <w:pPr>
              <w:jc w:val="right"/>
              <w:textAlignment w:val="bottom"/>
            </w:pPr>
            <w:r>
              <w:rPr>
                <w:rFonts w:ascii="Times New Roman" w:eastAsia="宋体" w:hAnsi="Times New Roman"/>
                <w:color w:val="000000"/>
                <w:sz w:val="20"/>
                <w:szCs w:val="20"/>
              </w:rPr>
              <w:t>62.4 </w:t>
            </w:r>
          </w:p>
        </w:tc>
        <w:tc>
          <w:tcPr>
            <w:tcW w:w="0" w:type="auto"/>
            <w:tcBorders>
              <w:top w:val="double" w:sz="6" w:space="0" w:color="000000"/>
            </w:tcBorders>
            <w:shd w:val="clear" w:color="auto" w:fill="FFFFFF"/>
            <w:tcMar>
              <w:top w:w="40" w:type="dxa"/>
              <w:left w:w="0" w:type="dxa"/>
              <w:bottom w:w="40" w:type="dxa"/>
              <w:right w:w="20" w:type="dxa"/>
            </w:tcMar>
            <w:vAlign w:val="bottom"/>
          </w:tcPr>
          <w:p w14:paraId="00BB028E" w14:textId="77777777" w:rsidR="00871BDF" w:rsidRDefault="00871BDF">
            <w:pPr>
              <w:jc w:val="right"/>
              <w:rPr>
                <w:rFonts w:ascii="宋体"/>
              </w:rPr>
            </w:pPr>
          </w:p>
        </w:tc>
      </w:tr>
      <w:tr w:rsidR="00871BDF" w14:paraId="00BB029C" w14:textId="77777777">
        <w:tc>
          <w:tcPr>
            <w:tcW w:w="0" w:type="auto"/>
            <w:gridSpan w:val="3"/>
            <w:shd w:val="clear" w:color="auto" w:fill="D7E4BC"/>
            <w:tcMar>
              <w:top w:w="40" w:type="dxa"/>
              <w:left w:w="20" w:type="dxa"/>
              <w:bottom w:w="40" w:type="dxa"/>
              <w:right w:w="20" w:type="dxa"/>
            </w:tcMar>
          </w:tcPr>
          <w:p w14:paraId="00BB0290" w14:textId="77777777" w:rsidR="00871BDF" w:rsidRDefault="005C5088">
            <w:pPr>
              <w:textAlignment w:val="top"/>
            </w:pPr>
            <w:r>
              <w:rPr>
                <w:rFonts w:ascii="Times New Roman" w:eastAsia="宋体" w:hAnsi="Times New Roman"/>
                <w:color w:val="000000"/>
                <w:sz w:val="20"/>
                <w:szCs w:val="20"/>
              </w:rPr>
              <w:t>Total capitalized stock-based compensation included in net property, plant and equipment on the consolidated balance sheets</w:t>
            </w:r>
          </w:p>
        </w:tc>
        <w:tc>
          <w:tcPr>
            <w:tcW w:w="0" w:type="auto"/>
            <w:shd w:val="clear" w:color="auto" w:fill="D7E4BC"/>
            <w:tcMar>
              <w:top w:w="40" w:type="dxa"/>
              <w:left w:w="20" w:type="dxa"/>
              <w:bottom w:w="40" w:type="dxa"/>
              <w:right w:w="0" w:type="dxa"/>
            </w:tcMar>
            <w:vAlign w:val="bottom"/>
          </w:tcPr>
          <w:p w14:paraId="00BB0291"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292" w14:textId="77777777" w:rsidR="00871BDF" w:rsidRDefault="005C5088">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left w:w="0" w:type="dxa"/>
              <w:bottom w:w="40" w:type="dxa"/>
              <w:right w:w="20" w:type="dxa"/>
            </w:tcMar>
            <w:vAlign w:val="bottom"/>
          </w:tcPr>
          <w:p w14:paraId="00BB029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94"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295"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296" w14:textId="77777777" w:rsidR="00871BDF" w:rsidRDefault="005C5088">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vAlign w:val="bottom"/>
          </w:tcPr>
          <w:p w14:paraId="00BB029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98"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299"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29A" w14:textId="77777777" w:rsidR="00871BDF" w:rsidRDefault="005C5088">
            <w:pPr>
              <w:jc w:val="right"/>
              <w:textAlignment w:val="bottom"/>
            </w:pPr>
            <w:r>
              <w:rPr>
                <w:rFonts w:ascii="Times New Roman" w:eastAsia="宋体" w:hAnsi="Times New Roman"/>
                <w:color w:val="000000"/>
                <w:sz w:val="20"/>
                <w:szCs w:val="20"/>
              </w:rPr>
              <w:t>3.5 </w:t>
            </w:r>
          </w:p>
        </w:tc>
        <w:tc>
          <w:tcPr>
            <w:tcW w:w="0" w:type="auto"/>
            <w:shd w:val="clear" w:color="auto" w:fill="D7E4BC"/>
            <w:tcMar>
              <w:top w:w="40" w:type="dxa"/>
              <w:left w:w="0" w:type="dxa"/>
              <w:bottom w:w="40" w:type="dxa"/>
              <w:right w:w="20" w:type="dxa"/>
            </w:tcMar>
            <w:vAlign w:val="bottom"/>
          </w:tcPr>
          <w:p w14:paraId="00BB029B" w14:textId="77777777" w:rsidR="00871BDF" w:rsidRDefault="00871BDF">
            <w:pPr>
              <w:jc w:val="right"/>
              <w:rPr>
                <w:rFonts w:ascii="宋体"/>
              </w:rPr>
            </w:pPr>
          </w:p>
        </w:tc>
      </w:tr>
    </w:tbl>
    <w:p w14:paraId="00BB029D" w14:textId="77777777" w:rsidR="00871BDF" w:rsidRDefault="005C5088">
      <w:pPr>
        <w:spacing w:before="120"/>
      </w:pPr>
      <w:r>
        <w:rPr>
          <w:rFonts w:ascii="Times New Roman" w:eastAsia="宋体" w:hAnsi="Times New Roman"/>
          <w:b/>
          <w:bCs/>
          <w:i/>
          <w:iCs/>
          <w:color w:val="000000"/>
          <w:sz w:val="20"/>
          <w:szCs w:val="20"/>
        </w:rPr>
        <w:t>Stock Option Plans</w:t>
      </w:r>
    </w:p>
    <w:p w14:paraId="00BB029E" w14:textId="77777777" w:rsidR="00871BDF" w:rsidRDefault="005C5088">
      <w:pPr>
        <w:spacing w:before="120"/>
      </w:pPr>
      <w:r>
        <w:rPr>
          <w:rFonts w:ascii="Times New Roman" w:eastAsia="宋体" w:hAnsi="Times New Roman"/>
          <w:color w:val="000000"/>
          <w:sz w:val="20"/>
          <w:szCs w:val="20"/>
        </w:rPr>
        <w:t xml:space="preserve">We provide stock options as a </w:t>
      </w:r>
      <w:r>
        <w:rPr>
          <w:rFonts w:ascii="Times New Roman" w:eastAsia="宋体" w:hAnsi="Times New Roman"/>
          <w:color w:val="000000"/>
          <w:sz w:val="20"/>
          <w:szCs w:val="20"/>
        </w:rPr>
        <w:t>form of employee compensation, which are primarily time-vested. The majority of time-vested options become exercisable in four equal installments beginning a year from the grant date and generally expire 10 years from the grant date. Options granted to non</w:t>
      </w:r>
      <w:r>
        <w:rPr>
          <w:rFonts w:ascii="Times New Roman" w:eastAsia="宋体" w:hAnsi="Times New Roman"/>
          <w:color w:val="000000"/>
          <w:sz w:val="20"/>
          <w:szCs w:val="20"/>
        </w:rPr>
        <w:t>-employee directors generally vest immediately or one year from grant. All outstanding stock options are non-qualified stock options.</w:t>
      </w:r>
    </w:p>
    <w:p w14:paraId="00BB029F" w14:textId="77777777" w:rsidR="00871BDF" w:rsidRDefault="005C5088">
      <w:pPr>
        <w:spacing w:before="120"/>
      </w:pPr>
      <w:r>
        <w:rPr>
          <w:rFonts w:ascii="Times New Roman" w:eastAsia="宋体" w:hAnsi="Times New Roman"/>
          <w:color w:val="000000"/>
          <w:sz w:val="20"/>
          <w:szCs w:val="20"/>
        </w:rPr>
        <w:t xml:space="preserve">The fair value of stock option awards was estimated at the grant date with the following weighted average assumptions for </w:t>
      </w:r>
      <w:r>
        <w:rPr>
          <w:rFonts w:ascii="Times New Roman" w:eastAsia="宋体" w:hAnsi="Times New Roman"/>
          <w:color w:val="000000"/>
          <w:sz w:val="20"/>
          <w:szCs w:val="20"/>
        </w:rPr>
        <w:t>fiscal 2020, 2019 and 2018:</w:t>
      </w:r>
    </w:p>
    <w:tbl>
      <w:tblPr>
        <w:tblW w:w="4993" w:type="pct"/>
        <w:tblCellMar>
          <w:top w:w="15" w:type="dxa"/>
          <w:left w:w="15" w:type="dxa"/>
          <w:bottom w:w="15" w:type="dxa"/>
          <w:right w:w="15" w:type="dxa"/>
        </w:tblCellMar>
        <w:tblLook w:val="04A0" w:firstRow="1" w:lastRow="0" w:firstColumn="1" w:lastColumn="0" w:noHBand="0" w:noVBand="1"/>
      </w:tblPr>
      <w:tblGrid>
        <w:gridCol w:w="38"/>
        <w:gridCol w:w="3632"/>
        <w:gridCol w:w="37"/>
        <w:gridCol w:w="121"/>
        <w:gridCol w:w="1159"/>
        <w:gridCol w:w="187"/>
        <w:gridCol w:w="36"/>
        <w:gridCol w:w="36"/>
        <w:gridCol w:w="36"/>
        <w:gridCol w:w="121"/>
        <w:gridCol w:w="1159"/>
        <w:gridCol w:w="187"/>
        <w:gridCol w:w="36"/>
        <w:gridCol w:w="36"/>
        <w:gridCol w:w="36"/>
        <w:gridCol w:w="121"/>
        <w:gridCol w:w="1159"/>
        <w:gridCol w:w="187"/>
      </w:tblGrid>
      <w:tr w:rsidR="00871BDF" w14:paraId="00BB02B2" w14:textId="77777777">
        <w:tc>
          <w:tcPr>
            <w:tcW w:w="50" w:type="pct"/>
            <w:shd w:val="clear" w:color="auto" w:fill="auto"/>
          </w:tcPr>
          <w:p w14:paraId="00BB02A0" w14:textId="77777777" w:rsidR="00871BDF" w:rsidRDefault="00871BDF">
            <w:pPr>
              <w:rPr>
                <w:rFonts w:ascii="宋体"/>
              </w:rPr>
            </w:pPr>
          </w:p>
        </w:tc>
        <w:tc>
          <w:tcPr>
            <w:tcW w:w="2609" w:type="pct"/>
            <w:shd w:val="clear" w:color="auto" w:fill="auto"/>
          </w:tcPr>
          <w:p w14:paraId="00BB02A1" w14:textId="77777777" w:rsidR="00871BDF" w:rsidRDefault="00871BDF">
            <w:pPr>
              <w:rPr>
                <w:rFonts w:ascii="宋体"/>
              </w:rPr>
            </w:pPr>
          </w:p>
        </w:tc>
        <w:tc>
          <w:tcPr>
            <w:tcW w:w="5" w:type="pct"/>
            <w:shd w:val="clear" w:color="auto" w:fill="auto"/>
          </w:tcPr>
          <w:p w14:paraId="00BB02A2" w14:textId="77777777" w:rsidR="00871BDF" w:rsidRDefault="00871BDF">
            <w:pPr>
              <w:rPr>
                <w:rFonts w:ascii="宋体"/>
              </w:rPr>
            </w:pPr>
          </w:p>
        </w:tc>
        <w:tc>
          <w:tcPr>
            <w:tcW w:w="50" w:type="pct"/>
            <w:shd w:val="clear" w:color="auto" w:fill="auto"/>
          </w:tcPr>
          <w:p w14:paraId="00BB02A3" w14:textId="77777777" w:rsidR="00871BDF" w:rsidRDefault="00871BDF">
            <w:pPr>
              <w:rPr>
                <w:rFonts w:ascii="宋体"/>
              </w:rPr>
            </w:pPr>
          </w:p>
        </w:tc>
        <w:tc>
          <w:tcPr>
            <w:tcW w:w="699" w:type="pct"/>
            <w:shd w:val="clear" w:color="auto" w:fill="auto"/>
          </w:tcPr>
          <w:p w14:paraId="00BB02A4" w14:textId="77777777" w:rsidR="00871BDF" w:rsidRDefault="00871BDF">
            <w:pPr>
              <w:rPr>
                <w:rFonts w:ascii="宋体"/>
              </w:rPr>
            </w:pPr>
          </w:p>
        </w:tc>
        <w:tc>
          <w:tcPr>
            <w:tcW w:w="5" w:type="pct"/>
            <w:shd w:val="clear" w:color="auto" w:fill="auto"/>
          </w:tcPr>
          <w:p w14:paraId="00BB02A5" w14:textId="77777777" w:rsidR="00871BDF" w:rsidRDefault="00871BDF">
            <w:pPr>
              <w:rPr>
                <w:rFonts w:ascii="宋体"/>
              </w:rPr>
            </w:pPr>
          </w:p>
        </w:tc>
        <w:tc>
          <w:tcPr>
            <w:tcW w:w="5" w:type="pct"/>
            <w:shd w:val="clear" w:color="auto" w:fill="auto"/>
          </w:tcPr>
          <w:p w14:paraId="00BB02A6" w14:textId="77777777" w:rsidR="00871BDF" w:rsidRDefault="00871BDF">
            <w:pPr>
              <w:rPr>
                <w:rFonts w:ascii="宋体"/>
              </w:rPr>
            </w:pPr>
          </w:p>
        </w:tc>
        <w:tc>
          <w:tcPr>
            <w:tcW w:w="26" w:type="pct"/>
            <w:shd w:val="clear" w:color="auto" w:fill="auto"/>
          </w:tcPr>
          <w:p w14:paraId="00BB02A7" w14:textId="77777777" w:rsidR="00871BDF" w:rsidRDefault="00871BDF">
            <w:pPr>
              <w:rPr>
                <w:rFonts w:ascii="宋体"/>
              </w:rPr>
            </w:pPr>
          </w:p>
        </w:tc>
        <w:tc>
          <w:tcPr>
            <w:tcW w:w="5" w:type="pct"/>
            <w:shd w:val="clear" w:color="auto" w:fill="auto"/>
          </w:tcPr>
          <w:p w14:paraId="00BB02A8" w14:textId="77777777" w:rsidR="00871BDF" w:rsidRDefault="00871BDF">
            <w:pPr>
              <w:rPr>
                <w:rFonts w:ascii="宋体"/>
              </w:rPr>
            </w:pPr>
          </w:p>
        </w:tc>
        <w:tc>
          <w:tcPr>
            <w:tcW w:w="50" w:type="pct"/>
            <w:shd w:val="clear" w:color="auto" w:fill="auto"/>
          </w:tcPr>
          <w:p w14:paraId="00BB02A9" w14:textId="77777777" w:rsidR="00871BDF" w:rsidRDefault="00871BDF">
            <w:pPr>
              <w:rPr>
                <w:rFonts w:ascii="宋体"/>
              </w:rPr>
            </w:pPr>
          </w:p>
        </w:tc>
        <w:tc>
          <w:tcPr>
            <w:tcW w:w="699" w:type="pct"/>
            <w:shd w:val="clear" w:color="auto" w:fill="auto"/>
          </w:tcPr>
          <w:p w14:paraId="00BB02AA" w14:textId="77777777" w:rsidR="00871BDF" w:rsidRDefault="00871BDF">
            <w:pPr>
              <w:rPr>
                <w:rFonts w:ascii="宋体"/>
              </w:rPr>
            </w:pPr>
          </w:p>
        </w:tc>
        <w:tc>
          <w:tcPr>
            <w:tcW w:w="5" w:type="pct"/>
            <w:shd w:val="clear" w:color="auto" w:fill="auto"/>
          </w:tcPr>
          <w:p w14:paraId="00BB02AB" w14:textId="77777777" w:rsidR="00871BDF" w:rsidRDefault="00871BDF">
            <w:pPr>
              <w:rPr>
                <w:rFonts w:ascii="宋体"/>
              </w:rPr>
            </w:pPr>
          </w:p>
        </w:tc>
        <w:tc>
          <w:tcPr>
            <w:tcW w:w="5" w:type="pct"/>
            <w:shd w:val="clear" w:color="auto" w:fill="auto"/>
          </w:tcPr>
          <w:p w14:paraId="00BB02AC" w14:textId="77777777" w:rsidR="00871BDF" w:rsidRDefault="00871BDF">
            <w:pPr>
              <w:rPr>
                <w:rFonts w:ascii="宋体"/>
              </w:rPr>
            </w:pPr>
          </w:p>
        </w:tc>
        <w:tc>
          <w:tcPr>
            <w:tcW w:w="26" w:type="pct"/>
            <w:shd w:val="clear" w:color="auto" w:fill="auto"/>
          </w:tcPr>
          <w:p w14:paraId="00BB02AD" w14:textId="77777777" w:rsidR="00871BDF" w:rsidRDefault="00871BDF">
            <w:pPr>
              <w:rPr>
                <w:rFonts w:ascii="宋体"/>
              </w:rPr>
            </w:pPr>
          </w:p>
        </w:tc>
        <w:tc>
          <w:tcPr>
            <w:tcW w:w="5" w:type="pct"/>
            <w:shd w:val="clear" w:color="auto" w:fill="auto"/>
          </w:tcPr>
          <w:p w14:paraId="00BB02AE" w14:textId="77777777" w:rsidR="00871BDF" w:rsidRDefault="00871BDF">
            <w:pPr>
              <w:rPr>
                <w:rFonts w:ascii="宋体"/>
              </w:rPr>
            </w:pPr>
          </w:p>
        </w:tc>
        <w:tc>
          <w:tcPr>
            <w:tcW w:w="50" w:type="pct"/>
            <w:shd w:val="clear" w:color="auto" w:fill="auto"/>
          </w:tcPr>
          <w:p w14:paraId="00BB02AF" w14:textId="77777777" w:rsidR="00871BDF" w:rsidRDefault="00871BDF">
            <w:pPr>
              <w:rPr>
                <w:rFonts w:ascii="宋体"/>
              </w:rPr>
            </w:pPr>
          </w:p>
        </w:tc>
        <w:tc>
          <w:tcPr>
            <w:tcW w:w="699" w:type="pct"/>
            <w:shd w:val="clear" w:color="auto" w:fill="auto"/>
          </w:tcPr>
          <w:p w14:paraId="00BB02B0" w14:textId="77777777" w:rsidR="00871BDF" w:rsidRDefault="00871BDF">
            <w:pPr>
              <w:rPr>
                <w:rFonts w:ascii="宋体"/>
              </w:rPr>
            </w:pPr>
          </w:p>
        </w:tc>
        <w:tc>
          <w:tcPr>
            <w:tcW w:w="5" w:type="pct"/>
            <w:shd w:val="clear" w:color="auto" w:fill="auto"/>
          </w:tcPr>
          <w:p w14:paraId="00BB02B1" w14:textId="77777777" w:rsidR="00871BDF" w:rsidRDefault="00871BDF">
            <w:pPr>
              <w:rPr>
                <w:rFonts w:ascii="宋体"/>
              </w:rPr>
            </w:pPr>
          </w:p>
        </w:tc>
      </w:tr>
      <w:tr w:rsidR="00871BDF" w14:paraId="00BB02B5" w14:textId="77777777">
        <w:tc>
          <w:tcPr>
            <w:tcW w:w="0" w:type="auto"/>
            <w:gridSpan w:val="3"/>
            <w:shd w:val="clear" w:color="auto" w:fill="auto"/>
            <w:tcMar>
              <w:top w:w="0" w:type="dxa"/>
              <w:left w:w="20" w:type="dxa"/>
              <w:bottom w:w="0" w:type="dxa"/>
              <w:right w:w="20" w:type="dxa"/>
            </w:tcMar>
          </w:tcPr>
          <w:p w14:paraId="00BB02B3" w14:textId="77777777" w:rsidR="00871BDF" w:rsidRDefault="00871BDF">
            <w:pPr>
              <w:rPr>
                <w:rFonts w:ascii="宋体"/>
              </w:rPr>
            </w:pPr>
          </w:p>
        </w:tc>
        <w:tc>
          <w:tcPr>
            <w:tcW w:w="0" w:type="auto"/>
            <w:gridSpan w:val="15"/>
            <w:shd w:val="clear" w:color="auto" w:fill="00704A"/>
            <w:tcMar>
              <w:top w:w="40" w:type="dxa"/>
              <w:left w:w="20" w:type="dxa"/>
              <w:bottom w:w="40" w:type="dxa"/>
              <w:right w:w="20" w:type="dxa"/>
            </w:tcMar>
            <w:vAlign w:val="bottom"/>
          </w:tcPr>
          <w:p w14:paraId="00BB02B4" w14:textId="77777777" w:rsidR="00871BDF" w:rsidRDefault="005C5088">
            <w:pPr>
              <w:jc w:val="center"/>
              <w:textAlignment w:val="bottom"/>
            </w:pPr>
            <w:r>
              <w:rPr>
                <w:rFonts w:ascii="Times New Roman" w:eastAsia="宋体" w:hAnsi="Times New Roman"/>
                <w:b/>
                <w:bCs/>
                <w:color w:val="FFFFFF"/>
                <w:sz w:val="16"/>
                <w:szCs w:val="16"/>
              </w:rPr>
              <w:t>Stock Options</w:t>
            </w:r>
            <w:r>
              <w:rPr>
                <w:rFonts w:ascii="Times New Roman" w:eastAsia="宋体" w:hAnsi="Times New Roman"/>
                <w:b/>
                <w:bCs/>
                <w:color w:val="FFFFFF"/>
                <w:sz w:val="16"/>
                <w:szCs w:val="16"/>
              </w:rPr>
              <w:br/>
              <w:t>Granted During the Period</w:t>
            </w:r>
          </w:p>
        </w:tc>
      </w:tr>
      <w:tr w:rsidR="00871BDF" w14:paraId="00BB02BC" w14:textId="77777777">
        <w:tc>
          <w:tcPr>
            <w:tcW w:w="0" w:type="auto"/>
            <w:gridSpan w:val="3"/>
            <w:shd w:val="clear" w:color="auto" w:fill="auto"/>
            <w:tcMar>
              <w:top w:w="40" w:type="dxa"/>
              <w:left w:w="20" w:type="dxa"/>
              <w:bottom w:w="40" w:type="dxa"/>
              <w:right w:w="20" w:type="dxa"/>
            </w:tcMar>
            <w:vAlign w:val="bottom"/>
          </w:tcPr>
          <w:p w14:paraId="00BB02B6"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2B7" w14:textId="77777777" w:rsidR="00871BDF" w:rsidRDefault="005C5088">
            <w:pPr>
              <w:jc w:val="center"/>
              <w:textAlignment w:val="bottom"/>
            </w:pPr>
            <w:r>
              <w:rPr>
                <w:rFonts w:ascii="Times New Roman" w:eastAsia="宋体" w:hAnsi="Times New Roman"/>
                <w:b/>
                <w:bCs/>
                <w:color w:val="FFFFFF"/>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00BB02B8"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2B9" w14:textId="77777777" w:rsidR="00871BDF" w:rsidRDefault="005C5088">
            <w:pPr>
              <w:jc w:val="center"/>
              <w:textAlignment w:val="bottom"/>
            </w:pPr>
            <w:r>
              <w:rPr>
                <w:rFonts w:ascii="Times New Roman" w:eastAsia="宋体" w:hAnsi="Times New Roman"/>
                <w:b/>
                <w:bCs/>
                <w:color w:val="FFFFFF"/>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00BB02BA"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2BB" w14:textId="77777777" w:rsidR="00871BDF" w:rsidRDefault="005C5088">
            <w:pPr>
              <w:jc w:val="center"/>
              <w:textAlignment w:val="bottom"/>
            </w:pPr>
            <w:r>
              <w:rPr>
                <w:rFonts w:ascii="Times New Roman" w:eastAsia="宋体" w:hAnsi="Times New Roman"/>
                <w:b/>
                <w:bCs/>
                <w:color w:val="FFFFFF"/>
                <w:sz w:val="16"/>
                <w:szCs w:val="16"/>
              </w:rPr>
              <w:t>2018</w:t>
            </w:r>
          </w:p>
        </w:tc>
      </w:tr>
      <w:tr w:rsidR="00871BDF" w14:paraId="00BB02C3" w14:textId="77777777">
        <w:tc>
          <w:tcPr>
            <w:tcW w:w="0" w:type="auto"/>
            <w:gridSpan w:val="3"/>
            <w:shd w:val="clear" w:color="auto" w:fill="D7E4BC"/>
            <w:tcMar>
              <w:top w:w="40" w:type="dxa"/>
              <w:left w:w="20" w:type="dxa"/>
              <w:bottom w:w="40" w:type="dxa"/>
              <w:right w:w="20" w:type="dxa"/>
            </w:tcMar>
          </w:tcPr>
          <w:p w14:paraId="00BB02BD" w14:textId="77777777" w:rsidR="00871BDF" w:rsidRDefault="005C5088">
            <w:pPr>
              <w:textAlignment w:val="top"/>
            </w:pPr>
            <w:r>
              <w:rPr>
                <w:rFonts w:ascii="Times New Roman" w:eastAsia="宋体" w:hAnsi="Times New Roman"/>
                <w:color w:val="000000"/>
                <w:sz w:val="20"/>
                <w:szCs w:val="20"/>
              </w:rPr>
              <w:t>Expected term (in years)</w:t>
            </w:r>
          </w:p>
        </w:tc>
        <w:tc>
          <w:tcPr>
            <w:tcW w:w="0" w:type="auto"/>
            <w:gridSpan w:val="3"/>
            <w:tcBorders>
              <w:top w:val="single" w:sz="8" w:space="0" w:color="000000"/>
            </w:tcBorders>
            <w:shd w:val="clear" w:color="auto" w:fill="D7E4BC"/>
            <w:tcMar>
              <w:top w:w="40" w:type="dxa"/>
              <w:left w:w="980" w:type="dxa"/>
              <w:bottom w:w="40" w:type="dxa"/>
              <w:right w:w="20" w:type="dxa"/>
            </w:tcMar>
            <w:vAlign w:val="bottom"/>
          </w:tcPr>
          <w:p w14:paraId="00BB02BE" w14:textId="77777777" w:rsidR="00871BDF" w:rsidRDefault="005C5088">
            <w:pPr>
              <w:textAlignment w:val="bottom"/>
            </w:pPr>
            <w:r>
              <w:rPr>
                <w:rFonts w:ascii="Times New Roman" w:eastAsia="宋体" w:hAnsi="Times New Roman"/>
                <w:color w:val="000000"/>
                <w:sz w:val="20"/>
                <w:szCs w:val="20"/>
              </w:rPr>
              <w:t>7.8</w:t>
            </w:r>
          </w:p>
        </w:tc>
        <w:tc>
          <w:tcPr>
            <w:tcW w:w="0" w:type="auto"/>
            <w:gridSpan w:val="3"/>
            <w:shd w:val="clear" w:color="auto" w:fill="D7E4BC"/>
            <w:tcMar>
              <w:top w:w="0" w:type="dxa"/>
              <w:left w:w="20" w:type="dxa"/>
              <w:bottom w:w="0" w:type="dxa"/>
              <w:right w:w="20" w:type="dxa"/>
            </w:tcMar>
          </w:tcPr>
          <w:p w14:paraId="00BB02BF"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980" w:type="dxa"/>
              <w:bottom w:w="40" w:type="dxa"/>
              <w:right w:w="20" w:type="dxa"/>
            </w:tcMar>
            <w:vAlign w:val="bottom"/>
          </w:tcPr>
          <w:p w14:paraId="00BB02C0" w14:textId="77777777" w:rsidR="00871BDF" w:rsidRDefault="005C5088">
            <w:pPr>
              <w:textAlignment w:val="bottom"/>
            </w:pPr>
            <w:r>
              <w:rPr>
                <w:rFonts w:ascii="Times New Roman" w:eastAsia="宋体" w:hAnsi="Times New Roman"/>
                <w:color w:val="000000"/>
                <w:sz w:val="20"/>
                <w:szCs w:val="20"/>
              </w:rPr>
              <w:t>4.1</w:t>
            </w:r>
          </w:p>
        </w:tc>
        <w:tc>
          <w:tcPr>
            <w:tcW w:w="0" w:type="auto"/>
            <w:gridSpan w:val="3"/>
            <w:shd w:val="clear" w:color="auto" w:fill="D7E4BC"/>
            <w:tcMar>
              <w:top w:w="0" w:type="dxa"/>
              <w:left w:w="20" w:type="dxa"/>
              <w:bottom w:w="0" w:type="dxa"/>
              <w:right w:w="20" w:type="dxa"/>
            </w:tcMar>
          </w:tcPr>
          <w:p w14:paraId="00BB02C1"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980" w:type="dxa"/>
              <w:bottom w:w="40" w:type="dxa"/>
              <w:right w:w="20" w:type="dxa"/>
            </w:tcMar>
            <w:vAlign w:val="bottom"/>
          </w:tcPr>
          <w:p w14:paraId="00BB02C2" w14:textId="77777777" w:rsidR="00871BDF" w:rsidRDefault="005C5088">
            <w:pPr>
              <w:textAlignment w:val="bottom"/>
            </w:pPr>
            <w:r>
              <w:rPr>
                <w:rFonts w:ascii="Times New Roman" w:eastAsia="宋体" w:hAnsi="Times New Roman"/>
                <w:color w:val="000000"/>
                <w:sz w:val="20"/>
                <w:szCs w:val="20"/>
              </w:rPr>
              <w:t>3.6</w:t>
            </w:r>
          </w:p>
        </w:tc>
      </w:tr>
      <w:tr w:rsidR="00871BDF" w14:paraId="00BB02CD" w14:textId="77777777">
        <w:tc>
          <w:tcPr>
            <w:tcW w:w="0" w:type="auto"/>
            <w:gridSpan w:val="3"/>
            <w:shd w:val="clear" w:color="auto" w:fill="FFFFFF"/>
            <w:tcMar>
              <w:top w:w="40" w:type="dxa"/>
              <w:left w:w="20" w:type="dxa"/>
              <w:bottom w:w="40" w:type="dxa"/>
              <w:right w:w="20" w:type="dxa"/>
            </w:tcMar>
          </w:tcPr>
          <w:p w14:paraId="00BB02C4" w14:textId="77777777" w:rsidR="00871BDF" w:rsidRDefault="005C5088">
            <w:pPr>
              <w:textAlignment w:val="top"/>
            </w:pPr>
            <w:r>
              <w:rPr>
                <w:rFonts w:ascii="Times New Roman" w:eastAsia="宋体" w:hAnsi="Times New Roman"/>
                <w:color w:val="000000"/>
                <w:sz w:val="20"/>
                <w:szCs w:val="20"/>
              </w:rPr>
              <w:t>Expected stock price volatility</w:t>
            </w:r>
          </w:p>
        </w:tc>
        <w:tc>
          <w:tcPr>
            <w:tcW w:w="0" w:type="auto"/>
            <w:gridSpan w:val="2"/>
            <w:shd w:val="clear" w:color="auto" w:fill="FFFFFF"/>
            <w:tcMar>
              <w:top w:w="40" w:type="dxa"/>
              <w:left w:w="20" w:type="dxa"/>
              <w:bottom w:w="40" w:type="dxa"/>
              <w:right w:w="0" w:type="dxa"/>
            </w:tcMar>
            <w:vAlign w:val="bottom"/>
          </w:tcPr>
          <w:p w14:paraId="00BB02C5" w14:textId="77777777" w:rsidR="00871BDF" w:rsidRDefault="005C5088">
            <w:pPr>
              <w:jc w:val="right"/>
              <w:textAlignment w:val="bottom"/>
            </w:pPr>
            <w:r>
              <w:rPr>
                <w:rFonts w:ascii="Times New Roman" w:eastAsia="宋体" w:hAnsi="Times New Roman"/>
                <w:color w:val="000000"/>
                <w:sz w:val="20"/>
                <w:szCs w:val="20"/>
              </w:rPr>
              <w:t>27.3 </w:t>
            </w:r>
          </w:p>
        </w:tc>
        <w:tc>
          <w:tcPr>
            <w:tcW w:w="0" w:type="auto"/>
            <w:shd w:val="clear" w:color="auto" w:fill="FFFFFF"/>
            <w:tcMar>
              <w:top w:w="40" w:type="dxa"/>
              <w:left w:w="0" w:type="dxa"/>
              <w:bottom w:w="40" w:type="dxa"/>
              <w:right w:w="20" w:type="dxa"/>
            </w:tcMar>
            <w:vAlign w:val="bottom"/>
          </w:tcPr>
          <w:p w14:paraId="00BB02C6"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02C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2C8" w14:textId="77777777" w:rsidR="00871BDF" w:rsidRDefault="005C5088">
            <w:pPr>
              <w:jc w:val="right"/>
              <w:textAlignment w:val="bottom"/>
            </w:pPr>
            <w:r>
              <w:rPr>
                <w:rFonts w:ascii="Times New Roman" w:eastAsia="宋体" w:hAnsi="Times New Roman"/>
                <w:color w:val="000000"/>
                <w:sz w:val="20"/>
                <w:szCs w:val="20"/>
              </w:rPr>
              <w:t>21.6 </w:t>
            </w:r>
          </w:p>
        </w:tc>
        <w:tc>
          <w:tcPr>
            <w:tcW w:w="0" w:type="auto"/>
            <w:shd w:val="clear" w:color="auto" w:fill="FFFFFF"/>
            <w:tcMar>
              <w:top w:w="40" w:type="dxa"/>
              <w:left w:w="0" w:type="dxa"/>
              <w:bottom w:w="40" w:type="dxa"/>
              <w:right w:w="20" w:type="dxa"/>
            </w:tcMar>
            <w:vAlign w:val="bottom"/>
          </w:tcPr>
          <w:p w14:paraId="00BB02C9"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02C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2CB" w14:textId="77777777" w:rsidR="00871BDF" w:rsidRDefault="005C5088">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left w:w="0" w:type="dxa"/>
              <w:bottom w:w="40" w:type="dxa"/>
              <w:right w:w="20" w:type="dxa"/>
            </w:tcMar>
            <w:vAlign w:val="bottom"/>
          </w:tcPr>
          <w:p w14:paraId="00BB02CC" w14:textId="77777777" w:rsidR="00871BDF" w:rsidRDefault="005C5088">
            <w:pPr>
              <w:jc w:val="right"/>
              <w:textAlignment w:val="bottom"/>
            </w:pPr>
            <w:r>
              <w:rPr>
                <w:rFonts w:ascii="Times New Roman" w:eastAsia="宋体" w:hAnsi="Times New Roman"/>
                <w:color w:val="000000"/>
                <w:sz w:val="20"/>
                <w:szCs w:val="20"/>
              </w:rPr>
              <w:t>%</w:t>
            </w:r>
          </w:p>
        </w:tc>
      </w:tr>
      <w:tr w:rsidR="00871BDF" w14:paraId="00BB02D7" w14:textId="77777777">
        <w:tc>
          <w:tcPr>
            <w:tcW w:w="0" w:type="auto"/>
            <w:gridSpan w:val="3"/>
            <w:shd w:val="clear" w:color="auto" w:fill="D7E4BC"/>
            <w:tcMar>
              <w:top w:w="40" w:type="dxa"/>
              <w:left w:w="20" w:type="dxa"/>
              <w:bottom w:w="40" w:type="dxa"/>
              <w:right w:w="20" w:type="dxa"/>
            </w:tcMar>
          </w:tcPr>
          <w:p w14:paraId="00BB02CE" w14:textId="77777777" w:rsidR="00871BDF" w:rsidRDefault="005C5088">
            <w:pPr>
              <w:textAlignment w:val="top"/>
            </w:pPr>
            <w:r>
              <w:rPr>
                <w:rFonts w:ascii="Times New Roman" w:eastAsia="宋体" w:hAnsi="Times New Roman"/>
                <w:color w:val="000000"/>
                <w:sz w:val="20"/>
                <w:szCs w:val="20"/>
              </w:rPr>
              <w:t>Risk-free interest rate</w:t>
            </w:r>
          </w:p>
        </w:tc>
        <w:tc>
          <w:tcPr>
            <w:tcW w:w="0" w:type="auto"/>
            <w:gridSpan w:val="2"/>
            <w:shd w:val="clear" w:color="auto" w:fill="D7E4BC"/>
            <w:tcMar>
              <w:top w:w="40" w:type="dxa"/>
              <w:left w:w="20" w:type="dxa"/>
              <w:bottom w:w="40" w:type="dxa"/>
              <w:right w:w="0" w:type="dxa"/>
            </w:tcMar>
            <w:vAlign w:val="bottom"/>
          </w:tcPr>
          <w:p w14:paraId="00BB02CF" w14:textId="77777777" w:rsidR="00871BDF" w:rsidRDefault="005C5088">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0BB02D0"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02D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2D2" w14:textId="77777777" w:rsidR="00871BDF" w:rsidRDefault="005C5088">
            <w:pPr>
              <w:jc w:val="right"/>
              <w:textAlignment w:val="bottom"/>
            </w:pPr>
            <w:r>
              <w:rPr>
                <w:rFonts w:ascii="Times New Roman" w:eastAsia="宋体" w:hAnsi="Times New Roman"/>
                <w:color w:val="000000"/>
                <w:sz w:val="20"/>
                <w:szCs w:val="20"/>
              </w:rPr>
              <w:t>2.9 </w:t>
            </w:r>
          </w:p>
        </w:tc>
        <w:tc>
          <w:tcPr>
            <w:tcW w:w="0" w:type="auto"/>
            <w:shd w:val="clear" w:color="auto" w:fill="D7E4BC"/>
            <w:tcMar>
              <w:top w:w="40" w:type="dxa"/>
              <w:left w:w="0" w:type="dxa"/>
              <w:bottom w:w="40" w:type="dxa"/>
              <w:right w:w="20" w:type="dxa"/>
            </w:tcMar>
            <w:vAlign w:val="bottom"/>
          </w:tcPr>
          <w:p w14:paraId="00BB02D3"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02D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2D5" w14:textId="77777777" w:rsidR="00871BDF" w:rsidRDefault="005C5088">
            <w:pPr>
              <w:jc w:val="right"/>
              <w:textAlignment w:val="bottom"/>
            </w:pPr>
            <w:r>
              <w:rPr>
                <w:rFonts w:ascii="Times New Roman" w:eastAsia="宋体" w:hAnsi="Times New Roman"/>
                <w:color w:val="000000"/>
                <w:sz w:val="20"/>
                <w:szCs w:val="20"/>
              </w:rPr>
              <w:t>2.1 </w:t>
            </w:r>
          </w:p>
        </w:tc>
        <w:tc>
          <w:tcPr>
            <w:tcW w:w="0" w:type="auto"/>
            <w:shd w:val="clear" w:color="auto" w:fill="D7E4BC"/>
            <w:tcMar>
              <w:top w:w="40" w:type="dxa"/>
              <w:left w:w="0" w:type="dxa"/>
              <w:bottom w:w="40" w:type="dxa"/>
              <w:right w:w="20" w:type="dxa"/>
            </w:tcMar>
            <w:vAlign w:val="bottom"/>
          </w:tcPr>
          <w:p w14:paraId="00BB02D6" w14:textId="77777777" w:rsidR="00871BDF" w:rsidRDefault="005C5088">
            <w:pPr>
              <w:jc w:val="right"/>
              <w:textAlignment w:val="bottom"/>
            </w:pPr>
            <w:r>
              <w:rPr>
                <w:rFonts w:ascii="Times New Roman" w:eastAsia="宋体" w:hAnsi="Times New Roman"/>
                <w:color w:val="000000"/>
                <w:sz w:val="20"/>
                <w:szCs w:val="20"/>
              </w:rPr>
              <w:t>%</w:t>
            </w:r>
          </w:p>
        </w:tc>
      </w:tr>
      <w:tr w:rsidR="00871BDF" w14:paraId="00BB02E1" w14:textId="77777777">
        <w:tc>
          <w:tcPr>
            <w:tcW w:w="0" w:type="auto"/>
            <w:gridSpan w:val="3"/>
            <w:shd w:val="clear" w:color="auto" w:fill="FFFFFF"/>
            <w:tcMar>
              <w:top w:w="40" w:type="dxa"/>
              <w:left w:w="20" w:type="dxa"/>
              <w:bottom w:w="40" w:type="dxa"/>
              <w:right w:w="20" w:type="dxa"/>
            </w:tcMar>
          </w:tcPr>
          <w:p w14:paraId="00BB02D8" w14:textId="77777777" w:rsidR="00871BDF" w:rsidRDefault="005C5088">
            <w:pPr>
              <w:textAlignment w:val="top"/>
            </w:pPr>
            <w:r>
              <w:rPr>
                <w:rFonts w:ascii="Times New Roman" w:eastAsia="宋体" w:hAnsi="Times New Roman"/>
                <w:color w:val="000000"/>
                <w:sz w:val="20"/>
                <w:szCs w:val="20"/>
              </w:rPr>
              <w:t>Expected dividend yield</w:t>
            </w:r>
          </w:p>
        </w:tc>
        <w:tc>
          <w:tcPr>
            <w:tcW w:w="0" w:type="auto"/>
            <w:gridSpan w:val="2"/>
            <w:shd w:val="clear" w:color="auto" w:fill="FFFFFF"/>
            <w:tcMar>
              <w:top w:w="40" w:type="dxa"/>
              <w:left w:w="20" w:type="dxa"/>
              <w:bottom w:w="40" w:type="dxa"/>
              <w:right w:w="0" w:type="dxa"/>
            </w:tcMar>
            <w:vAlign w:val="bottom"/>
          </w:tcPr>
          <w:p w14:paraId="00BB02D9" w14:textId="77777777" w:rsidR="00871BDF" w:rsidRDefault="005C5088">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00BB02DA"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02D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2DC" w14:textId="77777777" w:rsidR="00871BDF" w:rsidRDefault="005C5088">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0BB02DD"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02D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2DF" w14:textId="77777777" w:rsidR="00871BDF" w:rsidRDefault="005C5088">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00BB02E0" w14:textId="77777777" w:rsidR="00871BDF" w:rsidRDefault="005C5088">
            <w:pPr>
              <w:jc w:val="right"/>
              <w:textAlignment w:val="bottom"/>
            </w:pPr>
            <w:r>
              <w:rPr>
                <w:rFonts w:ascii="Times New Roman" w:eastAsia="宋体" w:hAnsi="Times New Roman"/>
                <w:color w:val="000000"/>
                <w:sz w:val="20"/>
                <w:szCs w:val="20"/>
              </w:rPr>
              <w:t>%</w:t>
            </w:r>
          </w:p>
        </w:tc>
      </w:tr>
      <w:tr w:rsidR="00871BDF" w14:paraId="00BB02EE" w14:textId="77777777">
        <w:tc>
          <w:tcPr>
            <w:tcW w:w="0" w:type="auto"/>
            <w:gridSpan w:val="3"/>
            <w:shd w:val="clear" w:color="auto" w:fill="D7E4BC"/>
            <w:tcMar>
              <w:top w:w="40" w:type="dxa"/>
              <w:left w:w="20" w:type="dxa"/>
              <w:bottom w:w="40" w:type="dxa"/>
              <w:right w:w="20" w:type="dxa"/>
            </w:tcMar>
          </w:tcPr>
          <w:p w14:paraId="00BB02E2" w14:textId="77777777" w:rsidR="00871BDF" w:rsidRDefault="005C5088">
            <w:pPr>
              <w:textAlignment w:val="top"/>
            </w:pPr>
            <w:r>
              <w:rPr>
                <w:rFonts w:ascii="Times New Roman" w:eastAsia="宋体" w:hAnsi="Times New Roman"/>
                <w:color w:val="000000"/>
                <w:sz w:val="20"/>
                <w:szCs w:val="20"/>
              </w:rPr>
              <w:t>Weighted average grant price</w:t>
            </w:r>
          </w:p>
        </w:tc>
        <w:tc>
          <w:tcPr>
            <w:tcW w:w="0" w:type="auto"/>
            <w:shd w:val="clear" w:color="auto" w:fill="D7E4BC"/>
            <w:tcMar>
              <w:top w:w="40" w:type="dxa"/>
              <w:left w:w="20" w:type="dxa"/>
              <w:bottom w:w="40" w:type="dxa"/>
              <w:right w:w="0" w:type="dxa"/>
            </w:tcMar>
            <w:vAlign w:val="bottom"/>
          </w:tcPr>
          <w:p w14:paraId="00BB02E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2E4" w14:textId="77777777" w:rsidR="00871BDF" w:rsidRDefault="005C5088">
            <w:pPr>
              <w:jc w:val="right"/>
              <w:textAlignment w:val="bottom"/>
            </w:pPr>
            <w:r>
              <w:rPr>
                <w:rFonts w:ascii="Times New Roman" w:eastAsia="宋体" w:hAnsi="Times New Roman"/>
                <w:color w:val="000000"/>
                <w:sz w:val="20"/>
                <w:szCs w:val="20"/>
              </w:rPr>
              <w:t>56.33 </w:t>
            </w:r>
          </w:p>
        </w:tc>
        <w:tc>
          <w:tcPr>
            <w:tcW w:w="0" w:type="auto"/>
            <w:shd w:val="clear" w:color="auto" w:fill="D7E4BC"/>
            <w:tcMar>
              <w:top w:w="40" w:type="dxa"/>
              <w:left w:w="0" w:type="dxa"/>
              <w:bottom w:w="40" w:type="dxa"/>
              <w:right w:w="20" w:type="dxa"/>
            </w:tcMar>
            <w:vAlign w:val="bottom"/>
          </w:tcPr>
          <w:p w14:paraId="00BB02E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E6"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2E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2E8" w14:textId="77777777" w:rsidR="00871BDF" w:rsidRDefault="005C5088">
            <w:pPr>
              <w:jc w:val="right"/>
              <w:textAlignment w:val="bottom"/>
            </w:pPr>
            <w:r>
              <w:rPr>
                <w:rFonts w:ascii="Times New Roman" w:eastAsia="宋体" w:hAnsi="Times New Roman"/>
                <w:color w:val="000000"/>
                <w:sz w:val="20"/>
                <w:szCs w:val="20"/>
              </w:rPr>
              <w:t>67.33 </w:t>
            </w:r>
          </w:p>
        </w:tc>
        <w:tc>
          <w:tcPr>
            <w:tcW w:w="0" w:type="auto"/>
            <w:shd w:val="clear" w:color="auto" w:fill="D7E4BC"/>
            <w:tcMar>
              <w:top w:w="40" w:type="dxa"/>
              <w:left w:w="0" w:type="dxa"/>
              <w:bottom w:w="40" w:type="dxa"/>
              <w:right w:w="20" w:type="dxa"/>
            </w:tcMar>
            <w:vAlign w:val="bottom"/>
          </w:tcPr>
          <w:p w14:paraId="00BB02E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2EA"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2E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2EC" w14:textId="77777777" w:rsidR="00871BDF" w:rsidRDefault="005C5088">
            <w:pPr>
              <w:jc w:val="right"/>
              <w:textAlignment w:val="bottom"/>
            </w:pPr>
            <w:r>
              <w:rPr>
                <w:rFonts w:ascii="Times New Roman" w:eastAsia="宋体" w:hAnsi="Times New Roman"/>
                <w:color w:val="000000"/>
                <w:sz w:val="20"/>
                <w:szCs w:val="20"/>
              </w:rPr>
              <w:t>56.56 </w:t>
            </w:r>
          </w:p>
        </w:tc>
        <w:tc>
          <w:tcPr>
            <w:tcW w:w="0" w:type="auto"/>
            <w:shd w:val="clear" w:color="auto" w:fill="D7E4BC"/>
            <w:tcMar>
              <w:top w:w="40" w:type="dxa"/>
              <w:left w:w="0" w:type="dxa"/>
              <w:bottom w:w="40" w:type="dxa"/>
              <w:right w:w="20" w:type="dxa"/>
            </w:tcMar>
            <w:vAlign w:val="bottom"/>
          </w:tcPr>
          <w:p w14:paraId="00BB02ED" w14:textId="77777777" w:rsidR="00871BDF" w:rsidRDefault="00871BDF">
            <w:pPr>
              <w:jc w:val="right"/>
              <w:rPr>
                <w:rFonts w:ascii="宋体"/>
              </w:rPr>
            </w:pPr>
          </w:p>
        </w:tc>
      </w:tr>
      <w:tr w:rsidR="00871BDF" w14:paraId="00BB02FB" w14:textId="77777777">
        <w:tc>
          <w:tcPr>
            <w:tcW w:w="0" w:type="auto"/>
            <w:gridSpan w:val="3"/>
            <w:shd w:val="clear" w:color="auto" w:fill="FFFFFF"/>
            <w:tcMar>
              <w:top w:w="40" w:type="dxa"/>
              <w:left w:w="20" w:type="dxa"/>
              <w:bottom w:w="40" w:type="dxa"/>
              <w:right w:w="20" w:type="dxa"/>
            </w:tcMar>
          </w:tcPr>
          <w:p w14:paraId="00BB02EF" w14:textId="77777777" w:rsidR="00871BDF" w:rsidRDefault="005C5088">
            <w:pPr>
              <w:textAlignment w:val="top"/>
            </w:pPr>
            <w:r>
              <w:rPr>
                <w:rFonts w:ascii="Times New Roman" w:eastAsia="宋体" w:hAnsi="Times New Roman"/>
                <w:color w:val="000000"/>
                <w:sz w:val="20"/>
                <w:szCs w:val="20"/>
              </w:rPr>
              <w:t>Estimated fair value per option granted</w:t>
            </w:r>
          </w:p>
        </w:tc>
        <w:tc>
          <w:tcPr>
            <w:tcW w:w="0" w:type="auto"/>
            <w:shd w:val="clear" w:color="auto" w:fill="FFFFFF"/>
            <w:tcMar>
              <w:top w:w="40" w:type="dxa"/>
              <w:left w:w="20" w:type="dxa"/>
              <w:bottom w:w="40" w:type="dxa"/>
              <w:right w:w="0" w:type="dxa"/>
            </w:tcMar>
            <w:vAlign w:val="bottom"/>
          </w:tcPr>
          <w:p w14:paraId="00BB02F0"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2F1" w14:textId="77777777" w:rsidR="00871BDF" w:rsidRDefault="005C5088">
            <w:pPr>
              <w:jc w:val="right"/>
              <w:textAlignment w:val="bottom"/>
            </w:pPr>
            <w:r>
              <w:rPr>
                <w:rFonts w:ascii="Times New Roman" w:eastAsia="宋体" w:hAnsi="Times New Roman"/>
                <w:color w:val="000000"/>
                <w:sz w:val="20"/>
                <w:szCs w:val="20"/>
              </w:rPr>
              <w:t>11.30 </w:t>
            </w:r>
          </w:p>
        </w:tc>
        <w:tc>
          <w:tcPr>
            <w:tcW w:w="0" w:type="auto"/>
            <w:shd w:val="clear" w:color="auto" w:fill="FFFFFF"/>
            <w:tcMar>
              <w:top w:w="40" w:type="dxa"/>
              <w:left w:w="0" w:type="dxa"/>
              <w:bottom w:w="40" w:type="dxa"/>
              <w:right w:w="20" w:type="dxa"/>
            </w:tcMar>
            <w:vAlign w:val="bottom"/>
          </w:tcPr>
          <w:p w14:paraId="00BB02F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F3"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2F4"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2F5" w14:textId="77777777" w:rsidR="00871BDF" w:rsidRDefault="005C5088">
            <w:pPr>
              <w:jc w:val="right"/>
              <w:textAlignment w:val="bottom"/>
            </w:pPr>
            <w:r>
              <w:rPr>
                <w:rFonts w:ascii="Times New Roman" w:eastAsia="宋体" w:hAnsi="Times New Roman"/>
                <w:color w:val="000000"/>
                <w:sz w:val="20"/>
                <w:szCs w:val="20"/>
              </w:rPr>
              <w:t>11.06 </w:t>
            </w:r>
          </w:p>
        </w:tc>
        <w:tc>
          <w:tcPr>
            <w:tcW w:w="0" w:type="auto"/>
            <w:shd w:val="clear" w:color="auto" w:fill="FFFFFF"/>
            <w:tcMar>
              <w:top w:w="40" w:type="dxa"/>
              <w:left w:w="0" w:type="dxa"/>
              <w:bottom w:w="40" w:type="dxa"/>
              <w:right w:w="20" w:type="dxa"/>
            </w:tcMar>
            <w:vAlign w:val="bottom"/>
          </w:tcPr>
          <w:p w14:paraId="00BB02F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2F7"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2F8"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2F9" w14:textId="77777777" w:rsidR="00871BDF" w:rsidRDefault="005C5088">
            <w:pPr>
              <w:jc w:val="right"/>
              <w:textAlignment w:val="bottom"/>
            </w:pPr>
            <w:r>
              <w:rPr>
                <w:rFonts w:ascii="Times New Roman" w:eastAsia="宋体" w:hAnsi="Times New Roman"/>
                <w:color w:val="000000"/>
                <w:sz w:val="20"/>
                <w:szCs w:val="20"/>
              </w:rPr>
              <w:t>7.32 </w:t>
            </w:r>
          </w:p>
        </w:tc>
        <w:tc>
          <w:tcPr>
            <w:tcW w:w="0" w:type="auto"/>
            <w:shd w:val="clear" w:color="auto" w:fill="FFFFFF"/>
            <w:tcMar>
              <w:top w:w="40" w:type="dxa"/>
              <w:left w:w="0" w:type="dxa"/>
              <w:bottom w:w="40" w:type="dxa"/>
              <w:right w:w="20" w:type="dxa"/>
            </w:tcMar>
            <w:vAlign w:val="bottom"/>
          </w:tcPr>
          <w:p w14:paraId="00BB02FA" w14:textId="77777777" w:rsidR="00871BDF" w:rsidRDefault="00871BDF">
            <w:pPr>
              <w:jc w:val="right"/>
              <w:rPr>
                <w:rFonts w:ascii="宋体"/>
              </w:rPr>
            </w:pPr>
          </w:p>
        </w:tc>
      </w:tr>
    </w:tbl>
    <w:p w14:paraId="00BB02FC" w14:textId="77777777" w:rsidR="00871BDF" w:rsidRDefault="005C5088">
      <w:pPr>
        <w:spacing w:before="120"/>
      </w:pPr>
      <w:r>
        <w:rPr>
          <w:rFonts w:ascii="Times New Roman" w:eastAsia="宋体" w:hAnsi="Times New Roman"/>
          <w:color w:val="000000"/>
          <w:sz w:val="20"/>
          <w:szCs w:val="20"/>
        </w:rPr>
        <w:t>The expected term of the options represents the estimated period of time until exercise and is based on historical experience of similar awards, giving consideration to the contractual terms, vesting schedules and expectations of future e</w:t>
      </w:r>
      <w:r>
        <w:rPr>
          <w:rFonts w:ascii="Times New Roman" w:eastAsia="宋体" w:hAnsi="Times New Roman"/>
          <w:color w:val="000000"/>
          <w:sz w:val="20"/>
          <w:szCs w:val="20"/>
        </w:rPr>
        <w:t xml:space="preserve">mployee behavior. Expected stock price volatility is based on a combination of historical volatility of our stock and the one-year implied volatility of Starbucks traded options, for the related vesting periods. The risk-free interest rate is based on the </w:t>
      </w:r>
      <w:r>
        <w:rPr>
          <w:rFonts w:ascii="Times New Roman" w:eastAsia="宋体" w:hAnsi="Times New Roman"/>
          <w:color w:val="000000"/>
          <w:sz w:val="20"/>
          <w:szCs w:val="20"/>
        </w:rPr>
        <w:t>implied yield available on U.S. Treasury zero-coupon issues with an equivalent remaining term. The dividend yield assumption is based on our anticipated cash dividend payouts. The amounts shown above for the estimated fair value per option granted are befo</w:t>
      </w:r>
      <w:r>
        <w:rPr>
          <w:rFonts w:ascii="Times New Roman" w:eastAsia="宋体" w:hAnsi="Times New Roman"/>
          <w:color w:val="000000"/>
          <w:sz w:val="20"/>
          <w:szCs w:val="20"/>
        </w:rPr>
        <w:t>re the estimated effect of forfeitures, which reduce the amount of expense recorded in the consolidated statements of earnings.</w:t>
      </w:r>
    </w:p>
    <w:p w14:paraId="00BB02FD" w14:textId="77777777" w:rsidR="00871BDF" w:rsidRDefault="005C5088">
      <w:pPr>
        <w:spacing w:before="120"/>
      </w:pPr>
      <w:r>
        <w:rPr>
          <w:rFonts w:ascii="Times New Roman" w:eastAsia="宋体" w:hAnsi="Times New Roman"/>
          <w:color w:val="000000"/>
          <w:sz w:val="20"/>
          <w:szCs w:val="20"/>
        </w:rPr>
        <w:t xml:space="preserve">Stock option transactions for the year ended September 27, 2020 </w:t>
      </w:r>
      <w:r>
        <w:rPr>
          <w:rFonts w:ascii="Times New Roman" w:eastAsia="宋体" w:hAnsi="Times New Roman"/>
          <w:i/>
          <w:iCs/>
          <w:color w:val="000000"/>
          <w:sz w:val="20"/>
          <w:szCs w:val="20"/>
        </w:rPr>
        <w:t>(in millions, except per share and contractual life amounts)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8"/>
        <w:gridCol w:w="3495"/>
        <w:gridCol w:w="37"/>
        <w:gridCol w:w="55"/>
        <w:gridCol w:w="989"/>
        <w:gridCol w:w="36"/>
        <w:gridCol w:w="36"/>
        <w:gridCol w:w="36"/>
        <w:gridCol w:w="36"/>
        <w:gridCol w:w="121"/>
        <w:gridCol w:w="968"/>
        <w:gridCol w:w="36"/>
        <w:gridCol w:w="36"/>
        <w:gridCol w:w="36"/>
        <w:gridCol w:w="36"/>
        <w:gridCol w:w="65"/>
        <w:gridCol w:w="951"/>
        <w:gridCol w:w="36"/>
        <w:gridCol w:w="36"/>
        <w:gridCol w:w="36"/>
        <w:gridCol w:w="36"/>
        <w:gridCol w:w="121"/>
        <w:gridCol w:w="981"/>
        <w:gridCol w:w="36"/>
      </w:tblGrid>
      <w:tr w:rsidR="00871BDF" w14:paraId="00BB0316" w14:textId="77777777">
        <w:tc>
          <w:tcPr>
            <w:tcW w:w="50" w:type="pct"/>
            <w:shd w:val="clear" w:color="auto" w:fill="auto"/>
          </w:tcPr>
          <w:p w14:paraId="00BB02FE" w14:textId="77777777" w:rsidR="00871BDF" w:rsidRDefault="00871BDF">
            <w:pPr>
              <w:rPr>
                <w:rFonts w:ascii="宋体"/>
              </w:rPr>
            </w:pPr>
          </w:p>
        </w:tc>
        <w:tc>
          <w:tcPr>
            <w:tcW w:w="2125" w:type="pct"/>
            <w:shd w:val="clear" w:color="auto" w:fill="auto"/>
          </w:tcPr>
          <w:p w14:paraId="00BB02FF" w14:textId="77777777" w:rsidR="00871BDF" w:rsidRDefault="00871BDF">
            <w:pPr>
              <w:rPr>
                <w:rFonts w:ascii="宋体"/>
              </w:rPr>
            </w:pPr>
          </w:p>
        </w:tc>
        <w:tc>
          <w:tcPr>
            <w:tcW w:w="5" w:type="pct"/>
            <w:shd w:val="clear" w:color="auto" w:fill="auto"/>
          </w:tcPr>
          <w:p w14:paraId="00BB0300" w14:textId="77777777" w:rsidR="00871BDF" w:rsidRDefault="00871BDF">
            <w:pPr>
              <w:rPr>
                <w:rFonts w:ascii="宋体"/>
              </w:rPr>
            </w:pPr>
          </w:p>
        </w:tc>
        <w:tc>
          <w:tcPr>
            <w:tcW w:w="50" w:type="pct"/>
            <w:shd w:val="clear" w:color="auto" w:fill="auto"/>
          </w:tcPr>
          <w:p w14:paraId="00BB0301" w14:textId="77777777" w:rsidR="00871BDF" w:rsidRDefault="00871BDF">
            <w:pPr>
              <w:rPr>
                <w:rFonts w:ascii="宋体"/>
              </w:rPr>
            </w:pPr>
          </w:p>
        </w:tc>
        <w:tc>
          <w:tcPr>
            <w:tcW w:w="620" w:type="pct"/>
            <w:shd w:val="clear" w:color="auto" w:fill="auto"/>
          </w:tcPr>
          <w:p w14:paraId="00BB0302" w14:textId="77777777" w:rsidR="00871BDF" w:rsidRDefault="00871BDF">
            <w:pPr>
              <w:rPr>
                <w:rFonts w:ascii="宋体"/>
              </w:rPr>
            </w:pPr>
          </w:p>
        </w:tc>
        <w:tc>
          <w:tcPr>
            <w:tcW w:w="5" w:type="pct"/>
            <w:shd w:val="clear" w:color="auto" w:fill="auto"/>
          </w:tcPr>
          <w:p w14:paraId="00BB0303" w14:textId="77777777" w:rsidR="00871BDF" w:rsidRDefault="00871BDF">
            <w:pPr>
              <w:rPr>
                <w:rFonts w:ascii="宋体"/>
              </w:rPr>
            </w:pPr>
          </w:p>
        </w:tc>
        <w:tc>
          <w:tcPr>
            <w:tcW w:w="5" w:type="pct"/>
            <w:shd w:val="clear" w:color="auto" w:fill="auto"/>
          </w:tcPr>
          <w:p w14:paraId="00BB0304" w14:textId="77777777" w:rsidR="00871BDF" w:rsidRDefault="00871BDF">
            <w:pPr>
              <w:rPr>
                <w:rFonts w:ascii="宋体"/>
              </w:rPr>
            </w:pPr>
          </w:p>
        </w:tc>
        <w:tc>
          <w:tcPr>
            <w:tcW w:w="26" w:type="pct"/>
            <w:shd w:val="clear" w:color="auto" w:fill="auto"/>
          </w:tcPr>
          <w:p w14:paraId="00BB0305" w14:textId="77777777" w:rsidR="00871BDF" w:rsidRDefault="00871BDF">
            <w:pPr>
              <w:rPr>
                <w:rFonts w:ascii="宋体"/>
              </w:rPr>
            </w:pPr>
          </w:p>
        </w:tc>
        <w:tc>
          <w:tcPr>
            <w:tcW w:w="5" w:type="pct"/>
            <w:shd w:val="clear" w:color="auto" w:fill="auto"/>
          </w:tcPr>
          <w:p w14:paraId="00BB0306" w14:textId="77777777" w:rsidR="00871BDF" w:rsidRDefault="00871BDF">
            <w:pPr>
              <w:rPr>
                <w:rFonts w:ascii="宋体"/>
              </w:rPr>
            </w:pPr>
          </w:p>
        </w:tc>
        <w:tc>
          <w:tcPr>
            <w:tcW w:w="50" w:type="pct"/>
            <w:shd w:val="clear" w:color="auto" w:fill="auto"/>
          </w:tcPr>
          <w:p w14:paraId="00BB0307" w14:textId="77777777" w:rsidR="00871BDF" w:rsidRDefault="00871BDF">
            <w:pPr>
              <w:rPr>
                <w:rFonts w:ascii="宋体"/>
              </w:rPr>
            </w:pPr>
          </w:p>
        </w:tc>
        <w:tc>
          <w:tcPr>
            <w:tcW w:w="620" w:type="pct"/>
            <w:shd w:val="clear" w:color="auto" w:fill="auto"/>
          </w:tcPr>
          <w:p w14:paraId="00BB0308" w14:textId="77777777" w:rsidR="00871BDF" w:rsidRDefault="00871BDF">
            <w:pPr>
              <w:rPr>
                <w:rFonts w:ascii="宋体"/>
              </w:rPr>
            </w:pPr>
          </w:p>
        </w:tc>
        <w:tc>
          <w:tcPr>
            <w:tcW w:w="5" w:type="pct"/>
            <w:shd w:val="clear" w:color="auto" w:fill="auto"/>
          </w:tcPr>
          <w:p w14:paraId="00BB0309" w14:textId="77777777" w:rsidR="00871BDF" w:rsidRDefault="00871BDF">
            <w:pPr>
              <w:rPr>
                <w:rFonts w:ascii="宋体"/>
              </w:rPr>
            </w:pPr>
          </w:p>
        </w:tc>
        <w:tc>
          <w:tcPr>
            <w:tcW w:w="5" w:type="pct"/>
            <w:shd w:val="clear" w:color="auto" w:fill="auto"/>
          </w:tcPr>
          <w:p w14:paraId="00BB030A" w14:textId="77777777" w:rsidR="00871BDF" w:rsidRDefault="00871BDF">
            <w:pPr>
              <w:rPr>
                <w:rFonts w:ascii="宋体"/>
              </w:rPr>
            </w:pPr>
          </w:p>
        </w:tc>
        <w:tc>
          <w:tcPr>
            <w:tcW w:w="26" w:type="pct"/>
            <w:shd w:val="clear" w:color="auto" w:fill="auto"/>
          </w:tcPr>
          <w:p w14:paraId="00BB030B" w14:textId="77777777" w:rsidR="00871BDF" w:rsidRDefault="00871BDF">
            <w:pPr>
              <w:rPr>
                <w:rFonts w:ascii="宋体"/>
              </w:rPr>
            </w:pPr>
          </w:p>
        </w:tc>
        <w:tc>
          <w:tcPr>
            <w:tcW w:w="5" w:type="pct"/>
            <w:shd w:val="clear" w:color="auto" w:fill="auto"/>
          </w:tcPr>
          <w:p w14:paraId="00BB030C" w14:textId="77777777" w:rsidR="00871BDF" w:rsidRDefault="00871BDF">
            <w:pPr>
              <w:rPr>
                <w:rFonts w:ascii="宋体"/>
              </w:rPr>
            </w:pPr>
          </w:p>
        </w:tc>
        <w:tc>
          <w:tcPr>
            <w:tcW w:w="50" w:type="pct"/>
            <w:shd w:val="clear" w:color="auto" w:fill="auto"/>
          </w:tcPr>
          <w:p w14:paraId="00BB030D" w14:textId="77777777" w:rsidR="00871BDF" w:rsidRDefault="00871BDF">
            <w:pPr>
              <w:rPr>
                <w:rFonts w:ascii="宋体"/>
              </w:rPr>
            </w:pPr>
          </w:p>
        </w:tc>
        <w:tc>
          <w:tcPr>
            <w:tcW w:w="620" w:type="pct"/>
            <w:shd w:val="clear" w:color="auto" w:fill="auto"/>
          </w:tcPr>
          <w:p w14:paraId="00BB030E" w14:textId="77777777" w:rsidR="00871BDF" w:rsidRDefault="00871BDF">
            <w:pPr>
              <w:rPr>
                <w:rFonts w:ascii="宋体"/>
              </w:rPr>
            </w:pPr>
          </w:p>
        </w:tc>
        <w:tc>
          <w:tcPr>
            <w:tcW w:w="5" w:type="pct"/>
            <w:shd w:val="clear" w:color="auto" w:fill="auto"/>
          </w:tcPr>
          <w:p w14:paraId="00BB030F" w14:textId="77777777" w:rsidR="00871BDF" w:rsidRDefault="00871BDF">
            <w:pPr>
              <w:rPr>
                <w:rFonts w:ascii="宋体"/>
              </w:rPr>
            </w:pPr>
          </w:p>
        </w:tc>
        <w:tc>
          <w:tcPr>
            <w:tcW w:w="5" w:type="pct"/>
            <w:shd w:val="clear" w:color="auto" w:fill="auto"/>
          </w:tcPr>
          <w:p w14:paraId="00BB0310" w14:textId="77777777" w:rsidR="00871BDF" w:rsidRDefault="00871BDF">
            <w:pPr>
              <w:rPr>
                <w:rFonts w:ascii="宋体"/>
              </w:rPr>
            </w:pPr>
          </w:p>
        </w:tc>
        <w:tc>
          <w:tcPr>
            <w:tcW w:w="26" w:type="pct"/>
            <w:shd w:val="clear" w:color="auto" w:fill="auto"/>
          </w:tcPr>
          <w:p w14:paraId="00BB0311" w14:textId="77777777" w:rsidR="00871BDF" w:rsidRDefault="00871BDF">
            <w:pPr>
              <w:rPr>
                <w:rFonts w:ascii="宋体"/>
              </w:rPr>
            </w:pPr>
          </w:p>
        </w:tc>
        <w:tc>
          <w:tcPr>
            <w:tcW w:w="5" w:type="pct"/>
            <w:shd w:val="clear" w:color="auto" w:fill="auto"/>
          </w:tcPr>
          <w:p w14:paraId="00BB0312" w14:textId="77777777" w:rsidR="00871BDF" w:rsidRDefault="00871BDF">
            <w:pPr>
              <w:rPr>
                <w:rFonts w:ascii="宋体"/>
              </w:rPr>
            </w:pPr>
          </w:p>
        </w:tc>
        <w:tc>
          <w:tcPr>
            <w:tcW w:w="50" w:type="pct"/>
            <w:shd w:val="clear" w:color="auto" w:fill="auto"/>
          </w:tcPr>
          <w:p w14:paraId="00BB0313" w14:textId="77777777" w:rsidR="00871BDF" w:rsidRDefault="00871BDF">
            <w:pPr>
              <w:rPr>
                <w:rFonts w:ascii="宋体"/>
              </w:rPr>
            </w:pPr>
          </w:p>
        </w:tc>
        <w:tc>
          <w:tcPr>
            <w:tcW w:w="627" w:type="pct"/>
            <w:shd w:val="clear" w:color="auto" w:fill="auto"/>
          </w:tcPr>
          <w:p w14:paraId="00BB0314" w14:textId="77777777" w:rsidR="00871BDF" w:rsidRDefault="00871BDF">
            <w:pPr>
              <w:rPr>
                <w:rFonts w:ascii="宋体"/>
              </w:rPr>
            </w:pPr>
          </w:p>
        </w:tc>
        <w:tc>
          <w:tcPr>
            <w:tcW w:w="5" w:type="pct"/>
            <w:shd w:val="clear" w:color="auto" w:fill="auto"/>
          </w:tcPr>
          <w:p w14:paraId="00BB0315" w14:textId="77777777" w:rsidR="00871BDF" w:rsidRDefault="00871BDF">
            <w:pPr>
              <w:rPr>
                <w:rFonts w:ascii="宋体"/>
              </w:rPr>
            </w:pPr>
          </w:p>
        </w:tc>
      </w:tr>
      <w:tr w:rsidR="00871BDF" w14:paraId="00BB031F" w14:textId="77777777">
        <w:tc>
          <w:tcPr>
            <w:tcW w:w="0" w:type="auto"/>
            <w:gridSpan w:val="3"/>
            <w:shd w:val="clear" w:color="auto" w:fill="auto"/>
            <w:tcMar>
              <w:top w:w="0" w:type="dxa"/>
              <w:left w:w="20" w:type="dxa"/>
              <w:bottom w:w="0" w:type="dxa"/>
              <w:right w:w="20" w:type="dxa"/>
            </w:tcMar>
          </w:tcPr>
          <w:p w14:paraId="00BB0317"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318" w14:textId="77777777" w:rsidR="00871BDF" w:rsidRDefault="005C5088">
            <w:pPr>
              <w:jc w:val="center"/>
              <w:textAlignment w:val="bottom"/>
            </w:pPr>
            <w:r>
              <w:rPr>
                <w:rFonts w:ascii="Times New Roman" w:eastAsia="宋体" w:hAnsi="Times New Roman"/>
                <w:b/>
                <w:bCs/>
                <w:color w:val="FFFFFF"/>
                <w:sz w:val="16"/>
                <w:szCs w:val="16"/>
              </w:rPr>
              <w:t>Shares</w:t>
            </w:r>
            <w:r>
              <w:rPr>
                <w:rFonts w:ascii="Times New Roman" w:eastAsia="宋体" w:hAnsi="Times New Roman"/>
                <w:b/>
                <w:bCs/>
                <w:color w:val="FFFFFF"/>
                <w:sz w:val="16"/>
                <w:szCs w:val="16"/>
              </w:rPr>
              <w:br/>
              <w:t>Subject to</w:t>
            </w:r>
            <w:r>
              <w:rPr>
                <w:rFonts w:ascii="Times New Roman" w:eastAsia="宋体" w:hAnsi="Times New Roman"/>
                <w:b/>
                <w:bCs/>
                <w:color w:val="FFFFFF"/>
                <w:sz w:val="16"/>
                <w:szCs w:val="16"/>
              </w:rPr>
              <w:br/>
              <w:t>Options</w:t>
            </w:r>
          </w:p>
        </w:tc>
        <w:tc>
          <w:tcPr>
            <w:tcW w:w="0" w:type="auto"/>
            <w:gridSpan w:val="3"/>
            <w:shd w:val="clear" w:color="auto" w:fill="auto"/>
            <w:tcMar>
              <w:top w:w="0" w:type="dxa"/>
              <w:left w:w="20" w:type="dxa"/>
              <w:bottom w:w="0" w:type="dxa"/>
              <w:right w:w="20" w:type="dxa"/>
            </w:tcMar>
          </w:tcPr>
          <w:p w14:paraId="00BB0319"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31A" w14:textId="77777777" w:rsidR="00871BDF" w:rsidRDefault="005C5088">
            <w:pPr>
              <w:jc w:val="center"/>
              <w:textAlignment w:val="bottom"/>
            </w:pPr>
            <w:r>
              <w:rPr>
                <w:rFonts w:ascii="Times New Roman" w:eastAsia="宋体" w:hAnsi="Times New Roman"/>
                <w:b/>
                <w:bCs/>
                <w:color w:val="FFFFFF"/>
                <w:sz w:val="16"/>
                <w:szCs w:val="16"/>
              </w:rPr>
              <w:t>Weighted</w:t>
            </w:r>
            <w:r>
              <w:rPr>
                <w:rFonts w:ascii="Times New Roman" w:eastAsia="宋体" w:hAnsi="Times New Roman"/>
                <w:b/>
                <w:bCs/>
                <w:color w:val="FFFFFF"/>
                <w:sz w:val="16"/>
                <w:szCs w:val="16"/>
              </w:rPr>
              <w:br/>
              <w:t>Average</w:t>
            </w:r>
            <w:r>
              <w:rPr>
                <w:rFonts w:ascii="Times New Roman" w:eastAsia="宋体" w:hAnsi="Times New Roman"/>
                <w:b/>
                <w:bCs/>
                <w:color w:val="FFFFFF"/>
                <w:sz w:val="16"/>
                <w:szCs w:val="16"/>
              </w:rPr>
              <w:br/>
              <w:t>Exercise</w:t>
            </w:r>
            <w:r>
              <w:rPr>
                <w:rFonts w:ascii="Times New Roman" w:eastAsia="宋体" w:hAnsi="Times New Roman"/>
                <w:b/>
                <w:bCs/>
                <w:color w:val="FFFFFF"/>
                <w:sz w:val="16"/>
                <w:szCs w:val="16"/>
              </w:rPr>
              <w:br/>
              <w:t>Price</w:t>
            </w:r>
            <w:r>
              <w:rPr>
                <w:rFonts w:ascii="Times New Roman" w:eastAsia="宋体" w:hAnsi="Times New Roman"/>
                <w:b/>
                <w:bCs/>
                <w:color w:val="FFFFFF"/>
                <w:sz w:val="16"/>
                <w:szCs w:val="16"/>
              </w:rPr>
              <w:br/>
              <w:t>per Share</w:t>
            </w:r>
          </w:p>
        </w:tc>
        <w:tc>
          <w:tcPr>
            <w:tcW w:w="0" w:type="auto"/>
            <w:gridSpan w:val="3"/>
            <w:shd w:val="clear" w:color="auto" w:fill="auto"/>
            <w:tcMar>
              <w:top w:w="0" w:type="dxa"/>
              <w:left w:w="20" w:type="dxa"/>
              <w:bottom w:w="0" w:type="dxa"/>
              <w:right w:w="20" w:type="dxa"/>
            </w:tcMar>
          </w:tcPr>
          <w:p w14:paraId="00BB031B"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31C" w14:textId="77777777" w:rsidR="00871BDF" w:rsidRDefault="005C5088">
            <w:pPr>
              <w:jc w:val="center"/>
              <w:textAlignment w:val="bottom"/>
            </w:pPr>
            <w:r>
              <w:rPr>
                <w:rFonts w:ascii="Times New Roman" w:eastAsia="宋体" w:hAnsi="Times New Roman"/>
                <w:b/>
                <w:bCs/>
                <w:color w:val="FFFFFF"/>
                <w:sz w:val="16"/>
                <w:szCs w:val="16"/>
              </w:rPr>
              <w:t>Weighted</w:t>
            </w:r>
            <w:r>
              <w:rPr>
                <w:rFonts w:ascii="Times New Roman" w:eastAsia="宋体" w:hAnsi="Times New Roman"/>
                <w:b/>
                <w:bCs/>
                <w:color w:val="FFFFFF"/>
                <w:sz w:val="16"/>
                <w:szCs w:val="16"/>
              </w:rPr>
              <w:br/>
              <w:t>Average</w:t>
            </w:r>
            <w:r>
              <w:rPr>
                <w:rFonts w:ascii="Times New Roman" w:eastAsia="宋体" w:hAnsi="Times New Roman"/>
                <w:b/>
                <w:bCs/>
                <w:color w:val="FFFFFF"/>
                <w:sz w:val="16"/>
                <w:szCs w:val="16"/>
              </w:rPr>
              <w:br/>
              <w:t>Remaining</w:t>
            </w:r>
            <w:r>
              <w:rPr>
                <w:rFonts w:ascii="Times New Roman" w:eastAsia="宋体" w:hAnsi="Times New Roman"/>
                <w:b/>
                <w:bCs/>
                <w:color w:val="FFFFFF"/>
                <w:sz w:val="16"/>
                <w:szCs w:val="16"/>
              </w:rPr>
              <w:br/>
              <w:t>Contractual</w:t>
            </w:r>
            <w:r>
              <w:rPr>
                <w:rFonts w:ascii="Times New Roman" w:eastAsia="宋体" w:hAnsi="Times New Roman"/>
                <w:b/>
                <w:bCs/>
                <w:color w:val="FFFFFF"/>
                <w:sz w:val="16"/>
                <w:szCs w:val="16"/>
              </w:rPr>
              <w:br/>
              <w:t>Life (Years)</w:t>
            </w:r>
          </w:p>
        </w:tc>
        <w:tc>
          <w:tcPr>
            <w:tcW w:w="0" w:type="auto"/>
            <w:gridSpan w:val="3"/>
            <w:shd w:val="clear" w:color="auto" w:fill="auto"/>
            <w:tcMar>
              <w:top w:w="0" w:type="dxa"/>
              <w:left w:w="20" w:type="dxa"/>
              <w:bottom w:w="0" w:type="dxa"/>
              <w:right w:w="20" w:type="dxa"/>
            </w:tcMar>
          </w:tcPr>
          <w:p w14:paraId="00BB031D"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31E" w14:textId="77777777" w:rsidR="00871BDF" w:rsidRDefault="005C5088">
            <w:pPr>
              <w:jc w:val="center"/>
              <w:textAlignment w:val="bottom"/>
            </w:pPr>
            <w:r>
              <w:rPr>
                <w:rFonts w:ascii="Times New Roman" w:eastAsia="宋体" w:hAnsi="Times New Roman"/>
                <w:b/>
                <w:bCs/>
                <w:color w:val="FFFFFF"/>
                <w:sz w:val="16"/>
                <w:szCs w:val="16"/>
              </w:rPr>
              <w:t>Aggregate</w:t>
            </w:r>
            <w:r>
              <w:rPr>
                <w:rFonts w:ascii="Times New Roman" w:eastAsia="宋体" w:hAnsi="Times New Roman"/>
                <w:b/>
                <w:bCs/>
                <w:color w:val="FFFFFF"/>
                <w:sz w:val="16"/>
                <w:szCs w:val="16"/>
              </w:rPr>
              <w:br/>
              <w:t>Intrinsic</w:t>
            </w:r>
            <w:r>
              <w:rPr>
                <w:rFonts w:ascii="Times New Roman" w:eastAsia="宋体" w:hAnsi="Times New Roman"/>
                <w:b/>
                <w:bCs/>
                <w:color w:val="FFFFFF"/>
                <w:sz w:val="16"/>
                <w:szCs w:val="16"/>
              </w:rPr>
              <w:br/>
              <w:t>Value</w:t>
            </w:r>
          </w:p>
        </w:tc>
      </w:tr>
      <w:tr w:rsidR="00871BDF" w14:paraId="00BB032D" w14:textId="77777777">
        <w:tc>
          <w:tcPr>
            <w:tcW w:w="0" w:type="auto"/>
            <w:gridSpan w:val="3"/>
            <w:shd w:val="clear" w:color="auto" w:fill="D7E4BC"/>
            <w:tcMar>
              <w:top w:w="40" w:type="dxa"/>
              <w:left w:w="20" w:type="dxa"/>
              <w:bottom w:w="40" w:type="dxa"/>
              <w:right w:w="20" w:type="dxa"/>
            </w:tcMar>
          </w:tcPr>
          <w:p w14:paraId="00BB0320" w14:textId="77777777" w:rsidR="00871BDF" w:rsidRDefault="005C5088">
            <w:pPr>
              <w:textAlignment w:val="top"/>
            </w:pPr>
            <w:r>
              <w:rPr>
                <w:rFonts w:ascii="Times New Roman" w:eastAsia="宋体" w:hAnsi="Times New Roman"/>
                <w:color w:val="000000"/>
                <w:sz w:val="20"/>
                <w:szCs w:val="20"/>
              </w:rPr>
              <w:t>Outstanding, September 29, 2019</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321" w14:textId="77777777" w:rsidR="00871BDF" w:rsidRDefault="005C5088">
            <w:pPr>
              <w:jc w:val="right"/>
              <w:textAlignment w:val="bottom"/>
            </w:pPr>
            <w:r>
              <w:rPr>
                <w:rFonts w:ascii="Times New Roman" w:eastAsia="宋体" w:hAnsi="Times New Roman"/>
                <w:color w:val="000000"/>
                <w:sz w:val="20"/>
                <w:szCs w:val="20"/>
              </w:rPr>
              <w:t>15.2 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32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23"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32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325" w14:textId="77777777" w:rsidR="00871BDF" w:rsidRDefault="005C5088">
            <w:pPr>
              <w:jc w:val="right"/>
              <w:textAlignment w:val="bottom"/>
            </w:pPr>
            <w:r>
              <w:rPr>
                <w:rFonts w:ascii="Times New Roman" w:eastAsia="宋体" w:hAnsi="Times New Roman"/>
                <w:color w:val="000000"/>
                <w:sz w:val="20"/>
                <w:szCs w:val="20"/>
              </w:rPr>
              <w:t>49.45 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32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27"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0BB0328" w14:textId="77777777" w:rsidR="00871BDF" w:rsidRDefault="005C5088">
            <w:pPr>
              <w:jc w:val="right"/>
              <w:textAlignment w:val="bottom"/>
            </w:pPr>
            <w:r>
              <w:rPr>
                <w:rFonts w:ascii="Times New Roman" w:eastAsia="宋体" w:hAnsi="Times New Roman"/>
                <w:color w:val="000000"/>
                <w:sz w:val="20"/>
                <w:szCs w:val="20"/>
              </w:rPr>
              <w:t>5.0</w:t>
            </w:r>
          </w:p>
        </w:tc>
        <w:tc>
          <w:tcPr>
            <w:tcW w:w="0" w:type="auto"/>
            <w:gridSpan w:val="3"/>
            <w:shd w:val="clear" w:color="auto" w:fill="D7E4BC"/>
            <w:tcMar>
              <w:top w:w="0" w:type="dxa"/>
              <w:left w:w="20" w:type="dxa"/>
              <w:bottom w:w="0" w:type="dxa"/>
              <w:right w:w="20" w:type="dxa"/>
            </w:tcMar>
          </w:tcPr>
          <w:p w14:paraId="00BB0329"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32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32B" w14:textId="77777777" w:rsidR="00871BDF" w:rsidRDefault="005C5088">
            <w:pPr>
              <w:jc w:val="right"/>
              <w:textAlignment w:val="bottom"/>
            </w:pPr>
            <w:r>
              <w:rPr>
                <w:rFonts w:ascii="Times New Roman" w:eastAsia="宋体" w:hAnsi="Times New Roman"/>
                <w:color w:val="000000"/>
                <w:sz w:val="20"/>
                <w:szCs w:val="20"/>
              </w:rPr>
              <w:t>592 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32C" w14:textId="77777777" w:rsidR="00871BDF" w:rsidRDefault="00871BDF">
            <w:pPr>
              <w:jc w:val="right"/>
              <w:rPr>
                <w:rFonts w:ascii="宋体"/>
              </w:rPr>
            </w:pPr>
          </w:p>
        </w:tc>
      </w:tr>
      <w:tr w:rsidR="00871BDF" w14:paraId="00BB0338" w14:textId="77777777">
        <w:tc>
          <w:tcPr>
            <w:tcW w:w="0" w:type="auto"/>
            <w:gridSpan w:val="3"/>
            <w:shd w:val="clear" w:color="auto" w:fill="FFFFFF"/>
            <w:tcMar>
              <w:top w:w="40" w:type="dxa"/>
              <w:left w:w="20" w:type="dxa"/>
              <w:bottom w:w="40" w:type="dxa"/>
              <w:right w:w="20" w:type="dxa"/>
            </w:tcMar>
          </w:tcPr>
          <w:p w14:paraId="00BB032E" w14:textId="77777777" w:rsidR="00871BDF" w:rsidRDefault="005C5088">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00BB032F" w14:textId="77777777" w:rsidR="00871BDF" w:rsidRDefault="005C5088">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0BB033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33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332" w14:textId="77777777" w:rsidR="00871BDF" w:rsidRDefault="005C5088">
            <w:pPr>
              <w:jc w:val="right"/>
              <w:textAlignment w:val="bottom"/>
            </w:pPr>
            <w:r>
              <w:rPr>
                <w:rFonts w:ascii="Times New Roman" w:eastAsia="宋体" w:hAnsi="Times New Roman"/>
                <w:color w:val="000000"/>
                <w:sz w:val="20"/>
                <w:szCs w:val="20"/>
              </w:rPr>
              <w:t>56.33 </w:t>
            </w:r>
          </w:p>
        </w:tc>
        <w:tc>
          <w:tcPr>
            <w:tcW w:w="0" w:type="auto"/>
            <w:shd w:val="clear" w:color="auto" w:fill="FFFFFF"/>
            <w:tcMar>
              <w:top w:w="40" w:type="dxa"/>
              <w:left w:w="0" w:type="dxa"/>
              <w:bottom w:w="40" w:type="dxa"/>
              <w:right w:w="20" w:type="dxa"/>
            </w:tcMar>
            <w:vAlign w:val="bottom"/>
          </w:tcPr>
          <w:p w14:paraId="00BB033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33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33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33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337" w14:textId="77777777" w:rsidR="00871BDF" w:rsidRDefault="00871BDF">
            <w:pPr>
              <w:rPr>
                <w:rFonts w:ascii="宋体"/>
              </w:rPr>
            </w:pPr>
          </w:p>
        </w:tc>
      </w:tr>
      <w:tr w:rsidR="00871BDF" w14:paraId="00BB0343" w14:textId="77777777">
        <w:tc>
          <w:tcPr>
            <w:tcW w:w="0" w:type="auto"/>
            <w:gridSpan w:val="3"/>
            <w:shd w:val="clear" w:color="auto" w:fill="D7E4BC"/>
            <w:tcMar>
              <w:top w:w="40" w:type="dxa"/>
              <w:left w:w="20" w:type="dxa"/>
              <w:bottom w:w="40" w:type="dxa"/>
              <w:right w:w="20" w:type="dxa"/>
            </w:tcMar>
          </w:tcPr>
          <w:p w14:paraId="00BB0339" w14:textId="77777777" w:rsidR="00871BDF" w:rsidRDefault="005C5088">
            <w:pPr>
              <w:textAlignment w:val="top"/>
            </w:pPr>
            <w:r>
              <w:rPr>
                <w:rFonts w:ascii="Times New Roman" w:eastAsia="宋体" w:hAnsi="Times New Roman"/>
                <w:color w:val="000000"/>
                <w:sz w:val="20"/>
                <w:szCs w:val="20"/>
              </w:rPr>
              <w:t>Exercised</w:t>
            </w:r>
          </w:p>
        </w:tc>
        <w:tc>
          <w:tcPr>
            <w:tcW w:w="0" w:type="auto"/>
            <w:gridSpan w:val="2"/>
            <w:shd w:val="clear" w:color="auto" w:fill="D7E4BC"/>
            <w:tcMar>
              <w:top w:w="40" w:type="dxa"/>
              <w:left w:w="20" w:type="dxa"/>
              <w:bottom w:w="40" w:type="dxa"/>
              <w:right w:w="0" w:type="dxa"/>
            </w:tcMar>
            <w:vAlign w:val="bottom"/>
          </w:tcPr>
          <w:p w14:paraId="00BB033A" w14:textId="77777777" w:rsidR="00871BDF" w:rsidRDefault="005C5088">
            <w:pPr>
              <w:jc w:val="right"/>
              <w:textAlignment w:val="bottom"/>
            </w:pPr>
            <w:r>
              <w:rPr>
                <w:rFonts w:ascii="Times New Roman" w:eastAsia="宋体" w:hAnsi="Times New Roman"/>
                <w:color w:val="000000"/>
                <w:sz w:val="20"/>
                <w:szCs w:val="20"/>
              </w:rPr>
              <w:t>(6.0)</w:t>
            </w:r>
          </w:p>
        </w:tc>
        <w:tc>
          <w:tcPr>
            <w:tcW w:w="0" w:type="auto"/>
            <w:shd w:val="clear" w:color="auto" w:fill="D7E4BC"/>
            <w:tcMar>
              <w:top w:w="40" w:type="dxa"/>
              <w:left w:w="0" w:type="dxa"/>
              <w:bottom w:w="40" w:type="dxa"/>
              <w:right w:w="20" w:type="dxa"/>
            </w:tcMar>
            <w:vAlign w:val="bottom"/>
          </w:tcPr>
          <w:p w14:paraId="00BB033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3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33D" w14:textId="77777777" w:rsidR="00871BDF" w:rsidRDefault="005C5088">
            <w:pPr>
              <w:jc w:val="right"/>
              <w:textAlignment w:val="bottom"/>
            </w:pPr>
            <w:r>
              <w:rPr>
                <w:rFonts w:ascii="Times New Roman" w:eastAsia="宋体" w:hAnsi="Times New Roman"/>
                <w:color w:val="000000"/>
                <w:sz w:val="20"/>
                <w:szCs w:val="20"/>
              </w:rPr>
              <w:t>43.92 </w:t>
            </w:r>
          </w:p>
        </w:tc>
        <w:tc>
          <w:tcPr>
            <w:tcW w:w="0" w:type="auto"/>
            <w:shd w:val="clear" w:color="auto" w:fill="D7E4BC"/>
            <w:tcMar>
              <w:top w:w="40" w:type="dxa"/>
              <w:left w:w="0" w:type="dxa"/>
              <w:bottom w:w="40" w:type="dxa"/>
              <w:right w:w="20" w:type="dxa"/>
            </w:tcMar>
            <w:vAlign w:val="bottom"/>
          </w:tcPr>
          <w:p w14:paraId="00BB033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3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34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34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342" w14:textId="77777777" w:rsidR="00871BDF" w:rsidRDefault="00871BDF">
            <w:pPr>
              <w:rPr>
                <w:rFonts w:ascii="宋体"/>
              </w:rPr>
            </w:pPr>
          </w:p>
        </w:tc>
      </w:tr>
      <w:tr w:rsidR="00871BDF" w14:paraId="00BB034E" w14:textId="77777777">
        <w:tc>
          <w:tcPr>
            <w:tcW w:w="0" w:type="auto"/>
            <w:gridSpan w:val="3"/>
            <w:shd w:val="clear" w:color="auto" w:fill="FFFFFF"/>
            <w:tcMar>
              <w:top w:w="40" w:type="dxa"/>
              <w:left w:w="20" w:type="dxa"/>
              <w:bottom w:w="40" w:type="dxa"/>
              <w:right w:w="20" w:type="dxa"/>
            </w:tcMar>
          </w:tcPr>
          <w:p w14:paraId="00BB0344" w14:textId="77777777" w:rsidR="00871BDF" w:rsidRDefault="005C5088">
            <w:pPr>
              <w:textAlignment w:val="top"/>
            </w:pPr>
            <w:r>
              <w:rPr>
                <w:rFonts w:ascii="Times New Roman" w:eastAsia="宋体" w:hAnsi="Times New Roman"/>
                <w:color w:val="000000"/>
                <w:sz w:val="20"/>
                <w:szCs w:val="20"/>
              </w:rPr>
              <w:t>Expired/forfeited</w:t>
            </w:r>
          </w:p>
        </w:tc>
        <w:tc>
          <w:tcPr>
            <w:tcW w:w="0" w:type="auto"/>
            <w:gridSpan w:val="2"/>
            <w:shd w:val="clear" w:color="auto" w:fill="FFFFFF"/>
            <w:tcMar>
              <w:top w:w="40" w:type="dxa"/>
              <w:left w:w="20" w:type="dxa"/>
              <w:bottom w:w="40" w:type="dxa"/>
              <w:right w:w="0" w:type="dxa"/>
            </w:tcMar>
            <w:vAlign w:val="bottom"/>
          </w:tcPr>
          <w:p w14:paraId="00BB0345" w14:textId="77777777" w:rsidR="00871BDF" w:rsidRDefault="005C5088">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00BB034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34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348" w14:textId="77777777" w:rsidR="00871BDF" w:rsidRDefault="005C5088">
            <w:pPr>
              <w:jc w:val="right"/>
              <w:textAlignment w:val="bottom"/>
            </w:pPr>
            <w:r>
              <w:rPr>
                <w:rFonts w:ascii="Times New Roman" w:eastAsia="宋体" w:hAnsi="Times New Roman"/>
                <w:color w:val="000000"/>
                <w:sz w:val="20"/>
                <w:szCs w:val="20"/>
              </w:rPr>
              <w:t>52.20 </w:t>
            </w:r>
          </w:p>
        </w:tc>
        <w:tc>
          <w:tcPr>
            <w:tcW w:w="0" w:type="auto"/>
            <w:shd w:val="clear" w:color="auto" w:fill="FFFFFF"/>
            <w:tcMar>
              <w:top w:w="40" w:type="dxa"/>
              <w:left w:w="0" w:type="dxa"/>
              <w:bottom w:w="40" w:type="dxa"/>
              <w:right w:w="20" w:type="dxa"/>
            </w:tcMar>
            <w:vAlign w:val="bottom"/>
          </w:tcPr>
          <w:p w14:paraId="00BB034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34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34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34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34D" w14:textId="77777777" w:rsidR="00871BDF" w:rsidRDefault="00871BDF">
            <w:pPr>
              <w:rPr>
                <w:rFonts w:ascii="宋体"/>
              </w:rPr>
            </w:pPr>
          </w:p>
        </w:tc>
      </w:tr>
      <w:tr w:rsidR="00871BDF" w14:paraId="00BB035A" w14:textId="77777777">
        <w:tc>
          <w:tcPr>
            <w:tcW w:w="0" w:type="auto"/>
            <w:gridSpan w:val="3"/>
            <w:shd w:val="clear" w:color="auto" w:fill="D7E4BC"/>
            <w:tcMar>
              <w:top w:w="40" w:type="dxa"/>
              <w:left w:w="20" w:type="dxa"/>
              <w:bottom w:w="40" w:type="dxa"/>
              <w:right w:w="20" w:type="dxa"/>
            </w:tcMar>
          </w:tcPr>
          <w:p w14:paraId="00BB034F" w14:textId="77777777" w:rsidR="00871BDF" w:rsidRDefault="005C5088">
            <w:pPr>
              <w:textAlignment w:val="top"/>
            </w:pPr>
            <w:r>
              <w:rPr>
                <w:rFonts w:ascii="Times New Roman" w:eastAsia="宋体" w:hAnsi="Times New Roman"/>
                <w:color w:val="000000"/>
                <w:sz w:val="20"/>
                <w:szCs w:val="20"/>
              </w:rPr>
              <w:t>Outstanding, September 27, 2020</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350" w14:textId="77777777" w:rsidR="00871BDF" w:rsidRDefault="005C5088">
            <w:pPr>
              <w:jc w:val="right"/>
              <w:textAlignment w:val="bottom"/>
            </w:pPr>
            <w:r>
              <w:rPr>
                <w:rFonts w:ascii="Times New Roman" w:eastAsia="宋体" w:hAnsi="Times New Roman"/>
                <w:color w:val="000000"/>
                <w:sz w:val="20"/>
                <w:szCs w:val="20"/>
              </w:rPr>
              <w:t>9.2 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35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5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353" w14:textId="77777777" w:rsidR="00871BDF" w:rsidRDefault="005C5088">
            <w:pPr>
              <w:jc w:val="right"/>
              <w:textAlignment w:val="bottom"/>
            </w:pPr>
            <w:r>
              <w:rPr>
                <w:rFonts w:ascii="Times New Roman" w:eastAsia="宋体" w:hAnsi="Times New Roman"/>
                <w:color w:val="000000"/>
                <w:sz w:val="20"/>
                <w:szCs w:val="20"/>
              </w:rPr>
              <w:t>53.06 </w:t>
            </w:r>
          </w:p>
        </w:tc>
        <w:tc>
          <w:tcPr>
            <w:tcW w:w="0" w:type="auto"/>
            <w:shd w:val="clear" w:color="auto" w:fill="D7E4BC"/>
            <w:tcMar>
              <w:top w:w="40" w:type="dxa"/>
              <w:left w:w="0" w:type="dxa"/>
              <w:bottom w:w="40" w:type="dxa"/>
              <w:right w:w="20" w:type="dxa"/>
            </w:tcMar>
            <w:vAlign w:val="bottom"/>
          </w:tcPr>
          <w:p w14:paraId="00BB035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5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B0356" w14:textId="77777777" w:rsidR="00871BDF" w:rsidRDefault="005C5088">
            <w:pPr>
              <w:jc w:val="right"/>
              <w:textAlignment w:val="bottom"/>
            </w:pPr>
            <w:r>
              <w:rPr>
                <w:rFonts w:ascii="Times New Roman" w:eastAsia="宋体" w:hAnsi="Times New Roman"/>
                <w:color w:val="000000"/>
                <w:sz w:val="20"/>
                <w:szCs w:val="20"/>
              </w:rPr>
              <w:t>5.4</w:t>
            </w:r>
          </w:p>
        </w:tc>
        <w:tc>
          <w:tcPr>
            <w:tcW w:w="0" w:type="auto"/>
            <w:gridSpan w:val="3"/>
            <w:shd w:val="clear" w:color="auto" w:fill="D7E4BC"/>
            <w:tcMar>
              <w:top w:w="0" w:type="dxa"/>
              <w:left w:w="20" w:type="dxa"/>
              <w:bottom w:w="0" w:type="dxa"/>
              <w:right w:w="20" w:type="dxa"/>
            </w:tcMar>
          </w:tcPr>
          <w:p w14:paraId="00BB035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358" w14:textId="77777777" w:rsidR="00871BDF" w:rsidRDefault="005C5088">
            <w:pPr>
              <w:jc w:val="right"/>
              <w:textAlignment w:val="bottom"/>
            </w:pPr>
            <w:r>
              <w:rPr>
                <w:rFonts w:ascii="Times New Roman" w:eastAsia="宋体" w:hAnsi="Times New Roman"/>
                <w:color w:val="000000"/>
                <w:sz w:val="20"/>
                <w:szCs w:val="20"/>
              </w:rPr>
              <w:t>287 </w:t>
            </w:r>
          </w:p>
        </w:tc>
        <w:tc>
          <w:tcPr>
            <w:tcW w:w="0" w:type="auto"/>
            <w:shd w:val="clear" w:color="auto" w:fill="D7E4BC"/>
            <w:tcMar>
              <w:top w:w="40" w:type="dxa"/>
              <w:left w:w="0" w:type="dxa"/>
              <w:bottom w:w="40" w:type="dxa"/>
              <w:right w:w="20" w:type="dxa"/>
            </w:tcMar>
            <w:vAlign w:val="bottom"/>
          </w:tcPr>
          <w:p w14:paraId="00BB0359" w14:textId="77777777" w:rsidR="00871BDF" w:rsidRDefault="00871BDF">
            <w:pPr>
              <w:jc w:val="right"/>
              <w:rPr>
                <w:rFonts w:ascii="宋体"/>
              </w:rPr>
            </w:pPr>
          </w:p>
        </w:tc>
      </w:tr>
      <w:tr w:rsidR="00871BDF" w14:paraId="00BB0366" w14:textId="77777777">
        <w:tc>
          <w:tcPr>
            <w:tcW w:w="0" w:type="auto"/>
            <w:gridSpan w:val="3"/>
            <w:shd w:val="clear" w:color="auto" w:fill="FFFFFF"/>
            <w:tcMar>
              <w:top w:w="40" w:type="dxa"/>
              <w:left w:w="20" w:type="dxa"/>
              <w:bottom w:w="40" w:type="dxa"/>
              <w:right w:w="20" w:type="dxa"/>
            </w:tcMar>
          </w:tcPr>
          <w:p w14:paraId="00BB035B" w14:textId="77777777" w:rsidR="00871BDF" w:rsidRDefault="005C5088">
            <w:pPr>
              <w:textAlignment w:val="top"/>
            </w:pPr>
            <w:r>
              <w:rPr>
                <w:rFonts w:ascii="Times New Roman" w:eastAsia="宋体" w:hAnsi="Times New Roman"/>
                <w:color w:val="000000"/>
                <w:sz w:val="20"/>
                <w:szCs w:val="20"/>
              </w:rPr>
              <w:t>Exercisable, September 27, 2020</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0BB035C" w14:textId="77777777" w:rsidR="00871BDF" w:rsidRDefault="005C5088">
            <w:pPr>
              <w:jc w:val="right"/>
              <w:textAlignment w:val="bottom"/>
            </w:pPr>
            <w:r>
              <w:rPr>
                <w:rFonts w:ascii="Times New Roman" w:eastAsia="宋体" w:hAnsi="Times New Roman"/>
                <w:color w:val="000000"/>
                <w:sz w:val="20"/>
                <w:szCs w:val="20"/>
              </w:rPr>
              <w:t>6.8 </w:t>
            </w:r>
          </w:p>
        </w:tc>
        <w:tc>
          <w:tcPr>
            <w:tcW w:w="0" w:type="auto"/>
            <w:tcBorders>
              <w:top w:val="double" w:sz="6" w:space="0" w:color="000000"/>
            </w:tcBorders>
            <w:shd w:val="clear" w:color="auto" w:fill="FFFFFF"/>
            <w:tcMar>
              <w:top w:w="40" w:type="dxa"/>
              <w:left w:w="0" w:type="dxa"/>
              <w:bottom w:w="40" w:type="dxa"/>
              <w:right w:w="20" w:type="dxa"/>
            </w:tcMar>
            <w:vAlign w:val="bottom"/>
          </w:tcPr>
          <w:p w14:paraId="00BB035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35E"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35F" w14:textId="77777777" w:rsidR="00871BDF" w:rsidRDefault="005C5088">
            <w:pPr>
              <w:jc w:val="right"/>
              <w:textAlignment w:val="bottom"/>
            </w:pPr>
            <w:r>
              <w:rPr>
                <w:rFonts w:ascii="Times New Roman" w:eastAsia="宋体" w:hAnsi="Times New Roman"/>
                <w:color w:val="000000"/>
                <w:sz w:val="20"/>
                <w:szCs w:val="20"/>
              </w:rPr>
              <w:t>51.16 </w:t>
            </w:r>
          </w:p>
        </w:tc>
        <w:tc>
          <w:tcPr>
            <w:tcW w:w="0" w:type="auto"/>
            <w:shd w:val="clear" w:color="auto" w:fill="FFFFFF"/>
            <w:tcMar>
              <w:top w:w="40" w:type="dxa"/>
              <w:left w:w="0" w:type="dxa"/>
              <w:bottom w:w="40" w:type="dxa"/>
              <w:right w:w="20" w:type="dxa"/>
            </w:tcMar>
            <w:vAlign w:val="bottom"/>
          </w:tcPr>
          <w:p w14:paraId="00BB036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36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B0362" w14:textId="77777777" w:rsidR="00871BDF" w:rsidRDefault="005C5088">
            <w:pPr>
              <w:jc w:val="right"/>
              <w:textAlignment w:val="bottom"/>
            </w:pPr>
            <w:r>
              <w:rPr>
                <w:rFonts w:ascii="Times New Roman" w:eastAsia="宋体" w:hAnsi="Times New Roman"/>
                <w:color w:val="000000"/>
                <w:sz w:val="20"/>
                <w:szCs w:val="20"/>
              </w:rPr>
              <w:t>4.8</w:t>
            </w:r>
          </w:p>
        </w:tc>
        <w:tc>
          <w:tcPr>
            <w:tcW w:w="0" w:type="auto"/>
            <w:gridSpan w:val="3"/>
            <w:shd w:val="clear" w:color="auto" w:fill="FFFFFF"/>
            <w:tcMar>
              <w:top w:w="0" w:type="dxa"/>
              <w:left w:w="20" w:type="dxa"/>
              <w:bottom w:w="0" w:type="dxa"/>
              <w:right w:w="20" w:type="dxa"/>
            </w:tcMar>
          </w:tcPr>
          <w:p w14:paraId="00BB036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364" w14:textId="77777777" w:rsidR="00871BDF" w:rsidRDefault="005C5088">
            <w:pPr>
              <w:jc w:val="right"/>
              <w:textAlignment w:val="bottom"/>
            </w:pPr>
            <w:r>
              <w:rPr>
                <w:rFonts w:ascii="Times New Roman" w:eastAsia="宋体" w:hAnsi="Times New Roman"/>
                <w:color w:val="000000"/>
                <w:sz w:val="20"/>
                <w:szCs w:val="20"/>
              </w:rPr>
              <w:t>226 </w:t>
            </w:r>
          </w:p>
        </w:tc>
        <w:tc>
          <w:tcPr>
            <w:tcW w:w="0" w:type="auto"/>
            <w:shd w:val="clear" w:color="auto" w:fill="FFFFFF"/>
            <w:tcMar>
              <w:top w:w="40" w:type="dxa"/>
              <w:left w:w="0" w:type="dxa"/>
              <w:bottom w:w="40" w:type="dxa"/>
              <w:right w:w="20" w:type="dxa"/>
            </w:tcMar>
            <w:vAlign w:val="bottom"/>
          </w:tcPr>
          <w:p w14:paraId="00BB0365" w14:textId="77777777" w:rsidR="00871BDF" w:rsidRDefault="00871BDF">
            <w:pPr>
              <w:jc w:val="right"/>
              <w:rPr>
                <w:rFonts w:ascii="宋体"/>
              </w:rPr>
            </w:pPr>
          </w:p>
        </w:tc>
      </w:tr>
      <w:tr w:rsidR="00871BDF" w14:paraId="00BB0372" w14:textId="77777777">
        <w:tc>
          <w:tcPr>
            <w:tcW w:w="0" w:type="auto"/>
            <w:gridSpan w:val="3"/>
            <w:shd w:val="clear" w:color="auto" w:fill="D7E4BC"/>
            <w:tcMar>
              <w:top w:w="40" w:type="dxa"/>
              <w:left w:w="20" w:type="dxa"/>
              <w:bottom w:w="40" w:type="dxa"/>
              <w:right w:w="20" w:type="dxa"/>
            </w:tcMar>
          </w:tcPr>
          <w:p w14:paraId="00BB0367" w14:textId="77777777" w:rsidR="00871BDF" w:rsidRDefault="005C5088">
            <w:pPr>
              <w:textAlignment w:val="top"/>
            </w:pPr>
            <w:r>
              <w:rPr>
                <w:rFonts w:ascii="Times New Roman" w:eastAsia="宋体" w:hAnsi="Times New Roman"/>
                <w:color w:val="000000"/>
                <w:sz w:val="20"/>
                <w:szCs w:val="20"/>
              </w:rPr>
              <w:t>Vested and expected to vest, September 27, 2020</w:t>
            </w:r>
          </w:p>
        </w:tc>
        <w:tc>
          <w:tcPr>
            <w:tcW w:w="0" w:type="auto"/>
            <w:gridSpan w:val="2"/>
            <w:shd w:val="clear" w:color="auto" w:fill="D7E4BC"/>
            <w:tcMar>
              <w:top w:w="40" w:type="dxa"/>
              <w:left w:w="20" w:type="dxa"/>
              <w:bottom w:w="40" w:type="dxa"/>
              <w:right w:w="0" w:type="dxa"/>
            </w:tcMar>
            <w:vAlign w:val="bottom"/>
          </w:tcPr>
          <w:p w14:paraId="00BB0368" w14:textId="77777777" w:rsidR="00871BDF" w:rsidRDefault="005C5088">
            <w:pPr>
              <w:jc w:val="right"/>
              <w:textAlignment w:val="bottom"/>
            </w:pPr>
            <w:r>
              <w:rPr>
                <w:rFonts w:ascii="Times New Roman" w:eastAsia="宋体" w:hAnsi="Times New Roman"/>
                <w:color w:val="000000"/>
                <w:sz w:val="20"/>
                <w:szCs w:val="20"/>
              </w:rPr>
              <w:t>9.1 </w:t>
            </w:r>
          </w:p>
        </w:tc>
        <w:tc>
          <w:tcPr>
            <w:tcW w:w="0" w:type="auto"/>
            <w:shd w:val="clear" w:color="auto" w:fill="D7E4BC"/>
            <w:tcMar>
              <w:top w:w="40" w:type="dxa"/>
              <w:left w:w="0" w:type="dxa"/>
              <w:bottom w:w="40" w:type="dxa"/>
              <w:right w:w="20" w:type="dxa"/>
            </w:tcMar>
            <w:vAlign w:val="bottom"/>
          </w:tcPr>
          <w:p w14:paraId="00BB036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6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36B" w14:textId="77777777" w:rsidR="00871BDF" w:rsidRDefault="005C5088">
            <w:pPr>
              <w:jc w:val="right"/>
              <w:textAlignment w:val="bottom"/>
            </w:pPr>
            <w:r>
              <w:rPr>
                <w:rFonts w:ascii="Times New Roman" w:eastAsia="宋体" w:hAnsi="Times New Roman"/>
                <w:color w:val="000000"/>
                <w:sz w:val="20"/>
                <w:szCs w:val="20"/>
              </w:rPr>
              <w:t>53.03 </w:t>
            </w:r>
          </w:p>
        </w:tc>
        <w:tc>
          <w:tcPr>
            <w:tcW w:w="0" w:type="auto"/>
            <w:shd w:val="clear" w:color="auto" w:fill="D7E4BC"/>
            <w:tcMar>
              <w:top w:w="40" w:type="dxa"/>
              <w:left w:w="0" w:type="dxa"/>
              <w:bottom w:w="40" w:type="dxa"/>
              <w:right w:w="20" w:type="dxa"/>
            </w:tcMar>
            <w:vAlign w:val="bottom"/>
          </w:tcPr>
          <w:p w14:paraId="00BB036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6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B036E" w14:textId="77777777" w:rsidR="00871BDF" w:rsidRDefault="005C5088">
            <w:pPr>
              <w:jc w:val="right"/>
              <w:textAlignment w:val="bottom"/>
            </w:pPr>
            <w:r>
              <w:rPr>
                <w:rFonts w:ascii="Times New Roman" w:eastAsia="宋体" w:hAnsi="Times New Roman"/>
                <w:color w:val="000000"/>
                <w:sz w:val="20"/>
                <w:szCs w:val="20"/>
              </w:rPr>
              <w:t>5.4</w:t>
            </w:r>
          </w:p>
        </w:tc>
        <w:tc>
          <w:tcPr>
            <w:tcW w:w="0" w:type="auto"/>
            <w:gridSpan w:val="3"/>
            <w:shd w:val="clear" w:color="auto" w:fill="D7E4BC"/>
            <w:tcMar>
              <w:top w:w="0" w:type="dxa"/>
              <w:left w:w="20" w:type="dxa"/>
              <w:bottom w:w="0" w:type="dxa"/>
              <w:right w:w="20" w:type="dxa"/>
            </w:tcMar>
          </w:tcPr>
          <w:p w14:paraId="00BB036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370" w14:textId="77777777" w:rsidR="00871BDF" w:rsidRDefault="005C5088">
            <w:pPr>
              <w:jc w:val="right"/>
              <w:textAlignment w:val="bottom"/>
            </w:pPr>
            <w:r>
              <w:rPr>
                <w:rFonts w:ascii="Times New Roman" w:eastAsia="宋体" w:hAnsi="Times New Roman"/>
                <w:color w:val="000000"/>
                <w:sz w:val="20"/>
                <w:szCs w:val="20"/>
              </w:rPr>
              <w:t>286 </w:t>
            </w:r>
          </w:p>
        </w:tc>
        <w:tc>
          <w:tcPr>
            <w:tcW w:w="0" w:type="auto"/>
            <w:shd w:val="clear" w:color="auto" w:fill="D7E4BC"/>
            <w:tcMar>
              <w:top w:w="40" w:type="dxa"/>
              <w:left w:w="0" w:type="dxa"/>
              <w:bottom w:w="40" w:type="dxa"/>
              <w:right w:w="20" w:type="dxa"/>
            </w:tcMar>
            <w:vAlign w:val="bottom"/>
          </w:tcPr>
          <w:p w14:paraId="00BB0371" w14:textId="77777777" w:rsidR="00871BDF" w:rsidRDefault="00871BDF">
            <w:pPr>
              <w:jc w:val="right"/>
              <w:rPr>
                <w:rFonts w:ascii="宋体"/>
              </w:rPr>
            </w:pPr>
          </w:p>
        </w:tc>
      </w:tr>
    </w:tbl>
    <w:p w14:paraId="00BB0373" w14:textId="77777777" w:rsidR="00871BDF" w:rsidRDefault="005C5088">
      <w:pPr>
        <w:spacing w:before="120"/>
      </w:pPr>
      <w:r>
        <w:rPr>
          <w:rFonts w:ascii="Times New Roman" w:eastAsia="宋体" w:hAnsi="Times New Roman"/>
          <w:color w:val="000000"/>
          <w:sz w:val="20"/>
          <w:szCs w:val="20"/>
        </w:rPr>
        <w:t>The aggregate intrinsic value in the table above, which is the amount by which the market value of the underlying stock exceeded the exercise price of outstanding options, is before applicable income taxes and represents the amount optionees would have</w:t>
      </w:r>
      <w:r>
        <w:rPr>
          <w:rFonts w:ascii="Times New Roman" w:eastAsia="宋体" w:hAnsi="Times New Roman"/>
          <w:color w:val="000000"/>
          <w:sz w:val="20"/>
          <w:szCs w:val="20"/>
        </w:rPr>
        <w:t xml:space="preserve"> realized if all in-the-money options had been exercised on the last business day of the period indicated.</w:t>
      </w:r>
    </w:p>
    <w:p w14:paraId="00BB0374" w14:textId="77777777" w:rsidR="00871BDF" w:rsidRDefault="005C5088">
      <w:pPr>
        <w:spacing w:before="120"/>
      </w:pPr>
      <w:r>
        <w:rPr>
          <w:rFonts w:ascii="Times New Roman" w:eastAsia="宋体" w:hAnsi="Times New Roman"/>
          <w:color w:val="000000"/>
          <w:sz w:val="20"/>
          <w:szCs w:val="20"/>
        </w:rPr>
        <w:t>As of September 27, 2020, total unrecognized stock-based compensation expense, net of estimated forfeitures, related to nonvested options was approxi</w:t>
      </w:r>
      <w:r>
        <w:rPr>
          <w:rFonts w:ascii="Times New Roman" w:eastAsia="宋体" w:hAnsi="Times New Roman"/>
          <w:color w:val="000000"/>
          <w:sz w:val="20"/>
          <w:szCs w:val="20"/>
        </w:rPr>
        <w:t xml:space="preserve">mately $1 million, before income taxes, and is expected to be recognized over a weighted average period of approximately 1.0 year. The total intrinsic value of options exercised was $236 million, $466 million and </w:t>
      </w:r>
    </w:p>
    <w:p w14:paraId="00BB0375" w14:textId="77777777" w:rsidR="00871BDF" w:rsidRDefault="005C5088">
      <w:pPr>
        <w:jc w:val="center"/>
      </w:pPr>
      <w:r>
        <w:rPr>
          <w:rFonts w:ascii="Times New Roman" w:eastAsia="宋体" w:hAnsi="Times New Roman"/>
          <w:color w:val="000000"/>
          <w:sz w:val="20"/>
          <w:szCs w:val="20"/>
        </w:rPr>
        <w:t>82</w:t>
      </w:r>
    </w:p>
    <w:p w14:paraId="00BB0376" w14:textId="77777777" w:rsidR="00871BDF" w:rsidRDefault="005C5088">
      <w:r>
        <w:pict w14:anchorId="00BB14B7">
          <v:rect id="_x0000_i1109" style="width:415.3pt;height:1.5pt" o:hralign="center" o:hrstd="t" o:hr="t" fillcolor="#a0a0a0" stroked="f"/>
        </w:pict>
      </w:r>
    </w:p>
    <w:p w14:paraId="00BB0377" w14:textId="77777777" w:rsidR="00871BDF" w:rsidRDefault="005C5088">
      <w:hyperlink r:id="rId225" w:anchor="i54ccc64cb5384be5a4849ef1cdef4dde_7" w:history="1">
        <w:r>
          <w:rPr>
            <w:rStyle w:val="a5"/>
            <w:rFonts w:ascii="Times New Roman" w:eastAsia="宋体" w:hAnsi="Times New Roman"/>
            <w:sz w:val="20"/>
            <w:szCs w:val="20"/>
          </w:rPr>
          <w:t>Table of Contents</w:t>
        </w:r>
      </w:hyperlink>
    </w:p>
    <w:p w14:paraId="00BB0378" w14:textId="77777777" w:rsidR="00871BDF" w:rsidRDefault="005C5088">
      <w:pPr>
        <w:spacing w:before="120"/>
      </w:pPr>
      <w:r>
        <w:rPr>
          <w:rFonts w:ascii="Times New Roman" w:eastAsia="宋体" w:hAnsi="Times New Roman"/>
          <w:color w:val="000000"/>
          <w:sz w:val="20"/>
          <w:szCs w:val="20"/>
        </w:rPr>
        <w:t xml:space="preserve">$236 million during fiscal 2020, 2019 and 2018, respectively. The total fair value of options vested was $25 million, $31 </w:t>
      </w:r>
      <w:r>
        <w:rPr>
          <w:rFonts w:ascii="Times New Roman" w:eastAsia="宋体" w:hAnsi="Times New Roman"/>
          <w:color w:val="000000"/>
          <w:sz w:val="20"/>
          <w:szCs w:val="20"/>
        </w:rPr>
        <w:t>million and $53 million during fiscal 2020, 2019 and 2018, respectively.</w:t>
      </w:r>
    </w:p>
    <w:p w14:paraId="00BB0379" w14:textId="77777777" w:rsidR="00871BDF" w:rsidRDefault="005C5088">
      <w:pPr>
        <w:spacing w:before="120"/>
      </w:pPr>
      <w:r>
        <w:rPr>
          <w:rFonts w:ascii="Times New Roman" w:eastAsia="宋体" w:hAnsi="Times New Roman"/>
          <w:b/>
          <w:bCs/>
          <w:i/>
          <w:iCs/>
          <w:color w:val="000000"/>
          <w:sz w:val="20"/>
          <w:szCs w:val="20"/>
        </w:rPr>
        <w:t>RSUs</w:t>
      </w:r>
    </w:p>
    <w:p w14:paraId="00BB037A" w14:textId="77777777" w:rsidR="00871BDF" w:rsidRDefault="005C5088">
      <w:pPr>
        <w:spacing w:before="120"/>
      </w:pPr>
      <w:r>
        <w:rPr>
          <w:rFonts w:ascii="Times New Roman" w:eastAsia="宋体" w:hAnsi="Times New Roman"/>
          <w:color w:val="000000"/>
          <w:sz w:val="20"/>
          <w:szCs w:val="20"/>
        </w:rPr>
        <w:t>We have both time-vested and performance-based RSUs. Time-vested RSUs are awarded to eligible employees and entitle the grantee to receive shares of common stock at the end of a vesting period, subject solely to the employee’s continuing employment. The ti</w:t>
      </w:r>
      <w:r>
        <w:rPr>
          <w:rFonts w:ascii="Times New Roman" w:eastAsia="宋体" w:hAnsi="Times New Roman"/>
          <w:color w:val="000000"/>
          <w:sz w:val="20"/>
          <w:szCs w:val="20"/>
        </w:rPr>
        <w:t>me-vested RSUs either vest in two or four equal annual installments beginning a year from the grant date. Our performance-based RSUs are awarded to eligible employees and entitle the grantee to receive shares of common stock if we achieve specified perform</w:t>
      </w:r>
      <w:r>
        <w:rPr>
          <w:rFonts w:ascii="Times New Roman" w:eastAsia="宋体" w:hAnsi="Times New Roman"/>
          <w:color w:val="000000"/>
          <w:sz w:val="20"/>
          <w:szCs w:val="20"/>
        </w:rPr>
        <w:t xml:space="preserve">ance goals during the performance period and the grantee remains employed through the vesting period. </w:t>
      </w:r>
    </w:p>
    <w:p w14:paraId="00BB037B" w14:textId="77777777" w:rsidR="00871BDF" w:rsidRDefault="005C5088">
      <w:pPr>
        <w:spacing w:before="120"/>
      </w:pPr>
      <w:r>
        <w:rPr>
          <w:rFonts w:ascii="Times New Roman" w:eastAsia="宋体" w:hAnsi="Times New Roman"/>
          <w:color w:val="000000"/>
          <w:sz w:val="20"/>
          <w:szCs w:val="20"/>
        </w:rPr>
        <w:t xml:space="preserve">RSU transactions for the year ended September 27, 2020 </w:t>
      </w:r>
      <w:r>
        <w:rPr>
          <w:rFonts w:ascii="Times New Roman" w:eastAsia="宋体" w:hAnsi="Times New Roman"/>
          <w:i/>
          <w:iCs/>
          <w:color w:val="000000"/>
          <w:sz w:val="20"/>
          <w:szCs w:val="20"/>
        </w:rPr>
        <w:t>(in millions, except per share and contractual life amounts)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8"/>
        <w:gridCol w:w="3495"/>
        <w:gridCol w:w="37"/>
        <w:gridCol w:w="48"/>
        <w:gridCol w:w="996"/>
        <w:gridCol w:w="36"/>
        <w:gridCol w:w="36"/>
        <w:gridCol w:w="36"/>
        <w:gridCol w:w="36"/>
        <w:gridCol w:w="121"/>
        <w:gridCol w:w="968"/>
        <w:gridCol w:w="36"/>
        <w:gridCol w:w="36"/>
        <w:gridCol w:w="36"/>
        <w:gridCol w:w="36"/>
        <w:gridCol w:w="65"/>
        <w:gridCol w:w="951"/>
        <w:gridCol w:w="36"/>
        <w:gridCol w:w="36"/>
        <w:gridCol w:w="36"/>
        <w:gridCol w:w="36"/>
        <w:gridCol w:w="121"/>
        <w:gridCol w:w="981"/>
        <w:gridCol w:w="36"/>
      </w:tblGrid>
      <w:tr w:rsidR="00871BDF" w14:paraId="00BB0394" w14:textId="77777777">
        <w:tc>
          <w:tcPr>
            <w:tcW w:w="50" w:type="pct"/>
            <w:shd w:val="clear" w:color="auto" w:fill="auto"/>
          </w:tcPr>
          <w:p w14:paraId="00BB037C" w14:textId="77777777" w:rsidR="00871BDF" w:rsidRDefault="00871BDF">
            <w:pPr>
              <w:rPr>
                <w:rFonts w:ascii="宋体"/>
              </w:rPr>
            </w:pPr>
          </w:p>
        </w:tc>
        <w:tc>
          <w:tcPr>
            <w:tcW w:w="2125" w:type="pct"/>
            <w:shd w:val="clear" w:color="auto" w:fill="auto"/>
          </w:tcPr>
          <w:p w14:paraId="00BB037D" w14:textId="77777777" w:rsidR="00871BDF" w:rsidRDefault="00871BDF">
            <w:pPr>
              <w:rPr>
                <w:rFonts w:ascii="宋体"/>
              </w:rPr>
            </w:pPr>
          </w:p>
        </w:tc>
        <w:tc>
          <w:tcPr>
            <w:tcW w:w="5" w:type="pct"/>
            <w:shd w:val="clear" w:color="auto" w:fill="auto"/>
          </w:tcPr>
          <w:p w14:paraId="00BB037E" w14:textId="77777777" w:rsidR="00871BDF" w:rsidRDefault="00871BDF">
            <w:pPr>
              <w:rPr>
                <w:rFonts w:ascii="宋体"/>
              </w:rPr>
            </w:pPr>
          </w:p>
        </w:tc>
        <w:tc>
          <w:tcPr>
            <w:tcW w:w="50" w:type="pct"/>
            <w:shd w:val="clear" w:color="auto" w:fill="auto"/>
          </w:tcPr>
          <w:p w14:paraId="00BB037F" w14:textId="77777777" w:rsidR="00871BDF" w:rsidRDefault="00871BDF">
            <w:pPr>
              <w:rPr>
                <w:rFonts w:ascii="宋体"/>
              </w:rPr>
            </w:pPr>
          </w:p>
        </w:tc>
        <w:tc>
          <w:tcPr>
            <w:tcW w:w="620" w:type="pct"/>
            <w:shd w:val="clear" w:color="auto" w:fill="auto"/>
          </w:tcPr>
          <w:p w14:paraId="00BB0380" w14:textId="77777777" w:rsidR="00871BDF" w:rsidRDefault="00871BDF">
            <w:pPr>
              <w:rPr>
                <w:rFonts w:ascii="宋体"/>
              </w:rPr>
            </w:pPr>
          </w:p>
        </w:tc>
        <w:tc>
          <w:tcPr>
            <w:tcW w:w="5" w:type="pct"/>
            <w:shd w:val="clear" w:color="auto" w:fill="auto"/>
          </w:tcPr>
          <w:p w14:paraId="00BB0381" w14:textId="77777777" w:rsidR="00871BDF" w:rsidRDefault="00871BDF">
            <w:pPr>
              <w:rPr>
                <w:rFonts w:ascii="宋体"/>
              </w:rPr>
            </w:pPr>
          </w:p>
        </w:tc>
        <w:tc>
          <w:tcPr>
            <w:tcW w:w="5" w:type="pct"/>
            <w:shd w:val="clear" w:color="auto" w:fill="auto"/>
          </w:tcPr>
          <w:p w14:paraId="00BB0382" w14:textId="77777777" w:rsidR="00871BDF" w:rsidRDefault="00871BDF">
            <w:pPr>
              <w:rPr>
                <w:rFonts w:ascii="宋体"/>
              </w:rPr>
            </w:pPr>
          </w:p>
        </w:tc>
        <w:tc>
          <w:tcPr>
            <w:tcW w:w="26" w:type="pct"/>
            <w:shd w:val="clear" w:color="auto" w:fill="auto"/>
          </w:tcPr>
          <w:p w14:paraId="00BB0383" w14:textId="77777777" w:rsidR="00871BDF" w:rsidRDefault="00871BDF">
            <w:pPr>
              <w:rPr>
                <w:rFonts w:ascii="宋体"/>
              </w:rPr>
            </w:pPr>
          </w:p>
        </w:tc>
        <w:tc>
          <w:tcPr>
            <w:tcW w:w="5" w:type="pct"/>
            <w:shd w:val="clear" w:color="auto" w:fill="auto"/>
          </w:tcPr>
          <w:p w14:paraId="00BB0384" w14:textId="77777777" w:rsidR="00871BDF" w:rsidRDefault="00871BDF">
            <w:pPr>
              <w:rPr>
                <w:rFonts w:ascii="宋体"/>
              </w:rPr>
            </w:pPr>
          </w:p>
        </w:tc>
        <w:tc>
          <w:tcPr>
            <w:tcW w:w="50" w:type="pct"/>
            <w:shd w:val="clear" w:color="auto" w:fill="auto"/>
          </w:tcPr>
          <w:p w14:paraId="00BB0385" w14:textId="77777777" w:rsidR="00871BDF" w:rsidRDefault="00871BDF">
            <w:pPr>
              <w:rPr>
                <w:rFonts w:ascii="宋体"/>
              </w:rPr>
            </w:pPr>
          </w:p>
        </w:tc>
        <w:tc>
          <w:tcPr>
            <w:tcW w:w="620" w:type="pct"/>
            <w:shd w:val="clear" w:color="auto" w:fill="auto"/>
          </w:tcPr>
          <w:p w14:paraId="00BB0386" w14:textId="77777777" w:rsidR="00871BDF" w:rsidRDefault="00871BDF">
            <w:pPr>
              <w:rPr>
                <w:rFonts w:ascii="宋体"/>
              </w:rPr>
            </w:pPr>
          </w:p>
        </w:tc>
        <w:tc>
          <w:tcPr>
            <w:tcW w:w="5" w:type="pct"/>
            <w:shd w:val="clear" w:color="auto" w:fill="auto"/>
          </w:tcPr>
          <w:p w14:paraId="00BB0387" w14:textId="77777777" w:rsidR="00871BDF" w:rsidRDefault="00871BDF">
            <w:pPr>
              <w:rPr>
                <w:rFonts w:ascii="宋体"/>
              </w:rPr>
            </w:pPr>
          </w:p>
        </w:tc>
        <w:tc>
          <w:tcPr>
            <w:tcW w:w="5" w:type="pct"/>
            <w:shd w:val="clear" w:color="auto" w:fill="auto"/>
          </w:tcPr>
          <w:p w14:paraId="00BB0388" w14:textId="77777777" w:rsidR="00871BDF" w:rsidRDefault="00871BDF">
            <w:pPr>
              <w:rPr>
                <w:rFonts w:ascii="宋体"/>
              </w:rPr>
            </w:pPr>
          </w:p>
        </w:tc>
        <w:tc>
          <w:tcPr>
            <w:tcW w:w="26" w:type="pct"/>
            <w:shd w:val="clear" w:color="auto" w:fill="auto"/>
          </w:tcPr>
          <w:p w14:paraId="00BB0389" w14:textId="77777777" w:rsidR="00871BDF" w:rsidRDefault="00871BDF">
            <w:pPr>
              <w:rPr>
                <w:rFonts w:ascii="宋体"/>
              </w:rPr>
            </w:pPr>
          </w:p>
        </w:tc>
        <w:tc>
          <w:tcPr>
            <w:tcW w:w="5" w:type="pct"/>
            <w:shd w:val="clear" w:color="auto" w:fill="auto"/>
          </w:tcPr>
          <w:p w14:paraId="00BB038A" w14:textId="77777777" w:rsidR="00871BDF" w:rsidRDefault="00871BDF">
            <w:pPr>
              <w:rPr>
                <w:rFonts w:ascii="宋体"/>
              </w:rPr>
            </w:pPr>
          </w:p>
        </w:tc>
        <w:tc>
          <w:tcPr>
            <w:tcW w:w="50" w:type="pct"/>
            <w:shd w:val="clear" w:color="auto" w:fill="auto"/>
          </w:tcPr>
          <w:p w14:paraId="00BB038B" w14:textId="77777777" w:rsidR="00871BDF" w:rsidRDefault="00871BDF">
            <w:pPr>
              <w:rPr>
                <w:rFonts w:ascii="宋体"/>
              </w:rPr>
            </w:pPr>
          </w:p>
        </w:tc>
        <w:tc>
          <w:tcPr>
            <w:tcW w:w="620" w:type="pct"/>
            <w:shd w:val="clear" w:color="auto" w:fill="auto"/>
          </w:tcPr>
          <w:p w14:paraId="00BB038C" w14:textId="77777777" w:rsidR="00871BDF" w:rsidRDefault="00871BDF">
            <w:pPr>
              <w:rPr>
                <w:rFonts w:ascii="宋体"/>
              </w:rPr>
            </w:pPr>
          </w:p>
        </w:tc>
        <w:tc>
          <w:tcPr>
            <w:tcW w:w="5" w:type="pct"/>
            <w:shd w:val="clear" w:color="auto" w:fill="auto"/>
          </w:tcPr>
          <w:p w14:paraId="00BB038D" w14:textId="77777777" w:rsidR="00871BDF" w:rsidRDefault="00871BDF">
            <w:pPr>
              <w:rPr>
                <w:rFonts w:ascii="宋体"/>
              </w:rPr>
            </w:pPr>
          </w:p>
        </w:tc>
        <w:tc>
          <w:tcPr>
            <w:tcW w:w="5" w:type="pct"/>
            <w:shd w:val="clear" w:color="auto" w:fill="auto"/>
          </w:tcPr>
          <w:p w14:paraId="00BB038E" w14:textId="77777777" w:rsidR="00871BDF" w:rsidRDefault="00871BDF">
            <w:pPr>
              <w:rPr>
                <w:rFonts w:ascii="宋体"/>
              </w:rPr>
            </w:pPr>
          </w:p>
        </w:tc>
        <w:tc>
          <w:tcPr>
            <w:tcW w:w="26" w:type="pct"/>
            <w:shd w:val="clear" w:color="auto" w:fill="auto"/>
          </w:tcPr>
          <w:p w14:paraId="00BB038F" w14:textId="77777777" w:rsidR="00871BDF" w:rsidRDefault="00871BDF">
            <w:pPr>
              <w:rPr>
                <w:rFonts w:ascii="宋体"/>
              </w:rPr>
            </w:pPr>
          </w:p>
        </w:tc>
        <w:tc>
          <w:tcPr>
            <w:tcW w:w="5" w:type="pct"/>
            <w:shd w:val="clear" w:color="auto" w:fill="auto"/>
          </w:tcPr>
          <w:p w14:paraId="00BB0390" w14:textId="77777777" w:rsidR="00871BDF" w:rsidRDefault="00871BDF">
            <w:pPr>
              <w:rPr>
                <w:rFonts w:ascii="宋体"/>
              </w:rPr>
            </w:pPr>
          </w:p>
        </w:tc>
        <w:tc>
          <w:tcPr>
            <w:tcW w:w="50" w:type="pct"/>
            <w:shd w:val="clear" w:color="auto" w:fill="auto"/>
          </w:tcPr>
          <w:p w14:paraId="00BB0391" w14:textId="77777777" w:rsidR="00871BDF" w:rsidRDefault="00871BDF">
            <w:pPr>
              <w:rPr>
                <w:rFonts w:ascii="宋体"/>
              </w:rPr>
            </w:pPr>
          </w:p>
        </w:tc>
        <w:tc>
          <w:tcPr>
            <w:tcW w:w="627" w:type="pct"/>
            <w:shd w:val="clear" w:color="auto" w:fill="auto"/>
          </w:tcPr>
          <w:p w14:paraId="00BB0392" w14:textId="77777777" w:rsidR="00871BDF" w:rsidRDefault="00871BDF">
            <w:pPr>
              <w:rPr>
                <w:rFonts w:ascii="宋体"/>
              </w:rPr>
            </w:pPr>
          </w:p>
        </w:tc>
        <w:tc>
          <w:tcPr>
            <w:tcW w:w="5" w:type="pct"/>
            <w:shd w:val="clear" w:color="auto" w:fill="auto"/>
          </w:tcPr>
          <w:p w14:paraId="00BB0393" w14:textId="77777777" w:rsidR="00871BDF" w:rsidRDefault="00871BDF">
            <w:pPr>
              <w:rPr>
                <w:rFonts w:ascii="宋体"/>
              </w:rPr>
            </w:pPr>
          </w:p>
        </w:tc>
      </w:tr>
      <w:tr w:rsidR="00871BDF" w14:paraId="00BB039D" w14:textId="77777777">
        <w:tc>
          <w:tcPr>
            <w:tcW w:w="0" w:type="auto"/>
            <w:gridSpan w:val="3"/>
            <w:shd w:val="clear" w:color="auto" w:fill="auto"/>
            <w:tcMar>
              <w:top w:w="0" w:type="dxa"/>
              <w:left w:w="20" w:type="dxa"/>
              <w:bottom w:w="0" w:type="dxa"/>
              <w:right w:w="20" w:type="dxa"/>
            </w:tcMar>
          </w:tcPr>
          <w:p w14:paraId="00BB0395"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396" w14:textId="77777777" w:rsidR="00871BDF" w:rsidRDefault="005C5088">
            <w:pPr>
              <w:jc w:val="center"/>
              <w:textAlignment w:val="bottom"/>
            </w:pPr>
            <w:r>
              <w:rPr>
                <w:rFonts w:ascii="Times New Roman" w:eastAsia="宋体" w:hAnsi="Times New Roman"/>
                <w:b/>
                <w:bCs/>
                <w:color w:val="FFFFFF"/>
                <w:sz w:val="16"/>
                <w:szCs w:val="16"/>
              </w:rPr>
              <w:t>Number</w:t>
            </w:r>
            <w:r>
              <w:rPr>
                <w:rFonts w:ascii="Times New Roman" w:eastAsia="宋体" w:hAnsi="Times New Roman"/>
                <w:b/>
                <w:bCs/>
                <w:color w:val="FFFFFF"/>
                <w:sz w:val="16"/>
                <w:szCs w:val="16"/>
              </w:rPr>
              <w:br/>
              <w:t>of</w:t>
            </w:r>
            <w:r>
              <w:rPr>
                <w:rFonts w:ascii="Times New Roman" w:eastAsia="宋体" w:hAnsi="Times New Roman"/>
                <w:b/>
                <w:bCs/>
                <w:color w:val="FFFFFF"/>
                <w:sz w:val="16"/>
                <w:szCs w:val="16"/>
              </w:rPr>
              <w:br/>
              <w:t>Shares</w:t>
            </w:r>
          </w:p>
        </w:tc>
        <w:tc>
          <w:tcPr>
            <w:tcW w:w="0" w:type="auto"/>
            <w:gridSpan w:val="3"/>
            <w:shd w:val="clear" w:color="auto" w:fill="auto"/>
            <w:tcMar>
              <w:top w:w="0" w:type="dxa"/>
              <w:left w:w="20" w:type="dxa"/>
              <w:bottom w:w="0" w:type="dxa"/>
              <w:right w:w="20" w:type="dxa"/>
            </w:tcMar>
          </w:tcPr>
          <w:p w14:paraId="00BB0397"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398" w14:textId="77777777" w:rsidR="00871BDF" w:rsidRDefault="005C5088">
            <w:pPr>
              <w:jc w:val="center"/>
              <w:textAlignment w:val="bottom"/>
            </w:pPr>
            <w:r>
              <w:rPr>
                <w:rFonts w:ascii="Times New Roman" w:eastAsia="宋体" w:hAnsi="Times New Roman"/>
                <w:b/>
                <w:bCs/>
                <w:color w:val="FFFFFF"/>
                <w:sz w:val="16"/>
                <w:szCs w:val="16"/>
              </w:rPr>
              <w:t>Weighted</w:t>
            </w:r>
            <w:r>
              <w:rPr>
                <w:rFonts w:ascii="Times New Roman" w:eastAsia="宋体" w:hAnsi="Times New Roman"/>
                <w:b/>
                <w:bCs/>
                <w:color w:val="FFFFFF"/>
                <w:sz w:val="16"/>
                <w:szCs w:val="16"/>
              </w:rPr>
              <w:br/>
              <w:t>Average</w:t>
            </w:r>
            <w:r>
              <w:rPr>
                <w:rFonts w:ascii="Times New Roman" w:eastAsia="宋体" w:hAnsi="Times New Roman"/>
                <w:b/>
                <w:bCs/>
                <w:color w:val="FFFFFF"/>
                <w:sz w:val="16"/>
                <w:szCs w:val="16"/>
              </w:rPr>
              <w:br/>
              <w:t>Grant Date</w:t>
            </w:r>
            <w:r>
              <w:rPr>
                <w:rFonts w:ascii="Times New Roman" w:eastAsia="宋体" w:hAnsi="Times New Roman"/>
                <w:b/>
                <w:bCs/>
                <w:color w:val="FFFFFF"/>
                <w:sz w:val="16"/>
                <w:szCs w:val="16"/>
              </w:rPr>
              <w:br/>
              <w:t>Fair Value</w:t>
            </w:r>
            <w:r>
              <w:rPr>
                <w:rFonts w:ascii="Times New Roman" w:eastAsia="宋体" w:hAnsi="Times New Roman"/>
                <w:b/>
                <w:bCs/>
                <w:color w:val="FFFFFF"/>
                <w:sz w:val="16"/>
                <w:szCs w:val="16"/>
              </w:rPr>
              <w:br/>
              <w:t>per Share</w:t>
            </w:r>
          </w:p>
        </w:tc>
        <w:tc>
          <w:tcPr>
            <w:tcW w:w="0" w:type="auto"/>
            <w:gridSpan w:val="3"/>
            <w:shd w:val="clear" w:color="auto" w:fill="auto"/>
            <w:tcMar>
              <w:top w:w="0" w:type="dxa"/>
              <w:left w:w="20" w:type="dxa"/>
              <w:bottom w:w="0" w:type="dxa"/>
              <w:right w:w="20" w:type="dxa"/>
            </w:tcMar>
          </w:tcPr>
          <w:p w14:paraId="00BB0399"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39A" w14:textId="77777777" w:rsidR="00871BDF" w:rsidRDefault="005C5088">
            <w:pPr>
              <w:jc w:val="center"/>
              <w:textAlignment w:val="bottom"/>
            </w:pPr>
            <w:r>
              <w:rPr>
                <w:rFonts w:ascii="Times New Roman" w:eastAsia="宋体" w:hAnsi="Times New Roman"/>
                <w:b/>
                <w:bCs/>
                <w:color w:val="FFFFFF"/>
                <w:sz w:val="16"/>
                <w:szCs w:val="16"/>
              </w:rPr>
              <w:t>Weighted</w:t>
            </w:r>
            <w:r>
              <w:rPr>
                <w:rFonts w:ascii="Times New Roman" w:eastAsia="宋体" w:hAnsi="Times New Roman"/>
                <w:b/>
                <w:bCs/>
                <w:color w:val="FFFFFF"/>
                <w:sz w:val="16"/>
                <w:szCs w:val="16"/>
              </w:rPr>
              <w:br/>
              <w:t>Average</w:t>
            </w:r>
            <w:r>
              <w:rPr>
                <w:rFonts w:ascii="Times New Roman" w:eastAsia="宋体" w:hAnsi="Times New Roman"/>
                <w:b/>
                <w:bCs/>
                <w:color w:val="FFFFFF"/>
                <w:sz w:val="16"/>
                <w:szCs w:val="16"/>
              </w:rPr>
              <w:br/>
              <w:t>Remaining</w:t>
            </w:r>
            <w:r>
              <w:rPr>
                <w:rFonts w:ascii="Times New Roman" w:eastAsia="宋体" w:hAnsi="Times New Roman"/>
                <w:b/>
                <w:bCs/>
                <w:color w:val="FFFFFF"/>
                <w:sz w:val="16"/>
                <w:szCs w:val="16"/>
              </w:rPr>
              <w:br/>
              <w:t>Contractual</w:t>
            </w:r>
            <w:r>
              <w:rPr>
                <w:rFonts w:ascii="Times New Roman" w:eastAsia="宋体" w:hAnsi="Times New Roman"/>
                <w:b/>
                <w:bCs/>
                <w:color w:val="FFFFFF"/>
                <w:sz w:val="16"/>
                <w:szCs w:val="16"/>
              </w:rPr>
              <w:br/>
              <w:t>Life (Years)</w:t>
            </w:r>
          </w:p>
        </w:tc>
        <w:tc>
          <w:tcPr>
            <w:tcW w:w="0" w:type="auto"/>
            <w:gridSpan w:val="3"/>
            <w:shd w:val="clear" w:color="auto" w:fill="auto"/>
            <w:tcMar>
              <w:top w:w="0" w:type="dxa"/>
              <w:left w:w="20" w:type="dxa"/>
              <w:bottom w:w="0" w:type="dxa"/>
              <w:right w:w="20" w:type="dxa"/>
            </w:tcMar>
          </w:tcPr>
          <w:p w14:paraId="00BB039B"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39C" w14:textId="77777777" w:rsidR="00871BDF" w:rsidRDefault="005C5088">
            <w:pPr>
              <w:jc w:val="center"/>
              <w:textAlignment w:val="bottom"/>
            </w:pPr>
            <w:r>
              <w:rPr>
                <w:rFonts w:ascii="Times New Roman" w:eastAsia="宋体" w:hAnsi="Times New Roman"/>
                <w:b/>
                <w:bCs/>
                <w:color w:val="FFFFFF"/>
                <w:sz w:val="16"/>
                <w:szCs w:val="16"/>
              </w:rPr>
              <w:t>Aggregate</w:t>
            </w:r>
            <w:r>
              <w:rPr>
                <w:rFonts w:ascii="Times New Roman" w:eastAsia="宋体" w:hAnsi="Times New Roman"/>
                <w:b/>
                <w:bCs/>
                <w:color w:val="FFFFFF"/>
                <w:sz w:val="16"/>
                <w:szCs w:val="16"/>
              </w:rPr>
              <w:br/>
              <w:t>Intrinsic</w:t>
            </w:r>
            <w:r>
              <w:rPr>
                <w:rFonts w:ascii="Times New Roman" w:eastAsia="宋体" w:hAnsi="Times New Roman"/>
                <w:b/>
                <w:bCs/>
                <w:color w:val="FFFFFF"/>
                <w:sz w:val="16"/>
                <w:szCs w:val="16"/>
              </w:rPr>
              <w:br/>
              <w:t>Value</w:t>
            </w:r>
          </w:p>
        </w:tc>
      </w:tr>
      <w:tr w:rsidR="00871BDF" w14:paraId="00BB03AB" w14:textId="77777777">
        <w:tc>
          <w:tcPr>
            <w:tcW w:w="0" w:type="auto"/>
            <w:gridSpan w:val="3"/>
            <w:shd w:val="clear" w:color="auto" w:fill="D7E4BC"/>
            <w:tcMar>
              <w:top w:w="40" w:type="dxa"/>
              <w:left w:w="20" w:type="dxa"/>
              <w:bottom w:w="40" w:type="dxa"/>
              <w:right w:w="20" w:type="dxa"/>
            </w:tcMar>
          </w:tcPr>
          <w:p w14:paraId="00BB039E" w14:textId="77777777" w:rsidR="00871BDF" w:rsidRDefault="005C5088">
            <w:pPr>
              <w:textAlignment w:val="top"/>
            </w:pPr>
            <w:r>
              <w:rPr>
                <w:rFonts w:ascii="Times New Roman" w:eastAsia="宋体" w:hAnsi="Times New Roman"/>
                <w:color w:val="000000"/>
                <w:sz w:val="20"/>
                <w:szCs w:val="20"/>
              </w:rPr>
              <w:t>Nonvested, September 29, 2019</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39F" w14:textId="77777777" w:rsidR="00871BDF" w:rsidRDefault="005C5088">
            <w:pPr>
              <w:jc w:val="right"/>
              <w:textAlignment w:val="bottom"/>
            </w:pPr>
            <w:r>
              <w:rPr>
                <w:rFonts w:ascii="Times New Roman" w:eastAsia="宋体" w:hAnsi="Times New Roman"/>
                <w:color w:val="000000"/>
                <w:sz w:val="20"/>
                <w:szCs w:val="20"/>
              </w:rPr>
              <w:t>8.9 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3A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A1"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3A2"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3A3" w14:textId="77777777" w:rsidR="00871BDF" w:rsidRDefault="005C5088">
            <w:pPr>
              <w:jc w:val="right"/>
              <w:textAlignment w:val="bottom"/>
            </w:pPr>
            <w:r>
              <w:rPr>
                <w:rFonts w:ascii="Times New Roman" w:eastAsia="宋体" w:hAnsi="Times New Roman"/>
                <w:color w:val="000000"/>
                <w:sz w:val="20"/>
                <w:szCs w:val="20"/>
              </w:rPr>
              <w:t>62.56 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3A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A5"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0BB03A6" w14:textId="77777777" w:rsidR="00871BDF" w:rsidRDefault="005C5088">
            <w:pPr>
              <w:jc w:val="right"/>
              <w:textAlignment w:val="bottom"/>
            </w:pPr>
            <w:r>
              <w:rPr>
                <w:rFonts w:ascii="Times New Roman" w:eastAsia="宋体" w:hAnsi="Times New Roman"/>
                <w:color w:val="000000"/>
                <w:sz w:val="20"/>
                <w:szCs w:val="20"/>
              </w:rPr>
              <w:t>1.1</w:t>
            </w:r>
          </w:p>
        </w:tc>
        <w:tc>
          <w:tcPr>
            <w:tcW w:w="0" w:type="auto"/>
            <w:gridSpan w:val="3"/>
            <w:shd w:val="clear" w:color="auto" w:fill="D7E4BC"/>
            <w:tcMar>
              <w:top w:w="0" w:type="dxa"/>
              <w:left w:w="20" w:type="dxa"/>
              <w:bottom w:w="0" w:type="dxa"/>
              <w:right w:w="20" w:type="dxa"/>
            </w:tcMar>
          </w:tcPr>
          <w:p w14:paraId="00BB03A7"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3A8"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3A9" w14:textId="77777777" w:rsidR="00871BDF" w:rsidRDefault="005C5088">
            <w:pPr>
              <w:jc w:val="right"/>
              <w:textAlignment w:val="bottom"/>
            </w:pPr>
            <w:r>
              <w:rPr>
                <w:rFonts w:ascii="Times New Roman" w:eastAsia="宋体" w:hAnsi="Times New Roman"/>
                <w:color w:val="000000"/>
                <w:sz w:val="20"/>
                <w:szCs w:val="20"/>
              </w:rPr>
              <w:t>788 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3AA" w14:textId="77777777" w:rsidR="00871BDF" w:rsidRDefault="00871BDF">
            <w:pPr>
              <w:jc w:val="right"/>
              <w:rPr>
                <w:rFonts w:ascii="宋体"/>
              </w:rPr>
            </w:pPr>
          </w:p>
        </w:tc>
      </w:tr>
      <w:tr w:rsidR="00871BDF" w14:paraId="00BB03B6" w14:textId="77777777">
        <w:tc>
          <w:tcPr>
            <w:tcW w:w="0" w:type="auto"/>
            <w:gridSpan w:val="3"/>
            <w:shd w:val="clear" w:color="auto" w:fill="FFFFFF"/>
            <w:tcMar>
              <w:top w:w="40" w:type="dxa"/>
              <w:left w:w="20" w:type="dxa"/>
              <w:bottom w:w="40" w:type="dxa"/>
              <w:right w:w="20" w:type="dxa"/>
            </w:tcMar>
          </w:tcPr>
          <w:p w14:paraId="00BB03AC" w14:textId="77777777" w:rsidR="00871BDF" w:rsidRDefault="005C5088">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00BB03AD" w14:textId="77777777" w:rsidR="00871BDF" w:rsidRDefault="005C5088">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00BB03A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3A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3B0" w14:textId="77777777" w:rsidR="00871BDF" w:rsidRDefault="005C5088">
            <w:pPr>
              <w:jc w:val="right"/>
              <w:textAlignment w:val="bottom"/>
            </w:pPr>
            <w:r>
              <w:rPr>
                <w:rFonts w:ascii="Times New Roman" w:eastAsia="宋体" w:hAnsi="Times New Roman"/>
                <w:color w:val="000000"/>
                <w:sz w:val="20"/>
                <w:szCs w:val="20"/>
              </w:rPr>
              <w:t>81.96 </w:t>
            </w:r>
          </w:p>
        </w:tc>
        <w:tc>
          <w:tcPr>
            <w:tcW w:w="0" w:type="auto"/>
            <w:shd w:val="clear" w:color="auto" w:fill="FFFFFF"/>
            <w:tcMar>
              <w:top w:w="40" w:type="dxa"/>
              <w:left w:w="0" w:type="dxa"/>
              <w:bottom w:w="40" w:type="dxa"/>
              <w:right w:w="20" w:type="dxa"/>
            </w:tcMar>
            <w:vAlign w:val="bottom"/>
          </w:tcPr>
          <w:p w14:paraId="00BB03B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3B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3B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3B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3B5" w14:textId="77777777" w:rsidR="00871BDF" w:rsidRDefault="00871BDF">
            <w:pPr>
              <w:rPr>
                <w:rFonts w:ascii="宋体"/>
              </w:rPr>
            </w:pPr>
          </w:p>
        </w:tc>
      </w:tr>
      <w:tr w:rsidR="00871BDF" w14:paraId="00BB03C1" w14:textId="77777777">
        <w:tc>
          <w:tcPr>
            <w:tcW w:w="0" w:type="auto"/>
            <w:gridSpan w:val="3"/>
            <w:shd w:val="clear" w:color="auto" w:fill="D7E4BC"/>
            <w:tcMar>
              <w:top w:w="40" w:type="dxa"/>
              <w:left w:w="20" w:type="dxa"/>
              <w:bottom w:w="40" w:type="dxa"/>
              <w:right w:w="20" w:type="dxa"/>
            </w:tcMar>
          </w:tcPr>
          <w:p w14:paraId="00BB03B7" w14:textId="77777777" w:rsidR="00871BDF" w:rsidRDefault="005C5088">
            <w:pPr>
              <w:textAlignment w:val="top"/>
            </w:pPr>
            <w:r>
              <w:rPr>
                <w:rFonts w:ascii="Times New Roman" w:eastAsia="宋体" w:hAnsi="Times New Roman"/>
                <w:color w:val="000000"/>
                <w:sz w:val="20"/>
                <w:szCs w:val="20"/>
              </w:rPr>
              <w:t>Vested</w:t>
            </w:r>
          </w:p>
        </w:tc>
        <w:tc>
          <w:tcPr>
            <w:tcW w:w="0" w:type="auto"/>
            <w:gridSpan w:val="2"/>
            <w:shd w:val="clear" w:color="auto" w:fill="D7E4BC"/>
            <w:tcMar>
              <w:top w:w="40" w:type="dxa"/>
              <w:left w:w="20" w:type="dxa"/>
              <w:bottom w:w="40" w:type="dxa"/>
              <w:right w:w="0" w:type="dxa"/>
            </w:tcMar>
            <w:vAlign w:val="bottom"/>
          </w:tcPr>
          <w:p w14:paraId="00BB03B8" w14:textId="77777777" w:rsidR="00871BDF" w:rsidRDefault="005C5088">
            <w:pPr>
              <w:jc w:val="right"/>
              <w:textAlignment w:val="bottom"/>
            </w:pPr>
            <w:r>
              <w:rPr>
                <w:rFonts w:ascii="Times New Roman" w:eastAsia="宋体" w:hAnsi="Times New Roman"/>
                <w:color w:val="000000"/>
                <w:sz w:val="20"/>
                <w:szCs w:val="20"/>
              </w:rPr>
              <w:t>(3.5)</w:t>
            </w:r>
          </w:p>
        </w:tc>
        <w:tc>
          <w:tcPr>
            <w:tcW w:w="0" w:type="auto"/>
            <w:shd w:val="clear" w:color="auto" w:fill="D7E4BC"/>
            <w:tcMar>
              <w:top w:w="40" w:type="dxa"/>
              <w:left w:w="0" w:type="dxa"/>
              <w:bottom w:w="40" w:type="dxa"/>
              <w:right w:w="20" w:type="dxa"/>
            </w:tcMar>
            <w:vAlign w:val="bottom"/>
          </w:tcPr>
          <w:p w14:paraId="00BB03B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B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3BB" w14:textId="77777777" w:rsidR="00871BDF" w:rsidRDefault="005C5088">
            <w:pPr>
              <w:jc w:val="right"/>
              <w:textAlignment w:val="bottom"/>
            </w:pPr>
            <w:r>
              <w:rPr>
                <w:rFonts w:ascii="Times New Roman" w:eastAsia="宋体" w:hAnsi="Times New Roman"/>
                <w:color w:val="000000"/>
                <w:sz w:val="20"/>
                <w:szCs w:val="20"/>
              </w:rPr>
              <w:t>59.97 </w:t>
            </w:r>
          </w:p>
        </w:tc>
        <w:tc>
          <w:tcPr>
            <w:tcW w:w="0" w:type="auto"/>
            <w:shd w:val="clear" w:color="auto" w:fill="D7E4BC"/>
            <w:tcMar>
              <w:top w:w="40" w:type="dxa"/>
              <w:left w:w="0" w:type="dxa"/>
              <w:bottom w:w="40" w:type="dxa"/>
              <w:right w:w="20" w:type="dxa"/>
            </w:tcMar>
            <w:vAlign w:val="bottom"/>
          </w:tcPr>
          <w:p w14:paraId="00BB03B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B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3B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3B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3C0" w14:textId="77777777" w:rsidR="00871BDF" w:rsidRDefault="00871BDF">
            <w:pPr>
              <w:rPr>
                <w:rFonts w:ascii="宋体"/>
              </w:rPr>
            </w:pPr>
          </w:p>
        </w:tc>
      </w:tr>
      <w:tr w:rsidR="00871BDF" w14:paraId="00BB03CC" w14:textId="77777777">
        <w:tc>
          <w:tcPr>
            <w:tcW w:w="0" w:type="auto"/>
            <w:gridSpan w:val="3"/>
            <w:shd w:val="clear" w:color="auto" w:fill="FFFFFF"/>
            <w:tcMar>
              <w:top w:w="40" w:type="dxa"/>
              <w:left w:w="20" w:type="dxa"/>
              <w:bottom w:w="40" w:type="dxa"/>
              <w:right w:w="20" w:type="dxa"/>
            </w:tcMar>
          </w:tcPr>
          <w:p w14:paraId="00BB03C2" w14:textId="77777777" w:rsidR="00871BDF" w:rsidRDefault="005C5088">
            <w:pPr>
              <w:textAlignment w:val="top"/>
            </w:pPr>
            <w:r>
              <w:rPr>
                <w:rFonts w:ascii="Times New Roman" w:eastAsia="宋体" w:hAnsi="Times New Roman"/>
                <w:color w:val="000000"/>
                <w:sz w:val="20"/>
                <w:szCs w:val="20"/>
              </w:rPr>
              <w:t>Forfeited/canceled</w:t>
            </w:r>
          </w:p>
        </w:tc>
        <w:tc>
          <w:tcPr>
            <w:tcW w:w="0" w:type="auto"/>
            <w:gridSpan w:val="2"/>
            <w:shd w:val="clear" w:color="auto" w:fill="FFFFFF"/>
            <w:tcMar>
              <w:top w:w="40" w:type="dxa"/>
              <w:left w:w="20" w:type="dxa"/>
              <w:bottom w:w="40" w:type="dxa"/>
              <w:right w:w="0" w:type="dxa"/>
            </w:tcMar>
            <w:vAlign w:val="bottom"/>
          </w:tcPr>
          <w:p w14:paraId="00BB03C3" w14:textId="77777777" w:rsidR="00871BDF" w:rsidRDefault="005C5088">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00BB03C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3C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3C6" w14:textId="77777777" w:rsidR="00871BDF" w:rsidRDefault="005C5088">
            <w:pPr>
              <w:jc w:val="right"/>
              <w:textAlignment w:val="bottom"/>
            </w:pPr>
            <w:r>
              <w:rPr>
                <w:rFonts w:ascii="Times New Roman" w:eastAsia="宋体" w:hAnsi="Times New Roman"/>
                <w:color w:val="000000"/>
                <w:sz w:val="20"/>
                <w:szCs w:val="20"/>
              </w:rPr>
              <w:t>71.88 </w:t>
            </w:r>
          </w:p>
        </w:tc>
        <w:tc>
          <w:tcPr>
            <w:tcW w:w="0" w:type="auto"/>
            <w:shd w:val="clear" w:color="auto" w:fill="FFFFFF"/>
            <w:tcMar>
              <w:top w:w="40" w:type="dxa"/>
              <w:left w:w="0" w:type="dxa"/>
              <w:bottom w:w="40" w:type="dxa"/>
              <w:right w:w="20" w:type="dxa"/>
            </w:tcMar>
            <w:vAlign w:val="bottom"/>
          </w:tcPr>
          <w:p w14:paraId="00BB03C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3C8"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3C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3C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3CB" w14:textId="77777777" w:rsidR="00871BDF" w:rsidRDefault="00871BDF">
            <w:pPr>
              <w:rPr>
                <w:rFonts w:ascii="宋体"/>
              </w:rPr>
            </w:pPr>
          </w:p>
        </w:tc>
      </w:tr>
      <w:tr w:rsidR="00871BDF" w14:paraId="00BB03D8" w14:textId="77777777">
        <w:tc>
          <w:tcPr>
            <w:tcW w:w="0" w:type="auto"/>
            <w:gridSpan w:val="3"/>
            <w:shd w:val="clear" w:color="auto" w:fill="D7E4BC"/>
            <w:tcMar>
              <w:top w:w="40" w:type="dxa"/>
              <w:left w:w="20" w:type="dxa"/>
              <w:bottom w:w="40" w:type="dxa"/>
              <w:right w:w="20" w:type="dxa"/>
            </w:tcMar>
          </w:tcPr>
          <w:p w14:paraId="00BB03CD" w14:textId="77777777" w:rsidR="00871BDF" w:rsidRDefault="005C5088">
            <w:pPr>
              <w:textAlignment w:val="top"/>
            </w:pPr>
            <w:r>
              <w:rPr>
                <w:rFonts w:ascii="Times New Roman" w:eastAsia="宋体" w:hAnsi="Times New Roman"/>
                <w:color w:val="000000"/>
                <w:sz w:val="20"/>
                <w:szCs w:val="20"/>
              </w:rPr>
              <w:t>Nonvested, September 27, 2020</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3CE" w14:textId="77777777" w:rsidR="00871BDF" w:rsidRDefault="005C5088">
            <w:pPr>
              <w:jc w:val="right"/>
              <w:textAlignment w:val="bottom"/>
            </w:pPr>
            <w:r>
              <w:rPr>
                <w:rFonts w:ascii="Times New Roman" w:eastAsia="宋体" w:hAnsi="Times New Roman"/>
                <w:color w:val="000000"/>
                <w:sz w:val="20"/>
                <w:szCs w:val="20"/>
              </w:rPr>
              <w:t>8.3 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3C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D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3D1" w14:textId="77777777" w:rsidR="00871BDF" w:rsidRDefault="005C5088">
            <w:pPr>
              <w:jc w:val="right"/>
              <w:textAlignment w:val="bottom"/>
            </w:pPr>
            <w:r>
              <w:rPr>
                <w:rFonts w:ascii="Times New Roman" w:eastAsia="宋体" w:hAnsi="Times New Roman"/>
                <w:color w:val="000000"/>
                <w:sz w:val="20"/>
                <w:szCs w:val="20"/>
              </w:rPr>
              <w:t>74.23 </w:t>
            </w:r>
          </w:p>
        </w:tc>
        <w:tc>
          <w:tcPr>
            <w:tcW w:w="0" w:type="auto"/>
            <w:shd w:val="clear" w:color="auto" w:fill="D7E4BC"/>
            <w:tcMar>
              <w:top w:w="40" w:type="dxa"/>
              <w:left w:w="0" w:type="dxa"/>
              <w:bottom w:w="40" w:type="dxa"/>
              <w:right w:w="20" w:type="dxa"/>
            </w:tcMar>
            <w:vAlign w:val="bottom"/>
          </w:tcPr>
          <w:p w14:paraId="00BB03D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3D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B03D4" w14:textId="77777777" w:rsidR="00871BDF" w:rsidRDefault="005C5088">
            <w:pPr>
              <w:jc w:val="right"/>
              <w:textAlignment w:val="bottom"/>
            </w:pPr>
            <w:r>
              <w:rPr>
                <w:rFonts w:ascii="Times New Roman" w:eastAsia="宋体" w:hAnsi="Times New Roman"/>
                <w:color w:val="000000"/>
                <w:sz w:val="20"/>
                <w:szCs w:val="20"/>
              </w:rPr>
              <w:t>1.1</w:t>
            </w:r>
          </w:p>
        </w:tc>
        <w:tc>
          <w:tcPr>
            <w:tcW w:w="0" w:type="auto"/>
            <w:gridSpan w:val="3"/>
            <w:shd w:val="clear" w:color="auto" w:fill="D7E4BC"/>
            <w:tcMar>
              <w:top w:w="0" w:type="dxa"/>
              <w:left w:w="20" w:type="dxa"/>
              <w:bottom w:w="0" w:type="dxa"/>
              <w:right w:w="20" w:type="dxa"/>
            </w:tcMar>
          </w:tcPr>
          <w:p w14:paraId="00BB03D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3D6" w14:textId="77777777" w:rsidR="00871BDF" w:rsidRDefault="005C5088">
            <w:pPr>
              <w:jc w:val="right"/>
              <w:textAlignment w:val="bottom"/>
            </w:pPr>
            <w:r>
              <w:rPr>
                <w:rFonts w:ascii="Times New Roman" w:eastAsia="宋体" w:hAnsi="Times New Roman"/>
                <w:color w:val="000000"/>
                <w:sz w:val="20"/>
                <w:szCs w:val="20"/>
              </w:rPr>
              <w:t>699 </w:t>
            </w:r>
          </w:p>
        </w:tc>
        <w:tc>
          <w:tcPr>
            <w:tcW w:w="0" w:type="auto"/>
            <w:shd w:val="clear" w:color="auto" w:fill="D7E4BC"/>
            <w:tcMar>
              <w:top w:w="40" w:type="dxa"/>
              <w:left w:w="0" w:type="dxa"/>
              <w:bottom w:w="40" w:type="dxa"/>
              <w:right w:w="20" w:type="dxa"/>
            </w:tcMar>
            <w:vAlign w:val="bottom"/>
          </w:tcPr>
          <w:p w14:paraId="00BB03D7" w14:textId="77777777" w:rsidR="00871BDF" w:rsidRDefault="00871BDF">
            <w:pPr>
              <w:jc w:val="right"/>
              <w:rPr>
                <w:rFonts w:ascii="宋体"/>
              </w:rPr>
            </w:pPr>
          </w:p>
        </w:tc>
      </w:tr>
    </w:tbl>
    <w:p w14:paraId="00BB03D9" w14:textId="77777777" w:rsidR="00871BDF" w:rsidRDefault="005C5088">
      <w:pPr>
        <w:spacing w:before="120"/>
      </w:pPr>
      <w:r>
        <w:rPr>
          <w:rFonts w:ascii="Times New Roman" w:eastAsia="宋体" w:hAnsi="Times New Roman"/>
          <w:color w:val="000000"/>
          <w:sz w:val="20"/>
          <w:szCs w:val="20"/>
        </w:rPr>
        <w:t>For fiscal 2019 and 2018, the weighted average fair value per RSU granted was $68.14 and $56.48, respectively. As of September 27, 2020, total unrecogniz</w:t>
      </w:r>
      <w:r>
        <w:rPr>
          <w:rFonts w:ascii="Times New Roman" w:eastAsia="宋体" w:hAnsi="Times New Roman"/>
          <w:color w:val="000000"/>
          <w:sz w:val="20"/>
          <w:szCs w:val="20"/>
          <w:shd w:val="clear" w:color="auto" w:fill="FFFFFF"/>
        </w:rPr>
        <w:t xml:space="preserve">ed stock-based compensation expense related to nonvested RSUs, net of </w:t>
      </w:r>
      <w:r>
        <w:rPr>
          <w:rFonts w:ascii="Times New Roman" w:eastAsia="宋体" w:hAnsi="Times New Roman"/>
          <w:color w:val="000000"/>
          <w:sz w:val="20"/>
          <w:szCs w:val="20"/>
          <w:shd w:val="clear" w:color="auto" w:fill="FFFFFF"/>
        </w:rPr>
        <w:t>estimated forfeitures, was approximately</w:t>
      </w:r>
      <w:r>
        <w:rPr>
          <w:rFonts w:ascii="Times New Roman" w:eastAsia="宋体" w:hAnsi="Times New Roman"/>
          <w:color w:val="000000"/>
          <w:sz w:val="20"/>
          <w:szCs w:val="20"/>
        </w:rPr>
        <w:t xml:space="preserve"> $134 million, before income taxes, and is expected to be recognized over a weighted average period of approximately 1.9 years. The total fair value of RSUs vested was $211 million, $255 million and $166 million duri</w:t>
      </w:r>
      <w:r>
        <w:rPr>
          <w:rFonts w:ascii="Times New Roman" w:eastAsia="宋体" w:hAnsi="Times New Roman"/>
          <w:color w:val="000000"/>
          <w:sz w:val="20"/>
          <w:szCs w:val="20"/>
        </w:rPr>
        <w:t>ng fiscal 2020, 2019 and 2018, respectively.</w:t>
      </w:r>
    </w:p>
    <w:p w14:paraId="00BB03DA" w14:textId="77777777" w:rsidR="00871BDF" w:rsidRDefault="005C5088">
      <w:pPr>
        <w:spacing w:before="120"/>
      </w:pPr>
      <w:r>
        <w:rPr>
          <w:rFonts w:ascii="Times New Roman" w:eastAsia="宋体" w:hAnsi="Times New Roman"/>
          <w:b/>
          <w:bCs/>
          <w:i/>
          <w:iCs/>
          <w:color w:val="000000"/>
          <w:sz w:val="20"/>
          <w:szCs w:val="20"/>
        </w:rPr>
        <w:t>ESPP</w:t>
      </w:r>
    </w:p>
    <w:p w14:paraId="00BB03DB" w14:textId="77777777" w:rsidR="00871BDF" w:rsidRDefault="005C5088">
      <w:pPr>
        <w:spacing w:before="120"/>
      </w:pPr>
      <w:r>
        <w:rPr>
          <w:rFonts w:ascii="Times New Roman" w:eastAsia="宋体" w:hAnsi="Times New Roman"/>
          <w:color w:val="000000"/>
          <w:sz w:val="20"/>
          <w:szCs w:val="20"/>
        </w:rPr>
        <w:t xml:space="preserve">Our ESPP allows eligible employees to contribute up to 10% of their base earnings toward the quarterly purchase of our common stock, subject to an annual maximum dollar amount. The purchase price is 95% of </w:t>
      </w:r>
      <w:r>
        <w:rPr>
          <w:rFonts w:ascii="Times New Roman" w:eastAsia="宋体" w:hAnsi="Times New Roman"/>
          <w:color w:val="000000"/>
          <w:sz w:val="20"/>
          <w:szCs w:val="20"/>
        </w:rPr>
        <w:t>the fair market value of the stock on the last business day of the quarterly offering period. The number of shares issued under our ESPP was 0.5 million in fiscal 2020.</w:t>
      </w:r>
    </w:p>
    <w:p w14:paraId="00BB03DC" w14:textId="77777777" w:rsidR="00871BDF" w:rsidRDefault="005C5088">
      <w:pPr>
        <w:spacing w:before="120"/>
      </w:pPr>
      <w:r>
        <w:rPr>
          <w:rFonts w:ascii="Times New Roman" w:eastAsia="宋体" w:hAnsi="Times New Roman"/>
          <w:b/>
          <w:bCs/>
          <w:i/>
          <w:iCs/>
          <w:color w:val="000000"/>
          <w:sz w:val="20"/>
          <w:szCs w:val="20"/>
        </w:rPr>
        <w:t>Deferred Compensation Plan</w:t>
      </w:r>
    </w:p>
    <w:p w14:paraId="00BB03DD" w14:textId="77777777" w:rsidR="00871BDF" w:rsidRDefault="005C5088">
      <w:pPr>
        <w:spacing w:before="120"/>
      </w:pPr>
      <w:r>
        <w:rPr>
          <w:rFonts w:ascii="Times New Roman" w:eastAsia="宋体" w:hAnsi="Times New Roman"/>
          <w:color w:val="000000"/>
          <w:sz w:val="20"/>
          <w:szCs w:val="20"/>
        </w:rPr>
        <w:t>We have a Deferred Compensation Plan for Non-Employee Direct</w:t>
      </w:r>
      <w:r>
        <w:rPr>
          <w:rFonts w:ascii="Times New Roman" w:eastAsia="宋体" w:hAnsi="Times New Roman"/>
          <w:color w:val="000000"/>
          <w:sz w:val="20"/>
          <w:szCs w:val="20"/>
        </w:rPr>
        <w:t>ors under which non-employee directors may, for any fiscal year, irrevocably elect to defer receipt of shares of common stock the director would have received upon vesting of restricted stock units. The number of deferred shares outstanding related to defe</w:t>
      </w:r>
      <w:r>
        <w:rPr>
          <w:rFonts w:ascii="Times New Roman" w:eastAsia="宋体" w:hAnsi="Times New Roman"/>
          <w:color w:val="000000"/>
          <w:sz w:val="20"/>
          <w:szCs w:val="20"/>
        </w:rPr>
        <w:t>rrals made under this plan is not material.</w:t>
      </w:r>
    </w:p>
    <w:p w14:paraId="00BB03DE" w14:textId="77777777" w:rsidR="00871BDF" w:rsidRDefault="005C5088">
      <w:pPr>
        <w:spacing w:before="120"/>
      </w:pPr>
      <w:r>
        <w:rPr>
          <w:rFonts w:ascii="Times New Roman" w:eastAsia="宋体" w:hAnsi="Times New Roman"/>
          <w:b/>
          <w:bCs/>
          <w:i/>
          <w:iCs/>
          <w:color w:val="000000"/>
          <w:sz w:val="20"/>
          <w:szCs w:val="20"/>
        </w:rPr>
        <w:t>Defined Contribution Plans</w:t>
      </w:r>
    </w:p>
    <w:p w14:paraId="00BB03DF" w14:textId="77777777" w:rsidR="00871BDF" w:rsidRDefault="005C5088">
      <w:pPr>
        <w:spacing w:before="120"/>
      </w:pPr>
      <w:r>
        <w:rPr>
          <w:rFonts w:ascii="Times New Roman" w:eastAsia="宋体" w:hAnsi="Times New Roman"/>
          <w:color w:val="000000"/>
          <w:sz w:val="20"/>
          <w:szCs w:val="20"/>
        </w:rPr>
        <w:t>We maintain voluntary defined contribution plans, both qualified and non-qualified, covering eligible employees as defined in the plan documents. Participating employees may elect to de</w:t>
      </w:r>
      <w:r>
        <w:rPr>
          <w:rFonts w:ascii="Times New Roman" w:eastAsia="宋体" w:hAnsi="Times New Roman"/>
          <w:color w:val="000000"/>
          <w:sz w:val="20"/>
          <w:szCs w:val="20"/>
        </w:rPr>
        <w:t>fer and contribute a portion of their eligible compensation to the plans up to limits stated in the plan documents, not to exceed the dollar amounts set by applicable laws.</w:t>
      </w:r>
    </w:p>
    <w:p w14:paraId="00BB03E0" w14:textId="77777777" w:rsidR="00871BDF" w:rsidRDefault="005C5088">
      <w:pPr>
        <w:spacing w:before="120"/>
      </w:pPr>
      <w:r>
        <w:rPr>
          <w:rFonts w:ascii="Times New Roman" w:eastAsia="宋体" w:hAnsi="Times New Roman"/>
          <w:color w:val="000000"/>
          <w:sz w:val="20"/>
          <w:szCs w:val="20"/>
        </w:rPr>
        <w:t>Our matching contributions to all U.S. and non-U.S. plans were $132.7 million, $122</w:t>
      </w:r>
      <w:r>
        <w:rPr>
          <w:rFonts w:ascii="Times New Roman" w:eastAsia="宋体" w:hAnsi="Times New Roman"/>
          <w:color w:val="000000"/>
          <w:sz w:val="20"/>
          <w:szCs w:val="20"/>
        </w:rPr>
        <w:t>.1 million and $111.7 million in fiscal 2020, 2019 and 2018, respectively.</w:t>
      </w:r>
    </w:p>
    <w:p w14:paraId="00BB03E1" w14:textId="77777777" w:rsidR="00871BDF" w:rsidRDefault="005C5088">
      <w:pPr>
        <w:spacing w:before="120"/>
      </w:pPr>
      <w:r>
        <w:rPr>
          <w:rFonts w:ascii="Times New Roman" w:eastAsia="宋体" w:hAnsi="Times New Roman"/>
          <w:b/>
          <w:bCs/>
          <w:color w:val="000000"/>
          <w:sz w:val="20"/>
          <w:szCs w:val="20"/>
        </w:rPr>
        <w:t>Note 14:    Income Taxes</w:t>
      </w:r>
    </w:p>
    <w:p w14:paraId="00BB03E2" w14:textId="77777777" w:rsidR="00871BDF" w:rsidRDefault="005C5088">
      <w:pPr>
        <w:spacing w:before="120"/>
      </w:pPr>
      <w:r>
        <w:rPr>
          <w:rFonts w:ascii="Times New Roman" w:eastAsia="宋体" w:hAnsi="Times New Roman"/>
          <w:color w:val="000000"/>
          <w:sz w:val="20"/>
          <w:szCs w:val="20"/>
        </w:rPr>
        <w:t xml:space="preserve">Components of earnings before income taxes </w:t>
      </w:r>
      <w:r>
        <w:rPr>
          <w:rFonts w:ascii="Times New Roman" w:eastAsia="宋体" w:hAnsi="Times New Roman"/>
          <w:i/>
          <w:iCs/>
          <w:color w:val="000000"/>
          <w:sz w:val="20"/>
          <w:szCs w:val="20"/>
        </w:rPr>
        <w:t>(in millions):</w:t>
      </w:r>
    </w:p>
    <w:tbl>
      <w:tblPr>
        <w:tblW w:w="4993" w:type="pct"/>
        <w:tblCellMar>
          <w:top w:w="15" w:type="dxa"/>
          <w:left w:w="15" w:type="dxa"/>
          <w:bottom w:w="15" w:type="dxa"/>
          <w:right w:w="15" w:type="dxa"/>
        </w:tblCellMar>
        <w:tblLook w:val="04A0" w:firstRow="1" w:lastRow="0" w:firstColumn="1" w:lastColumn="0" w:noHBand="0" w:noVBand="1"/>
      </w:tblPr>
      <w:tblGrid>
        <w:gridCol w:w="39"/>
        <w:gridCol w:w="4293"/>
        <w:gridCol w:w="38"/>
        <w:gridCol w:w="120"/>
        <w:gridCol w:w="1116"/>
        <w:gridCol w:w="36"/>
        <w:gridCol w:w="36"/>
        <w:gridCol w:w="36"/>
        <w:gridCol w:w="36"/>
        <w:gridCol w:w="120"/>
        <w:gridCol w:w="1077"/>
        <w:gridCol w:w="36"/>
        <w:gridCol w:w="36"/>
        <w:gridCol w:w="36"/>
        <w:gridCol w:w="36"/>
        <w:gridCol w:w="120"/>
        <w:gridCol w:w="1077"/>
        <w:gridCol w:w="36"/>
      </w:tblGrid>
      <w:tr w:rsidR="00871BDF" w14:paraId="00BB03F5" w14:textId="77777777">
        <w:tc>
          <w:tcPr>
            <w:tcW w:w="50" w:type="pct"/>
            <w:shd w:val="clear" w:color="auto" w:fill="auto"/>
          </w:tcPr>
          <w:p w14:paraId="00BB03E3" w14:textId="77777777" w:rsidR="00871BDF" w:rsidRDefault="00871BDF">
            <w:pPr>
              <w:rPr>
                <w:rFonts w:ascii="宋体"/>
              </w:rPr>
            </w:pPr>
          </w:p>
        </w:tc>
        <w:tc>
          <w:tcPr>
            <w:tcW w:w="2609" w:type="pct"/>
            <w:shd w:val="clear" w:color="auto" w:fill="auto"/>
          </w:tcPr>
          <w:p w14:paraId="00BB03E4" w14:textId="77777777" w:rsidR="00871BDF" w:rsidRDefault="00871BDF">
            <w:pPr>
              <w:rPr>
                <w:rFonts w:ascii="宋体"/>
              </w:rPr>
            </w:pPr>
          </w:p>
        </w:tc>
        <w:tc>
          <w:tcPr>
            <w:tcW w:w="5" w:type="pct"/>
            <w:shd w:val="clear" w:color="auto" w:fill="auto"/>
          </w:tcPr>
          <w:p w14:paraId="00BB03E5" w14:textId="77777777" w:rsidR="00871BDF" w:rsidRDefault="00871BDF">
            <w:pPr>
              <w:rPr>
                <w:rFonts w:ascii="宋体"/>
              </w:rPr>
            </w:pPr>
          </w:p>
        </w:tc>
        <w:tc>
          <w:tcPr>
            <w:tcW w:w="50" w:type="pct"/>
            <w:shd w:val="clear" w:color="auto" w:fill="auto"/>
          </w:tcPr>
          <w:p w14:paraId="00BB03E6" w14:textId="77777777" w:rsidR="00871BDF" w:rsidRDefault="00871BDF">
            <w:pPr>
              <w:rPr>
                <w:rFonts w:ascii="宋体"/>
              </w:rPr>
            </w:pPr>
          </w:p>
        </w:tc>
        <w:tc>
          <w:tcPr>
            <w:tcW w:w="699" w:type="pct"/>
            <w:shd w:val="clear" w:color="auto" w:fill="auto"/>
          </w:tcPr>
          <w:p w14:paraId="00BB03E7" w14:textId="77777777" w:rsidR="00871BDF" w:rsidRDefault="00871BDF">
            <w:pPr>
              <w:rPr>
                <w:rFonts w:ascii="宋体"/>
              </w:rPr>
            </w:pPr>
          </w:p>
        </w:tc>
        <w:tc>
          <w:tcPr>
            <w:tcW w:w="5" w:type="pct"/>
            <w:shd w:val="clear" w:color="auto" w:fill="auto"/>
          </w:tcPr>
          <w:p w14:paraId="00BB03E8" w14:textId="77777777" w:rsidR="00871BDF" w:rsidRDefault="00871BDF">
            <w:pPr>
              <w:rPr>
                <w:rFonts w:ascii="宋体"/>
              </w:rPr>
            </w:pPr>
          </w:p>
        </w:tc>
        <w:tc>
          <w:tcPr>
            <w:tcW w:w="5" w:type="pct"/>
            <w:shd w:val="clear" w:color="auto" w:fill="auto"/>
          </w:tcPr>
          <w:p w14:paraId="00BB03E9" w14:textId="77777777" w:rsidR="00871BDF" w:rsidRDefault="00871BDF">
            <w:pPr>
              <w:rPr>
                <w:rFonts w:ascii="宋体"/>
              </w:rPr>
            </w:pPr>
          </w:p>
        </w:tc>
        <w:tc>
          <w:tcPr>
            <w:tcW w:w="26" w:type="pct"/>
            <w:shd w:val="clear" w:color="auto" w:fill="auto"/>
          </w:tcPr>
          <w:p w14:paraId="00BB03EA" w14:textId="77777777" w:rsidR="00871BDF" w:rsidRDefault="00871BDF">
            <w:pPr>
              <w:rPr>
                <w:rFonts w:ascii="宋体"/>
              </w:rPr>
            </w:pPr>
          </w:p>
        </w:tc>
        <w:tc>
          <w:tcPr>
            <w:tcW w:w="5" w:type="pct"/>
            <w:shd w:val="clear" w:color="auto" w:fill="auto"/>
          </w:tcPr>
          <w:p w14:paraId="00BB03EB" w14:textId="77777777" w:rsidR="00871BDF" w:rsidRDefault="00871BDF">
            <w:pPr>
              <w:rPr>
                <w:rFonts w:ascii="宋体"/>
              </w:rPr>
            </w:pPr>
          </w:p>
        </w:tc>
        <w:tc>
          <w:tcPr>
            <w:tcW w:w="50" w:type="pct"/>
            <w:shd w:val="clear" w:color="auto" w:fill="auto"/>
          </w:tcPr>
          <w:p w14:paraId="00BB03EC" w14:textId="77777777" w:rsidR="00871BDF" w:rsidRDefault="00871BDF">
            <w:pPr>
              <w:rPr>
                <w:rFonts w:ascii="宋体"/>
              </w:rPr>
            </w:pPr>
          </w:p>
        </w:tc>
        <w:tc>
          <w:tcPr>
            <w:tcW w:w="699" w:type="pct"/>
            <w:shd w:val="clear" w:color="auto" w:fill="auto"/>
          </w:tcPr>
          <w:p w14:paraId="00BB03ED" w14:textId="77777777" w:rsidR="00871BDF" w:rsidRDefault="00871BDF">
            <w:pPr>
              <w:rPr>
                <w:rFonts w:ascii="宋体"/>
              </w:rPr>
            </w:pPr>
          </w:p>
        </w:tc>
        <w:tc>
          <w:tcPr>
            <w:tcW w:w="5" w:type="pct"/>
            <w:shd w:val="clear" w:color="auto" w:fill="auto"/>
          </w:tcPr>
          <w:p w14:paraId="00BB03EE" w14:textId="77777777" w:rsidR="00871BDF" w:rsidRDefault="00871BDF">
            <w:pPr>
              <w:rPr>
                <w:rFonts w:ascii="宋体"/>
              </w:rPr>
            </w:pPr>
          </w:p>
        </w:tc>
        <w:tc>
          <w:tcPr>
            <w:tcW w:w="5" w:type="pct"/>
            <w:shd w:val="clear" w:color="auto" w:fill="auto"/>
          </w:tcPr>
          <w:p w14:paraId="00BB03EF" w14:textId="77777777" w:rsidR="00871BDF" w:rsidRDefault="00871BDF">
            <w:pPr>
              <w:rPr>
                <w:rFonts w:ascii="宋体"/>
              </w:rPr>
            </w:pPr>
          </w:p>
        </w:tc>
        <w:tc>
          <w:tcPr>
            <w:tcW w:w="26" w:type="pct"/>
            <w:shd w:val="clear" w:color="auto" w:fill="auto"/>
          </w:tcPr>
          <w:p w14:paraId="00BB03F0" w14:textId="77777777" w:rsidR="00871BDF" w:rsidRDefault="00871BDF">
            <w:pPr>
              <w:rPr>
                <w:rFonts w:ascii="宋体"/>
              </w:rPr>
            </w:pPr>
          </w:p>
        </w:tc>
        <w:tc>
          <w:tcPr>
            <w:tcW w:w="5" w:type="pct"/>
            <w:shd w:val="clear" w:color="auto" w:fill="auto"/>
          </w:tcPr>
          <w:p w14:paraId="00BB03F1" w14:textId="77777777" w:rsidR="00871BDF" w:rsidRDefault="00871BDF">
            <w:pPr>
              <w:rPr>
                <w:rFonts w:ascii="宋体"/>
              </w:rPr>
            </w:pPr>
          </w:p>
        </w:tc>
        <w:tc>
          <w:tcPr>
            <w:tcW w:w="50" w:type="pct"/>
            <w:shd w:val="clear" w:color="auto" w:fill="auto"/>
          </w:tcPr>
          <w:p w14:paraId="00BB03F2" w14:textId="77777777" w:rsidR="00871BDF" w:rsidRDefault="00871BDF">
            <w:pPr>
              <w:rPr>
                <w:rFonts w:ascii="宋体"/>
              </w:rPr>
            </w:pPr>
          </w:p>
        </w:tc>
        <w:tc>
          <w:tcPr>
            <w:tcW w:w="699" w:type="pct"/>
            <w:shd w:val="clear" w:color="auto" w:fill="auto"/>
          </w:tcPr>
          <w:p w14:paraId="00BB03F3" w14:textId="77777777" w:rsidR="00871BDF" w:rsidRDefault="00871BDF">
            <w:pPr>
              <w:rPr>
                <w:rFonts w:ascii="宋体"/>
              </w:rPr>
            </w:pPr>
          </w:p>
        </w:tc>
        <w:tc>
          <w:tcPr>
            <w:tcW w:w="5" w:type="pct"/>
            <w:shd w:val="clear" w:color="auto" w:fill="auto"/>
          </w:tcPr>
          <w:p w14:paraId="00BB03F4" w14:textId="77777777" w:rsidR="00871BDF" w:rsidRDefault="00871BDF">
            <w:pPr>
              <w:rPr>
                <w:rFonts w:ascii="宋体"/>
              </w:rPr>
            </w:pPr>
          </w:p>
        </w:tc>
      </w:tr>
      <w:tr w:rsidR="00871BDF" w14:paraId="00BB03FC" w14:textId="77777777">
        <w:tc>
          <w:tcPr>
            <w:tcW w:w="0" w:type="auto"/>
            <w:gridSpan w:val="3"/>
            <w:shd w:val="clear" w:color="auto" w:fill="auto"/>
            <w:tcMar>
              <w:top w:w="40" w:type="dxa"/>
              <w:left w:w="20" w:type="dxa"/>
              <w:bottom w:w="40" w:type="dxa"/>
              <w:right w:w="20" w:type="dxa"/>
            </w:tcMar>
            <w:vAlign w:val="bottom"/>
          </w:tcPr>
          <w:p w14:paraId="00BB03F6"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center"/>
          </w:tcPr>
          <w:p w14:paraId="00BB03F7" w14:textId="77777777" w:rsidR="00871BDF" w:rsidRDefault="005C5088">
            <w:pPr>
              <w:jc w:val="center"/>
              <w:textAlignment w:val="center"/>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B03F8"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center"/>
          </w:tcPr>
          <w:p w14:paraId="00BB03F9" w14:textId="77777777" w:rsidR="00871BDF" w:rsidRDefault="005C5088">
            <w:pPr>
              <w:jc w:val="center"/>
              <w:textAlignment w:val="center"/>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B03F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center"/>
          </w:tcPr>
          <w:p w14:paraId="00BB03FB" w14:textId="77777777" w:rsidR="00871BDF" w:rsidRDefault="005C5088">
            <w:pPr>
              <w:jc w:val="center"/>
              <w:textAlignment w:val="center"/>
            </w:pPr>
            <w:r>
              <w:rPr>
                <w:rFonts w:ascii="Times New Roman" w:eastAsia="宋体" w:hAnsi="Times New Roman"/>
                <w:b/>
                <w:bCs/>
                <w:color w:val="FFFFFF"/>
                <w:sz w:val="16"/>
                <w:szCs w:val="16"/>
              </w:rPr>
              <w:t>Sep 30, 2018</w:t>
            </w:r>
          </w:p>
        </w:tc>
      </w:tr>
      <w:tr w:rsidR="00871BDF" w14:paraId="00BB0409" w14:textId="77777777">
        <w:tc>
          <w:tcPr>
            <w:tcW w:w="0" w:type="auto"/>
            <w:gridSpan w:val="3"/>
            <w:shd w:val="clear" w:color="auto" w:fill="D7E4BC"/>
            <w:tcMar>
              <w:top w:w="40" w:type="dxa"/>
              <w:left w:w="20" w:type="dxa"/>
              <w:bottom w:w="40" w:type="dxa"/>
              <w:right w:w="20" w:type="dxa"/>
            </w:tcMar>
          </w:tcPr>
          <w:p w14:paraId="00BB03FD" w14:textId="77777777" w:rsidR="00871BDF" w:rsidRDefault="005C5088">
            <w:pPr>
              <w:textAlignment w:val="top"/>
            </w:pPr>
            <w:r>
              <w:rPr>
                <w:rFonts w:ascii="Times New Roman" w:eastAsia="宋体" w:hAnsi="Times New Roman"/>
                <w:color w:val="000000"/>
                <w:sz w:val="20"/>
                <w:szCs w:val="20"/>
              </w:rPr>
              <w:t>United States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B03F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3FF" w14:textId="77777777" w:rsidR="00871BDF" w:rsidRDefault="005C5088">
            <w:pPr>
              <w:jc w:val="right"/>
              <w:textAlignment w:val="bottom"/>
            </w:pPr>
            <w:r>
              <w:rPr>
                <w:rFonts w:ascii="Times New Roman" w:eastAsia="宋体" w:hAnsi="Times New Roman"/>
                <w:color w:val="000000"/>
                <w:sz w:val="20"/>
                <w:szCs w:val="20"/>
              </w:rPr>
              <w:t>904.6 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40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01"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402"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403" w14:textId="77777777" w:rsidR="00871BDF" w:rsidRDefault="005C5088">
            <w:pPr>
              <w:jc w:val="right"/>
              <w:textAlignment w:val="bottom"/>
            </w:pPr>
            <w:r>
              <w:rPr>
                <w:rFonts w:ascii="Times New Roman" w:eastAsia="宋体" w:hAnsi="Times New Roman"/>
                <w:color w:val="000000"/>
                <w:sz w:val="20"/>
                <w:szCs w:val="20"/>
              </w:rPr>
              <w:t>3,518.7 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40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05"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40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407" w14:textId="77777777" w:rsidR="00871BDF" w:rsidRDefault="005C5088">
            <w:pPr>
              <w:jc w:val="right"/>
              <w:textAlignment w:val="bottom"/>
            </w:pPr>
            <w:r>
              <w:rPr>
                <w:rFonts w:ascii="Times New Roman" w:eastAsia="宋体" w:hAnsi="Times New Roman"/>
                <w:color w:val="000000"/>
                <w:sz w:val="20"/>
                <w:szCs w:val="20"/>
              </w:rPr>
              <w:t>4,826.0 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408" w14:textId="77777777" w:rsidR="00871BDF" w:rsidRDefault="00871BDF">
            <w:pPr>
              <w:jc w:val="right"/>
              <w:rPr>
                <w:rFonts w:ascii="宋体"/>
              </w:rPr>
            </w:pPr>
          </w:p>
        </w:tc>
      </w:tr>
      <w:tr w:rsidR="00871BDF" w14:paraId="00BB0413" w14:textId="77777777">
        <w:tc>
          <w:tcPr>
            <w:tcW w:w="0" w:type="auto"/>
            <w:gridSpan w:val="3"/>
            <w:shd w:val="clear" w:color="auto" w:fill="FFFFFF"/>
            <w:tcMar>
              <w:top w:w="40" w:type="dxa"/>
              <w:left w:w="20" w:type="dxa"/>
              <w:bottom w:w="40" w:type="dxa"/>
              <w:right w:w="20" w:type="dxa"/>
            </w:tcMar>
          </w:tcPr>
          <w:p w14:paraId="00BB040A" w14:textId="77777777" w:rsidR="00871BDF" w:rsidRDefault="005C5088">
            <w:pPr>
              <w:textAlignment w:val="top"/>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00BB040B" w14:textId="77777777" w:rsidR="00871BDF" w:rsidRDefault="005C5088">
            <w:pPr>
              <w:jc w:val="right"/>
              <w:textAlignment w:val="bottom"/>
            </w:pPr>
            <w:r>
              <w:rPr>
                <w:rFonts w:ascii="Times New Roman" w:eastAsia="宋体" w:hAnsi="Times New Roman"/>
                <w:color w:val="000000"/>
                <w:sz w:val="20"/>
                <w:szCs w:val="20"/>
              </w:rPr>
              <w:t>259.8 </w:t>
            </w:r>
          </w:p>
        </w:tc>
        <w:tc>
          <w:tcPr>
            <w:tcW w:w="0" w:type="auto"/>
            <w:shd w:val="clear" w:color="auto" w:fill="FFFFFF"/>
            <w:tcMar>
              <w:top w:w="40" w:type="dxa"/>
              <w:left w:w="0" w:type="dxa"/>
              <w:bottom w:w="40" w:type="dxa"/>
              <w:right w:w="20" w:type="dxa"/>
            </w:tcMar>
            <w:vAlign w:val="bottom"/>
          </w:tcPr>
          <w:p w14:paraId="00BB040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0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40E" w14:textId="77777777" w:rsidR="00871BDF" w:rsidRDefault="005C5088">
            <w:pPr>
              <w:jc w:val="right"/>
              <w:textAlignment w:val="bottom"/>
            </w:pPr>
            <w:r>
              <w:rPr>
                <w:rFonts w:ascii="Times New Roman" w:eastAsia="宋体" w:hAnsi="Times New Roman"/>
                <w:color w:val="000000"/>
                <w:sz w:val="20"/>
                <w:szCs w:val="20"/>
              </w:rPr>
              <w:t>947.5 </w:t>
            </w:r>
          </w:p>
        </w:tc>
        <w:tc>
          <w:tcPr>
            <w:tcW w:w="0" w:type="auto"/>
            <w:shd w:val="clear" w:color="auto" w:fill="FFFFFF"/>
            <w:tcMar>
              <w:top w:w="40" w:type="dxa"/>
              <w:left w:w="0" w:type="dxa"/>
              <w:bottom w:w="40" w:type="dxa"/>
              <w:right w:w="20" w:type="dxa"/>
            </w:tcMar>
            <w:vAlign w:val="bottom"/>
          </w:tcPr>
          <w:p w14:paraId="00BB040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1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411" w14:textId="77777777" w:rsidR="00871BDF" w:rsidRDefault="005C5088">
            <w:pPr>
              <w:jc w:val="right"/>
              <w:textAlignment w:val="bottom"/>
            </w:pPr>
            <w:r>
              <w:rPr>
                <w:rFonts w:ascii="Times New Roman" w:eastAsia="宋体" w:hAnsi="Times New Roman"/>
                <w:color w:val="000000"/>
                <w:sz w:val="20"/>
                <w:szCs w:val="20"/>
              </w:rPr>
              <w:t>954.0 </w:t>
            </w:r>
          </w:p>
        </w:tc>
        <w:tc>
          <w:tcPr>
            <w:tcW w:w="0" w:type="auto"/>
            <w:shd w:val="clear" w:color="auto" w:fill="FFFFFF"/>
            <w:tcMar>
              <w:top w:w="40" w:type="dxa"/>
              <w:left w:w="0" w:type="dxa"/>
              <w:bottom w:w="40" w:type="dxa"/>
              <w:right w:w="20" w:type="dxa"/>
            </w:tcMar>
            <w:vAlign w:val="bottom"/>
          </w:tcPr>
          <w:p w14:paraId="00BB0412" w14:textId="77777777" w:rsidR="00871BDF" w:rsidRDefault="00871BDF">
            <w:pPr>
              <w:jc w:val="right"/>
              <w:rPr>
                <w:rFonts w:ascii="宋体"/>
              </w:rPr>
            </w:pPr>
          </w:p>
        </w:tc>
      </w:tr>
      <w:tr w:rsidR="00871BDF" w14:paraId="00BB0420" w14:textId="77777777">
        <w:tc>
          <w:tcPr>
            <w:tcW w:w="0" w:type="auto"/>
            <w:gridSpan w:val="3"/>
            <w:shd w:val="clear" w:color="auto" w:fill="D7E4BC"/>
            <w:tcMar>
              <w:top w:w="40" w:type="dxa"/>
              <w:left w:w="20" w:type="dxa"/>
              <w:bottom w:w="40" w:type="dxa"/>
              <w:right w:w="20" w:type="dxa"/>
            </w:tcMar>
          </w:tcPr>
          <w:p w14:paraId="00BB0414" w14:textId="77777777" w:rsidR="00871BDF" w:rsidRDefault="005C5088">
            <w:pPr>
              <w:textAlignment w:val="top"/>
            </w:pPr>
            <w:r>
              <w:rPr>
                <w:rFonts w:ascii="Times New Roman" w:eastAsia="宋体" w:hAnsi="Times New Roman"/>
                <w:color w:val="000000"/>
                <w:sz w:val="20"/>
                <w:szCs w:val="20"/>
              </w:rPr>
              <w:t>Total earnings before income taxes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41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416" w14:textId="77777777" w:rsidR="00871BDF" w:rsidRDefault="005C5088">
            <w:pPr>
              <w:jc w:val="right"/>
              <w:textAlignment w:val="bottom"/>
            </w:pPr>
            <w:r>
              <w:rPr>
                <w:rFonts w:ascii="Times New Roman" w:eastAsia="宋体" w:hAnsi="Times New Roman"/>
                <w:color w:val="000000"/>
                <w:sz w:val="20"/>
                <w:szCs w:val="20"/>
              </w:rPr>
              <w:t>1,164.4 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41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18"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41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41A" w14:textId="77777777" w:rsidR="00871BDF" w:rsidRDefault="005C5088">
            <w:pPr>
              <w:jc w:val="right"/>
              <w:textAlignment w:val="bottom"/>
            </w:pPr>
            <w:r>
              <w:rPr>
                <w:rFonts w:ascii="Times New Roman" w:eastAsia="宋体" w:hAnsi="Times New Roman"/>
                <w:color w:val="000000"/>
                <w:sz w:val="20"/>
                <w:szCs w:val="20"/>
              </w:rPr>
              <w:t>4,466.2 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41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1C"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41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41E" w14:textId="77777777" w:rsidR="00871BDF" w:rsidRDefault="005C5088">
            <w:pPr>
              <w:jc w:val="right"/>
              <w:textAlignment w:val="bottom"/>
            </w:pPr>
            <w:r>
              <w:rPr>
                <w:rFonts w:ascii="Times New Roman" w:eastAsia="宋体" w:hAnsi="Times New Roman"/>
                <w:color w:val="000000"/>
                <w:sz w:val="20"/>
                <w:szCs w:val="20"/>
              </w:rPr>
              <w:t>5,780.0 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41F" w14:textId="77777777" w:rsidR="00871BDF" w:rsidRDefault="00871BDF">
            <w:pPr>
              <w:jc w:val="right"/>
              <w:rPr>
                <w:rFonts w:ascii="宋体"/>
              </w:rPr>
            </w:pPr>
          </w:p>
        </w:tc>
      </w:tr>
    </w:tbl>
    <w:p w14:paraId="00BB0421" w14:textId="77777777" w:rsidR="00871BDF" w:rsidRDefault="005C5088">
      <w:pPr>
        <w:jc w:val="center"/>
      </w:pPr>
      <w:r>
        <w:rPr>
          <w:rFonts w:ascii="Times New Roman" w:eastAsia="宋体" w:hAnsi="Times New Roman"/>
          <w:color w:val="000000"/>
          <w:sz w:val="20"/>
          <w:szCs w:val="20"/>
        </w:rPr>
        <w:t>83</w:t>
      </w:r>
    </w:p>
    <w:p w14:paraId="00BB0422" w14:textId="77777777" w:rsidR="00871BDF" w:rsidRDefault="005C5088">
      <w:r>
        <w:pict w14:anchorId="00BB14B8">
          <v:rect id="_x0000_i1110" style="width:415.3pt;height:1.5pt" o:hralign="center" o:hrstd="t" o:hr="t" fillcolor="#a0a0a0" stroked="f"/>
        </w:pict>
      </w:r>
    </w:p>
    <w:p w14:paraId="00BB0423" w14:textId="77777777" w:rsidR="00871BDF" w:rsidRDefault="005C5088">
      <w:hyperlink r:id="rId226" w:anchor="i54ccc64cb5384be5a4849ef1cdef4dde_7" w:history="1">
        <w:r>
          <w:rPr>
            <w:rStyle w:val="a5"/>
            <w:rFonts w:ascii="Times New Roman" w:eastAsia="宋体" w:hAnsi="Times New Roman"/>
            <w:sz w:val="20"/>
            <w:szCs w:val="20"/>
          </w:rPr>
          <w:t>Table of Contents</w:t>
        </w:r>
      </w:hyperlink>
    </w:p>
    <w:p w14:paraId="00BB0424" w14:textId="77777777" w:rsidR="00871BDF" w:rsidRDefault="005C5088">
      <w:pPr>
        <w:spacing w:before="120"/>
      </w:pPr>
      <w:r>
        <w:rPr>
          <w:rFonts w:ascii="Times New Roman" w:eastAsia="宋体" w:hAnsi="Times New Roman"/>
          <w:color w:val="000000"/>
          <w:sz w:val="20"/>
          <w:szCs w:val="20"/>
        </w:rPr>
        <w:t xml:space="preserve">Provision/(benefit) </w:t>
      </w:r>
      <w:r>
        <w:rPr>
          <w:rFonts w:ascii="Times New Roman" w:eastAsia="宋体" w:hAnsi="Times New Roman"/>
          <w:color w:val="000000"/>
          <w:sz w:val="20"/>
          <w:szCs w:val="20"/>
        </w:rPr>
        <w:t xml:space="preserve">for income taxes </w:t>
      </w:r>
      <w:r>
        <w:rPr>
          <w:rFonts w:ascii="Times New Roman" w:eastAsia="宋体" w:hAnsi="Times New Roman"/>
          <w:i/>
          <w:iCs/>
          <w:color w:val="000000"/>
          <w:sz w:val="20"/>
          <w:szCs w:val="20"/>
        </w:rPr>
        <w:t>(in millions):</w:t>
      </w:r>
    </w:p>
    <w:tbl>
      <w:tblPr>
        <w:tblW w:w="4993" w:type="pct"/>
        <w:tblCellMar>
          <w:top w:w="15" w:type="dxa"/>
          <w:left w:w="15" w:type="dxa"/>
          <w:bottom w:w="15" w:type="dxa"/>
          <w:right w:w="15" w:type="dxa"/>
        </w:tblCellMar>
        <w:tblLook w:val="04A0" w:firstRow="1" w:lastRow="0" w:firstColumn="1" w:lastColumn="0" w:noHBand="0" w:noVBand="1"/>
      </w:tblPr>
      <w:tblGrid>
        <w:gridCol w:w="40"/>
        <w:gridCol w:w="4292"/>
        <w:gridCol w:w="39"/>
        <w:gridCol w:w="120"/>
        <w:gridCol w:w="1116"/>
        <w:gridCol w:w="36"/>
        <w:gridCol w:w="36"/>
        <w:gridCol w:w="36"/>
        <w:gridCol w:w="36"/>
        <w:gridCol w:w="120"/>
        <w:gridCol w:w="1076"/>
        <w:gridCol w:w="36"/>
        <w:gridCol w:w="36"/>
        <w:gridCol w:w="36"/>
        <w:gridCol w:w="36"/>
        <w:gridCol w:w="120"/>
        <w:gridCol w:w="1077"/>
        <w:gridCol w:w="36"/>
      </w:tblGrid>
      <w:tr w:rsidR="00871BDF" w14:paraId="00BB0437" w14:textId="77777777">
        <w:tc>
          <w:tcPr>
            <w:tcW w:w="50" w:type="pct"/>
            <w:shd w:val="clear" w:color="auto" w:fill="auto"/>
          </w:tcPr>
          <w:p w14:paraId="00BB0425" w14:textId="77777777" w:rsidR="00871BDF" w:rsidRDefault="00871BDF">
            <w:pPr>
              <w:rPr>
                <w:rFonts w:ascii="宋体"/>
              </w:rPr>
            </w:pPr>
          </w:p>
        </w:tc>
        <w:tc>
          <w:tcPr>
            <w:tcW w:w="2609" w:type="pct"/>
            <w:shd w:val="clear" w:color="auto" w:fill="auto"/>
          </w:tcPr>
          <w:p w14:paraId="00BB0426" w14:textId="77777777" w:rsidR="00871BDF" w:rsidRDefault="00871BDF">
            <w:pPr>
              <w:rPr>
                <w:rFonts w:ascii="宋体"/>
              </w:rPr>
            </w:pPr>
          </w:p>
        </w:tc>
        <w:tc>
          <w:tcPr>
            <w:tcW w:w="5" w:type="pct"/>
            <w:shd w:val="clear" w:color="auto" w:fill="auto"/>
          </w:tcPr>
          <w:p w14:paraId="00BB0427" w14:textId="77777777" w:rsidR="00871BDF" w:rsidRDefault="00871BDF">
            <w:pPr>
              <w:rPr>
                <w:rFonts w:ascii="宋体"/>
              </w:rPr>
            </w:pPr>
          </w:p>
        </w:tc>
        <w:tc>
          <w:tcPr>
            <w:tcW w:w="50" w:type="pct"/>
            <w:shd w:val="clear" w:color="auto" w:fill="auto"/>
          </w:tcPr>
          <w:p w14:paraId="00BB0428" w14:textId="77777777" w:rsidR="00871BDF" w:rsidRDefault="00871BDF">
            <w:pPr>
              <w:rPr>
                <w:rFonts w:ascii="宋体"/>
              </w:rPr>
            </w:pPr>
          </w:p>
        </w:tc>
        <w:tc>
          <w:tcPr>
            <w:tcW w:w="699" w:type="pct"/>
            <w:shd w:val="clear" w:color="auto" w:fill="auto"/>
          </w:tcPr>
          <w:p w14:paraId="00BB0429" w14:textId="77777777" w:rsidR="00871BDF" w:rsidRDefault="00871BDF">
            <w:pPr>
              <w:rPr>
                <w:rFonts w:ascii="宋体"/>
              </w:rPr>
            </w:pPr>
          </w:p>
        </w:tc>
        <w:tc>
          <w:tcPr>
            <w:tcW w:w="5" w:type="pct"/>
            <w:shd w:val="clear" w:color="auto" w:fill="auto"/>
          </w:tcPr>
          <w:p w14:paraId="00BB042A" w14:textId="77777777" w:rsidR="00871BDF" w:rsidRDefault="00871BDF">
            <w:pPr>
              <w:rPr>
                <w:rFonts w:ascii="宋体"/>
              </w:rPr>
            </w:pPr>
          </w:p>
        </w:tc>
        <w:tc>
          <w:tcPr>
            <w:tcW w:w="5" w:type="pct"/>
            <w:shd w:val="clear" w:color="auto" w:fill="auto"/>
          </w:tcPr>
          <w:p w14:paraId="00BB042B" w14:textId="77777777" w:rsidR="00871BDF" w:rsidRDefault="00871BDF">
            <w:pPr>
              <w:rPr>
                <w:rFonts w:ascii="宋体"/>
              </w:rPr>
            </w:pPr>
          </w:p>
        </w:tc>
        <w:tc>
          <w:tcPr>
            <w:tcW w:w="26" w:type="pct"/>
            <w:shd w:val="clear" w:color="auto" w:fill="auto"/>
          </w:tcPr>
          <w:p w14:paraId="00BB042C" w14:textId="77777777" w:rsidR="00871BDF" w:rsidRDefault="00871BDF">
            <w:pPr>
              <w:rPr>
                <w:rFonts w:ascii="宋体"/>
              </w:rPr>
            </w:pPr>
          </w:p>
        </w:tc>
        <w:tc>
          <w:tcPr>
            <w:tcW w:w="5" w:type="pct"/>
            <w:shd w:val="clear" w:color="auto" w:fill="auto"/>
          </w:tcPr>
          <w:p w14:paraId="00BB042D" w14:textId="77777777" w:rsidR="00871BDF" w:rsidRDefault="00871BDF">
            <w:pPr>
              <w:rPr>
                <w:rFonts w:ascii="宋体"/>
              </w:rPr>
            </w:pPr>
          </w:p>
        </w:tc>
        <w:tc>
          <w:tcPr>
            <w:tcW w:w="50" w:type="pct"/>
            <w:shd w:val="clear" w:color="auto" w:fill="auto"/>
          </w:tcPr>
          <w:p w14:paraId="00BB042E" w14:textId="77777777" w:rsidR="00871BDF" w:rsidRDefault="00871BDF">
            <w:pPr>
              <w:rPr>
                <w:rFonts w:ascii="宋体"/>
              </w:rPr>
            </w:pPr>
          </w:p>
        </w:tc>
        <w:tc>
          <w:tcPr>
            <w:tcW w:w="699" w:type="pct"/>
            <w:shd w:val="clear" w:color="auto" w:fill="auto"/>
          </w:tcPr>
          <w:p w14:paraId="00BB042F" w14:textId="77777777" w:rsidR="00871BDF" w:rsidRDefault="00871BDF">
            <w:pPr>
              <w:rPr>
                <w:rFonts w:ascii="宋体"/>
              </w:rPr>
            </w:pPr>
          </w:p>
        </w:tc>
        <w:tc>
          <w:tcPr>
            <w:tcW w:w="5" w:type="pct"/>
            <w:shd w:val="clear" w:color="auto" w:fill="auto"/>
          </w:tcPr>
          <w:p w14:paraId="00BB0430" w14:textId="77777777" w:rsidR="00871BDF" w:rsidRDefault="00871BDF">
            <w:pPr>
              <w:rPr>
                <w:rFonts w:ascii="宋体"/>
              </w:rPr>
            </w:pPr>
          </w:p>
        </w:tc>
        <w:tc>
          <w:tcPr>
            <w:tcW w:w="5" w:type="pct"/>
            <w:shd w:val="clear" w:color="auto" w:fill="auto"/>
          </w:tcPr>
          <w:p w14:paraId="00BB0431" w14:textId="77777777" w:rsidR="00871BDF" w:rsidRDefault="00871BDF">
            <w:pPr>
              <w:rPr>
                <w:rFonts w:ascii="宋体"/>
              </w:rPr>
            </w:pPr>
          </w:p>
        </w:tc>
        <w:tc>
          <w:tcPr>
            <w:tcW w:w="26" w:type="pct"/>
            <w:shd w:val="clear" w:color="auto" w:fill="auto"/>
          </w:tcPr>
          <w:p w14:paraId="00BB0432" w14:textId="77777777" w:rsidR="00871BDF" w:rsidRDefault="00871BDF">
            <w:pPr>
              <w:rPr>
                <w:rFonts w:ascii="宋体"/>
              </w:rPr>
            </w:pPr>
          </w:p>
        </w:tc>
        <w:tc>
          <w:tcPr>
            <w:tcW w:w="5" w:type="pct"/>
            <w:shd w:val="clear" w:color="auto" w:fill="auto"/>
          </w:tcPr>
          <w:p w14:paraId="00BB0433" w14:textId="77777777" w:rsidR="00871BDF" w:rsidRDefault="00871BDF">
            <w:pPr>
              <w:rPr>
                <w:rFonts w:ascii="宋体"/>
              </w:rPr>
            </w:pPr>
          </w:p>
        </w:tc>
        <w:tc>
          <w:tcPr>
            <w:tcW w:w="50" w:type="pct"/>
            <w:shd w:val="clear" w:color="auto" w:fill="auto"/>
          </w:tcPr>
          <w:p w14:paraId="00BB0434" w14:textId="77777777" w:rsidR="00871BDF" w:rsidRDefault="00871BDF">
            <w:pPr>
              <w:rPr>
                <w:rFonts w:ascii="宋体"/>
              </w:rPr>
            </w:pPr>
          </w:p>
        </w:tc>
        <w:tc>
          <w:tcPr>
            <w:tcW w:w="699" w:type="pct"/>
            <w:shd w:val="clear" w:color="auto" w:fill="auto"/>
          </w:tcPr>
          <w:p w14:paraId="00BB0435" w14:textId="77777777" w:rsidR="00871BDF" w:rsidRDefault="00871BDF">
            <w:pPr>
              <w:rPr>
                <w:rFonts w:ascii="宋体"/>
              </w:rPr>
            </w:pPr>
          </w:p>
        </w:tc>
        <w:tc>
          <w:tcPr>
            <w:tcW w:w="5" w:type="pct"/>
            <w:shd w:val="clear" w:color="auto" w:fill="auto"/>
          </w:tcPr>
          <w:p w14:paraId="00BB0436" w14:textId="77777777" w:rsidR="00871BDF" w:rsidRDefault="00871BDF">
            <w:pPr>
              <w:rPr>
                <w:rFonts w:ascii="宋体"/>
              </w:rPr>
            </w:pPr>
          </w:p>
        </w:tc>
      </w:tr>
      <w:tr w:rsidR="00871BDF" w14:paraId="00BB043E" w14:textId="77777777">
        <w:tc>
          <w:tcPr>
            <w:tcW w:w="0" w:type="auto"/>
            <w:gridSpan w:val="3"/>
            <w:shd w:val="clear" w:color="auto" w:fill="auto"/>
            <w:tcMar>
              <w:top w:w="40" w:type="dxa"/>
              <w:left w:w="20" w:type="dxa"/>
              <w:bottom w:w="40" w:type="dxa"/>
              <w:right w:w="20" w:type="dxa"/>
            </w:tcMar>
            <w:vAlign w:val="bottom"/>
          </w:tcPr>
          <w:p w14:paraId="00BB0438"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center"/>
          </w:tcPr>
          <w:p w14:paraId="00BB0439" w14:textId="77777777" w:rsidR="00871BDF" w:rsidRDefault="005C5088">
            <w:pPr>
              <w:jc w:val="center"/>
              <w:textAlignment w:val="center"/>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B043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center"/>
          </w:tcPr>
          <w:p w14:paraId="00BB043B" w14:textId="77777777" w:rsidR="00871BDF" w:rsidRDefault="005C5088">
            <w:pPr>
              <w:jc w:val="center"/>
              <w:textAlignment w:val="center"/>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B043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center"/>
          </w:tcPr>
          <w:p w14:paraId="00BB043D" w14:textId="77777777" w:rsidR="00871BDF" w:rsidRDefault="005C5088">
            <w:pPr>
              <w:jc w:val="center"/>
              <w:textAlignment w:val="center"/>
            </w:pPr>
            <w:r>
              <w:rPr>
                <w:rFonts w:ascii="Times New Roman" w:eastAsia="宋体" w:hAnsi="Times New Roman"/>
                <w:b/>
                <w:bCs/>
                <w:color w:val="FFFFFF"/>
                <w:sz w:val="16"/>
                <w:szCs w:val="16"/>
              </w:rPr>
              <w:t>Sep 30, 2018</w:t>
            </w:r>
          </w:p>
        </w:tc>
      </w:tr>
      <w:tr w:rsidR="00871BDF" w14:paraId="00BB0445" w14:textId="77777777">
        <w:tc>
          <w:tcPr>
            <w:tcW w:w="0" w:type="auto"/>
            <w:gridSpan w:val="3"/>
            <w:shd w:val="clear" w:color="auto" w:fill="D7E4BC"/>
            <w:tcMar>
              <w:top w:w="40" w:type="dxa"/>
              <w:left w:w="20" w:type="dxa"/>
              <w:bottom w:w="40" w:type="dxa"/>
              <w:right w:w="20" w:type="dxa"/>
            </w:tcMar>
          </w:tcPr>
          <w:p w14:paraId="00BB043F" w14:textId="77777777" w:rsidR="00871BDF" w:rsidRDefault="005C5088">
            <w:pPr>
              <w:textAlignment w:val="top"/>
            </w:pPr>
            <w:r>
              <w:rPr>
                <w:rFonts w:ascii="Times New Roman" w:eastAsia="宋体" w:hAnsi="Times New Roman"/>
                <w:color w:val="000000"/>
                <w:sz w:val="20"/>
                <w:szCs w:val="20"/>
              </w:rPr>
              <w:t>Current taxes:</w:t>
            </w:r>
          </w:p>
        </w:tc>
        <w:tc>
          <w:tcPr>
            <w:tcW w:w="0" w:type="auto"/>
            <w:gridSpan w:val="3"/>
            <w:tcBorders>
              <w:top w:val="single" w:sz="8" w:space="0" w:color="000000"/>
            </w:tcBorders>
            <w:shd w:val="clear" w:color="auto" w:fill="D7E4BC"/>
            <w:tcMar>
              <w:top w:w="0" w:type="dxa"/>
              <w:left w:w="20" w:type="dxa"/>
              <w:bottom w:w="0" w:type="dxa"/>
              <w:right w:w="20" w:type="dxa"/>
            </w:tcMar>
          </w:tcPr>
          <w:p w14:paraId="00BB044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441"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44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443"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444" w14:textId="77777777" w:rsidR="00871BDF" w:rsidRDefault="00871BDF">
            <w:pPr>
              <w:rPr>
                <w:rFonts w:ascii="宋体"/>
              </w:rPr>
            </w:pPr>
          </w:p>
        </w:tc>
      </w:tr>
      <w:tr w:rsidR="00871BDF" w14:paraId="00BB0452" w14:textId="77777777">
        <w:tc>
          <w:tcPr>
            <w:tcW w:w="0" w:type="auto"/>
            <w:gridSpan w:val="3"/>
            <w:shd w:val="clear" w:color="auto" w:fill="FFFFFF"/>
            <w:tcMar>
              <w:top w:w="40" w:type="dxa"/>
              <w:left w:w="155" w:type="dxa"/>
              <w:bottom w:w="40" w:type="dxa"/>
              <w:right w:w="20" w:type="dxa"/>
            </w:tcMar>
          </w:tcPr>
          <w:p w14:paraId="00BB0446" w14:textId="77777777" w:rsidR="00871BDF" w:rsidRDefault="005C5088">
            <w:pPr>
              <w:textAlignment w:val="top"/>
            </w:pPr>
            <w:r>
              <w:rPr>
                <w:rFonts w:ascii="Times New Roman" w:eastAsia="宋体" w:hAnsi="Times New Roman"/>
                <w:color w:val="000000"/>
                <w:sz w:val="20"/>
                <w:szCs w:val="20"/>
              </w:rPr>
              <w:t>U.S. federal</w:t>
            </w:r>
          </w:p>
        </w:tc>
        <w:tc>
          <w:tcPr>
            <w:tcW w:w="0" w:type="auto"/>
            <w:shd w:val="clear" w:color="auto" w:fill="FFFFFF"/>
            <w:tcMar>
              <w:top w:w="40" w:type="dxa"/>
              <w:left w:w="20" w:type="dxa"/>
              <w:bottom w:w="40" w:type="dxa"/>
              <w:right w:w="0" w:type="dxa"/>
            </w:tcMar>
            <w:vAlign w:val="bottom"/>
          </w:tcPr>
          <w:p w14:paraId="00BB044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448" w14:textId="77777777" w:rsidR="00871BDF" w:rsidRDefault="005C5088">
            <w:pPr>
              <w:jc w:val="right"/>
              <w:textAlignment w:val="bottom"/>
            </w:pPr>
            <w:r>
              <w:rPr>
                <w:rFonts w:ascii="Times New Roman" w:eastAsia="宋体" w:hAnsi="Times New Roman"/>
                <w:color w:val="000000"/>
                <w:sz w:val="20"/>
                <w:szCs w:val="20"/>
              </w:rPr>
              <w:t>49.9 </w:t>
            </w:r>
          </w:p>
        </w:tc>
        <w:tc>
          <w:tcPr>
            <w:tcW w:w="0" w:type="auto"/>
            <w:shd w:val="clear" w:color="auto" w:fill="FFFFFF"/>
            <w:tcMar>
              <w:top w:w="40" w:type="dxa"/>
              <w:left w:w="0" w:type="dxa"/>
              <w:bottom w:w="40" w:type="dxa"/>
              <w:right w:w="20" w:type="dxa"/>
            </w:tcMar>
            <w:vAlign w:val="bottom"/>
          </w:tcPr>
          <w:p w14:paraId="00BB044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4A"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44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44C" w14:textId="77777777" w:rsidR="00871BDF" w:rsidRDefault="005C5088">
            <w:pPr>
              <w:jc w:val="right"/>
              <w:textAlignment w:val="bottom"/>
            </w:pPr>
            <w:r>
              <w:rPr>
                <w:rFonts w:ascii="Times New Roman" w:eastAsia="宋体" w:hAnsi="Times New Roman"/>
                <w:color w:val="000000"/>
                <w:sz w:val="20"/>
                <w:szCs w:val="20"/>
              </w:rPr>
              <w:t>1,414.3 </w:t>
            </w:r>
          </w:p>
        </w:tc>
        <w:tc>
          <w:tcPr>
            <w:tcW w:w="0" w:type="auto"/>
            <w:shd w:val="clear" w:color="auto" w:fill="FFFFFF"/>
            <w:tcMar>
              <w:top w:w="40" w:type="dxa"/>
              <w:left w:w="0" w:type="dxa"/>
              <w:bottom w:w="40" w:type="dxa"/>
              <w:right w:w="20" w:type="dxa"/>
            </w:tcMar>
            <w:vAlign w:val="bottom"/>
          </w:tcPr>
          <w:p w14:paraId="00BB044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4E"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44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450" w14:textId="77777777" w:rsidR="00871BDF" w:rsidRDefault="005C5088">
            <w:pPr>
              <w:jc w:val="right"/>
              <w:textAlignment w:val="bottom"/>
            </w:pPr>
            <w:r>
              <w:rPr>
                <w:rFonts w:ascii="Times New Roman" w:eastAsia="宋体" w:hAnsi="Times New Roman"/>
                <w:color w:val="000000"/>
                <w:sz w:val="20"/>
                <w:szCs w:val="20"/>
              </w:rPr>
              <w:t>156.2 </w:t>
            </w:r>
          </w:p>
        </w:tc>
        <w:tc>
          <w:tcPr>
            <w:tcW w:w="0" w:type="auto"/>
            <w:shd w:val="clear" w:color="auto" w:fill="FFFFFF"/>
            <w:tcMar>
              <w:top w:w="40" w:type="dxa"/>
              <w:left w:w="0" w:type="dxa"/>
              <w:bottom w:w="40" w:type="dxa"/>
              <w:right w:w="20" w:type="dxa"/>
            </w:tcMar>
            <w:vAlign w:val="bottom"/>
          </w:tcPr>
          <w:p w14:paraId="00BB0451" w14:textId="77777777" w:rsidR="00871BDF" w:rsidRDefault="00871BDF">
            <w:pPr>
              <w:jc w:val="right"/>
              <w:rPr>
                <w:rFonts w:ascii="宋体"/>
              </w:rPr>
            </w:pPr>
          </w:p>
        </w:tc>
      </w:tr>
      <w:tr w:rsidR="00871BDF" w14:paraId="00BB045C" w14:textId="77777777">
        <w:tc>
          <w:tcPr>
            <w:tcW w:w="0" w:type="auto"/>
            <w:gridSpan w:val="3"/>
            <w:shd w:val="clear" w:color="auto" w:fill="D7E4BC"/>
            <w:tcMar>
              <w:top w:w="40" w:type="dxa"/>
              <w:left w:w="155" w:type="dxa"/>
              <w:bottom w:w="40" w:type="dxa"/>
              <w:right w:w="20" w:type="dxa"/>
            </w:tcMar>
          </w:tcPr>
          <w:p w14:paraId="00BB0453" w14:textId="77777777" w:rsidR="00871BDF" w:rsidRDefault="005C5088">
            <w:pPr>
              <w:textAlignment w:val="top"/>
            </w:pPr>
            <w:r>
              <w:rPr>
                <w:rFonts w:ascii="Times New Roman" w:eastAsia="宋体" w:hAnsi="Times New Roman"/>
                <w:color w:val="000000"/>
                <w:sz w:val="20"/>
                <w:szCs w:val="20"/>
              </w:rPr>
              <w:t>U.S. state and local</w:t>
            </w:r>
          </w:p>
        </w:tc>
        <w:tc>
          <w:tcPr>
            <w:tcW w:w="0" w:type="auto"/>
            <w:gridSpan w:val="2"/>
            <w:shd w:val="clear" w:color="auto" w:fill="D7E4BC"/>
            <w:tcMar>
              <w:top w:w="40" w:type="dxa"/>
              <w:left w:w="20" w:type="dxa"/>
              <w:bottom w:w="40" w:type="dxa"/>
              <w:right w:w="0" w:type="dxa"/>
            </w:tcMar>
            <w:vAlign w:val="bottom"/>
          </w:tcPr>
          <w:p w14:paraId="00BB0454" w14:textId="77777777" w:rsidR="00871BDF" w:rsidRDefault="005C5088">
            <w:pPr>
              <w:jc w:val="right"/>
              <w:textAlignment w:val="bottom"/>
            </w:pPr>
            <w:r>
              <w:rPr>
                <w:rFonts w:ascii="Times New Roman" w:eastAsia="宋体" w:hAnsi="Times New Roman"/>
                <w:color w:val="000000"/>
                <w:sz w:val="20"/>
                <w:szCs w:val="20"/>
              </w:rPr>
              <w:t>36.9 </w:t>
            </w:r>
          </w:p>
        </w:tc>
        <w:tc>
          <w:tcPr>
            <w:tcW w:w="0" w:type="auto"/>
            <w:shd w:val="clear" w:color="auto" w:fill="D7E4BC"/>
            <w:tcMar>
              <w:top w:w="40" w:type="dxa"/>
              <w:left w:w="0" w:type="dxa"/>
              <w:bottom w:w="40" w:type="dxa"/>
              <w:right w:w="20" w:type="dxa"/>
            </w:tcMar>
            <w:vAlign w:val="bottom"/>
          </w:tcPr>
          <w:p w14:paraId="00BB045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5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457" w14:textId="77777777" w:rsidR="00871BDF" w:rsidRDefault="005C5088">
            <w:pPr>
              <w:jc w:val="right"/>
              <w:textAlignment w:val="bottom"/>
            </w:pPr>
            <w:r>
              <w:rPr>
                <w:rFonts w:ascii="Times New Roman" w:eastAsia="宋体" w:hAnsi="Times New Roman"/>
                <w:color w:val="000000"/>
                <w:sz w:val="20"/>
                <w:szCs w:val="20"/>
              </w:rPr>
              <w:t>447.8 </w:t>
            </w:r>
          </w:p>
        </w:tc>
        <w:tc>
          <w:tcPr>
            <w:tcW w:w="0" w:type="auto"/>
            <w:shd w:val="clear" w:color="auto" w:fill="D7E4BC"/>
            <w:tcMar>
              <w:top w:w="40" w:type="dxa"/>
              <w:left w:w="0" w:type="dxa"/>
              <w:bottom w:w="40" w:type="dxa"/>
              <w:right w:w="20" w:type="dxa"/>
            </w:tcMar>
            <w:vAlign w:val="bottom"/>
          </w:tcPr>
          <w:p w14:paraId="00BB045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5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45A" w14:textId="77777777" w:rsidR="00871BDF" w:rsidRDefault="005C5088">
            <w:pPr>
              <w:jc w:val="right"/>
              <w:textAlignment w:val="bottom"/>
            </w:pPr>
            <w:r>
              <w:rPr>
                <w:rFonts w:ascii="Times New Roman" w:eastAsia="宋体" w:hAnsi="Times New Roman"/>
                <w:color w:val="000000"/>
                <w:sz w:val="20"/>
                <w:szCs w:val="20"/>
              </w:rPr>
              <w:t>52.0 </w:t>
            </w:r>
          </w:p>
        </w:tc>
        <w:tc>
          <w:tcPr>
            <w:tcW w:w="0" w:type="auto"/>
            <w:shd w:val="clear" w:color="auto" w:fill="D7E4BC"/>
            <w:tcMar>
              <w:top w:w="40" w:type="dxa"/>
              <w:left w:w="0" w:type="dxa"/>
              <w:bottom w:w="40" w:type="dxa"/>
              <w:right w:w="20" w:type="dxa"/>
            </w:tcMar>
            <w:vAlign w:val="bottom"/>
          </w:tcPr>
          <w:p w14:paraId="00BB045B" w14:textId="77777777" w:rsidR="00871BDF" w:rsidRDefault="00871BDF">
            <w:pPr>
              <w:jc w:val="right"/>
              <w:rPr>
                <w:rFonts w:ascii="宋体"/>
              </w:rPr>
            </w:pPr>
          </w:p>
        </w:tc>
      </w:tr>
      <w:tr w:rsidR="00871BDF" w14:paraId="00BB0466" w14:textId="77777777">
        <w:tc>
          <w:tcPr>
            <w:tcW w:w="0" w:type="auto"/>
            <w:gridSpan w:val="3"/>
            <w:shd w:val="clear" w:color="auto" w:fill="FFFFFF"/>
            <w:tcMar>
              <w:top w:w="40" w:type="dxa"/>
              <w:left w:w="155" w:type="dxa"/>
              <w:bottom w:w="40" w:type="dxa"/>
              <w:right w:w="20" w:type="dxa"/>
            </w:tcMar>
          </w:tcPr>
          <w:p w14:paraId="00BB045D" w14:textId="77777777" w:rsidR="00871BDF" w:rsidRDefault="005C5088">
            <w:pPr>
              <w:textAlignment w:val="top"/>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00BB045E" w14:textId="77777777" w:rsidR="00871BDF" w:rsidRDefault="005C5088">
            <w:pPr>
              <w:jc w:val="right"/>
              <w:textAlignment w:val="bottom"/>
            </w:pPr>
            <w:r>
              <w:rPr>
                <w:rFonts w:ascii="Times New Roman" w:eastAsia="宋体" w:hAnsi="Times New Roman"/>
                <w:color w:val="000000"/>
                <w:sz w:val="20"/>
                <w:szCs w:val="20"/>
              </w:rPr>
              <w:t>181.4 </w:t>
            </w:r>
          </w:p>
        </w:tc>
        <w:tc>
          <w:tcPr>
            <w:tcW w:w="0" w:type="auto"/>
            <w:shd w:val="clear" w:color="auto" w:fill="FFFFFF"/>
            <w:tcMar>
              <w:top w:w="40" w:type="dxa"/>
              <w:left w:w="0" w:type="dxa"/>
              <w:bottom w:w="40" w:type="dxa"/>
              <w:right w:w="20" w:type="dxa"/>
            </w:tcMar>
            <w:vAlign w:val="bottom"/>
          </w:tcPr>
          <w:p w14:paraId="00BB045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6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461" w14:textId="77777777" w:rsidR="00871BDF" w:rsidRDefault="005C5088">
            <w:pPr>
              <w:jc w:val="right"/>
              <w:textAlignment w:val="bottom"/>
            </w:pPr>
            <w:r>
              <w:rPr>
                <w:rFonts w:ascii="Times New Roman" w:eastAsia="宋体" w:hAnsi="Times New Roman"/>
                <w:color w:val="000000"/>
                <w:sz w:val="20"/>
                <w:szCs w:val="20"/>
              </w:rPr>
              <w:t>458.3 </w:t>
            </w:r>
          </w:p>
        </w:tc>
        <w:tc>
          <w:tcPr>
            <w:tcW w:w="0" w:type="auto"/>
            <w:shd w:val="clear" w:color="auto" w:fill="FFFFFF"/>
            <w:tcMar>
              <w:top w:w="40" w:type="dxa"/>
              <w:left w:w="0" w:type="dxa"/>
              <w:bottom w:w="40" w:type="dxa"/>
              <w:right w:w="20" w:type="dxa"/>
            </w:tcMar>
            <w:vAlign w:val="bottom"/>
          </w:tcPr>
          <w:p w14:paraId="00BB046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6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464" w14:textId="77777777" w:rsidR="00871BDF" w:rsidRDefault="005C5088">
            <w:pPr>
              <w:jc w:val="right"/>
              <w:textAlignment w:val="bottom"/>
            </w:pPr>
            <w:r>
              <w:rPr>
                <w:rFonts w:ascii="Times New Roman" w:eastAsia="宋体" w:hAnsi="Times New Roman"/>
                <w:color w:val="000000"/>
                <w:sz w:val="20"/>
                <w:szCs w:val="20"/>
              </w:rPr>
              <w:t>327.0 </w:t>
            </w:r>
          </w:p>
        </w:tc>
        <w:tc>
          <w:tcPr>
            <w:tcW w:w="0" w:type="auto"/>
            <w:shd w:val="clear" w:color="auto" w:fill="FFFFFF"/>
            <w:tcMar>
              <w:top w:w="40" w:type="dxa"/>
              <w:left w:w="0" w:type="dxa"/>
              <w:bottom w:w="40" w:type="dxa"/>
              <w:right w:w="20" w:type="dxa"/>
            </w:tcMar>
            <w:vAlign w:val="bottom"/>
          </w:tcPr>
          <w:p w14:paraId="00BB0465" w14:textId="77777777" w:rsidR="00871BDF" w:rsidRDefault="00871BDF">
            <w:pPr>
              <w:jc w:val="right"/>
              <w:rPr>
                <w:rFonts w:ascii="宋体"/>
              </w:rPr>
            </w:pPr>
          </w:p>
        </w:tc>
      </w:tr>
      <w:tr w:rsidR="00871BDF" w14:paraId="00BB0470" w14:textId="77777777">
        <w:tc>
          <w:tcPr>
            <w:tcW w:w="0" w:type="auto"/>
            <w:gridSpan w:val="3"/>
            <w:shd w:val="clear" w:color="auto" w:fill="D7E4BC"/>
            <w:tcMar>
              <w:top w:w="40" w:type="dxa"/>
              <w:left w:w="20" w:type="dxa"/>
              <w:bottom w:w="40" w:type="dxa"/>
              <w:right w:w="20" w:type="dxa"/>
            </w:tcMar>
          </w:tcPr>
          <w:p w14:paraId="00BB0467" w14:textId="77777777" w:rsidR="00871BDF" w:rsidRDefault="005C5088">
            <w:pPr>
              <w:textAlignment w:val="top"/>
            </w:pPr>
            <w:r>
              <w:rPr>
                <w:rFonts w:ascii="Times New Roman" w:eastAsia="宋体" w:hAnsi="Times New Roman"/>
                <w:color w:val="000000"/>
                <w:sz w:val="20"/>
                <w:szCs w:val="20"/>
              </w:rPr>
              <w:t>Total current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468" w14:textId="77777777" w:rsidR="00871BDF" w:rsidRDefault="005C5088">
            <w:pPr>
              <w:jc w:val="right"/>
              <w:textAlignment w:val="bottom"/>
            </w:pPr>
            <w:r>
              <w:rPr>
                <w:rFonts w:ascii="Times New Roman" w:eastAsia="宋体" w:hAnsi="Times New Roman"/>
                <w:color w:val="000000"/>
                <w:sz w:val="20"/>
                <w:szCs w:val="20"/>
              </w:rPr>
              <w:t>268.2 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46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6A"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46B" w14:textId="77777777" w:rsidR="00871BDF" w:rsidRDefault="005C5088">
            <w:pPr>
              <w:jc w:val="right"/>
              <w:textAlignment w:val="bottom"/>
            </w:pPr>
            <w:r>
              <w:rPr>
                <w:rFonts w:ascii="Times New Roman" w:eastAsia="宋体" w:hAnsi="Times New Roman"/>
                <w:color w:val="000000"/>
                <w:sz w:val="20"/>
                <w:szCs w:val="20"/>
              </w:rPr>
              <w:t>2,320.4 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46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6D"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46E" w14:textId="77777777" w:rsidR="00871BDF" w:rsidRDefault="005C5088">
            <w:pPr>
              <w:jc w:val="right"/>
              <w:textAlignment w:val="bottom"/>
            </w:pPr>
            <w:r>
              <w:rPr>
                <w:rFonts w:ascii="Times New Roman" w:eastAsia="宋体" w:hAnsi="Times New Roman"/>
                <w:color w:val="000000"/>
                <w:sz w:val="20"/>
                <w:szCs w:val="20"/>
              </w:rPr>
              <w:t>535.2 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46F" w14:textId="77777777" w:rsidR="00871BDF" w:rsidRDefault="00871BDF">
            <w:pPr>
              <w:jc w:val="right"/>
              <w:rPr>
                <w:rFonts w:ascii="宋体"/>
              </w:rPr>
            </w:pPr>
          </w:p>
        </w:tc>
      </w:tr>
      <w:tr w:rsidR="00871BDF" w14:paraId="00BB0477" w14:textId="77777777">
        <w:tc>
          <w:tcPr>
            <w:tcW w:w="0" w:type="auto"/>
            <w:gridSpan w:val="3"/>
            <w:shd w:val="clear" w:color="auto" w:fill="FFFFFF"/>
            <w:tcMar>
              <w:top w:w="40" w:type="dxa"/>
              <w:left w:w="20" w:type="dxa"/>
              <w:bottom w:w="40" w:type="dxa"/>
              <w:right w:w="20" w:type="dxa"/>
            </w:tcMar>
          </w:tcPr>
          <w:p w14:paraId="00BB0471" w14:textId="77777777" w:rsidR="00871BDF" w:rsidRDefault="005C5088">
            <w:pPr>
              <w:textAlignment w:val="top"/>
            </w:pPr>
            <w:r>
              <w:rPr>
                <w:rFonts w:ascii="Times New Roman" w:eastAsia="宋体" w:hAnsi="Times New Roman"/>
                <w:color w:val="000000"/>
                <w:sz w:val="20"/>
                <w:szCs w:val="20"/>
              </w:rPr>
              <w:t>Deferred taxes:</w:t>
            </w:r>
          </w:p>
        </w:tc>
        <w:tc>
          <w:tcPr>
            <w:tcW w:w="0" w:type="auto"/>
            <w:gridSpan w:val="3"/>
            <w:shd w:val="clear" w:color="auto" w:fill="FFFFFF"/>
            <w:tcMar>
              <w:top w:w="0" w:type="dxa"/>
              <w:left w:w="20" w:type="dxa"/>
              <w:bottom w:w="0" w:type="dxa"/>
              <w:right w:w="20" w:type="dxa"/>
            </w:tcMar>
          </w:tcPr>
          <w:p w14:paraId="00BB047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47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47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47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476" w14:textId="77777777" w:rsidR="00871BDF" w:rsidRDefault="00871BDF">
            <w:pPr>
              <w:rPr>
                <w:rFonts w:ascii="宋体"/>
              </w:rPr>
            </w:pPr>
          </w:p>
        </w:tc>
      </w:tr>
      <w:tr w:rsidR="00871BDF" w14:paraId="00BB0481" w14:textId="77777777">
        <w:tc>
          <w:tcPr>
            <w:tcW w:w="0" w:type="auto"/>
            <w:gridSpan w:val="3"/>
            <w:shd w:val="clear" w:color="auto" w:fill="D7E4BC"/>
            <w:tcMar>
              <w:top w:w="40" w:type="dxa"/>
              <w:left w:w="155" w:type="dxa"/>
              <w:bottom w:w="40" w:type="dxa"/>
              <w:right w:w="20" w:type="dxa"/>
            </w:tcMar>
            <w:vAlign w:val="bottom"/>
          </w:tcPr>
          <w:p w14:paraId="00BB0478" w14:textId="77777777" w:rsidR="00871BDF" w:rsidRDefault="005C5088">
            <w:pPr>
              <w:textAlignment w:val="bottom"/>
            </w:pPr>
            <w:r>
              <w:rPr>
                <w:rFonts w:ascii="Times New Roman" w:eastAsia="宋体" w:hAnsi="Times New Roman"/>
                <w:color w:val="000000"/>
                <w:sz w:val="20"/>
                <w:szCs w:val="20"/>
              </w:rPr>
              <w:t>U.S. federal</w:t>
            </w:r>
          </w:p>
        </w:tc>
        <w:tc>
          <w:tcPr>
            <w:tcW w:w="0" w:type="auto"/>
            <w:gridSpan w:val="2"/>
            <w:shd w:val="clear" w:color="auto" w:fill="D7E4BC"/>
            <w:tcMar>
              <w:top w:w="40" w:type="dxa"/>
              <w:left w:w="20" w:type="dxa"/>
              <w:bottom w:w="40" w:type="dxa"/>
              <w:right w:w="0" w:type="dxa"/>
            </w:tcMar>
            <w:vAlign w:val="bottom"/>
          </w:tcPr>
          <w:p w14:paraId="00BB0479" w14:textId="77777777" w:rsidR="00871BDF" w:rsidRDefault="005C5088">
            <w:pPr>
              <w:jc w:val="right"/>
              <w:textAlignment w:val="bottom"/>
            </w:pPr>
            <w:r>
              <w:rPr>
                <w:rFonts w:ascii="Times New Roman" w:eastAsia="宋体" w:hAnsi="Times New Roman"/>
                <w:color w:val="000000"/>
                <w:sz w:val="20"/>
                <w:szCs w:val="20"/>
              </w:rPr>
              <w:t>(8.4)</w:t>
            </w:r>
          </w:p>
        </w:tc>
        <w:tc>
          <w:tcPr>
            <w:tcW w:w="0" w:type="auto"/>
            <w:shd w:val="clear" w:color="auto" w:fill="D7E4BC"/>
            <w:tcMar>
              <w:top w:w="40" w:type="dxa"/>
              <w:left w:w="0" w:type="dxa"/>
              <w:bottom w:w="40" w:type="dxa"/>
              <w:right w:w="20" w:type="dxa"/>
            </w:tcMar>
            <w:vAlign w:val="bottom"/>
          </w:tcPr>
          <w:p w14:paraId="00BB047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7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47C" w14:textId="77777777" w:rsidR="00871BDF" w:rsidRDefault="005C5088">
            <w:pPr>
              <w:jc w:val="right"/>
              <w:textAlignment w:val="bottom"/>
            </w:pPr>
            <w:r>
              <w:rPr>
                <w:rFonts w:ascii="Times New Roman" w:eastAsia="宋体" w:hAnsi="Times New Roman"/>
                <w:color w:val="000000"/>
                <w:sz w:val="20"/>
                <w:szCs w:val="20"/>
              </w:rPr>
              <w:t>(1,074.5)</w:t>
            </w:r>
          </w:p>
        </w:tc>
        <w:tc>
          <w:tcPr>
            <w:tcW w:w="0" w:type="auto"/>
            <w:shd w:val="clear" w:color="auto" w:fill="D7E4BC"/>
            <w:tcMar>
              <w:top w:w="40" w:type="dxa"/>
              <w:left w:w="0" w:type="dxa"/>
              <w:bottom w:w="40" w:type="dxa"/>
              <w:right w:w="20" w:type="dxa"/>
            </w:tcMar>
            <w:vAlign w:val="bottom"/>
          </w:tcPr>
          <w:p w14:paraId="00BB047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7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47F" w14:textId="77777777" w:rsidR="00871BDF" w:rsidRDefault="005C5088">
            <w:pPr>
              <w:jc w:val="right"/>
              <w:textAlignment w:val="bottom"/>
            </w:pPr>
            <w:r>
              <w:rPr>
                <w:rFonts w:ascii="Times New Roman" w:eastAsia="宋体" w:hAnsi="Times New Roman"/>
                <w:color w:val="000000"/>
                <w:sz w:val="20"/>
                <w:szCs w:val="20"/>
              </w:rPr>
              <w:t>633.7 </w:t>
            </w:r>
          </w:p>
        </w:tc>
        <w:tc>
          <w:tcPr>
            <w:tcW w:w="0" w:type="auto"/>
            <w:shd w:val="clear" w:color="auto" w:fill="D7E4BC"/>
            <w:tcMar>
              <w:top w:w="40" w:type="dxa"/>
              <w:left w:w="0" w:type="dxa"/>
              <w:bottom w:w="40" w:type="dxa"/>
              <w:right w:w="20" w:type="dxa"/>
            </w:tcMar>
            <w:vAlign w:val="bottom"/>
          </w:tcPr>
          <w:p w14:paraId="00BB0480" w14:textId="77777777" w:rsidR="00871BDF" w:rsidRDefault="00871BDF">
            <w:pPr>
              <w:jc w:val="right"/>
              <w:rPr>
                <w:rFonts w:ascii="宋体"/>
              </w:rPr>
            </w:pPr>
          </w:p>
        </w:tc>
      </w:tr>
      <w:tr w:rsidR="00871BDF" w14:paraId="00BB048B" w14:textId="77777777">
        <w:tc>
          <w:tcPr>
            <w:tcW w:w="0" w:type="auto"/>
            <w:gridSpan w:val="3"/>
            <w:shd w:val="clear" w:color="auto" w:fill="FFFFFF"/>
            <w:tcMar>
              <w:top w:w="40" w:type="dxa"/>
              <w:left w:w="155" w:type="dxa"/>
              <w:bottom w:w="40" w:type="dxa"/>
              <w:right w:w="20" w:type="dxa"/>
            </w:tcMar>
          </w:tcPr>
          <w:p w14:paraId="00BB0482" w14:textId="77777777" w:rsidR="00871BDF" w:rsidRDefault="005C5088">
            <w:pPr>
              <w:textAlignment w:val="top"/>
            </w:pPr>
            <w:r>
              <w:rPr>
                <w:rFonts w:ascii="Times New Roman" w:eastAsia="宋体" w:hAnsi="Times New Roman"/>
                <w:color w:val="000000"/>
                <w:sz w:val="20"/>
                <w:szCs w:val="20"/>
              </w:rPr>
              <w:t>U.S. state and local</w:t>
            </w:r>
          </w:p>
        </w:tc>
        <w:tc>
          <w:tcPr>
            <w:tcW w:w="0" w:type="auto"/>
            <w:gridSpan w:val="2"/>
            <w:shd w:val="clear" w:color="auto" w:fill="FFFFFF"/>
            <w:tcMar>
              <w:top w:w="40" w:type="dxa"/>
              <w:left w:w="20" w:type="dxa"/>
              <w:bottom w:w="40" w:type="dxa"/>
              <w:right w:w="0" w:type="dxa"/>
            </w:tcMar>
            <w:vAlign w:val="bottom"/>
          </w:tcPr>
          <w:p w14:paraId="00BB0483" w14:textId="77777777" w:rsidR="00871BDF" w:rsidRDefault="005C5088">
            <w:pPr>
              <w:jc w:val="right"/>
              <w:textAlignment w:val="bottom"/>
            </w:pPr>
            <w:r>
              <w:rPr>
                <w:rFonts w:ascii="Times New Roman" w:eastAsia="宋体" w:hAnsi="Times New Roman"/>
                <w:color w:val="000000"/>
                <w:sz w:val="20"/>
                <w:szCs w:val="20"/>
              </w:rPr>
              <w:t>(4.8)</w:t>
            </w:r>
          </w:p>
        </w:tc>
        <w:tc>
          <w:tcPr>
            <w:tcW w:w="0" w:type="auto"/>
            <w:shd w:val="clear" w:color="auto" w:fill="FFFFFF"/>
            <w:tcMar>
              <w:top w:w="40" w:type="dxa"/>
              <w:left w:w="0" w:type="dxa"/>
              <w:bottom w:w="40" w:type="dxa"/>
              <w:right w:w="20" w:type="dxa"/>
            </w:tcMar>
            <w:vAlign w:val="bottom"/>
          </w:tcPr>
          <w:p w14:paraId="00BB048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8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486" w14:textId="77777777" w:rsidR="00871BDF" w:rsidRDefault="005C5088">
            <w:pPr>
              <w:jc w:val="right"/>
              <w:textAlignment w:val="bottom"/>
            </w:pPr>
            <w:r>
              <w:rPr>
                <w:rFonts w:ascii="Times New Roman" w:eastAsia="宋体" w:hAnsi="Times New Roman"/>
                <w:color w:val="000000"/>
                <w:sz w:val="20"/>
                <w:szCs w:val="20"/>
              </w:rPr>
              <w:t>(322.4)</w:t>
            </w:r>
          </w:p>
        </w:tc>
        <w:tc>
          <w:tcPr>
            <w:tcW w:w="0" w:type="auto"/>
            <w:shd w:val="clear" w:color="auto" w:fill="FFFFFF"/>
            <w:tcMar>
              <w:top w:w="40" w:type="dxa"/>
              <w:left w:w="0" w:type="dxa"/>
              <w:bottom w:w="40" w:type="dxa"/>
              <w:right w:w="20" w:type="dxa"/>
            </w:tcMar>
            <w:vAlign w:val="bottom"/>
          </w:tcPr>
          <w:p w14:paraId="00BB048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8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489" w14:textId="77777777" w:rsidR="00871BDF" w:rsidRDefault="005C5088">
            <w:pPr>
              <w:jc w:val="right"/>
              <w:textAlignment w:val="bottom"/>
            </w:pPr>
            <w:r>
              <w:rPr>
                <w:rFonts w:ascii="Times New Roman" w:eastAsia="宋体" w:hAnsi="Times New Roman"/>
                <w:color w:val="000000"/>
                <w:sz w:val="20"/>
                <w:szCs w:val="20"/>
              </w:rPr>
              <w:t>101.5 </w:t>
            </w:r>
          </w:p>
        </w:tc>
        <w:tc>
          <w:tcPr>
            <w:tcW w:w="0" w:type="auto"/>
            <w:shd w:val="clear" w:color="auto" w:fill="FFFFFF"/>
            <w:tcMar>
              <w:top w:w="40" w:type="dxa"/>
              <w:left w:w="0" w:type="dxa"/>
              <w:bottom w:w="40" w:type="dxa"/>
              <w:right w:w="20" w:type="dxa"/>
            </w:tcMar>
            <w:vAlign w:val="bottom"/>
          </w:tcPr>
          <w:p w14:paraId="00BB048A" w14:textId="77777777" w:rsidR="00871BDF" w:rsidRDefault="00871BDF">
            <w:pPr>
              <w:jc w:val="right"/>
              <w:rPr>
                <w:rFonts w:ascii="宋体"/>
              </w:rPr>
            </w:pPr>
          </w:p>
        </w:tc>
      </w:tr>
      <w:tr w:rsidR="00871BDF" w14:paraId="00BB0495" w14:textId="77777777">
        <w:tc>
          <w:tcPr>
            <w:tcW w:w="0" w:type="auto"/>
            <w:gridSpan w:val="3"/>
            <w:shd w:val="clear" w:color="auto" w:fill="D7E4BC"/>
            <w:tcMar>
              <w:top w:w="40" w:type="dxa"/>
              <w:left w:w="155" w:type="dxa"/>
              <w:bottom w:w="40" w:type="dxa"/>
              <w:right w:w="20" w:type="dxa"/>
            </w:tcMar>
          </w:tcPr>
          <w:p w14:paraId="00BB048C" w14:textId="77777777" w:rsidR="00871BDF" w:rsidRDefault="005C5088">
            <w:pPr>
              <w:textAlignment w:val="top"/>
            </w:pPr>
            <w:r>
              <w:rPr>
                <w:rFonts w:ascii="Times New Roman" w:eastAsia="宋体" w:hAnsi="Times New Roman"/>
                <w:color w:val="000000"/>
                <w:sz w:val="20"/>
                <w:szCs w:val="20"/>
              </w:rPr>
              <w:t>Foreign</w:t>
            </w:r>
          </w:p>
        </w:tc>
        <w:tc>
          <w:tcPr>
            <w:tcW w:w="0" w:type="auto"/>
            <w:gridSpan w:val="2"/>
            <w:shd w:val="clear" w:color="auto" w:fill="D7E4BC"/>
            <w:tcMar>
              <w:top w:w="40" w:type="dxa"/>
              <w:left w:w="20" w:type="dxa"/>
              <w:bottom w:w="40" w:type="dxa"/>
              <w:right w:w="0" w:type="dxa"/>
            </w:tcMar>
            <w:vAlign w:val="bottom"/>
          </w:tcPr>
          <w:p w14:paraId="00BB048D" w14:textId="77777777" w:rsidR="00871BDF" w:rsidRDefault="005C5088">
            <w:pPr>
              <w:jc w:val="right"/>
              <w:textAlignment w:val="bottom"/>
            </w:pPr>
            <w:r>
              <w:rPr>
                <w:rFonts w:ascii="Times New Roman" w:eastAsia="宋体" w:hAnsi="Times New Roman"/>
                <w:color w:val="000000"/>
                <w:sz w:val="20"/>
                <w:szCs w:val="20"/>
              </w:rPr>
              <w:t>(15.3)</w:t>
            </w:r>
          </w:p>
        </w:tc>
        <w:tc>
          <w:tcPr>
            <w:tcW w:w="0" w:type="auto"/>
            <w:shd w:val="clear" w:color="auto" w:fill="D7E4BC"/>
            <w:tcMar>
              <w:top w:w="40" w:type="dxa"/>
              <w:left w:w="0" w:type="dxa"/>
              <w:bottom w:w="40" w:type="dxa"/>
              <w:right w:w="20" w:type="dxa"/>
            </w:tcMar>
            <w:vAlign w:val="bottom"/>
          </w:tcPr>
          <w:p w14:paraId="00BB048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8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490" w14:textId="77777777" w:rsidR="00871BDF" w:rsidRDefault="005C5088">
            <w:pPr>
              <w:jc w:val="right"/>
              <w:textAlignment w:val="bottom"/>
            </w:pPr>
            <w:r>
              <w:rPr>
                <w:rFonts w:ascii="Times New Roman" w:eastAsia="宋体" w:hAnsi="Times New Roman"/>
                <w:color w:val="000000"/>
                <w:sz w:val="20"/>
                <w:szCs w:val="20"/>
              </w:rPr>
              <w:t>(51.9)</w:t>
            </w:r>
          </w:p>
        </w:tc>
        <w:tc>
          <w:tcPr>
            <w:tcW w:w="0" w:type="auto"/>
            <w:shd w:val="clear" w:color="auto" w:fill="D7E4BC"/>
            <w:tcMar>
              <w:top w:w="40" w:type="dxa"/>
              <w:left w:w="0" w:type="dxa"/>
              <w:bottom w:w="40" w:type="dxa"/>
              <w:right w:w="20" w:type="dxa"/>
            </w:tcMar>
            <w:vAlign w:val="bottom"/>
          </w:tcPr>
          <w:p w14:paraId="00BB049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9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493" w14:textId="77777777" w:rsidR="00871BDF" w:rsidRDefault="005C5088">
            <w:pPr>
              <w:jc w:val="right"/>
              <w:textAlignment w:val="bottom"/>
            </w:pPr>
            <w:r>
              <w:rPr>
                <w:rFonts w:ascii="Times New Roman" w:eastAsia="宋体" w:hAnsi="Times New Roman"/>
                <w:color w:val="000000"/>
                <w:sz w:val="20"/>
                <w:szCs w:val="20"/>
              </w:rPr>
              <w:t>(8.4)</w:t>
            </w:r>
          </w:p>
        </w:tc>
        <w:tc>
          <w:tcPr>
            <w:tcW w:w="0" w:type="auto"/>
            <w:shd w:val="clear" w:color="auto" w:fill="D7E4BC"/>
            <w:tcMar>
              <w:top w:w="40" w:type="dxa"/>
              <w:left w:w="0" w:type="dxa"/>
              <w:bottom w:w="40" w:type="dxa"/>
              <w:right w:w="20" w:type="dxa"/>
            </w:tcMar>
            <w:vAlign w:val="bottom"/>
          </w:tcPr>
          <w:p w14:paraId="00BB0494" w14:textId="77777777" w:rsidR="00871BDF" w:rsidRDefault="00871BDF">
            <w:pPr>
              <w:jc w:val="right"/>
              <w:rPr>
                <w:rFonts w:ascii="宋体"/>
              </w:rPr>
            </w:pPr>
          </w:p>
        </w:tc>
      </w:tr>
      <w:tr w:rsidR="00871BDF" w14:paraId="00BB049F" w14:textId="77777777">
        <w:tc>
          <w:tcPr>
            <w:tcW w:w="0" w:type="auto"/>
            <w:gridSpan w:val="3"/>
            <w:shd w:val="clear" w:color="auto" w:fill="FFFFFF"/>
            <w:tcMar>
              <w:top w:w="40" w:type="dxa"/>
              <w:left w:w="20" w:type="dxa"/>
              <w:bottom w:w="40" w:type="dxa"/>
              <w:right w:w="20" w:type="dxa"/>
            </w:tcMar>
          </w:tcPr>
          <w:p w14:paraId="00BB0496" w14:textId="77777777" w:rsidR="00871BDF" w:rsidRDefault="005C5088">
            <w:pPr>
              <w:textAlignment w:val="top"/>
            </w:pPr>
            <w:r>
              <w:rPr>
                <w:rFonts w:ascii="Times New Roman" w:eastAsia="宋体" w:hAnsi="Times New Roman"/>
                <w:color w:val="000000"/>
                <w:sz w:val="20"/>
                <w:szCs w:val="20"/>
              </w:rPr>
              <w:t>Total deferred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B0497" w14:textId="77777777" w:rsidR="00871BDF" w:rsidRDefault="005C5088">
            <w:pPr>
              <w:jc w:val="right"/>
              <w:textAlignment w:val="bottom"/>
            </w:pPr>
            <w:r>
              <w:rPr>
                <w:rFonts w:ascii="Times New Roman" w:eastAsia="宋体" w:hAnsi="Times New Roman"/>
                <w:color w:val="000000"/>
                <w:sz w:val="20"/>
                <w:szCs w:val="20"/>
              </w:rPr>
              <w:t>(28.5)</w:t>
            </w:r>
          </w:p>
        </w:tc>
        <w:tc>
          <w:tcPr>
            <w:tcW w:w="0" w:type="auto"/>
            <w:tcBorders>
              <w:top w:val="single" w:sz="8" w:space="0" w:color="000000"/>
            </w:tcBorders>
            <w:shd w:val="clear" w:color="auto" w:fill="FFFFFF"/>
            <w:tcMar>
              <w:top w:w="40" w:type="dxa"/>
              <w:left w:w="0" w:type="dxa"/>
              <w:bottom w:w="40" w:type="dxa"/>
              <w:right w:w="20" w:type="dxa"/>
            </w:tcMar>
            <w:vAlign w:val="bottom"/>
          </w:tcPr>
          <w:p w14:paraId="00BB049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99"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B049A" w14:textId="77777777" w:rsidR="00871BDF" w:rsidRDefault="005C5088">
            <w:pPr>
              <w:jc w:val="right"/>
              <w:textAlignment w:val="bottom"/>
            </w:pPr>
            <w:r>
              <w:rPr>
                <w:rFonts w:ascii="Times New Roman" w:eastAsia="宋体" w:hAnsi="Times New Roman"/>
                <w:color w:val="000000"/>
                <w:sz w:val="20"/>
                <w:szCs w:val="20"/>
              </w:rPr>
              <w:t>(1,448.8)</w:t>
            </w:r>
          </w:p>
        </w:tc>
        <w:tc>
          <w:tcPr>
            <w:tcW w:w="0" w:type="auto"/>
            <w:tcBorders>
              <w:top w:val="single" w:sz="8" w:space="0" w:color="000000"/>
            </w:tcBorders>
            <w:shd w:val="clear" w:color="auto" w:fill="FFFFFF"/>
            <w:tcMar>
              <w:top w:w="40" w:type="dxa"/>
              <w:left w:w="0" w:type="dxa"/>
              <w:bottom w:w="40" w:type="dxa"/>
              <w:right w:w="20" w:type="dxa"/>
            </w:tcMar>
            <w:vAlign w:val="bottom"/>
          </w:tcPr>
          <w:p w14:paraId="00BB049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9C"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B049D" w14:textId="77777777" w:rsidR="00871BDF" w:rsidRDefault="005C5088">
            <w:pPr>
              <w:jc w:val="right"/>
              <w:textAlignment w:val="bottom"/>
            </w:pPr>
            <w:r>
              <w:rPr>
                <w:rFonts w:ascii="Times New Roman" w:eastAsia="宋体" w:hAnsi="Times New Roman"/>
                <w:color w:val="000000"/>
                <w:sz w:val="20"/>
                <w:szCs w:val="20"/>
              </w:rPr>
              <w:t>726.8 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B049E" w14:textId="77777777" w:rsidR="00871BDF" w:rsidRDefault="00871BDF">
            <w:pPr>
              <w:jc w:val="right"/>
              <w:rPr>
                <w:rFonts w:ascii="宋体"/>
              </w:rPr>
            </w:pPr>
          </w:p>
        </w:tc>
      </w:tr>
      <w:tr w:rsidR="00871BDF" w14:paraId="00BB04AC" w14:textId="77777777">
        <w:tc>
          <w:tcPr>
            <w:tcW w:w="0" w:type="auto"/>
            <w:gridSpan w:val="3"/>
            <w:shd w:val="clear" w:color="auto" w:fill="D7E4BC"/>
            <w:tcMar>
              <w:top w:w="40" w:type="dxa"/>
              <w:left w:w="20" w:type="dxa"/>
              <w:bottom w:w="40" w:type="dxa"/>
              <w:right w:w="20" w:type="dxa"/>
            </w:tcMar>
          </w:tcPr>
          <w:p w14:paraId="00BB04A0" w14:textId="77777777" w:rsidR="00871BDF" w:rsidRDefault="005C5088">
            <w:pPr>
              <w:textAlignment w:val="top"/>
            </w:pPr>
            <w:r>
              <w:rPr>
                <w:rFonts w:ascii="Times New Roman" w:eastAsia="宋体" w:hAnsi="Times New Roman"/>
                <w:color w:val="000000"/>
                <w:sz w:val="20"/>
                <w:szCs w:val="20"/>
              </w:rPr>
              <w:t>Total income tax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4A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4A2" w14:textId="77777777" w:rsidR="00871BDF" w:rsidRDefault="005C5088">
            <w:pPr>
              <w:jc w:val="right"/>
              <w:textAlignment w:val="bottom"/>
            </w:pPr>
            <w:r>
              <w:rPr>
                <w:rFonts w:ascii="Times New Roman" w:eastAsia="宋体" w:hAnsi="Times New Roman"/>
                <w:color w:val="000000"/>
                <w:sz w:val="20"/>
                <w:szCs w:val="20"/>
              </w:rPr>
              <w:t>239.7 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4A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A4"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4A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4A6" w14:textId="77777777" w:rsidR="00871BDF" w:rsidRDefault="005C5088">
            <w:pPr>
              <w:jc w:val="right"/>
              <w:textAlignment w:val="bottom"/>
            </w:pPr>
            <w:r>
              <w:rPr>
                <w:rFonts w:ascii="Times New Roman" w:eastAsia="宋体" w:hAnsi="Times New Roman"/>
                <w:color w:val="000000"/>
                <w:sz w:val="20"/>
                <w:szCs w:val="20"/>
              </w:rPr>
              <w:t>871.6 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4A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A8"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4A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4AA" w14:textId="77777777" w:rsidR="00871BDF" w:rsidRDefault="005C5088">
            <w:pPr>
              <w:jc w:val="right"/>
              <w:textAlignment w:val="bottom"/>
            </w:pPr>
            <w:r>
              <w:rPr>
                <w:rFonts w:ascii="Times New Roman" w:eastAsia="宋体" w:hAnsi="Times New Roman"/>
                <w:color w:val="000000"/>
                <w:sz w:val="20"/>
                <w:szCs w:val="20"/>
              </w:rPr>
              <w:t>1,262.0 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4AB" w14:textId="77777777" w:rsidR="00871BDF" w:rsidRDefault="00871BDF">
            <w:pPr>
              <w:jc w:val="right"/>
              <w:rPr>
                <w:rFonts w:ascii="宋体"/>
              </w:rPr>
            </w:pPr>
          </w:p>
        </w:tc>
      </w:tr>
    </w:tbl>
    <w:p w14:paraId="00BB04AD" w14:textId="77777777" w:rsidR="00871BDF" w:rsidRDefault="005C5088">
      <w:pPr>
        <w:spacing w:before="120"/>
      </w:pPr>
      <w:r>
        <w:rPr>
          <w:rFonts w:ascii="Times New Roman" w:eastAsia="宋体" w:hAnsi="Times New Roman"/>
          <w:color w:val="000000"/>
          <w:sz w:val="20"/>
          <w:szCs w:val="20"/>
        </w:rPr>
        <w:t>Reconciliation of the statutory U.S. federal income tax rate with our effective income tax rate:</w:t>
      </w:r>
    </w:p>
    <w:tbl>
      <w:tblPr>
        <w:tblW w:w="4993" w:type="pct"/>
        <w:tblCellMar>
          <w:top w:w="15" w:type="dxa"/>
          <w:left w:w="15" w:type="dxa"/>
          <w:bottom w:w="15" w:type="dxa"/>
          <w:right w:w="15" w:type="dxa"/>
        </w:tblCellMar>
        <w:tblLook w:val="04A0" w:firstRow="1" w:lastRow="0" w:firstColumn="1" w:lastColumn="0" w:noHBand="0" w:noVBand="1"/>
      </w:tblPr>
      <w:tblGrid>
        <w:gridCol w:w="40"/>
        <w:gridCol w:w="4252"/>
        <w:gridCol w:w="39"/>
        <w:gridCol w:w="38"/>
        <w:gridCol w:w="1073"/>
        <w:gridCol w:w="187"/>
        <w:gridCol w:w="36"/>
        <w:gridCol w:w="36"/>
        <w:gridCol w:w="36"/>
        <w:gridCol w:w="38"/>
        <w:gridCol w:w="1014"/>
        <w:gridCol w:w="187"/>
        <w:gridCol w:w="36"/>
        <w:gridCol w:w="36"/>
        <w:gridCol w:w="36"/>
        <w:gridCol w:w="38"/>
        <w:gridCol w:w="1015"/>
        <w:gridCol w:w="187"/>
      </w:tblGrid>
      <w:tr w:rsidR="00871BDF" w14:paraId="00BB04C0" w14:textId="77777777">
        <w:tc>
          <w:tcPr>
            <w:tcW w:w="50" w:type="pct"/>
            <w:shd w:val="clear" w:color="auto" w:fill="auto"/>
          </w:tcPr>
          <w:p w14:paraId="00BB04AE" w14:textId="77777777" w:rsidR="00871BDF" w:rsidRDefault="00871BDF">
            <w:pPr>
              <w:rPr>
                <w:rFonts w:ascii="宋体"/>
              </w:rPr>
            </w:pPr>
          </w:p>
        </w:tc>
        <w:tc>
          <w:tcPr>
            <w:tcW w:w="2609" w:type="pct"/>
            <w:shd w:val="clear" w:color="auto" w:fill="auto"/>
          </w:tcPr>
          <w:p w14:paraId="00BB04AF" w14:textId="77777777" w:rsidR="00871BDF" w:rsidRDefault="00871BDF">
            <w:pPr>
              <w:rPr>
                <w:rFonts w:ascii="宋体"/>
              </w:rPr>
            </w:pPr>
          </w:p>
        </w:tc>
        <w:tc>
          <w:tcPr>
            <w:tcW w:w="5" w:type="pct"/>
            <w:shd w:val="clear" w:color="auto" w:fill="auto"/>
          </w:tcPr>
          <w:p w14:paraId="00BB04B0" w14:textId="77777777" w:rsidR="00871BDF" w:rsidRDefault="00871BDF">
            <w:pPr>
              <w:rPr>
                <w:rFonts w:ascii="宋体"/>
              </w:rPr>
            </w:pPr>
          </w:p>
        </w:tc>
        <w:tc>
          <w:tcPr>
            <w:tcW w:w="50" w:type="pct"/>
            <w:shd w:val="clear" w:color="auto" w:fill="auto"/>
          </w:tcPr>
          <w:p w14:paraId="00BB04B1" w14:textId="77777777" w:rsidR="00871BDF" w:rsidRDefault="00871BDF">
            <w:pPr>
              <w:rPr>
                <w:rFonts w:ascii="宋体"/>
              </w:rPr>
            </w:pPr>
          </w:p>
        </w:tc>
        <w:tc>
          <w:tcPr>
            <w:tcW w:w="699" w:type="pct"/>
            <w:shd w:val="clear" w:color="auto" w:fill="auto"/>
          </w:tcPr>
          <w:p w14:paraId="00BB04B2" w14:textId="77777777" w:rsidR="00871BDF" w:rsidRDefault="00871BDF">
            <w:pPr>
              <w:rPr>
                <w:rFonts w:ascii="宋体"/>
              </w:rPr>
            </w:pPr>
          </w:p>
        </w:tc>
        <w:tc>
          <w:tcPr>
            <w:tcW w:w="5" w:type="pct"/>
            <w:shd w:val="clear" w:color="auto" w:fill="auto"/>
          </w:tcPr>
          <w:p w14:paraId="00BB04B3" w14:textId="77777777" w:rsidR="00871BDF" w:rsidRDefault="00871BDF">
            <w:pPr>
              <w:rPr>
                <w:rFonts w:ascii="宋体"/>
              </w:rPr>
            </w:pPr>
          </w:p>
        </w:tc>
        <w:tc>
          <w:tcPr>
            <w:tcW w:w="5" w:type="pct"/>
            <w:shd w:val="clear" w:color="auto" w:fill="auto"/>
          </w:tcPr>
          <w:p w14:paraId="00BB04B4" w14:textId="77777777" w:rsidR="00871BDF" w:rsidRDefault="00871BDF">
            <w:pPr>
              <w:rPr>
                <w:rFonts w:ascii="宋体"/>
              </w:rPr>
            </w:pPr>
          </w:p>
        </w:tc>
        <w:tc>
          <w:tcPr>
            <w:tcW w:w="26" w:type="pct"/>
            <w:shd w:val="clear" w:color="auto" w:fill="auto"/>
          </w:tcPr>
          <w:p w14:paraId="00BB04B5" w14:textId="77777777" w:rsidR="00871BDF" w:rsidRDefault="00871BDF">
            <w:pPr>
              <w:rPr>
                <w:rFonts w:ascii="宋体"/>
              </w:rPr>
            </w:pPr>
          </w:p>
        </w:tc>
        <w:tc>
          <w:tcPr>
            <w:tcW w:w="5" w:type="pct"/>
            <w:shd w:val="clear" w:color="auto" w:fill="auto"/>
          </w:tcPr>
          <w:p w14:paraId="00BB04B6" w14:textId="77777777" w:rsidR="00871BDF" w:rsidRDefault="00871BDF">
            <w:pPr>
              <w:rPr>
                <w:rFonts w:ascii="宋体"/>
              </w:rPr>
            </w:pPr>
          </w:p>
        </w:tc>
        <w:tc>
          <w:tcPr>
            <w:tcW w:w="50" w:type="pct"/>
            <w:shd w:val="clear" w:color="auto" w:fill="auto"/>
          </w:tcPr>
          <w:p w14:paraId="00BB04B7" w14:textId="77777777" w:rsidR="00871BDF" w:rsidRDefault="00871BDF">
            <w:pPr>
              <w:rPr>
                <w:rFonts w:ascii="宋体"/>
              </w:rPr>
            </w:pPr>
          </w:p>
        </w:tc>
        <w:tc>
          <w:tcPr>
            <w:tcW w:w="699" w:type="pct"/>
            <w:shd w:val="clear" w:color="auto" w:fill="auto"/>
          </w:tcPr>
          <w:p w14:paraId="00BB04B8" w14:textId="77777777" w:rsidR="00871BDF" w:rsidRDefault="00871BDF">
            <w:pPr>
              <w:rPr>
                <w:rFonts w:ascii="宋体"/>
              </w:rPr>
            </w:pPr>
          </w:p>
        </w:tc>
        <w:tc>
          <w:tcPr>
            <w:tcW w:w="5" w:type="pct"/>
            <w:shd w:val="clear" w:color="auto" w:fill="auto"/>
          </w:tcPr>
          <w:p w14:paraId="00BB04B9" w14:textId="77777777" w:rsidR="00871BDF" w:rsidRDefault="00871BDF">
            <w:pPr>
              <w:rPr>
                <w:rFonts w:ascii="宋体"/>
              </w:rPr>
            </w:pPr>
          </w:p>
        </w:tc>
        <w:tc>
          <w:tcPr>
            <w:tcW w:w="5" w:type="pct"/>
            <w:shd w:val="clear" w:color="auto" w:fill="auto"/>
          </w:tcPr>
          <w:p w14:paraId="00BB04BA" w14:textId="77777777" w:rsidR="00871BDF" w:rsidRDefault="00871BDF">
            <w:pPr>
              <w:rPr>
                <w:rFonts w:ascii="宋体"/>
              </w:rPr>
            </w:pPr>
          </w:p>
        </w:tc>
        <w:tc>
          <w:tcPr>
            <w:tcW w:w="26" w:type="pct"/>
            <w:shd w:val="clear" w:color="auto" w:fill="auto"/>
          </w:tcPr>
          <w:p w14:paraId="00BB04BB" w14:textId="77777777" w:rsidR="00871BDF" w:rsidRDefault="00871BDF">
            <w:pPr>
              <w:rPr>
                <w:rFonts w:ascii="宋体"/>
              </w:rPr>
            </w:pPr>
          </w:p>
        </w:tc>
        <w:tc>
          <w:tcPr>
            <w:tcW w:w="5" w:type="pct"/>
            <w:shd w:val="clear" w:color="auto" w:fill="auto"/>
          </w:tcPr>
          <w:p w14:paraId="00BB04BC" w14:textId="77777777" w:rsidR="00871BDF" w:rsidRDefault="00871BDF">
            <w:pPr>
              <w:rPr>
                <w:rFonts w:ascii="宋体"/>
              </w:rPr>
            </w:pPr>
          </w:p>
        </w:tc>
        <w:tc>
          <w:tcPr>
            <w:tcW w:w="50" w:type="pct"/>
            <w:shd w:val="clear" w:color="auto" w:fill="auto"/>
          </w:tcPr>
          <w:p w14:paraId="00BB04BD" w14:textId="77777777" w:rsidR="00871BDF" w:rsidRDefault="00871BDF">
            <w:pPr>
              <w:rPr>
                <w:rFonts w:ascii="宋体"/>
              </w:rPr>
            </w:pPr>
          </w:p>
        </w:tc>
        <w:tc>
          <w:tcPr>
            <w:tcW w:w="699" w:type="pct"/>
            <w:shd w:val="clear" w:color="auto" w:fill="auto"/>
          </w:tcPr>
          <w:p w14:paraId="00BB04BE" w14:textId="77777777" w:rsidR="00871BDF" w:rsidRDefault="00871BDF">
            <w:pPr>
              <w:rPr>
                <w:rFonts w:ascii="宋体"/>
              </w:rPr>
            </w:pPr>
          </w:p>
        </w:tc>
        <w:tc>
          <w:tcPr>
            <w:tcW w:w="5" w:type="pct"/>
            <w:shd w:val="clear" w:color="auto" w:fill="auto"/>
          </w:tcPr>
          <w:p w14:paraId="00BB04BF" w14:textId="77777777" w:rsidR="00871BDF" w:rsidRDefault="00871BDF">
            <w:pPr>
              <w:rPr>
                <w:rFonts w:ascii="宋体"/>
              </w:rPr>
            </w:pPr>
          </w:p>
        </w:tc>
      </w:tr>
      <w:tr w:rsidR="00871BDF" w14:paraId="00BB04C7" w14:textId="77777777">
        <w:tc>
          <w:tcPr>
            <w:tcW w:w="0" w:type="auto"/>
            <w:gridSpan w:val="3"/>
            <w:shd w:val="clear" w:color="auto" w:fill="auto"/>
            <w:tcMar>
              <w:top w:w="40" w:type="dxa"/>
              <w:left w:w="20" w:type="dxa"/>
              <w:bottom w:w="40" w:type="dxa"/>
              <w:right w:w="20" w:type="dxa"/>
            </w:tcMar>
            <w:vAlign w:val="bottom"/>
          </w:tcPr>
          <w:p w14:paraId="00BB04C1"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center"/>
          </w:tcPr>
          <w:p w14:paraId="00BB04C2" w14:textId="77777777" w:rsidR="00871BDF" w:rsidRDefault="005C5088">
            <w:pPr>
              <w:jc w:val="center"/>
              <w:textAlignment w:val="center"/>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B04C3"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center"/>
          </w:tcPr>
          <w:p w14:paraId="00BB04C4" w14:textId="77777777" w:rsidR="00871BDF" w:rsidRDefault="005C5088">
            <w:pPr>
              <w:jc w:val="center"/>
              <w:textAlignment w:val="center"/>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B04C5"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center"/>
          </w:tcPr>
          <w:p w14:paraId="00BB04C6" w14:textId="77777777" w:rsidR="00871BDF" w:rsidRDefault="005C5088">
            <w:pPr>
              <w:jc w:val="center"/>
              <w:textAlignment w:val="center"/>
            </w:pPr>
            <w:r>
              <w:rPr>
                <w:rFonts w:ascii="Times New Roman" w:eastAsia="宋体" w:hAnsi="Times New Roman"/>
                <w:b/>
                <w:bCs/>
                <w:color w:val="FFFFFF"/>
                <w:sz w:val="16"/>
                <w:szCs w:val="16"/>
              </w:rPr>
              <w:t>Sep 30, 2018</w:t>
            </w:r>
          </w:p>
        </w:tc>
      </w:tr>
      <w:tr w:rsidR="00871BDF" w14:paraId="00BB04D1" w14:textId="77777777">
        <w:tc>
          <w:tcPr>
            <w:tcW w:w="0" w:type="auto"/>
            <w:gridSpan w:val="3"/>
            <w:shd w:val="clear" w:color="auto" w:fill="D7E4BC"/>
            <w:tcMar>
              <w:top w:w="40" w:type="dxa"/>
              <w:left w:w="20" w:type="dxa"/>
              <w:bottom w:w="40" w:type="dxa"/>
              <w:right w:w="20" w:type="dxa"/>
            </w:tcMar>
          </w:tcPr>
          <w:p w14:paraId="00BB04C8" w14:textId="77777777" w:rsidR="00871BDF" w:rsidRDefault="005C5088">
            <w:pPr>
              <w:textAlignment w:val="top"/>
            </w:pPr>
            <w:r>
              <w:rPr>
                <w:rFonts w:ascii="Times New Roman" w:eastAsia="宋体" w:hAnsi="Times New Roman"/>
                <w:color w:val="000000"/>
                <w:sz w:val="20"/>
                <w:szCs w:val="20"/>
              </w:rPr>
              <w:t>Statutory rate</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4C9" w14:textId="77777777" w:rsidR="00871BDF" w:rsidRDefault="005C5088">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4CA"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04CB"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4CC" w14:textId="77777777" w:rsidR="00871BDF" w:rsidRDefault="005C5088">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4CD"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04CE"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4CF" w14:textId="77777777" w:rsidR="00871BDF" w:rsidRDefault="005C5088">
            <w:pPr>
              <w:jc w:val="right"/>
              <w:textAlignment w:val="bottom"/>
            </w:pPr>
            <w:r>
              <w:rPr>
                <w:rFonts w:ascii="Times New Roman" w:eastAsia="宋体" w:hAnsi="Times New Roman"/>
                <w:color w:val="000000"/>
                <w:sz w:val="20"/>
                <w:szCs w:val="20"/>
              </w:rPr>
              <w:t>24.5 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4D0" w14:textId="77777777" w:rsidR="00871BDF" w:rsidRDefault="005C5088">
            <w:pPr>
              <w:jc w:val="right"/>
              <w:textAlignment w:val="bottom"/>
            </w:pPr>
            <w:r>
              <w:rPr>
                <w:rFonts w:ascii="Times New Roman" w:eastAsia="宋体" w:hAnsi="Times New Roman"/>
                <w:color w:val="000000"/>
                <w:sz w:val="20"/>
                <w:szCs w:val="20"/>
              </w:rPr>
              <w:t>%</w:t>
            </w:r>
          </w:p>
        </w:tc>
      </w:tr>
      <w:tr w:rsidR="00871BDF" w14:paraId="00BB04DB" w14:textId="77777777">
        <w:tc>
          <w:tcPr>
            <w:tcW w:w="0" w:type="auto"/>
            <w:gridSpan w:val="3"/>
            <w:shd w:val="clear" w:color="auto" w:fill="FFFFFF"/>
            <w:tcMar>
              <w:top w:w="40" w:type="dxa"/>
              <w:left w:w="20" w:type="dxa"/>
              <w:bottom w:w="40" w:type="dxa"/>
              <w:right w:w="20" w:type="dxa"/>
            </w:tcMar>
          </w:tcPr>
          <w:p w14:paraId="00BB04D2" w14:textId="77777777" w:rsidR="00871BDF" w:rsidRDefault="005C5088">
            <w:pPr>
              <w:textAlignment w:val="top"/>
            </w:pPr>
            <w:r>
              <w:rPr>
                <w:rFonts w:ascii="Times New Roman" w:eastAsia="宋体" w:hAnsi="Times New Roman"/>
                <w:color w:val="000000"/>
                <w:sz w:val="20"/>
                <w:szCs w:val="20"/>
              </w:rPr>
              <w:t>State income taxes, net of federal tax benefit</w:t>
            </w:r>
          </w:p>
        </w:tc>
        <w:tc>
          <w:tcPr>
            <w:tcW w:w="0" w:type="auto"/>
            <w:gridSpan w:val="2"/>
            <w:shd w:val="clear" w:color="auto" w:fill="FFFFFF"/>
            <w:tcMar>
              <w:top w:w="40" w:type="dxa"/>
              <w:left w:w="20" w:type="dxa"/>
              <w:bottom w:w="40" w:type="dxa"/>
              <w:right w:w="0" w:type="dxa"/>
            </w:tcMar>
            <w:vAlign w:val="bottom"/>
          </w:tcPr>
          <w:p w14:paraId="00BB04D3" w14:textId="77777777" w:rsidR="00871BDF" w:rsidRDefault="005C5088">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00BB04D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D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4D6" w14:textId="77777777" w:rsidR="00871BDF" w:rsidRDefault="005C5088">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0BB04D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D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4D9" w14:textId="77777777" w:rsidR="00871BDF" w:rsidRDefault="005C5088">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0BB04DA" w14:textId="77777777" w:rsidR="00871BDF" w:rsidRDefault="00871BDF">
            <w:pPr>
              <w:jc w:val="right"/>
              <w:rPr>
                <w:rFonts w:ascii="宋体"/>
              </w:rPr>
            </w:pPr>
          </w:p>
        </w:tc>
      </w:tr>
      <w:tr w:rsidR="00871BDF" w14:paraId="00BB04E5" w14:textId="77777777">
        <w:tc>
          <w:tcPr>
            <w:tcW w:w="0" w:type="auto"/>
            <w:gridSpan w:val="3"/>
            <w:shd w:val="clear" w:color="auto" w:fill="D7E4BC"/>
            <w:tcMar>
              <w:top w:w="40" w:type="dxa"/>
              <w:left w:w="20" w:type="dxa"/>
              <w:bottom w:w="40" w:type="dxa"/>
              <w:right w:w="20" w:type="dxa"/>
            </w:tcMar>
          </w:tcPr>
          <w:p w14:paraId="00BB04DC" w14:textId="77777777" w:rsidR="00871BDF" w:rsidRDefault="005C5088">
            <w:pPr>
              <w:textAlignment w:val="top"/>
            </w:pPr>
            <w:r>
              <w:rPr>
                <w:rFonts w:ascii="Times New Roman" w:eastAsia="宋体" w:hAnsi="Times New Roman"/>
                <w:color w:val="000000"/>
                <w:sz w:val="20"/>
                <w:szCs w:val="20"/>
              </w:rPr>
              <w:t xml:space="preserve">Foreign rate differential </w:t>
            </w:r>
          </w:p>
        </w:tc>
        <w:tc>
          <w:tcPr>
            <w:tcW w:w="0" w:type="auto"/>
            <w:gridSpan w:val="2"/>
            <w:shd w:val="clear" w:color="auto" w:fill="D7E4BC"/>
            <w:tcMar>
              <w:top w:w="40" w:type="dxa"/>
              <w:left w:w="20" w:type="dxa"/>
              <w:bottom w:w="40" w:type="dxa"/>
              <w:right w:w="0" w:type="dxa"/>
            </w:tcMar>
            <w:vAlign w:val="bottom"/>
          </w:tcPr>
          <w:p w14:paraId="00BB04DD" w14:textId="77777777" w:rsidR="00871BDF" w:rsidRDefault="005C5088">
            <w:pPr>
              <w:jc w:val="right"/>
              <w:textAlignment w:val="bottom"/>
            </w:pPr>
            <w:r>
              <w:rPr>
                <w:rFonts w:ascii="Times New Roman" w:eastAsia="宋体" w:hAnsi="Times New Roman"/>
                <w:color w:val="000000"/>
                <w:sz w:val="20"/>
                <w:szCs w:val="20"/>
              </w:rPr>
              <w:t>(3.2)</w:t>
            </w:r>
          </w:p>
        </w:tc>
        <w:tc>
          <w:tcPr>
            <w:tcW w:w="0" w:type="auto"/>
            <w:shd w:val="clear" w:color="auto" w:fill="D7E4BC"/>
            <w:tcMar>
              <w:top w:w="40" w:type="dxa"/>
              <w:left w:w="0" w:type="dxa"/>
              <w:bottom w:w="40" w:type="dxa"/>
              <w:right w:w="20" w:type="dxa"/>
            </w:tcMar>
            <w:vAlign w:val="bottom"/>
          </w:tcPr>
          <w:p w14:paraId="00BB04D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D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4E0" w14:textId="77777777" w:rsidR="00871BDF" w:rsidRDefault="005C5088">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bottom"/>
          </w:tcPr>
          <w:p w14:paraId="00BB04E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E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4E3" w14:textId="77777777" w:rsidR="00871BDF" w:rsidRDefault="005C5088">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bottom"/>
          </w:tcPr>
          <w:p w14:paraId="00BB04E4" w14:textId="77777777" w:rsidR="00871BDF" w:rsidRDefault="00871BDF">
            <w:pPr>
              <w:jc w:val="right"/>
              <w:rPr>
                <w:rFonts w:ascii="宋体"/>
              </w:rPr>
            </w:pPr>
          </w:p>
        </w:tc>
      </w:tr>
      <w:tr w:rsidR="00871BDF" w14:paraId="00BB04EF" w14:textId="77777777">
        <w:tc>
          <w:tcPr>
            <w:tcW w:w="0" w:type="auto"/>
            <w:gridSpan w:val="3"/>
            <w:shd w:val="clear" w:color="auto" w:fill="FFFFFF"/>
            <w:tcMar>
              <w:top w:w="40" w:type="dxa"/>
              <w:left w:w="20" w:type="dxa"/>
              <w:bottom w:w="40" w:type="dxa"/>
              <w:right w:w="20" w:type="dxa"/>
            </w:tcMar>
          </w:tcPr>
          <w:p w14:paraId="00BB04E6" w14:textId="77777777" w:rsidR="00871BDF" w:rsidRDefault="005C5088">
            <w:pPr>
              <w:textAlignment w:val="top"/>
            </w:pPr>
            <w:r>
              <w:rPr>
                <w:rFonts w:ascii="Times New Roman" w:eastAsia="宋体" w:hAnsi="Times New Roman"/>
                <w:color w:val="000000"/>
                <w:sz w:val="20"/>
                <w:szCs w:val="20"/>
              </w:rPr>
              <w:t xml:space="preserve">Valuation allowances </w:t>
            </w:r>
          </w:p>
        </w:tc>
        <w:tc>
          <w:tcPr>
            <w:tcW w:w="0" w:type="auto"/>
            <w:gridSpan w:val="2"/>
            <w:shd w:val="clear" w:color="auto" w:fill="FFFFFF"/>
            <w:tcMar>
              <w:top w:w="40" w:type="dxa"/>
              <w:left w:w="20" w:type="dxa"/>
              <w:bottom w:w="40" w:type="dxa"/>
              <w:right w:w="0" w:type="dxa"/>
            </w:tcMar>
            <w:vAlign w:val="bottom"/>
          </w:tcPr>
          <w:p w14:paraId="00BB04E7" w14:textId="77777777" w:rsidR="00871BDF" w:rsidRDefault="005C5088">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00BB04E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E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4E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4E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E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4E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4EE" w14:textId="77777777" w:rsidR="00871BDF" w:rsidRDefault="00871BDF">
            <w:pPr>
              <w:jc w:val="right"/>
              <w:rPr>
                <w:rFonts w:ascii="宋体"/>
              </w:rPr>
            </w:pPr>
          </w:p>
        </w:tc>
      </w:tr>
      <w:tr w:rsidR="00871BDF" w14:paraId="00BB04F9" w14:textId="77777777">
        <w:tc>
          <w:tcPr>
            <w:tcW w:w="0" w:type="auto"/>
            <w:gridSpan w:val="3"/>
            <w:shd w:val="clear" w:color="auto" w:fill="D7E4BC"/>
            <w:tcMar>
              <w:top w:w="40" w:type="dxa"/>
              <w:left w:w="20" w:type="dxa"/>
              <w:bottom w:w="40" w:type="dxa"/>
              <w:right w:w="20" w:type="dxa"/>
            </w:tcMar>
          </w:tcPr>
          <w:p w14:paraId="00BB04F0" w14:textId="77777777" w:rsidR="00871BDF" w:rsidRDefault="005C5088">
            <w:pPr>
              <w:textAlignment w:val="top"/>
            </w:pPr>
            <w:r>
              <w:rPr>
                <w:rFonts w:ascii="Times New Roman" w:eastAsia="宋体" w:hAnsi="Times New Roman"/>
                <w:color w:val="000000"/>
                <w:sz w:val="20"/>
                <w:szCs w:val="20"/>
              </w:rPr>
              <w:t xml:space="preserve">Excess tax benefits of stock-based compensation </w:t>
            </w:r>
          </w:p>
        </w:tc>
        <w:tc>
          <w:tcPr>
            <w:tcW w:w="0" w:type="auto"/>
            <w:gridSpan w:val="2"/>
            <w:shd w:val="clear" w:color="auto" w:fill="D7E4BC"/>
            <w:tcMar>
              <w:top w:w="40" w:type="dxa"/>
              <w:left w:w="20" w:type="dxa"/>
              <w:bottom w:w="40" w:type="dxa"/>
              <w:right w:w="0" w:type="dxa"/>
            </w:tcMar>
            <w:vAlign w:val="bottom"/>
          </w:tcPr>
          <w:p w14:paraId="00BB04F1" w14:textId="77777777" w:rsidR="00871BDF" w:rsidRDefault="005C5088">
            <w:pPr>
              <w:jc w:val="right"/>
              <w:textAlignment w:val="bottom"/>
            </w:pPr>
            <w:r>
              <w:rPr>
                <w:rFonts w:ascii="Times New Roman" w:eastAsia="宋体" w:hAnsi="Times New Roman"/>
                <w:color w:val="000000"/>
                <w:sz w:val="20"/>
                <w:szCs w:val="20"/>
              </w:rPr>
              <w:t>(4.2)</w:t>
            </w:r>
          </w:p>
        </w:tc>
        <w:tc>
          <w:tcPr>
            <w:tcW w:w="0" w:type="auto"/>
            <w:shd w:val="clear" w:color="auto" w:fill="D7E4BC"/>
            <w:tcMar>
              <w:top w:w="40" w:type="dxa"/>
              <w:left w:w="0" w:type="dxa"/>
              <w:bottom w:w="40" w:type="dxa"/>
              <w:right w:w="20" w:type="dxa"/>
            </w:tcMar>
            <w:vAlign w:val="bottom"/>
          </w:tcPr>
          <w:p w14:paraId="00BB04F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F3"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4F4" w14:textId="77777777" w:rsidR="00871BDF" w:rsidRDefault="005C5088">
            <w:pPr>
              <w:jc w:val="right"/>
              <w:textAlignment w:val="bottom"/>
            </w:pPr>
            <w:r>
              <w:rPr>
                <w:rFonts w:ascii="Times New Roman" w:eastAsia="宋体" w:hAnsi="Times New Roman"/>
                <w:color w:val="000000"/>
                <w:sz w:val="20"/>
                <w:szCs w:val="20"/>
              </w:rPr>
              <w:t>(2.1)</w:t>
            </w:r>
          </w:p>
        </w:tc>
        <w:tc>
          <w:tcPr>
            <w:tcW w:w="0" w:type="auto"/>
            <w:shd w:val="clear" w:color="auto" w:fill="D7E4BC"/>
            <w:tcMar>
              <w:top w:w="40" w:type="dxa"/>
              <w:left w:w="0" w:type="dxa"/>
              <w:bottom w:w="40" w:type="dxa"/>
              <w:right w:w="20" w:type="dxa"/>
            </w:tcMar>
            <w:vAlign w:val="bottom"/>
          </w:tcPr>
          <w:p w14:paraId="00BB04F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4F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4F7" w14:textId="77777777" w:rsidR="00871BDF" w:rsidRDefault="005C5088">
            <w:pPr>
              <w:jc w:val="right"/>
              <w:textAlignment w:val="bottom"/>
            </w:pPr>
            <w:r>
              <w:rPr>
                <w:rFonts w:ascii="Times New Roman" w:eastAsia="宋体" w:hAnsi="Times New Roman"/>
                <w:color w:val="000000"/>
                <w:sz w:val="20"/>
                <w:szCs w:val="20"/>
              </w:rPr>
              <w:t>(0.9)</w:t>
            </w:r>
          </w:p>
        </w:tc>
        <w:tc>
          <w:tcPr>
            <w:tcW w:w="0" w:type="auto"/>
            <w:shd w:val="clear" w:color="auto" w:fill="D7E4BC"/>
            <w:tcMar>
              <w:top w:w="40" w:type="dxa"/>
              <w:left w:w="0" w:type="dxa"/>
              <w:bottom w:w="40" w:type="dxa"/>
              <w:right w:w="20" w:type="dxa"/>
            </w:tcMar>
            <w:vAlign w:val="bottom"/>
          </w:tcPr>
          <w:p w14:paraId="00BB04F8" w14:textId="77777777" w:rsidR="00871BDF" w:rsidRDefault="00871BDF">
            <w:pPr>
              <w:jc w:val="right"/>
              <w:rPr>
                <w:rFonts w:ascii="宋体"/>
              </w:rPr>
            </w:pPr>
          </w:p>
        </w:tc>
      </w:tr>
      <w:tr w:rsidR="00871BDF" w14:paraId="00BB0503" w14:textId="77777777">
        <w:tc>
          <w:tcPr>
            <w:tcW w:w="0" w:type="auto"/>
            <w:gridSpan w:val="3"/>
            <w:shd w:val="clear" w:color="auto" w:fill="FFFFFF"/>
            <w:tcMar>
              <w:top w:w="40" w:type="dxa"/>
              <w:left w:w="20" w:type="dxa"/>
              <w:bottom w:w="40" w:type="dxa"/>
              <w:right w:w="20" w:type="dxa"/>
            </w:tcMar>
          </w:tcPr>
          <w:p w14:paraId="00BB04FA" w14:textId="77777777" w:rsidR="00871BDF" w:rsidRDefault="005C5088">
            <w:pPr>
              <w:textAlignment w:val="top"/>
            </w:pPr>
            <w:r>
              <w:rPr>
                <w:rFonts w:ascii="Times New Roman" w:eastAsia="宋体" w:hAnsi="Times New Roman"/>
                <w:color w:val="000000"/>
                <w:sz w:val="20"/>
                <w:szCs w:val="20"/>
              </w:rPr>
              <w:t>Change in tax rates</w:t>
            </w:r>
          </w:p>
        </w:tc>
        <w:tc>
          <w:tcPr>
            <w:tcW w:w="0" w:type="auto"/>
            <w:gridSpan w:val="2"/>
            <w:shd w:val="clear" w:color="auto" w:fill="FFFFFF"/>
            <w:tcMar>
              <w:top w:w="40" w:type="dxa"/>
              <w:left w:w="20" w:type="dxa"/>
              <w:bottom w:w="40" w:type="dxa"/>
              <w:right w:w="0" w:type="dxa"/>
            </w:tcMar>
            <w:vAlign w:val="bottom"/>
          </w:tcPr>
          <w:p w14:paraId="00BB04FB" w14:textId="77777777" w:rsidR="00871BDF" w:rsidRDefault="005C5088">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00BB04F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4F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4F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4F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50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50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502" w14:textId="77777777" w:rsidR="00871BDF" w:rsidRDefault="00871BDF">
            <w:pPr>
              <w:jc w:val="right"/>
              <w:rPr>
                <w:rFonts w:ascii="宋体"/>
              </w:rPr>
            </w:pPr>
          </w:p>
        </w:tc>
      </w:tr>
      <w:tr w:rsidR="00871BDF" w14:paraId="00BB050D" w14:textId="77777777">
        <w:tc>
          <w:tcPr>
            <w:tcW w:w="0" w:type="auto"/>
            <w:gridSpan w:val="3"/>
            <w:shd w:val="clear" w:color="auto" w:fill="D7E4BC"/>
            <w:tcMar>
              <w:top w:w="40" w:type="dxa"/>
              <w:left w:w="20" w:type="dxa"/>
              <w:bottom w:w="40" w:type="dxa"/>
              <w:right w:w="20" w:type="dxa"/>
            </w:tcMar>
          </w:tcPr>
          <w:p w14:paraId="00BB0504" w14:textId="77777777" w:rsidR="00871BDF" w:rsidRDefault="005C5088">
            <w:pPr>
              <w:textAlignment w:val="top"/>
            </w:pPr>
            <w:r>
              <w:rPr>
                <w:rFonts w:ascii="Times New Roman" w:eastAsia="宋体" w:hAnsi="Times New Roman"/>
                <w:color w:val="000000"/>
                <w:sz w:val="20"/>
                <w:szCs w:val="20"/>
              </w:rPr>
              <w:t>Charitable contributions</w:t>
            </w:r>
          </w:p>
        </w:tc>
        <w:tc>
          <w:tcPr>
            <w:tcW w:w="0" w:type="auto"/>
            <w:gridSpan w:val="2"/>
            <w:shd w:val="clear" w:color="auto" w:fill="D7E4BC"/>
            <w:tcMar>
              <w:top w:w="40" w:type="dxa"/>
              <w:left w:w="20" w:type="dxa"/>
              <w:bottom w:w="40" w:type="dxa"/>
              <w:right w:w="0" w:type="dxa"/>
            </w:tcMar>
            <w:vAlign w:val="bottom"/>
          </w:tcPr>
          <w:p w14:paraId="00BB0505" w14:textId="77777777" w:rsidR="00871BDF" w:rsidRDefault="005C5088">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vAlign w:val="bottom"/>
          </w:tcPr>
          <w:p w14:paraId="00BB050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0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50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B050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0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50B"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B050C" w14:textId="77777777" w:rsidR="00871BDF" w:rsidRDefault="00871BDF">
            <w:pPr>
              <w:jc w:val="right"/>
              <w:rPr>
                <w:rFonts w:ascii="宋体"/>
              </w:rPr>
            </w:pPr>
          </w:p>
        </w:tc>
      </w:tr>
      <w:tr w:rsidR="00871BDF" w14:paraId="00BB0517" w14:textId="77777777">
        <w:tc>
          <w:tcPr>
            <w:tcW w:w="0" w:type="auto"/>
            <w:gridSpan w:val="3"/>
            <w:shd w:val="clear" w:color="auto" w:fill="FFFFFF"/>
            <w:tcMar>
              <w:top w:w="40" w:type="dxa"/>
              <w:left w:w="20" w:type="dxa"/>
              <w:bottom w:w="40" w:type="dxa"/>
              <w:right w:w="20" w:type="dxa"/>
            </w:tcMar>
          </w:tcPr>
          <w:p w14:paraId="00BB050E" w14:textId="77777777" w:rsidR="00871BDF" w:rsidRDefault="005C5088">
            <w:pPr>
              <w:textAlignment w:val="top"/>
            </w:pPr>
            <w:r>
              <w:rPr>
                <w:rFonts w:ascii="Times New Roman" w:eastAsia="宋体" w:hAnsi="Times New Roman"/>
                <w:color w:val="000000"/>
                <w:sz w:val="20"/>
                <w:szCs w:val="20"/>
              </w:rPr>
              <w:t xml:space="preserve">Foreign derived intangible income </w:t>
            </w:r>
          </w:p>
        </w:tc>
        <w:tc>
          <w:tcPr>
            <w:tcW w:w="0" w:type="auto"/>
            <w:gridSpan w:val="2"/>
            <w:shd w:val="clear" w:color="auto" w:fill="FFFFFF"/>
            <w:tcMar>
              <w:top w:w="40" w:type="dxa"/>
              <w:left w:w="20" w:type="dxa"/>
              <w:bottom w:w="40" w:type="dxa"/>
              <w:right w:w="0" w:type="dxa"/>
            </w:tcMar>
            <w:vAlign w:val="bottom"/>
          </w:tcPr>
          <w:p w14:paraId="00BB050F" w14:textId="77777777" w:rsidR="00871BDF" w:rsidRDefault="005C5088">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00BB051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51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512" w14:textId="77777777" w:rsidR="00871BDF" w:rsidRDefault="005C5088">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00BB051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51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515"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516" w14:textId="77777777" w:rsidR="00871BDF" w:rsidRDefault="00871BDF">
            <w:pPr>
              <w:jc w:val="right"/>
              <w:rPr>
                <w:rFonts w:ascii="宋体"/>
              </w:rPr>
            </w:pPr>
          </w:p>
        </w:tc>
      </w:tr>
      <w:tr w:rsidR="00871BDF" w14:paraId="00BB0521" w14:textId="77777777">
        <w:tc>
          <w:tcPr>
            <w:tcW w:w="0" w:type="auto"/>
            <w:gridSpan w:val="3"/>
            <w:shd w:val="clear" w:color="auto" w:fill="D7E4BC"/>
            <w:tcMar>
              <w:top w:w="40" w:type="dxa"/>
              <w:left w:w="20" w:type="dxa"/>
              <w:bottom w:w="40" w:type="dxa"/>
              <w:right w:w="20" w:type="dxa"/>
            </w:tcMar>
          </w:tcPr>
          <w:p w14:paraId="00BB0518" w14:textId="77777777" w:rsidR="00871BDF" w:rsidRDefault="005C5088">
            <w:pPr>
              <w:textAlignment w:val="top"/>
            </w:pPr>
            <w:r>
              <w:rPr>
                <w:rFonts w:ascii="Times New Roman" w:eastAsia="宋体" w:hAnsi="Times New Roman"/>
                <w:color w:val="000000"/>
                <w:sz w:val="20"/>
                <w:szCs w:val="20"/>
              </w:rPr>
              <w:t xml:space="preserve">Residual tax on foreign earnings </w:t>
            </w:r>
          </w:p>
        </w:tc>
        <w:tc>
          <w:tcPr>
            <w:tcW w:w="0" w:type="auto"/>
            <w:gridSpan w:val="2"/>
            <w:shd w:val="clear" w:color="auto" w:fill="D7E4BC"/>
            <w:tcMar>
              <w:top w:w="40" w:type="dxa"/>
              <w:left w:w="20" w:type="dxa"/>
              <w:bottom w:w="40" w:type="dxa"/>
              <w:right w:w="0" w:type="dxa"/>
            </w:tcMar>
            <w:vAlign w:val="bottom"/>
          </w:tcPr>
          <w:p w14:paraId="00BB0519"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B051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1B"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51C" w14:textId="77777777" w:rsidR="00871BDF" w:rsidRDefault="005C5088">
            <w:pPr>
              <w:jc w:val="right"/>
              <w:textAlignment w:val="bottom"/>
            </w:pPr>
            <w:r>
              <w:rPr>
                <w:rFonts w:ascii="Times New Roman" w:eastAsia="宋体" w:hAnsi="Times New Roman"/>
                <w:color w:val="000000"/>
                <w:sz w:val="20"/>
                <w:szCs w:val="20"/>
              </w:rPr>
              <w:t>1.7 </w:t>
            </w:r>
          </w:p>
        </w:tc>
        <w:tc>
          <w:tcPr>
            <w:tcW w:w="0" w:type="auto"/>
            <w:shd w:val="clear" w:color="auto" w:fill="D7E4BC"/>
            <w:tcMar>
              <w:top w:w="40" w:type="dxa"/>
              <w:left w:w="0" w:type="dxa"/>
              <w:bottom w:w="40" w:type="dxa"/>
              <w:right w:w="20" w:type="dxa"/>
            </w:tcMar>
            <w:vAlign w:val="bottom"/>
          </w:tcPr>
          <w:p w14:paraId="00BB051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1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51F"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B0520" w14:textId="77777777" w:rsidR="00871BDF" w:rsidRDefault="00871BDF">
            <w:pPr>
              <w:jc w:val="right"/>
              <w:rPr>
                <w:rFonts w:ascii="宋体"/>
              </w:rPr>
            </w:pPr>
          </w:p>
        </w:tc>
      </w:tr>
      <w:tr w:rsidR="00871BDF" w14:paraId="00BB052B" w14:textId="77777777">
        <w:tc>
          <w:tcPr>
            <w:tcW w:w="0" w:type="auto"/>
            <w:gridSpan w:val="3"/>
            <w:shd w:val="clear" w:color="auto" w:fill="FFFFFF"/>
            <w:tcMar>
              <w:top w:w="40" w:type="dxa"/>
              <w:left w:w="20" w:type="dxa"/>
              <w:bottom w:w="40" w:type="dxa"/>
              <w:right w:w="20" w:type="dxa"/>
            </w:tcMar>
          </w:tcPr>
          <w:p w14:paraId="00BB0522" w14:textId="77777777" w:rsidR="00871BDF" w:rsidRDefault="005C5088">
            <w:pPr>
              <w:textAlignment w:val="top"/>
            </w:pPr>
            <w:r>
              <w:rPr>
                <w:rFonts w:ascii="Times New Roman" w:eastAsia="宋体" w:hAnsi="Times New Roman"/>
                <w:color w:val="000000"/>
                <w:sz w:val="20"/>
                <w:szCs w:val="20"/>
              </w:rPr>
              <w:t xml:space="preserve">Tax impacts related to sale of certain operations </w:t>
            </w:r>
          </w:p>
        </w:tc>
        <w:tc>
          <w:tcPr>
            <w:tcW w:w="0" w:type="auto"/>
            <w:gridSpan w:val="2"/>
            <w:shd w:val="clear" w:color="auto" w:fill="FFFFFF"/>
            <w:tcMar>
              <w:top w:w="40" w:type="dxa"/>
              <w:left w:w="20" w:type="dxa"/>
              <w:bottom w:w="40" w:type="dxa"/>
              <w:right w:w="0" w:type="dxa"/>
            </w:tcMar>
            <w:vAlign w:val="bottom"/>
          </w:tcPr>
          <w:p w14:paraId="00BB0523"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52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52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526" w14:textId="77777777" w:rsidR="00871BDF" w:rsidRDefault="005C5088">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00BB052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52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529"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52A" w14:textId="77777777" w:rsidR="00871BDF" w:rsidRDefault="00871BDF">
            <w:pPr>
              <w:jc w:val="right"/>
              <w:rPr>
                <w:rFonts w:ascii="宋体"/>
              </w:rPr>
            </w:pPr>
          </w:p>
        </w:tc>
      </w:tr>
      <w:tr w:rsidR="00871BDF" w14:paraId="00BB0532" w14:textId="77777777">
        <w:trPr>
          <w:hidden/>
        </w:trPr>
        <w:tc>
          <w:tcPr>
            <w:tcW w:w="0" w:type="auto"/>
            <w:gridSpan w:val="3"/>
            <w:shd w:val="clear" w:color="auto" w:fill="auto"/>
          </w:tcPr>
          <w:p w14:paraId="00BB052C" w14:textId="77777777" w:rsidR="00871BDF" w:rsidRDefault="00871BDF">
            <w:pPr>
              <w:rPr>
                <w:rFonts w:ascii="宋体"/>
                <w:vanish/>
              </w:rPr>
            </w:pPr>
          </w:p>
        </w:tc>
        <w:tc>
          <w:tcPr>
            <w:tcW w:w="0" w:type="auto"/>
            <w:gridSpan w:val="3"/>
            <w:shd w:val="clear" w:color="auto" w:fill="auto"/>
          </w:tcPr>
          <w:p w14:paraId="00BB052D" w14:textId="77777777" w:rsidR="00871BDF" w:rsidRDefault="00871BDF">
            <w:pPr>
              <w:rPr>
                <w:rFonts w:ascii="宋体"/>
                <w:vanish/>
              </w:rPr>
            </w:pPr>
          </w:p>
        </w:tc>
        <w:tc>
          <w:tcPr>
            <w:tcW w:w="0" w:type="auto"/>
            <w:gridSpan w:val="3"/>
            <w:shd w:val="clear" w:color="auto" w:fill="auto"/>
          </w:tcPr>
          <w:p w14:paraId="00BB052E" w14:textId="77777777" w:rsidR="00871BDF" w:rsidRDefault="00871BDF">
            <w:pPr>
              <w:rPr>
                <w:rFonts w:ascii="宋体"/>
                <w:vanish/>
              </w:rPr>
            </w:pPr>
          </w:p>
        </w:tc>
        <w:tc>
          <w:tcPr>
            <w:tcW w:w="0" w:type="auto"/>
            <w:gridSpan w:val="3"/>
            <w:shd w:val="clear" w:color="auto" w:fill="auto"/>
          </w:tcPr>
          <w:p w14:paraId="00BB052F" w14:textId="77777777" w:rsidR="00871BDF" w:rsidRDefault="00871BDF">
            <w:pPr>
              <w:rPr>
                <w:rFonts w:ascii="宋体"/>
                <w:vanish/>
              </w:rPr>
            </w:pPr>
          </w:p>
        </w:tc>
        <w:tc>
          <w:tcPr>
            <w:tcW w:w="0" w:type="auto"/>
            <w:gridSpan w:val="3"/>
            <w:shd w:val="clear" w:color="auto" w:fill="auto"/>
          </w:tcPr>
          <w:p w14:paraId="00BB0530" w14:textId="77777777" w:rsidR="00871BDF" w:rsidRDefault="00871BDF">
            <w:pPr>
              <w:rPr>
                <w:rFonts w:ascii="宋体"/>
                <w:vanish/>
              </w:rPr>
            </w:pPr>
          </w:p>
        </w:tc>
        <w:tc>
          <w:tcPr>
            <w:tcW w:w="0" w:type="auto"/>
            <w:gridSpan w:val="3"/>
            <w:shd w:val="clear" w:color="auto" w:fill="auto"/>
          </w:tcPr>
          <w:p w14:paraId="00BB0531" w14:textId="77777777" w:rsidR="00871BDF" w:rsidRDefault="00871BDF">
            <w:pPr>
              <w:rPr>
                <w:rFonts w:ascii="宋体"/>
                <w:vanish/>
              </w:rPr>
            </w:pPr>
          </w:p>
        </w:tc>
      </w:tr>
      <w:tr w:rsidR="00871BDF" w14:paraId="00BB053C" w14:textId="77777777">
        <w:tc>
          <w:tcPr>
            <w:tcW w:w="0" w:type="auto"/>
            <w:gridSpan w:val="3"/>
            <w:shd w:val="clear" w:color="auto" w:fill="D7E4BC"/>
            <w:tcMar>
              <w:top w:w="40" w:type="dxa"/>
              <w:left w:w="20" w:type="dxa"/>
              <w:bottom w:w="40" w:type="dxa"/>
              <w:right w:w="20" w:type="dxa"/>
            </w:tcMar>
          </w:tcPr>
          <w:p w14:paraId="00BB0533" w14:textId="77777777" w:rsidR="00871BDF" w:rsidRDefault="005C5088">
            <w:pPr>
              <w:textAlignment w:val="top"/>
            </w:pPr>
            <w:r>
              <w:rPr>
                <w:rFonts w:ascii="Times New Roman" w:eastAsia="宋体" w:hAnsi="Times New Roman"/>
                <w:color w:val="000000"/>
                <w:sz w:val="20"/>
                <w:szCs w:val="20"/>
              </w:rPr>
              <w:t>Gain resulting from acquisition of joint venture</w:t>
            </w:r>
          </w:p>
        </w:tc>
        <w:tc>
          <w:tcPr>
            <w:tcW w:w="0" w:type="auto"/>
            <w:gridSpan w:val="2"/>
            <w:shd w:val="clear" w:color="auto" w:fill="D7E4BC"/>
            <w:tcMar>
              <w:top w:w="40" w:type="dxa"/>
              <w:left w:w="20" w:type="dxa"/>
              <w:bottom w:w="40" w:type="dxa"/>
              <w:right w:w="0" w:type="dxa"/>
            </w:tcMar>
            <w:vAlign w:val="bottom"/>
          </w:tcPr>
          <w:p w14:paraId="00BB053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B053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3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537"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B053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3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53A" w14:textId="77777777" w:rsidR="00871BDF" w:rsidRDefault="005C5088">
            <w:pPr>
              <w:jc w:val="right"/>
              <w:textAlignment w:val="bottom"/>
            </w:pPr>
            <w:r>
              <w:rPr>
                <w:rFonts w:ascii="Times New Roman" w:eastAsia="宋体" w:hAnsi="Times New Roman"/>
                <w:color w:val="000000"/>
                <w:sz w:val="20"/>
                <w:szCs w:val="20"/>
              </w:rPr>
              <w:t>(5.8)</w:t>
            </w:r>
          </w:p>
        </w:tc>
        <w:tc>
          <w:tcPr>
            <w:tcW w:w="0" w:type="auto"/>
            <w:shd w:val="clear" w:color="auto" w:fill="D7E4BC"/>
            <w:tcMar>
              <w:top w:w="40" w:type="dxa"/>
              <w:left w:w="0" w:type="dxa"/>
              <w:bottom w:w="40" w:type="dxa"/>
              <w:right w:w="20" w:type="dxa"/>
            </w:tcMar>
            <w:vAlign w:val="bottom"/>
          </w:tcPr>
          <w:p w14:paraId="00BB053B" w14:textId="77777777" w:rsidR="00871BDF" w:rsidRDefault="00871BDF">
            <w:pPr>
              <w:jc w:val="right"/>
              <w:rPr>
                <w:rFonts w:ascii="宋体"/>
              </w:rPr>
            </w:pPr>
          </w:p>
        </w:tc>
      </w:tr>
      <w:tr w:rsidR="00871BDF" w14:paraId="00BB0546" w14:textId="77777777">
        <w:tc>
          <w:tcPr>
            <w:tcW w:w="0" w:type="auto"/>
            <w:gridSpan w:val="3"/>
            <w:shd w:val="clear" w:color="auto" w:fill="FFFFFF"/>
            <w:tcMar>
              <w:top w:w="40" w:type="dxa"/>
              <w:left w:w="20" w:type="dxa"/>
              <w:bottom w:w="40" w:type="dxa"/>
              <w:right w:w="20" w:type="dxa"/>
            </w:tcMar>
          </w:tcPr>
          <w:p w14:paraId="00BB053D" w14:textId="77777777" w:rsidR="00871BDF" w:rsidRDefault="005C5088">
            <w:pPr>
              <w:textAlignment w:val="top"/>
            </w:pPr>
            <w:r>
              <w:rPr>
                <w:rFonts w:ascii="Times New Roman" w:eastAsia="宋体" w:hAnsi="Times New Roman"/>
                <w:color w:val="000000"/>
                <w:sz w:val="20"/>
                <w:szCs w:val="20"/>
              </w:rPr>
              <w:t>Impact of the Tax Act</w:t>
            </w:r>
          </w:p>
        </w:tc>
        <w:tc>
          <w:tcPr>
            <w:tcW w:w="0" w:type="auto"/>
            <w:gridSpan w:val="2"/>
            <w:shd w:val="clear" w:color="auto" w:fill="FFFFFF"/>
            <w:tcMar>
              <w:top w:w="40" w:type="dxa"/>
              <w:left w:w="20" w:type="dxa"/>
              <w:bottom w:w="40" w:type="dxa"/>
              <w:right w:w="0" w:type="dxa"/>
            </w:tcMar>
            <w:vAlign w:val="bottom"/>
          </w:tcPr>
          <w:p w14:paraId="00BB053E"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53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54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54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54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54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544" w14:textId="77777777" w:rsidR="00871BDF" w:rsidRDefault="005C5088">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00BB0545" w14:textId="77777777" w:rsidR="00871BDF" w:rsidRDefault="00871BDF">
            <w:pPr>
              <w:jc w:val="right"/>
              <w:rPr>
                <w:rFonts w:ascii="宋体"/>
              </w:rPr>
            </w:pPr>
          </w:p>
        </w:tc>
      </w:tr>
      <w:tr w:rsidR="00871BDF" w14:paraId="00BB0550" w14:textId="77777777">
        <w:tc>
          <w:tcPr>
            <w:tcW w:w="0" w:type="auto"/>
            <w:gridSpan w:val="3"/>
            <w:shd w:val="clear" w:color="auto" w:fill="D7E4BC"/>
            <w:tcMar>
              <w:top w:w="40" w:type="dxa"/>
              <w:left w:w="20" w:type="dxa"/>
              <w:bottom w:w="40" w:type="dxa"/>
              <w:right w:w="20" w:type="dxa"/>
            </w:tcMar>
          </w:tcPr>
          <w:p w14:paraId="00BB0547" w14:textId="77777777" w:rsidR="00871BDF" w:rsidRDefault="005C5088">
            <w:pPr>
              <w:textAlignment w:val="top"/>
            </w:pPr>
            <w:r>
              <w:rPr>
                <w:rFonts w:ascii="Times New Roman" w:eastAsia="宋体" w:hAnsi="Times New Roman"/>
                <w:color w:val="000000"/>
                <w:sz w:val="20"/>
                <w:szCs w:val="20"/>
              </w:rPr>
              <w:t>Other, net</w:t>
            </w:r>
          </w:p>
        </w:tc>
        <w:tc>
          <w:tcPr>
            <w:tcW w:w="0" w:type="auto"/>
            <w:gridSpan w:val="2"/>
            <w:shd w:val="clear" w:color="auto" w:fill="D7E4BC"/>
            <w:tcMar>
              <w:top w:w="40" w:type="dxa"/>
              <w:left w:w="20" w:type="dxa"/>
              <w:bottom w:w="40" w:type="dxa"/>
              <w:right w:w="0" w:type="dxa"/>
            </w:tcMar>
            <w:vAlign w:val="bottom"/>
          </w:tcPr>
          <w:p w14:paraId="00BB0548" w14:textId="77777777" w:rsidR="00871BDF" w:rsidRDefault="005C5088">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00BB054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4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54B" w14:textId="77777777" w:rsidR="00871BDF" w:rsidRDefault="005C5088">
            <w:pPr>
              <w:jc w:val="right"/>
              <w:textAlignment w:val="bottom"/>
            </w:pPr>
            <w:r>
              <w:rPr>
                <w:rFonts w:ascii="Times New Roman" w:eastAsia="宋体" w:hAnsi="Times New Roman"/>
                <w:color w:val="000000"/>
                <w:sz w:val="20"/>
                <w:szCs w:val="20"/>
              </w:rPr>
              <w:t>(0.3)</w:t>
            </w:r>
          </w:p>
        </w:tc>
        <w:tc>
          <w:tcPr>
            <w:tcW w:w="0" w:type="auto"/>
            <w:shd w:val="clear" w:color="auto" w:fill="D7E4BC"/>
            <w:tcMar>
              <w:top w:w="40" w:type="dxa"/>
              <w:left w:w="0" w:type="dxa"/>
              <w:bottom w:w="40" w:type="dxa"/>
              <w:right w:w="20" w:type="dxa"/>
            </w:tcMar>
            <w:vAlign w:val="bottom"/>
          </w:tcPr>
          <w:p w14:paraId="00BB054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4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54E" w14:textId="77777777" w:rsidR="00871BDF" w:rsidRDefault="005C5088">
            <w:pPr>
              <w:jc w:val="right"/>
              <w:textAlignment w:val="bottom"/>
            </w:pPr>
            <w:r>
              <w:rPr>
                <w:rFonts w:ascii="Times New Roman" w:eastAsia="宋体" w:hAnsi="Times New Roman"/>
                <w:color w:val="000000"/>
                <w:sz w:val="20"/>
                <w:szCs w:val="20"/>
              </w:rPr>
              <w:t>(0.8)</w:t>
            </w:r>
          </w:p>
        </w:tc>
        <w:tc>
          <w:tcPr>
            <w:tcW w:w="0" w:type="auto"/>
            <w:shd w:val="clear" w:color="auto" w:fill="D7E4BC"/>
            <w:tcMar>
              <w:top w:w="40" w:type="dxa"/>
              <w:left w:w="0" w:type="dxa"/>
              <w:bottom w:w="40" w:type="dxa"/>
              <w:right w:w="20" w:type="dxa"/>
            </w:tcMar>
            <w:vAlign w:val="bottom"/>
          </w:tcPr>
          <w:p w14:paraId="00BB054F" w14:textId="77777777" w:rsidR="00871BDF" w:rsidRDefault="00871BDF">
            <w:pPr>
              <w:jc w:val="right"/>
              <w:rPr>
                <w:rFonts w:ascii="宋体"/>
              </w:rPr>
            </w:pPr>
          </w:p>
        </w:tc>
      </w:tr>
      <w:tr w:rsidR="00871BDF" w14:paraId="00BB055A" w14:textId="77777777">
        <w:tc>
          <w:tcPr>
            <w:tcW w:w="0" w:type="auto"/>
            <w:gridSpan w:val="3"/>
            <w:shd w:val="clear" w:color="auto" w:fill="FFFFFF"/>
            <w:tcMar>
              <w:top w:w="40" w:type="dxa"/>
              <w:left w:w="20" w:type="dxa"/>
              <w:bottom w:w="40" w:type="dxa"/>
              <w:right w:w="20" w:type="dxa"/>
            </w:tcMar>
          </w:tcPr>
          <w:p w14:paraId="00BB0551" w14:textId="77777777" w:rsidR="00871BDF" w:rsidRDefault="005C5088">
            <w:pPr>
              <w:textAlignment w:val="top"/>
            </w:pPr>
            <w:r>
              <w:rPr>
                <w:rFonts w:ascii="Times New Roman" w:eastAsia="宋体" w:hAnsi="Times New Roman"/>
                <w:color w:val="000000"/>
                <w:sz w:val="20"/>
                <w:szCs w:val="20"/>
              </w:rPr>
              <w:t>Effective tax rate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552" w14:textId="77777777" w:rsidR="00871BDF" w:rsidRDefault="005C5088">
            <w:pPr>
              <w:jc w:val="right"/>
              <w:textAlignment w:val="bottom"/>
            </w:pPr>
            <w:r>
              <w:rPr>
                <w:rFonts w:ascii="Times New Roman" w:eastAsia="宋体" w:hAnsi="Times New Roman"/>
                <w:color w:val="000000"/>
                <w:sz w:val="20"/>
                <w:szCs w:val="20"/>
              </w:rPr>
              <w:t>20.6 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553"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0554"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555" w14:textId="77777777" w:rsidR="00871BDF" w:rsidRDefault="005C5088">
            <w:pPr>
              <w:jc w:val="right"/>
              <w:textAlignment w:val="bottom"/>
            </w:pPr>
            <w:r>
              <w:rPr>
                <w:rFonts w:ascii="Times New Roman" w:eastAsia="宋体" w:hAnsi="Times New Roman"/>
                <w:color w:val="000000"/>
                <w:sz w:val="20"/>
                <w:szCs w:val="20"/>
              </w:rPr>
              <w:t>19.5 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556"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0557"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558" w14:textId="77777777" w:rsidR="00871BDF" w:rsidRDefault="005C5088">
            <w:pPr>
              <w:jc w:val="right"/>
              <w:textAlignment w:val="bottom"/>
            </w:pPr>
            <w:r>
              <w:rPr>
                <w:rFonts w:ascii="Times New Roman" w:eastAsia="宋体" w:hAnsi="Times New Roman"/>
                <w:color w:val="000000"/>
                <w:sz w:val="20"/>
                <w:szCs w:val="20"/>
              </w:rPr>
              <w:t>21.8 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559" w14:textId="77777777" w:rsidR="00871BDF" w:rsidRDefault="005C5088">
            <w:pPr>
              <w:jc w:val="right"/>
              <w:textAlignment w:val="bottom"/>
            </w:pPr>
            <w:r>
              <w:rPr>
                <w:rFonts w:ascii="Times New Roman" w:eastAsia="宋体" w:hAnsi="Times New Roman"/>
                <w:color w:val="000000"/>
                <w:sz w:val="20"/>
                <w:szCs w:val="20"/>
              </w:rPr>
              <w:t>%</w:t>
            </w:r>
          </w:p>
        </w:tc>
      </w:tr>
    </w:tbl>
    <w:p w14:paraId="00BB055B" w14:textId="77777777" w:rsidR="00871BDF" w:rsidRDefault="005C5088">
      <w:pPr>
        <w:spacing w:before="120"/>
      </w:pPr>
      <w:r>
        <w:rPr>
          <w:rFonts w:ascii="Times New Roman" w:eastAsia="宋体" w:hAnsi="Times New Roman"/>
          <w:color w:val="000000"/>
          <w:sz w:val="20"/>
          <w:szCs w:val="20"/>
        </w:rPr>
        <w:t>As of September 27, 2020, in foreign subsidiaries in which we are partially indefinitely reinvested, the gross taxable temporary difference between the accounting basis and tax basis was approximately $1.4 billion for which there could be up to ap</w:t>
      </w:r>
      <w:r>
        <w:rPr>
          <w:rFonts w:ascii="Times New Roman" w:eastAsia="宋体" w:hAnsi="Times New Roman"/>
          <w:color w:val="000000"/>
          <w:sz w:val="20"/>
          <w:szCs w:val="20"/>
        </w:rPr>
        <w:t>proximately $280 million of unrecognized tax liability.</w:t>
      </w:r>
    </w:p>
    <w:p w14:paraId="00BB055C" w14:textId="77777777" w:rsidR="00871BDF" w:rsidRDefault="005C5088">
      <w:pPr>
        <w:jc w:val="center"/>
      </w:pPr>
      <w:r>
        <w:rPr>
          <w:rFonts w:ascii="Times New Roman" w:eastAsia="宋体" w:hAnsi="Times New Roman"/>
          <w:color w:val="000000"/>
          <w:sz w:val="20"/>
          <w:szCs w:val="20"/>
        </w:rPr>
        <w:t>84</w:t>
      </w:r>
    </w:p>
    <w:p w14:paraId="00BB055D" w14:textId="77777777" w:rsidR="00871BDF" w:rsidRDefault="005C5088">
      <w:r>
        <w:pict w14:anchorId="00BB14B9">
          <v:rect id="_x0000_i1111" style="width:415.3pt;height:1.5pt" o:hralign="center" o:hrstd="t" o:hr="t" fillcolor="#a0a0a0" stroked="f"/>
        </w:pict>
      </w:r>
    </w:p>
    <w:p w14:paraId="00BB055E" w14:textId="77777777" w:rsidR="00871BDF" w:rsidRDefault="005C5088">
      <w:hyperlink r:id="rId227" w:anchor="i54ccc64cb5384be5a4849ef1cdef4dde_7" w:history="1">
        <w:r>
          <w:rPr>
            <w:rStyle w:val="a5"/>
            <w:rFonts w:ascii="Times New Roman" w:eastAsia="宋体" w:hAnsi="Times New Roman"/>
            <w:sz w:val="20"/>
            <w:szCs w:val="20"/>
          </w:rPr>
          <w:t>Table of Contents</w:t>
        </w:r>
      </w:hyperlink>
    </w:p>
    <w:p w14:paraId="00BB055F" w14:textId="77777777" w:rsidR="00871BDF" w:rsidRDefault="005C5088">
      <w:pPr>
        <w:spacing w:before="120"/>
      </w:pPr>
      <w:r>
        <w:rPr>
          <w:rFonts w:ascii="Times New Roman" w:eastAsia="宋体" w:hAnsi="Times New Roman"/>
          <w:color w:val="000000"/>
          <w:sz w:val="20"/>
          <w:szCs w:val="20"/>
        </w:rPr>
        <w:t xml:space="preserve">Tax effect of temporary </w:t>
      </w:r>
      <w:r>
        <w:rPr>
          <w:rFonts w:ascii="Times New Roman" w:eastAsia="宋体" w:hAnsi="Times New Roman"/>
          <w:color w:val="000000"/>
          <w:sz w:val="20"/>
          <w:szCs w:val="20"/>
        </w:rPr>
        <w:t xml:space="preserve">differences and carryforwards that comprise significant portions of deferred tax assets and liabilities </w:t>
      </w:r>
      <w:r>
        <w:rPr>
          <w:rFonts w:ascii="Times New Roman" w:eastAsia="宋体" w:hAnsi="Times New Roman"/>
          <w:i/>
          <w:iCs/>
          <w:color w:val="000000"/>
          <w:sz w:val="20"/>
          <w:szCs w:val="20"/>
        </w:rPr>
        <w:t>(in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387"/>
        <w:gridCol w:w="38"/>
        <w:gridCol w:w="120"/>
        <w:gridCol w:w="1230"/>
        <w:gridCol w:w="36"/>
        <w:gridCol w:w="36"/>
        <w:gridCol w:w="36"/>
        <w:gridCol w:w="36"/>
        <w:gridCol w:w="120"/>
        <w:gridCol w:w="1196"/>
        <w:gridCol w:w="36"/>
      </w:tblGrid>
      <w:tr w:rsidR="00871BDF" w14:paraId="00BB056C" w14:textId="77777777">
        <w:tc>
          <w:tcPr>
            <w:tcW w:w="50" w:type="pct"/>
            <w:shd w:val="clear" w:color="auto" w:fill="auto"/>
          </w:tcPr>
          <w:p w14:paraId="00BB0560" w14:textId="77777777" w:rsidR="00871BDF" w:rsidRDefault="00871BDF">
            <w:pPr>
              <w:rPr>
                <w:rFonts w:ascii="宋体"/>
              </w:rPr>
            </w:pPr>
          </w:p>
        </w:tc>
        <w:tc>
          <w:tcPr>
            <w:tcW w:w="3266" w:type="pct"/>
            <w:shd w:val="clear" w:color="auto" w:fill="auto"/>
          </w:tcPr>
          <w:p w14:paraId="00BB0561" w14:textId="77777777" w:rsidR="00871BDF" w:rsidRDefault="00871BDF">
            <w:pPr>
              <w:rPr>
                <w:rFonts w:ascii="宋体"/>
              </w:rPr>
            </w:pPr>
          </w:p>
        </w:tc>
        <w:tc>
          <w:tcPr>
            <w:tcW w:w="5" w:type="pct"/>
            <w:shd w:val="clear" w:color="auto" w:fill="auto"/>
          </w:tcPr>
          <w:p w14:paraId="00BB0562" w14:textId="77777777" w:rsidR="00871BDF" w:rsidRDefault="00871BDF">
            <w:pPr>
              <w:rPr>
                <w:rFonts w:ascii="宋体"/>
              </w:rPr>
            </w:pPr>
          </w:p>
        </w:tc>
        <w:tc>
          <w:tcPr>
            <w:tcW w:w="50" w:type="pct"/>
            <w:shd w:val="clear" w:color="auto" w:fill="auto"/>
          </w:tcPr>
          <w:p w14:paraId="00BB0563" w14:textId="77777777" w:rsidR="00871BDF" w:rsidRDefault="00871BDF">
            <w:pPr>
              <w:rPr>
                <w:rFonts w:ascii="宋体"/>
              </w:rPr>
            </w:pPr>
          </w:p>
        </w:tc>
        <w:tc>
          <w:tcPr>
            <w:tcW w:w="766" w:type="pct"/>
            <w:shd w:val="clear" w:color="auto" w:fill="auto"/>
          </w:tcPr>
          <w:p w14:paraId="00BB0564" w14:textId="77777777" w:rsidR="00871BDF" w:rsidRDefault="00871BDF">
            <w:pPr>
              <w:rPr>
                <w:rFonts w:ascii="宋体"/>
              </w:rPr>
            </w:pPr>
          </w:p>
        </w:tc>
        <w:tc>
          <w:tcPr>
            <w:tcW w:w="5" w:type="pct"/>
            <w:shd w:val="clear" w:color="auto" w:fill="auto"/>
          </w:tcPr>
          <w:p w14:paraId="00BB0565" w14:textId="77777777" w:rsidR="00871BDF" w:rsidRDefault="00871BDF">
            <w:pPr>
              <w:rPr>
                <w:rFonts w:ascii="宋体"/>
              </w:rPr>
            </w:pPr>
          </w:p>
        </w:tc>
        <w:tc>
          <w:tcPr>
            <w:tcW w:w="5" w:type="pct"/>
            <w:shd w:val="clear" w:color="auto" w:fill="auto"/>
          </w:tcPr>
          <w:p w14:paraId="00BB0566" w14:textId="77777777" w:rsidR="00871BDF" w:rsidRDefault="00871BDF">
            <w:pPr>
              <w:rPr>
                <w:rFonts w:ascii="宋体"/>
              </w:rPr>
            </w:pPr>
          </w:p>
        </w:tc>
        <w:tc>
          <w:tcPr>
            <w:tcW w:w="26" w:type="pct"/>
            <w:shd w:val="clear" w:color="auto" w:fill="auto"/>
          </w:tcPr>
          <w:p w14:paraId="00BB0567" w14:textId="77777777" w:rsidR="00871BDF" w:rsidRDefault="00871BDF">
            <w:pPr>
              <w:rPr>
                <w:rFonts w:ascii="宋体"/>
              </w:rPr>
            </w:pPr>
          </w:p>
        </w:tc>
        <w:tc>
          <w:tcPr>
            <w:tcW w:w="5" w:type="pct"/>
            <w:shd w:val="clear" w:color="auto" w:fill="auto"/>
          </w:tcPr>
          <w:p w14:paraId="00BB0568" w14:textId="77777777" w:rsidR="00871BDF" w:rsidRDefault="00871BDF">
            <w:pPr>
              <w:rPr>
                <w:rFonts w:ascii="宋体"/>
              </w:rPr>
            </w:pPr>
          </w:p>
        </w:tc>
        <w:tc>
          <w:tcPr>
            <w:tcW w:w="50" w:type="pct"/>
            <w:shd w:val="clear" w:color="auto" w:fill="auto"/>
          </w:tcPr>
          <w:p w14:paraId="00BB0569" w14:textId="77777777" w:rsidR="00871BDF" w:rsidRDefault="00871BDF">
            <w:pPr>
              <w:rPr>
                <w:rFonts w:ascii="宋体"/>
              </w:rPr>
            </w:pPr>
          </w:p>
        </w:tc>
        <w:tc>
          <w:tcPr>
            <w:tcW w:w="766" w:type="pct"/>
            <w:shd w:val="clear" w:color="auto" w:fill="auto"/>
          </w:tcPr>
          <w:p w14:paraId="00BB056A" w14:textId="77777777" w:rsidR="00871BDF" w:rsidRDefault="00871BDF">
            <w:pPr>
              <w:rPr>
                <w:rFonts w:ascii="宋体"/>
              </w:rPr>
            </w:pPr>
          </w:p>
        </w:tc>
        <w:tc>
          <w:tcPr>
            <w:tcW w:w="5" w:type="pct"/>
            <w:shd w:val="clear" w:color="auto" w:fill="auto"/>
          </w:tcPr>
          <w:p w14:paraId="00BB056B" w14:textId="77777777" w:rsidR="00871BDF" w:rsidRDefault="00871BDF">
            <w:pPr>
              <w:rPr>
                <w:rFonts w:ascii="宋体"/>
              </w:rPr>
            </w:pPr>
          </w:p>
        </w:tc>
      </w:tr>
      <w:tr w:rsidR="00871BDF" w14:paraId="00BB0571" w14:textId="77777777">
        <w:tc>
          <w:tcPr>
            <w:tcW w:w="0" w:type="auto"/>
            <w:gridSpan w:val="3"/>
            <w:shd w:val="clear" w:color="auto" w:fill="auto"/>
            <w:tcMar>
              <w:top w:w="0" w:type="dxa"/>
              <w:left w:w="20" w:type="dxa"/>
              <w:bottom w:w="0" w:type="dxa"/>
              <w:right w:w="20" w:type="dxa"/>
            </w:tcMar>
          </w:tcPr>
          <w:p w14:paraId="00BB056D"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56E"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B056F"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570" w14:textId="77777777" w:rsidR="00871BDF" w:rsidRDefault="005C5088">
            <w:pPr>
              <w:jc w:val="center"/>
              <w:textAlignment w:val="bottom"/>
            </w:pPr>
            <w:r>
              <w:rPr>
                <w:rFonts w:ascii="Times New Roman" w:eastAsia="宋体" w:hAnsi="Times New Roman"/>
                <w:b/>
                <w:bCs/>
                <w:color w:val="FFFFFF"/>
                <w:sz w:val="16"/>
                <w:szCs w:val="16"/>
              </w:rPr>
              <w:t>Sep 29, 2019</w:t>
            </w:r>
          </w:p>
        </w:tc>
      </w:tr>
      <w:tr w:rsidR="00871BDF" w14:paraId="00BB0576" w14:textId="77777777">
        <w:tc>
          <w:tcPr>
            <w:tcW w:w="0" w:type="auto"/>
            <w:gridSpan w:val="3"/>
            <w:shd w:val="clear" w:color="auto" w:fill="D7E4BC"/>
            <w:tcMar>
              <w:top w:w="40" w:type="dxa"/>
              <w:left w:w="20" w:type="dxa"/>
              <w:bottom w:w="40" w:type="dxa"/>
              <w:right w:w="20" w:type="dxa"/>
            </w:tcMar>
          </w:tcPr>
          <w:p w14:paraId="00BB0572" w14:textId="77777777" w:rsidR="00871BDF" w:rsidRDefault="005C5088">
            <w:pPr>
              <w:textAlignment w:val="top"/>
            </w:pPr>
            <w:r>
              <w:rPr>
                <w:rFonts w:ascii="Times New Roman" w:eastAsia="宋体" w:hAnsi="Times New Roman"/>
                <w:color w:val="000000"/>
                <w:sz w:val="20"/>
                <w:szCs w:val="20"/>
              </w:rPr>
              <w:t>Deferred tax assets:</w:t>
            </w:r>
          </w:p>
        </w:tc>
        <w:tc>
          <w:tcPr>
            <w:tcW w:w="0" w:type="auto"/>
            <w:gridSpan w:val="3"/>
            <w:tcBorders>
              <w:top w:val="single" w:sz="8" w:space="0" w:color="000000"/>
            </w:tcBorders>
            <w:shd w:val="clear" w:color="auto" w:fill="D7E4BC"/>
            <w:tcMar>
              <w:top w:w="0" w:type="dxa"/>
              <w:left w:w="20" w:type="dxa"/>
              <w:bottom w:w="0" w:type="dxa"/>
              <w:right w:w="20" w:type="dxa"/>
            </w:tcMar>
          </w:tcPr>
          <w:p w14:paraId="00BB057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574"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575" w14:textId="77777777" w:rsidR="00871BDF" w:rsidRDefault="00871BDF">
            <w:pPr>
              <w:rPr>
                <w:rFonts w:ascii="宋体"/>
              </w:rPr>
            </w:pPr>
          </w:p>
        </w:tc>
      </w:tr>
      <w:tr w:rsidR="00871BDF" w14:paraId="00BB057F" w14:textId="77777777">
        <w:tc>
          <w:tcPr>
            <w:tcW w:w="0" w:type="auto"/>
            <w:gridSpan w:val="3"/>
            <w:shd w:val="clear" w:color="auto" w:fill="FFFFFF"/>
            <w:tcMar>
              <w:top w:w="40" w:type="dxa"/>
              <w:left w:w="20" w:type="dxa"/>
              <w:bottom w:w="40" w:type="dxa"/>
              <w:right w:w="20" w:type="dxa"/>
            </w:tcMar>
          </w:tcPr>
          <w:p w14:paraId="00BB0577" w14:textId="77777777" w:rsidR="00871BDF" w:rsidRDefault="005C5088">
            <w:pPr>
              <w:textAlignment w:val="top"/>
            </w:pPr>
            <w:r>
              <w:rPr>
                <w:rFonts w:ascii="Times New Roman" w:eastAsia="宋体" w:hAnsi="Times New Roman"/>
                <w:color w:val="000000"/>
                <w:sz w:val="20"/>
                <w:szCs w:val="20"/>
              </w:rPr>
              <w:t>Operating lease liabilities</w:t>
            </w:r>
          </w:p>
        </w:tc>
        <w:tc>
          <w:tcPr>
            <w:tcW w:w="0" w:type="auto"/>
            <w:shd w:val="clear" w:color="auto" w:fill="FFFFFF"/>
            <w:tcMar>
              <w:top w:w="40" w:type="dxa"/>
              <w:left w:w="20" w:type="dxa"/>
              <w:bottom w:w="40" w:type="dxa"/>
              <w:right w:w="0" w:type="dxa"/>
            </w:tcMar>
            <w:vAlign w:val="bottom"/>
          </w:tcPr>
          <w:p w14:paraId="00BB0578"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579" w14:textId="77777777" w:rsidR="00871BDF" w:rsidRDefault="005C5088">
            <w:pPr>
              <w:jc w:val="right"/>
              <w:textAlignment w:val="bottom"/>
            </w:pPr>
            <w:r>
              <w:rPr>
                <w:rFonts w:ascii="Times New Roman" w:eastAsia="宋体" w:hAnsi="Times New Roman"/>
                <w:color w:val="000000"/>
                <w:sz w:val="20"/>
                <w:szCs w:val="20"/>
              </w:rPr>
              <w:t>2,313.0 </w:t>
            </w:r>
          </w:p>
        </w:tc>
        <w:tc>
          <w:tcPr>
            <w:tcW w:w="0" w:type="auto"/>
            <w:shd w:val="clear" w:color="auto" w:fill="FFFFFF"/>
            <w:tcMar>
              <w:top w:w="40" w:type="dxa"/>
              <w:left w:w="0" w:type="dxa"/>
              <w:bottom w:w="40" w:type="dxa"/>
              <w:right w:w="20" w:type="dxa"/>
            </w:tcMar>
            <w:vAlign w:val="bottom"/>
          </w:tcPr>
          <w:p w14:paraId="00BB057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57B"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57C"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57D"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57E" w14:textId="77777777" w:rsidR="00871BDF" w:rsidRDefault="00871BDF">
            <w:pPr>
              <w:jc w:val="right"/>
              <w:rPr>
                <w:rFonts w:ascii="宋体"/>
              </w:rPr>
            </w:pPr>
          </w:p>
        </w:tc>
      </w:tr>
      <w:tr w:rsidR="00871BDF" w14:paraId="00BB0584" w14:textId="77777777">
        <w:trPr>
          <w:hidden/>
        </w:trPr>
        <w:tc>
          <w:tcPr>
            <w:tcW w:w="0" w:type="auto"/>
            <w:gridSpan w:val="3"/>
            <w:shd w:val="clear" w:color="auto" w:fill="auto"/>
          </w:tcPr>
          <w:p w14:paraId="00BB0580" w14:textId="77777777" w:rsidR="00871BDF" w:rsidRDefault="00871BDF">
            <w:pPr>
              <w:rPr>
                <w:rFonts w:ascii="宋体"/>
                <w:vanish/>
              </w:rPr>
            </w:pPr>
          </w:p>
        </w:tc>
        <w:tc>
          <w:tcPr>
            <w:tcW w:w="0" w:type="auto"/>
            <w:gridSpan w:val="3"/>
            <w:shd w:val="clear" w:color="auto" w:fill="auto"/>
          </w:tcPr>
          <w:p w14:paraId="00BB0581" w14:textId="77777777" w:rsidR="00871BDF" w:rsidRDefault="00871BDF">
            <w:pPr>
              <w:rPr>
                <w:rFonts w:ascii="宋体"/>
                <w:vanish/>
              </w:rPr>
            </w:pPr>
          </w:p>
        </w:tc>
        <w:tc>
          <w:tcPr>
            <w:tcW w:w="0" w:type="auto"/>
            <w:gridSpan w:val="3"/>
            <w:shd w:val="clear" w:color="auto" w:fill="auto"/>
          </w:tcPr>
          <w:p w14:paraId="00BB0582" w14:textId="77777777" w:rsidR="00871BDF" w:rsidRDefault="00871BDF">
            <w:pPr>
              <w:rPr>
                <w:rFonts w:ascii="宋体"/>
                <w:vanish/>
              </w:rPr>
            </w:pPr>
          </w:p>
        </w:tc>
        <w:tc>
          <w:tcPr>
            <w:tcW w:w="0" w:type="auto"/>
            <w:gridSpan w:val="3"/>
            <w:shd w:val="clear" w:color="auto" w:fill="auto"/>
          </w:tcPr>
          <w:p w14:paraId="00BB0583" w14:textId="77777777" w:rsidR="00871BDF" w:rsidRDefault="00871BDF">
            <w:pPr>
              <w:rPr>
                <w:rFonts w:ascii="宋体"/>
                <w:vanish/>
              </w:rPr>
            </w:pPr>
          </w:p>
        </w:tc>
      </w:tr>
      <w:tr w:rsidR="00871BDF" w14:paraId="00BB058B" w14:textId="77777777">
        <w:tc>
          <w:tcPr>
            <w:tcW w:w="0" w:type="auto"/>
            <w:gridSpan w:val="3"/>
            <w:shd w:val="clear" w:color="auto" w:fill="D7E4BC"/>
            <w:tcMar>
              <w:top w:w="40" w:type="dxa"/>
              <w:left w:w="20" w:type="dxa"/>
              <w:bottom w:w="40" w:type="dxa"/>
              <w:right w:w="20" w:type="dxa"/>
            </w:tcMar>
          </w:tcPr>
          <w:p w14:paraId="00BB0585" w14:textId="77777777" w:rsidR="00871BDF" w:rsidRDefault="005C5088">
            <w:pPr>
              <w:textAlignment w:val="top"/>
            </w:pPr>
            <w:r>
              <w:rPr>
                <w:rFonts w:ascii="Times New Roman" w:eastAsia="宋体" w:hAnsi="Times New Roman"/>
                <w:color w:val="000000"/>
                <w:sz w:val="20"/>
                <w:szCs w:val="20"/>
              </w:rPr>
              <w:t xml:space="preserve">Stored value </w:t>
            </w:r>
            <w:r>
              <w:rPr>
                <w:rFonts w:ascii="Times New Roman" w:eastAsia="宋体" w:hAnsi="Times New Roman"/>
                <w:color w:val="000000"/>
                <w:sz w:val="20"/>
                <w:szCs w:val="20"/>
              </w:rPr>
              <w:t>card liability and deferred revenue</w:t>
            </w:r>
          </w:p>
        </w:tc>
        <w:tc>
          <w:tcPr>
            <w:tcW w:w="0" w:type="auto"/>
            <w:gridSpan w:val="2"/>
            <w:shd w:val="clear" w:color="auto" w:fill="D7E4BC"/>
            <w:tcMar>
              <w:top w:w="40" w:type="dxa"/>
              <w:left w:w="20" w:type="dxa"/>
              <w:bottom w:w="40" w:type="dxa"/>
              <w:right w:w="0" w:type="dxa"/>
            </w:tcMar>
            <w:vAlign w:val="bottom"/>
          </w:tcPr>
          <w:p w14:paraId="00BB0586" w14:textId="77777777" w:rsidR="00871BDF" w:rsidRDefault="005C5088">
            <w:pPr>
              <w:jc w:val="right"/>
              <w:textAlignment w:val="bottom"/>
            </w:pPr>
            <w:r>
              <w:rPr>
                <w:rFonts w:ascii="Times New Roman" w:eastAsia="宋体" w:hAnsi="Times New Roman"/>
                <w:color w:val="000000"/>
                <w:sz w:val="20"/>
                <w:szCs w:val="20"/>
              </w:rPr>
              <w:t>1,678.6 </w:t>
            </w:r>
          </w:p>
        </w:tc>
        <w:tc>
          <w:tcPr>
            <w:tcW w:w="0" w:type="auto"/>
            <w:shd w:val="clear" w:color="auto" w:fill="D7E4BC"/>
            <w:tcMar>
              <w:top w:w="40" w:type="dxa"/>
              <w:left w:w="0" w:type="dxa"/>
              <w:bottom w:w="40" w:type="dxa"/>
              <w:right w:w="20" w:type="dxa"/>
            </w:tcMar>
            <w:vAlign w:val="bottom"/>
          </w:tcPr>
          <w:p w14:paraId="00BB058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8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589" w14:textId="77777777" w:rsidR="00871BDF" w:rsidRDefault="005C5088">
            <w:pPr>
              <w:jc w:val="right"/>
              <w:textAlignment w:val="bottom"/>
            </w:pPr>
            <w:r>
              <w:rPr>
                <w:rFonts w:ascii="Times New Roman" w:eastAsia="宋体" w:hAnsi="Times New Roman"/>
                <w:color w:val="000000"/>
                <w:sz w:val="20"/>
                <w:szCs w:val="20"/>
              </w:rPr>
              <w:t>1,649.0 </w:t>
            </w:r>
          </w:p>
        </w:tc>
        <w:tc>
          <w:tcPr>
            <w:tcW w:w="0" w:type="auto"/>
            <w:shd w:val="clear" w:color="auto" w:fill="D7E4BC"/>
            <w:tcMar>
              <w:top w:w="40" w:type="dxa"/>
              <w:left w:w="0" w:type="dxa"/>
              <w:bottom w:w="40" w:type="dxa"/>
              <w:right w:w="20" w:type="dxa"/>
            </w:tcMar>
            <w:vAlign w:val="bottom"/>
          </w:tcPr>
          <w:p w14:paraId="00BB058A" w14:textId="77777777" w:rsidR="00871BDF" w:rsidRDefault="00871BDF">
            <w:pPr>
              <w:jc w:val="right"/>
              <w:rPr>
                <w:rFonts w:ascii="宋体"/>
              </w:rPr>
            </w:pPr>
          </w:p>
        </w:tc>
      </w:tr>
      <w:tr w:rsidR="00871BDF" w14:paraId="00BB0592" w14:textId="77777777">
        <w:tc>
          <w:tcPr>
            <w:tcW w:w="0" w:type="auto"/>
            <w:gridSpan w:val="3"/>
            <w:shd w:val="clear" w:color="auto" w:fill="FFFFFF"/>
            <w:tcMar>
              <w:top w:w="40" w:type="dxa"/>
              <w:left w:w="20" w:type="dxa"/>
              <w:bottom w:w="40" w:type="dxa"/>
              <w:right w:w="20" w:type="dxa"/>
            </w:tcMar>
          </w:tcPr>
          <w:p w14:paraId="00BB058C" w14:textId="77777777" w:rsidR="00871BDF" w:rsidRDefault="005C5088">
            <w:pPr>
              <w:textAlignment w:val="top"/>
            </w:pPr>
            <w:r>
              <w:rPr>
                <w:rFonts w:ascii="Times New Roman" w:eastAsia="宋体" w:hAnsi="Times New Roman"/>
                <w:color w:val="000000"/>
                <w:sz w:val="20"/>
                <w:szCs w:val="20"/>
              </w:rPr>
              <w:t xml:space="preserve">Intangible assets and goodwill </w:t>
            </w:r>
          </w:p>
        </w:tc>
        <w:tc>
          <w:tcPr>
            <w:tcW w:w="0" w:type="auto"/>
            <w:gridSpan w:val="2"/>
            <w:shd w:val="clear" w:color="auto" w:fill="FFFFFF"/>
            <w:tcMar>
              <w:top w:w="40" w:type="dxa"/>
              <w:left w:w="20" w:type="dxa"/>
              <w:bottom w:w="40" w:type="dxa"/>
              <w:right w:w="0" w:type="dxa"/>
            </w:tcMar>
            <w:vAlign w:val="bottom"/>
          </w:tcPr>
          <w:p w14:paraId="00BB058D" w14:textId="77777777" w:rsidR="00871BDF" w:rsidRDefault="005C5088">
            <w:pPr>
              <w:jc w:val="right"/>
              <w:textAlignment w:val="bottom"/>
            </w:pPr>
            <w:r>
              <w:rPr>
                <w:rFonts w:ascii="Times New Roman" w:eastAsia="宋体" w:hAnsi="Times New Roman"/>
                <w:color w:val="000000"/>
                <w:sz w:val="20"/>
                <w:szCs w:val="20"/>
              </w:rPr>
              <w:t>248.6 </w:t>
            </w:r>
          </w:p>
        </w:tc>
        <w:tc>
          <w:tcPr>
            <w:tcW w:w="0" w:type="auto"/>
            <w:shd w:val="clear" w:color="auto" w:fill="FFFFFF"/>
            <w:tcMar>
              <w:top w:w="40" w:type="dxa"/>
              <w:left w:w="0" w:type="dxa"/>
              <w:bottom w:w="40" w:type="dxa"/>
              <w:right w:w="20" w:type="dxa"/>
            </w:tcMar>
            <w:vAlign w:val="bottom"/>
          </w:tcPr>
          <w:p w14:paraId="00BB058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58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590" w14:textId="77777777" w:rsidR="00871BDF" w:rsidRDefault="005C5088">
            <w:pPr>
              <w:jc w:val="right"/>
              <w:textAlignment w:val="bottom"/>
            </w:pPr>
            <w:r>
              <w:rPr>
                <w:rFonts w:ascii="Times New Roman" w:eastAsia="宋体" w:hAnsi="Times New Roman"/>
                <w:color w:val="000000"/>
                <w:sz w:val="20"/>
                <w:szCs w:val="20"/>
              </w:rPr>
              <w:t>230.0 </w:t>
            </w:r>
          </w:p>
        </w:tc>
        <w:tc>
          <w:tcPr>
            <w:tcW w:w="0" w:type="auto"/>
            <w:shd w:val="clear" w:color="auto" w:fill="FFFFFF"/>
            <w:tcMar>
              <w:top w:w="40" w:type="dxa"/>
              <w:left w:w="0" w:type="dxa"/>
              <w:bottom w:w="40" w:type="dxa"/>
              <w:right w:w="20" w:type="dxa"/>
            </w:tcMar>
            <w:vAlign w:val="bottom"/>
          </w:tcPr>
          <w:p w14:paraId="00BB0591" w14:textId="77777777" w:rsidR="00871BDF" w:rsidRDefault="00871BDF">
            <w:pPr>
              <w:jc w:val="right"/>
              <w:rPr>
                <w:rFonts w:ascii="宋体"/>
              </w:rPr>
            </w:pPr>
          </w:p>
        </w:tc>
      </w:tr>
      <w:tr w:rsidR="00871BDF" w14:paraId="00BB0599" w14:textId="77777777">
        <w:tc>
          <w:tcPr>
            <w:tcW w:w="0" w:type="auto"/>
            <w:gridSpan w:val="3"/>
            <w:shd w:val="clear" w:color="auto" w:fill="D7E4BC"/>
            <w:tcMar>
              <w:top w:w="40" w:type="dxa"/>
              <w:left w:w="20" w:type="dxa"/>
              <w:bottom w:w="40" w:type="dxa"/>
              <w:right w:w="20" w:type="dxa"/>
            </w:tcMar>
          </w:tcPr>
          <w:p w14:paraId="00BB0593" w14:textId="77777777" w:rsidR="00871BDF" w:rsidRDefault="005C5088">
            <w:pPr>
              <w:textAlignment w:val="top"/>
            </w:pPr>
            <w:r>
              <w:rPr>
                <w:rFonts w:ascii="Times New Roman" w:eastAsia="宋体" w:hAnsi="Times New Roman"/>
                <w:color w:val="000000"/>
                <w:sz w:val="20"/>
                <w:szCs w:val="20"/>
              </w:rPr>
              <w:t>Accrued occupancy costs</w:t>
            </w:r>
          </w:p>
        </w:tc>
        <w:tc>
          <w:tcPr>
            <w:tcW w:w="0" w:type="auto"/>
            <w:gridSpan w:val="2"/>
            <w:shd w:val="clear" w:color="auto" w:fill="D7E4BC"/>
            <w:tcMar>
              <w:top w:w="40" w:type="dxa"/>
              <w:left w:w="20" w:type="dxa"/>
              <w:bottom w:w="40" w:type="dxa"/>
              <w:right w:w="0" w:type="dxa"/>
            </w:tcMar>
            <w:vAlign w:val="bottom"/>
          </w:tcPr>
          <w:p w14:paraId="00BB0594"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B059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9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597" w14:textId="77777777" w:rsidR="00871BDF" w:rsidRDefault="005C5088">
            <w:pPr>
              <w:jc w:val="right"/>
              <w:textAlignment w:val="bottom"/>
            </w:pPr>
            <w:r>
              <w:rPr>
                <w:rFonts w:ascii="Times New Roman" w:eastAsia="宋体" w:hAnsi="Times New Roman"/>
                <w:color w:val="000000"/>
                <w:sz w:val="20"/>
                <w:szCs w:val="20"/>
              </w:rPr>
              <w:t>121.6 </w:t>
            </w:r>
          </w:p>
        </w:tc>
        <w:tc>
          <w:tcPr>
            <w:tcW w:w="0" w:type="auto"/>
            <w:shd w:val="clear" w:color="auto" w:fill="D7E4BC"/>
            <w:tcMar>
              <w:top w:w="40" w:type="dxa"/>
              <w:left w:w="0" w:type="dxa"/>
              <w:bottom w:w="40" w:type="dxa"/>
              <w:right w:w="20" w:type="dxa"/>
            </w:tcMar>
            <w:vAlign w:val="bottom"/>
          </w:tcPr>
          <w:p w14:paraId="00BB0598" w14:textId="77777777" w:rsidR="00871BDF" w:rsidRDefault="00871BDF">
            <w:pPr>
              <w:jc w:val="right"/>
              <w:rPr>
                <w:rFonts w:ascii="宋体"/>
              </w:rPr>
            </w:pPr>
          </w:p>
        </w:tc>
      </w:tr>
      <w:tr w:rsidR="00871BDF" w14:paraId="00BB059E" w14:textId="77777777">
        <w:trPr>
          <w:hidden/>
        </w:trPr>
        <w:tc>
          <w:tcPr>
            <w:tcW w:w="0" w:type="auto"/>
            <w:gridSpan w:val="3"/>
            <w:shd w:val="clear" w:color="auto" w:fill="auto"/>
          </w:tcPr>
          <w:p w14:paraId="00BB059A" w14:textId="77777777" w:rsidR="00871BDF" w:rsidRDefault="00871BDF">
            <w:pPr>
              <w:rPr>
                <w:rFonts w:ascii="宋体"/>
                <w:vanish/>
              </w:rPr>
            </w:pPr>
          </w:p>
        </w:tc>
        <w:tc>
          <w:tcPr>
            <w:tcW w:w="0" w:type="auto"/>
            <w:gridSpan w:val="3"/>
            <w:shd w:val="clear" w:color="auto" w:fill="auto"/>
          </w:tcPr>
          <w:p w14:paraId="00BB059B" w14:textId="77777777" w:rsidR="00871BDF" w:rsidRDefault="00871BDF">
            <w:pPr>
              <w:rPr>
                <w:rFonts w:ascii="宋体"/>
                <w:vanish/>
              </w:rPr>
            </w:pPr>
          </w:p>
        </w:tc>
        <w:tc>
          <w:tcPr>
            <w:tcW w:w="0" w:type="auto"/>
            <w:gridSpan w:val="3"/>
            <w:shd w:val="clear" w:color="auto" w:fill="auto"/>
          </w:tcPr>
          <w:p w14:paraId="00BB059C" w14:textId="77777777" w:rsidR="00871BDF" w:rsidRDefault="00871BDF">
            <w:pPr>
              <w:rPr>
                <w:rFonts w:ascii="宋体"/>
                <w:vanish/>
              </w:rPr>
            </w:pPr>
          </w:p>
        </w:tc>
        <w:tc>
          <w:tcPr>
            <w:tcW w:w="0" w:type="auto"/>
            <w:gridSpan w:val="3"/>
            <w:shd w:val="clear" w:color="auto" w:fill="auto"/>
          </w:tcPr>
          <w:p w14:paraId="00BB059D" w14:textId="77777777" w:rsidR="00871BDF" w:rsidRDefault="00871BDF">
            <w:pPr>
              <w:rPr>
                <w:rFonts w:ascii="宋体"/>
                <w:vanish/>
              </w:rPr>
            </w:pPr>
          </w:p>
        </w:tc>
      </w:tr>
      <w:tr w:rsidR="00871BDF" w14:paraId="00BB05A3" w14:textId="77777777">
        <w:trPr>
          <w:hidden/>
        </w:trPr>
        <w:tc>
          <w:tcPr>
            <w:tcW w:w="0" w:type="auto"/>
            <w:gridSpan w:val="3"/>
            <w:shd w:val="clear" w:color="auto" w:fill="auto"/>
          </w:tcPr>
          <w:p w14:paraId="00BB059F" w14:textId="77777777" w:rsidR="00871BDF" w:rsidRDefault="00871BDF">
            <w:pPr>
              <w:rPr>
                <w:rFonts w:ascii="宋体"/>
                <w:vanish/>
              </w:rPr>
            </w:pPr>
          </w:p>
        </w:tc>
        <w:tc>
          <w:tcPr>
            <w:tcW w:w="0" w:type="auto"/>
            <w:gridSpan w:val="3"/>
            <w:shd w:val="clear" w:color="auto" w:fill="auto"/>
          </w:tcPr>
          <w:p w14:paraId="00BB05A0" w14:textId="77777777" w:rsidR="00871BDF" w:rsidRDefault="00871BDF">
            <w:pPr>
              <w:rPr>
                <w:rFonts w:ascii="宋体"/>
                <w:vanish/>
              </w:rPr>
            </w:pPr>
          </w:p>
        </w:tc>
        <w:tc>
          <w:tcPr>
            <w:tcW w:w="0" w:type="auto"/>
            <w:gridSpan w:val="3"/>
            <w:shd w:val="clear" w:color="auto" w:fill="auto"/>
          </w:tcPr>
          <w:p w14:paraId="00BB05A1" w14:textId="77777777" w:rsidR="00871BDF" w:rsidRDefault="00871BDF">
            <w:pPr>
              <w:rPr>
                <w:rFonts w:ascii="宋体"/>
                <w:vanish/>
              </w:rPr>
            </w:pPr>
          </w:p>
        </w:tc>
        <w:tc>
          <w:tcPr>
            <w:tcW w:w="0" w:type="auto"/>
            <w:gridSpan w:val="3"/>
            <w:shd w:val="clear" w:color="auto" w:fill="auto"/>
          </w:tcPr>
          <w:p w14:paraId="00BB05A2" w14:textId="77777777" w:rsidR="00871BDF" w:rsidRDefault="00871BDF">
            <w:pPr>
              <w:rPr>
                <w:rFonts w:ascii="宋体"/>
                <w:vanish/>
              </w:rPr>
            </w:pPr>
          </w:p>
        </w:tc>
      </w:tr>
      <w:tr w:rsidR="00871BDF" w14:paraId="00BB05A8" w14:textId="77777777">
        <w:trPr>
          <w:hidden/>
        </w:trPr>
        <w:tc>
          <w:tcPr>
            <w:tcW w:w="0" w:type="auto"/>
            <w:gridSpan w:val="3"/>
            <w:shd w:val="clear" w:color="auto" w:fill="auto"/>
          </w:tcPr>
          <w:p w14:paraId="00BB05A4" w14:textId="77777777" w:rsidR="00871BDF" w:rsidRDefault="00871BDF">
            <w:pPr>
              <w:rPr>
                <w:rFonts w:ascii="宋体"/>
                <w:vanish/>
              </w:rPr>
            </w:pPr>
          </w:p>
        </w:tc>
        <w:tc>
          <w:tcPr>
            <w:tcW w:w="0" w:type="auto"/>
            <w:gridSpan w:val="3"/>
            <w:shd w:val="clear" w:color="auto" w:fill="auto"/>
          </w:tcPr>
          <w:p w14:paraId="00BB05A5" w14:textId="77777777" w:rsidR="00871BDF" w:rsidRDefault="00871BDF">
            <w:pPr>
              <w:rPr>
                <w:rFonts w:ascii="宋体"/>
                <w:vanish/>
              </w:rPr>
            </w:pPr>
          </w:p>
        </w:tc>
        <w:tc>
          <w:tcPr>
            <w:tcW w:w="0" w:type="auto"/>
            <w:gridSpan w:val="3"/>
            <w:shd w:val="clear" w:color="auto" w:fill="auto"/>
          </w:tcPr>
          <w:p w14:paraId="00BB05A6" w14:textId="77777777" w:rsidR="00871BDF" w:rsidRDefault="00871BDF">
            <w:pPr>
              <w:rPr>
                <w:rFonts w:ascii="宋体"/>
                <w:vanish/>
              </w:rPr>
            </w:pPr>
          </w:p>
        </w:tc>
        <w:tc>
          <w:tcPr>
            <w:tcW w:w="0" w:type="auto"/>
            <w:gridSpan w:val="3"/>
            <w:shd w:val="clear" w:color="auto" w:fill="auto"/>
          </w:tcPr>
          <w:p w14:paraId="00BB05A7" w14:textId="77777777" w:rsidR="00871BDF" w:rsidRDefault="00871BDF">
            <w:pPr>
              <w:rPr>
                <w:rFonts w:ascii="宋体"/>
                <w:vanish/>
              </w:rPr>
            </w:pPr>
          </w:p>
        </w:tc>
      </w:tr>
      <w:tr w:rsidR="00871BDF" w14:paraId="00BB05AD" w14:textId="77777777">
        <w:trPr>
          <w:hidden/>
        </w:trPr>
        <w:tc>
          <w:tcPr>
            <w:tcW w:w="0" w:type="auto"/>
            <w:gridSpan w:val="3"/>
            <w:shd w:val="clear" w:color="auto" w:fill="auto"/>
          </w:tcPr>
          <w:p w14:paraId="00BB05A9" w14:textId="77777777" w:rsidR="00871BDF" w:rsidRDefault="00871BDF">
            <w:pPr>
              <w:rPr>
                <w:rFonts w:ascii="宋体"/>
                <w:vanish/>
              </w:rPr>
            </w:pPr>
          </w:p>
        </w:tc>
        <w:tc>
          <w:tcPr>
            <w:tcW w:w="0" w:type="auto"/>
            <w:gridSpan w:val="3"/>
            <w:shd w:val="clear" w:color="auto" w:fill="auto"/>
          </w:tcPr>
          <w:p w14:paraId="00BB05AA" w14:textId="77777777" w:rsidR="00871BDF" w:rsidRDefault="00871BDF">
            <w:pPr>
              <w:rPr>
                <w:rFonts w:ascii="宋体"/>
                <w:vanish/>
              </w:rPr>
            </w:pPr>
          </w:p>
        </w:tc>
        <w:tc>
          <w:tcPr>
            <w:tcW w:w="0" w:type="auto"/>
            <w:gridSpan w:val="3"/>
            <w:shd w:val="clear" w:color="auto" w:fill="auto"/>
          </w:tcPr>
          <w:p w14:paraId="00BB05AB" w14:textId="77777777" w:rsidR="00871BDF" w:rsidRDefault="00871BDF">
            <w:pPr>
              <w:rPr>
                <w:rFonts w:ascii="宋体"/>
                <w:vanish/>
              </w:rPr>
            </w:pPr>
          </w:p>
        </w:tc>
        <w:tc>
          <w:tcPr>
            <w:tcW w:w="0" w:type="auto"/>
            <w:gridSpan w:val="3"/>
            <w:shd w:val="clear" w:color="auto" w:fill="auto"/>
          </w:tcPr>
          <w:p w14:paraId="00BB05AC" w14:textId="77777777" w:rsidR="00871BDF" w:rsidRDefault="00871BDF">
            <w:pPr>
              <w:rPr>
                <w:rFonts w:ascii="宋体"/>
                <w:vanish/>
              </w:rPr>
            </w:pPr>
          </w:p>
        </w:tc>
      </w:tr>
      <w:tr w:rsidR="00871BDF" w14:paraId="00BB05B2" w14:textId="77777777">
        <w:trPr>
          <w:hidden/>
        </w:trPr>
        <w:tc>
          <w:tcPr>
            <w:tcW w:w="0" w:type="auto"/>
            <w:gridSpan w:val="3"/>
            <w:shd w:val="clear" w:color="auto" w:fill="auto"/>
          </w:tcPr>
          <w:p w14:paraId="00BB05AE" w14:textId="77777777" w:rsidR="00871BDF" w:rsidRDefault="00871BDF">
            <w:pPr>
              <w:rPr>
                <w:rFonts w:ascii="宋体"/>
                <w:vanish/>
              </w:rPr>
            </w:pPr>
          </w:p>
        </w:tc>
        <w:tc>
          <w:tcPr>
            <w:tcW w:w="0" w:type="auto"/>
            <w:gridSpan w:val="3"/>
            <w:shd w:val="clear" w:color="auto" w:fill="auto"/>
          </w:tcPr>
          <w:p w14:paraId="00BB05AF" w14:textId="77777777" w:rsidR="00871BDF" w:rsidRDefault="00871BDF">
            <w:pPr>
              <w:rPr>
                <w:rFonts w:ascii="宋体"/>
                <w:vanish/>
              </w:rPr>
            </w:pPr>
          </w:p>
        </w:tc>
        <w:tc>
          <w:tcPr>
            <w:tcW w:w="0" w:type="auto"/>
            <w:gridSpan w:val="3"/>
            <w:shd w:val="clear" w:color="auto" w:fill="auto"/>
          </w:tcPr>
          <w:p w14:paraId="00BB05B0" w14:textId="77777777" w:rsidR="00871BDF" w:rsidRDefault="00871BDF">
            <w:pPr>
              <w:rPr>
                <w:rFonts w:ascii="宋体"/>
                <w:vanish/>
              </w:rPr>
            </w:pPr>
          </w:p>
        </w:tc>
        <w:tc>
          <w:tcPr>
            <w:tcW w:w="0" w:type="auto"/>
            <w:gridSpan w:val="3"/>
            <w:shd w:val="clear" w:color="auto" w:fill="auto"/>
          </w:tcPr>
          <w:p w14:paraId="00BB05B1" w14:textId="77777777" w:rsidR="00871BDF" w:rsidRDefault="00871BDF">
            <w:pPr>
              <w:rPr>
                <w:rFonts w:ascii="宋体"/>
                <w:vanish/>
              </w:rPr>
            </w:pPr>
          </w:p>
        </w:tc>
      </w:tr>
      <w:tr w:rsidR="00871BDF" w14:paraId="00BB05B7" w14:textId="77777777">
        <w:trPr>
          <w:hidden/>
        </w:trPr>
        <w:tc>
          <w:tcPr>
            <w:tcW w:w="0" w:type="auto"/>
            <w:gridSpan w:val="3"/>
            <w:shd w:val="clear" w:color="auto" w:fill="auto"/>
          </w:tcPr>
          <w:p w14:paraId="00BB05B3" w14:textId="77777777" w:rsidR="00871BDF" w:rsidRDefault="00871BDF">
            <w:pPr>
              <w:rPr>
                <w:rFonts w:ascii="宋体"/>
                <w:vanish/>
              </w:rPr>
            </w:pPr>
          </w:p>
        </w:tc>
        <w:tc>
          <w:tcPr>
            <w:tcW w:w="0" w:type="auto"/>
            <w:gridSpan w:val="3"/>
            <w:shd w:val="clear" w:color="auto" w:fill="auto"/>
          </w:tcPr>
          <w:p w14:paraId="00BB05B4" w14:textId="77777777" w:rsidR="00871BDF" w:rsidRDefault="00871BDF">
            <w:pPr>
              <w:rPr>
                <w:rFonts w:ascii="宋体"/>
                <w:vanish/>
              </w:rPr>
            </w:pPr>
          </w:p>
        </w:tc>
        <w:tc>
          <w:tcPr>
            <w:tcW w:w="0" w:type="auto"/>
            <w:gridSpan w:val="3"/>
            <w:shd w:val="clear" w:color="auto" w:fill="auto"/>
          </w:tcPr>
          <w:p w14:paraId="00BB05B5" w14:textId="77777777" w:rsidR="00871BDF" w:rsidRDefault="00871BDF">
            <w:pPr>
              <w:rPr>
                <w:rFonts w:ascii="宋体"/>
                <w:vanish/>
              </w:rPr>
            </w:pPr>
          </w:p>
        </w:tc>
        <w:tc>
          <w:tcPr>
            <w:tcW w:w="0" w:type="auto"/>
            <w:gridSpan w:val="3"/>
            <w:shd w:val="clear" w:color="auto" w:fill="auto"/>
          </w:tcPr>
          <w:p w14:paraId="00BB05B6" w14:textId="77777777" w:rsidR="00871BDF" w:rsidRDefault="00871BDF">
            <w:pPr>
              <w:rPr>
                <w:rFonts w:ascii="宋体"/>
                <w:vanish/>
              </w:rPr>
            </w:pPr>
          </w:p>
        </w:tc>
      </w:tr>
      <w:tr w:rsidR="00871BDF" w14:paraId="00BB05BC" w14:textId="77777777">
        <w:trPr>
          <w:hidden/>
        </w:trPr>
        <w:tc>
          <w:tcPr>
            <w:tcW w:w="0" w:type="auto"/>
            <w:gridSpan w:val="3"/>
            <w:shd w:val="clear" w:color="auto" w:fill="auto"/>
          </w:tcPr>
          <w:p w14:paraId="00BB05B8" w14:textId="77777777" w:rsidR="00871BDF" w:rsidRDefault="00871BDF">
            <w:pPr>
              <w:rPr>
                <w:rFonts w:ascii="宋体"/>
                <w:vanish/>
              </w:rPr>
            </w:pPr>
          </w:p>
        </w:tc>
        <w:tc>
          <w:tcPr>
            <w:tcW w:w="0" w:type="auto"/>
            <w:gridSpan w:val="3"/>
            <w:shd w:val="clear" w:color="auto" w:fill="auto"/>
          </w:tcPr>
          <w:p w14:paraId="00BB05B9" w14:textId="77777777" w:rsidR="00871BDF" w:rsidRDefault="00871BDF">
            <w:pPr>
              <w:rPr>
                <w:rFonts w:ascii="宋体"/>
                <w:vanish/>
              </w:rPr>
            </w:pPr>
          </w:p>
        </w:tc>
        <w:tc>
          <w:tcPr>
            <w:tcW w:w="0" w:type="auto"/>
            <w:gridSpan w:val="3"/>
            <w:shd w:val="clear" w:color="auto" w:fill="auto"/>
          </w:tcPr>
          <w:p w14:paraId="00BB05BA" w14:textId="77777777" w:rsidR="00871BDF" w:rsidRDefault="00871BDF">
            <w:pPr>
              <w:rPr>
                <w:rFonts w:ascii="宋体"/>
                <w:vanish/>
              </w:rPr>
            </w:pPr>
          </w:p>
        </w:tc>
        <w:tc>
          <w:tcPr>
            <w:tcW w:w="0" w:type="auto"/>
            <w:gridSpan w:val="3"/>
            <w:shd w:val="clear" w:color="auto" w:fill="auto"/>
          </w:tcPr>
          <w:p w14:paraId="00BB05BB" w14:textId="77777777" w:rsidR="00871BDF" w:rsidRDefault="00871BDF">
            <w:pPr>
              <w:rPr>
                <w:rFonts w:ascii="宋体"/>
                <w:vanish/>
              </w:rPr>
            </w:pPr>
          </w:p>
        </w:tc>
      </w:tr>
      <w:tr w:rsidR="00871BDF" w14:paraId="00BB05C1" w14:textId="77777777">
        <w:trPr>
          <w:hidden/>
        </w:trPr>
        <w:tc>
          <w:tcPr>
            <w:tcW w:w="0" w:type="auto"/>
            <w:gridSpan w:val="3"/>
            <w:shd w:val="clear" w:color="auto" w:fill="auto"/>
          </w:tcPr>
          <w:p w14:paraId="00BB05BD" w14:textId="77777777" w:rsidR="00871BDF" w:rsidRDefault="00871BDF">
            <w:pPr>
              <w:rPr>
                <w:rFonts w:ascii="宋体"/>
                <w:vanish/>
              </w:rPr>
            </w:pPr>
          </w:p>
        </w:tc>
        <w:tc>
          <w:tcPr>
            <w:tcW w:w="0" w:type="auto"/>
            <w:gridSpan w:val="3"/>
            <w:shd w:val="clear" w:color="auto" w:fill="auto"/>
          </w:tcPr>
          <w:p w14:paraId="00BB05BE" w14:textId="77777777" w:rsidR="00871BDF" w:rsidRDefault="00871BDF">
            <w:pPr>
              <w:rPr>
                <w:rFonts w:ascii="宋体"/>
                <w:vanish/>
              </w:rPr>
            </w:pPr>
          </w:p>
        </w:tc>
        <w:tc>
          <w:tcPr>
            <w:tcW w:w="0" w:type="auto"/>
            <w:gridSpan w:val="3"/>
            <w:shd w:val="clear" w:color="auto" w:fill="auto"/>
          </w:tcPr>
          <w:p w14:paraId="00BB05BF" w14:textId="77777777" w:rsidR="00871BDF" w:rsidRDefault="00871BDF">
            <w:pPr>
              <w:rPr>
                <w:rFonts w:ascii="宋体"/>
                <w:vanish/>
              </w:rPr>
            </w:pPr>
          </w:p>
        </w:tc>
        <w:tc>
          <w:tcPr>
            <w:tcW w:w="0" w:type="auto"/>
            <w:gridSpan w:val="3"/>
            <w:shd w:val="clear" w:color="auto" w:fill="auto"/>
          </w:tcPr>
          <w:p w14:paraId="00BB05C0" w14:textId="77777777" w:rsidR="00871BDF" w:rsidRDefault="00871BDF">
            <w:pPr>
              <w:rPr>
                <w:rFonts w:ascii="宋体"/>
                <w:vanish/>
              </w:rPr>
            </w:pPr>
          </w:p>
        </w:tc>
      </w:tr>
      <w:tr w:rsidR="00871BDF" w14:paraId="00BB05C8" w14:textId="77777777">
        <w:tc>
          <w:tcPr>
            <w:tcW w:w="0" w:type="auto"/>
            <w:gridSpan w:val="3"/>
            <w:shd w:val="clear" w:color="auto" w:fill="FFFFFF"/>
            <w:tcMar>
              <w:top w:w="40" w:type="dxa"/>
              <w:left w:w="20" w:type="dxa"/>
              <w:bottom w:w="40" w:type="dxa"/>
              <w:right w:w="20" w:type="dxa"/>
            </w:tcMar>
          </w:tcPr>
          <w:p w14:paraId="00BB05C2" w14:textId="77777777" w:rsidR="00871BDF" w:rsidRDefault="005C5088">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0BB05C3" w14:textId="77777777" w:rsidR="00871BDF" w:rsidRDefault="005C5088">
            <w:pPr>
              <w:jc w:val="right"/>
              <w:textAlignment w:val="bottom"/>
            </w:pPr>
            <w:r>
              <w:rPr>
                <w:rFonts w:ascii="Times New Roman" w:eastAsia="宋体" w:hAnsi="Times New Roman"/>
                <w:color w:val="000000"/>
                <w:sz w:val="20"/>
                <w:szCs w:val="20"/>
              </w:rPr>
              <w:t>554.4 </w:t>
            </w:r>
          </w:p>
        </w:tc>
        <w:tc>
          <w:tcPr>
            <w:tcW w:w="0" w:type="auto"/>
            <w:shd w:val="clear" w:color="auto" w:fill="FFFFFF"/>
            <w:tcMar>
              <w:top w:w="40" w:type="dxa"/>
              <w:left w:w="0" w:type="dxa"/>
              <w:bottom w:w="40" w:type="dxa"/>
              <w:right w:w="20" w:type="dxa"/>
            </w:tcMar>
            <w:vAlign w:val="bottom"/>
          </w:tcPr>
          <w:p w14:paraId="00BB05C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5C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5C6" w14:textId="77777777" w:rsidR="00871BDF" w:rsidRDefault="005C5088">
            <w:pPr>
              <w:jc w:val="right"/>
              <w:textAlignment w:val="bottom"/>
            </w:pPr>
            <w:r>
              <w:rPr>
                <w:rFonts w:ascii="Times New Roman" w:eastAsia="宋体" w:hAnsi="Times New Roman"/>
                <w:color w:val="000000"/>
                <w:sz w:val="20"/>
                <w:szCs w:val="20"/>
              </w:rPr>
              <w:t>413.0 </w:t>
            </w:r>
          </w:p>
        </w:tc>
        <w:tc>
          <w:tcPr>
            <w:tcW w:w="0" w:type="auto"/>
            <w:shd w:val="clear" w:color="auto" w:fill="FFFFFF"/>
            <w:tcMar>
              <w:top w:w="40" w:type="dxa"/>
              <w:left w:w="0" w:type="dxa"/>
              <w:bottom w:w="40" w:type="dxa"/>
              <w:right w:w="20" w:type="dxa"/>
            </w:tcMar>
            <w:vAlign w:val="bottom"/>
          </w:tcPr>
          <w:p w14:paraId="00BB05C7" w14:textId="77777777" w:rsidR="00871BDF" w:rsidRDefault="00871BDF">
            <w:pPr>
              <w:jc w:val="right"/>
              <w:rPr>
                <w:rFonts w:ascii="宋体"/>
              </w:rPr>
            </w:pPr>
          </w:p>
        </w:tc>
      </w:tr>
      <w:tr w:rsidR="00871BDF" w14:paraId="00BB05D1" w14:textId="77777777">
        <w:tc>
          <w:tcPr>
            <w:tcW w:w="0" w:type="auto"/>
            <w:gridSpan w:val="3"/>
            <w:shd w:val="clear" w:color="auto" w:fill="D7E4BC"/>
            <w:tcMar>
              <w:top w:w="40" w:type="dxa"/>
              <w:left w:w="20" w:type="dxa"/>
              <w:bottom w:w="40" w:type="dxa"/>
              <w:right w:w="20" w:type="dxa"/>
            </w:tcMar>
          </w:tcPr>
          <w:p w14:paraId="00BB05C9" w14:textId="77777777" w:rsidR="00871BDF" w:rsidRDefault="005C5088">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D7E4BC"/>
            <w:tcMar>
              <w:top w:w="40" w:type="dxa"/>
              <w:left w:w="20" w:type="dxa"/>
              <w:bottom w:w="40" w:type="dxa"/>
              <w:right w:w="0" w:type="dxa"/>
            </w:tcMar>
            <w:vAlign w:val="bottom"/>
          </w:tcPr>
          <w:p w14:paraId="00BB05C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5CB" w14:textId="77777777" w:rsidR="00871BDF" w:rsidRDefault="005C5088">
            <w:pPr>
              <w:jc w:val="right"/>
              <w:textAlignment w:val="bottom"/>
            </w:pPr>
            <w:r>
              <w:rPr>
                <w:rFonts w:ascii="Times New Roman" w:eastAsia="宋体" w:hAnsi="Times New Roman"/>
                <w:color w:val="000000"/>
                <w:sz w:val="20"/>
                <w:szCs w:val="20"/>
              </w:rPr>
              <w:t>4,794.6 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5C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CD"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5C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5CF" w14:textId="77777777" w:rsidR="00871BDF" w:rsidRDefault="005C5088">
            <w:pPr>
              <w:jc w:val="right"/>
              <w:textAlignment w:val="bottom"/>
            </w:pPr>
            <w:r>
              <w:rPr>
                <w:rFonts w:ascii="Times New Roman" w:eastAsia="宋体" w:hAnsi="Times New Roman"/>
                <w:color w:val="000000"/>
                <w:sz w:val="20"/>
                <w:szCs w:val="20"/>
              </w:rPr>
              <w:t>2,413.6 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5D0" w14:textId="77777777" w:rsidR="00871BDF" w:rsidRDefault="00871BDF">
            <w:pPr>
              <w:jc w:val="right"/>
              <w:rPr>
                <w:rFonts w:ascii="宋体"/>
              </w:rPr>
            </w:pPr>
          </w:p>
        </w:tc>
      </w:tr>
      <w:tr w:rsidR="00871BDF" w14:paraId="00BB05D8" w14:textId="77777777">
        <w:tc>
          <w:tcPr>
            <w:tcW w:w="0" w:type="auto"/>
            <w:gridSpan w:val="3"/>
            <w:shd w:val="clear" w:color="auto" w:fill="FFFFFF"/>
            <w:tcMar>
              <w:top w:w="40" w:type="dxa"/>
              <w:left w:w="20" w:type="dxa"/>
              <w:bottom w:w="40" w:type="dxa"/>
              <w:right w:w="20" w:type="dxa"/>
            </w:tcMar>
          </w:tcPr>
          <w:p w14:paraId="00BB05D2" w14:textId="77777777" w:rsidR="00871BDF" w:rsidRDefault="005C5088">
            <w:pPr>
              <w:textAlignment w:val="top"/>
            </w:pPr>
            <w:r>
              <w:rPr>
                <w:rFonts w:ascii="Times New Roman" w:eastAsia="宋体" w:hAnsi="Times New Roman"/>
                <w:color w:val="000000"/>
                <w:sz w:val="20"/>
                <w:szCs w:val="20"/>
              </w:rPr>
              <w:t>Valuation allowance</w:t>
            </w:r>
          </w:p>
        </w:tc>
        <w:tc>
          <w:tcPr>
            <w:tcW w:w="0" w:type="auto"/>
            <w:gridSpan w:val="2"/>
            <w:shd w:val="clear" w:color="auto" w:fill="FFFFFF"/>
            <w:tcMar>
              <w:top w:w="40" w:type="dxa"/>
              <w:left w:w="20" w:type="dxa"/>
              <w:bottom w:w="40" w:type="dxa"/>
              <w:right w:w="0" w:type="dxa"/>
            </w:tcMar>
            <w:vAlign w:val="bottom"/>
          </w:tcPr>
          <w:p w14:paraId="00BB05D3" w14:textId="77777777" w:rsidR="00871BDF" w:rsidRDefault="005C5088">
            <w:pPr>
              <w:jc w:val="right"/>
              <w:textAlignment w:val="bottom"/>
            </w:pPr>
            <w:r>
              <w:rPr>
                <w:rFonts w:ascii="Times New Roman" w:eastAsia="宋体" w:hAnsi="Times New Roman"/>
                <w:color w:val="000000"/>
                <w:sz w:val="20"/>
                <w:szCs w:val="20"/>
              </w:rPr>
              <w:t>(239.4)</w:t>
            </w:r>
          </w:p>
        </w:tc>
        <w:tc>
          <w:tcPr>
            <w:tcW w:w="0" w:type="auto"/>
            <w:shd w:val="clear" w:color="auto" w:fill="FFFFFF"/>
            <w:tcMar>
              <w:top w:w="40" w:type="dxa"/>
              <w:left w:w="0" w:type="dxa"/>
              <w:bottom w:w="40" w:type="dxa"/>
              <w:right w:w="20" w:type="dxa"/>
            </w:tcMar>
            <w:vAlign w:val="bottom"/>
          </w:tcPr>
          <w:p w14:paraId="00BB05D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5D5"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5D6" w14:textId="77777777" w:rsidR="00871BDF" w:rsidRDefault="005C5088">
            <w:pPr>
              <w:jc w:val="right"/>
              <w:textAlignment w:val="bottom"/>
            </w:pPr>
            <w:r>
              <w:rPr>
                <w:rFonts w:ascii="Times New Roman" w:eastAsia="宋体" w:hAnsi="Times New Roman"/>
                <w:color w:val="000000"/>
                <w:sz w:val="20"/>
                <w:szCs w:val="20"/>
              </w:rPr>
              <w:t>(75.1)</w:t>
            </w:r>
          </w:p>
        </w:tc>
        <w:tc>
          <w:tcPr>
            <w:tcW w:w="0" w:type="auto"/>
            <w:shd w:val="clear" w:color="auto" w:fill="FFFFFF"/>
            <w:tcMar>
              <w:top w:w="40" w:type="dxa"/>
              <w:left w:w="0" w:type="dxa"/>
              <w:bottom w:w="40" w:type="dxa"/>
              <w:right w:w="20" w:type="dxa"/>
            </w:tcMar>
            <w:vAlign w:val="bottom"/>
          </w:tcPr>
          <w:p w14:paraId="00BB05D7" w14:textId="77777777" w:rsidR="00871BDF" w:rsidRDefault="00871BDF">
            <w:pPr>
              <w:jc w:val="right"/>
              <w:rPr>
                <w:rFonts w:ascii="宋体"/>
              </w:rPr>
            </w:pPr>
          </w:p>
        </w:tc>
      </w:tr>
      <w:tr w:rsidR="00871BDF" w14:paraId="00BB05E1" w14:textId="77777777">
        <w:tc>
          <w:tcPr>
            <w:tcW w:w="0" w:type="auto"/>
            <w:gridSpan w:val="3"/>
            <w:shd w:val="clear" w:color="auto" w:fill="D7E4BC"/>
            <w:tcMar>
              <w:top w:w="40" w:type="dxa"/>
              <w:left w:w="20" w:type="dxa"/>
              <w:bottom w:w="40" w:type="dxa"/>
              <w:right w:w="20" w:type="dxa"/>
            </w:tcMar>
          </w:tcPr>
          <w:p w14:paraId="00BB05D9" w14:textId="77777777" w:rsidR="00871BDF" w:rsidRDefault="005C5088">
            <w:pPr>
              <w:textAlignment w:val="top"/>
            </w:pPr>
            <w:r>
              <w:rPr>
                <w:rFonts w:ascii="Times New Roman" w:eastAsia="宋体" w:hAnsi="Times New Roman"/>
                <w:color w:val="000000"/>
                <w:sz w:val="20"/>
                <w:szCs w:val="20"/>
              </w:rPr>
              <w:t>Total deferred tax asset, net of valuation allowance</w:t>
            </w:r>
          </w:p>
        </w:tc>
        <w:tc>
          <w:tcPr>
            <w:tcW w:w="0" w:type="auto"/>
            <w:tcBorders>
              <w:top w:val="single" w:sz="8" w:space="0" w:color="000000"/>
            </w:tcBorders>
            <w:shd w:val="clear" w:color="auto" w:fill="D7E4BC"/>
            <w:tcMar>
              <w:top w:w="40" w:type="dxa"/>
              <w:left w:w="20" w:type="dxa"/>
              <w:bottom w:w="40" w:type="dxa"/>
              <w:right w:w="0" w:type="dxa"/>
            </w:tcMar>
            <w:vAlign w:val="bottom"/>
          </w:tcPr>
          <w:p w14:paraId="00BB05DA"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5DB" w14:textId="77777777" w:rsidR="00871BDF" w:rsidRDefault="005C5088">
            <w:pPr>
              <w:jc w:val="right"/>
              <w:textAlignment w:val="bottom"/>
            </w:pPr>
            <w:r>
              <w:rPr>
                <w:rFonts w:ascii="Times New Roman" w:eastAsia="宋体" w:hAnsi="Times New Roman"/>
                <w:color w:val="000000"/>
                <w:sz w:val="20"/>
                <w:szCs w:val="20"/>
              </w:rPr>
              <w:t>4,555.2 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5D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DD"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5D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5DF" w14:textId="77777777" w:rsidR="00871BDF" w:rsidRDefault="005C5088">
            <w:pPr>
              <w:jc w:val="right"/>
              <w:textAlignment w:val="bottom"/>
            </w:pPr>
            <w:r>
              <w:rPr>
                <w:rFonts w:ascii="Times New Roman" w:eastAsia="宋体" w:hAnsi="Times New Roman"/>
                <w:color w:val="000000"/>
                <w:sz w:val="20"/>
                <w:szCs w:val="20"/>
              </w:rPr>
              <w:t>2,338.5 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5E0" w14:textId="77777777" w:rsidR="00871BDF" w:rsidRDefault="00871BDF">
            <w:pPr>
              <w:jc w:val="right"/>
              <w:rPr>
                <w:rFonts w:ascii="宋体"/>
              </w:rPr>
            </w:pPr>
          </w:p>
        </w:tc>
      </w:tr>
      <w:tr w:rsidR="00871BDF" w14:paraId="00BB05E6" w14:textId="77777777">
        <w:tc>
          <w:tcPr>
            <w:tcW w:w="0" w:type="auto"/>
            <w:gridSpan w:val="3"/>
            <w:shd w:val="clear" w:color="auto" w:fill="FFFFFF"/>
            <w:tcMar>
              <w:top w:w="40" w:type="dxa"/>
              <w:left w:w="20" w:type="dxa"/>
              <w:bottom w:w="40" w:type="dxa"/>
              <w:right w:w="20" w:type="dxa"/>
            </w:tcMar>
          </w:tcPr>
          <w:p w14:paraId="00BB05E2" w14:textId="77777777" w:rsidR="00871BDF" w:rsidRDefault="005C5088">
            <w:pPr>
              <w:textAlignment w:val="top"/>
            </w:pPr>
            <w:r>
              <w:rPr>
                <w:rFonts w:ascii="Times New Roman" w:eastAsia="宋体" w:hAnsi="Times New Roman"/>
                <w:color w:val="000000"/>
                <w:sz w:val="20"/>
                <w:szCs w:val="20"/>
              </w:rPr>
              <w:t>Deferred tax liabilities:</w:t>
            </w:r>
          </w:p>
        </w:tc>
        <w:tc>
          <w:tcPr>
            <w:tcW w:w="0" w:type="auto"/>
            <w:gridSpan w:val="3"/>
            <w:shd w:val="clear" w:color="auto" w:fill="FFFFFF"/>
            <w:tcMar>
              <w:top w:w="0" w:type="dxa"/>
              <w:left w:w="20" w:type="dxa"/>
              <w:bottom w:w="0" w:type="dxa"/>
              <w:right w:w="20" w:type="dxa"/>
            </w:tcMar>
          </w:tcPr>
          <w:p w14:paraId="00BB05E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5E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5E5" w14:textId="77777777" w:rsidR="00871BDF" w:rsidRDefault="00871BDF">
            <w:pPr>
              <w:rPr>
                <w:rFonts w:ascii="宋体"/>
              </w:rPr>
            </w:pPr>
          </w:p>
        </w:tc>
      </w:tr>
      <w:tr w:rsidR="00871BDF" w14:paraId="00BB05ED" w14:textId="77777777">
        <w:tc>
          <w:tcPr>
            <w:tcW w:w="0" w:type="auto"/>
            <w:gridSpan w:val="3"/>
            <w:shd w:val="clear" w:color="auto" w:fill="D7E4BC"/>
            <w:tcMar>
              <w:top w:w="40" w:type="dxa"/>
              <w:left w:w="20" w:type="dxa"/>
              <w:bottom w:w="40" w:type="dxa"/>
              <w:right w:w="20" w:type="dxa"/>
            </w:tcMar>
          </w:tcPr>
          <w:p w14:paraId="00BB05E7" w14:textId="77777777" w:rsidR="00871BDF" w:rsidRDefault="005C5088">
            <w:pPr>
              <w:textAlignment w:val="top"/>
            </w:pPr>
            <w:r>
              <w:rPr>
                <w:rFonts w:ascii="Times New Roman" w:eastAsia="宋体" w:hAnsi="Times New Roman"/>
                <w:color w:val="000000"/>
                <w:sz w:val="20"/>
                <w:szCs w:val="20"/>
              </w:rPr>
              <w:t>Operating lease, right-of-use assets</w:t>
            </w:r>
          </w:p>
        </w:tc>
        <w:tc>
          <w:tcPr>
            <w:tcW w:w="0" w:type="auto"/>
            <w:gridSpan w:val="2"/>
            <w:shd w:val="clear" w:color="auto" w:fill="D7E4BC"/>
            <w:tcMar>
              <w:top w:w="40" w:type="dxa"/>
              <w:left w:w="20" w:type="dxa"/>
              <w:bottom w:w="40" w:type="dxa"/>
              <w:right w:w="0" w:type="dxa"/>
            </w:tcMar>
            <w:vAlign w:val="bottom"/>
          </w:tcPr>
          <w:p w14:paraId="00BB05E8" w14:textId="77777777" w:rsidR="00871BDF" w:rsidRDefault="005C5088">
            <w:pPr>
              <w:jc w:val="right"/>
              <w:textAlignment w:val="bottom"/>
            </w:pPr>
            <w:r>
              <w:rPr>
                <w:rFonts w:ascii="Times New Roman" w:eastAsia="宋体" w:hAnsi="Times New Roman"/>
                <w:color w:val="000000"/>
                <w:sz w:val="20"/>
                <w:szCs w:val="20"/>
              </w:rPr>
              <w:t>(2,191.8)</w:t>
            </w:r>
          </w:p>
        </w:tc>
        <w:tc>
          <w:tcPr>
            <w:tcW w:w="0" w:type="auto"/>
            <w:shd w:val="clear" w:color="auto" w:fill="D7E4BC"/>
            <w:tcMar>
              <w:top w:w="40" w:type="dxa"/>
              <w:left w:w="0" w:type="dxa"/>
              <w:bottom w:w="40" w:type="dxa"/>
              <w:right w:w="20" w:type="dxa"/>
            </w:tcMar>
            <w:vAlign w:val="bottom"/>
          </w:tcPr>
          <w:p w14:paraId="00BB05E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E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5EB"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B05EC" w14:textId="77777777" w:rsidR="00871BDF" w:rsidRDefault="00871BDF">
            <w:pPr>
              <w:jc w:val="right"/>
              <w:rPr>
                <w:rFonts w:ascii="宋体"/>
              </w:rPr>
            </w:pPr>
          </w:p>
        </w:tc>
      </w:tr>
      <w:tr w:rsidR="00871BDF" w14:paraId="00BB05F4" w14:textId="77777777">
        <w:tc>
          <w:tcPr>
            <w:tcW w:w="0" w:type="auto"/>
            <w:gridSpan w:val="3"/>
            <w:shd w:val="clear" w:color="auto" w:fill="FFFFFF"/>
            <w:tcMar>
              <w:top w:w="40" w:type="dxa"/>
              <w:left w:w="20" w:type="dxa"/>
              <w:bottom w:w="40" w:type="dxa"/>
              <w:right w:w="20" w:type="dxa"/>
            </w:tcMar>
          </w:tcPr>
          <w:p w14:paraId="00BB05EE" w14:textId="77777777" w:rsidR="00871BDF" w:rsidRDefault="005C5088">
            <w:pPr>
              <w:textAlignment w:val="top"/>
            </w:pPr>
            <w:r>
              <w:rPr>
                <w:rFonts w:ascii="Times New Roman" w:eastAsia="宋体" w:hAnsi="Times New Roman"/>
                <w:color w:val="000000"/>
                <w:sz w:val="20"/>
                <w:szCs w:val="20"/>
              </w:rPr>
              <w:t>Property, plant and equipment</w:t>
            </w:r>
          </w:p>
        </w:tc>
        <w:tc>
          <w:tcPr>
            <w:tcW w:w="0" w:type="auto"/>
            <w:gridSpan w:val="2"/>
            <w:shd w:val="clear" w:color="auto" w:fill="FFFFFF"/>
            <w:tcMar>
              <w:top w:w="40" w:type="dxa"/>
              <w:left w:w="20" w:type="dxa"/>
              <w:bottom w:w="40" w:type="dxa"/>
              <w:right w:w="0" w:type="dxa"/>
            </w:tcMar>
            <w:vAlign w:val="bottom"/>
          </w:tcPr>
          <w:p w14:paraId="00BB05EF" w14:textId="77777777" w:rsidR="00871BDF" w:rsidRDefault="005C5088">
            <w:pPr>
              <w:jc w:val="right"/>
              <w:textAlignment w:val="bottom"/>
            </w:pPr>
            <w:r>
              <w:rPr>
                <w:rFonts w:ascii="Times New Roman" w:eastAsia="宋体" w:hAnsi="Times New Roman"/>
                <w:color w:val="000000"/>
                <w:sz w:val="20"/>
                <w:szCs w:val="20"/>
              </w:rPr>
              <w:t>(463.3)</w:t>
            </w:r>
          </w:p>
        </w:tc>
        <w:tc>
          <w:tcPr>
            <w:tcW w:w="0" w:type="auto"/>
            <w:shd w:val="clear" w:color="auto" w:fill="FFFFFF"/>
            <w:tcMar>
              <w:top w:w="40" w:type="dxa"/>
              <w:left w:w="0" w:type="dxa"/>
              <w:bottom w:w="40" w:type="dxa"/>
              <w:right w:w="20" w:type="dxa"/>
            </w:tcMar>
            <w:vAlign w:val="bottom"/>
          </w:tcPr>
          <w:p w14:paraId="00BB05F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5F1"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5F2" w14:textId="77777777" w:rsidR="00871BDF" w:rsidRDefault="005C5088">
            <w:pPr>
              <w:jc w:val="right"/>
              <w:textAlignment w:val="bottom"/>
            </w:pPr>
            <w:r>
              <w:rPr>
                <w:rFonts w:ascii="Times New Roman" w:eastAsia="宋体" w:hAnsi="Times New Roman"/>
                <w:color w:val="000000"/>
                <w:sz w:val="20"/>
                <w:szCs w:val="20"/>
              </w:rPr>
              <w:t>(400.9)</w:t>
            </w:r>
          </w:p>
        </w:tc>
        <w:tc>
          <w:tcPr>
            <w:tcW w:w="0" w:type="auto"/>
            <w:shd w:val="clear" w:color="auto" w:fill="FFFFFF"/>
            <w:tcMar>
              <w:top w:w="40" w:type="dxa"/>
              <w:left w:w="0" w:type="dxa"/>
              <w:bottom w:w="40" w:type="dxa"/>
              <w:right w:w="20" w:type="dxa"/>
            </w:tcMar>
            <w:vAlign w:val="bottom"/>
          </w:tcPr>
          <w:p w14:paraId="00BB05F3" w14:textId="77777777" w:rsidR="00871BDF" w:rsidRDefault="00871BDF">
            <w:pPr>
              <w:jc w:val="right"/>
              <w:rPr>
                <w:rFonts w:ascii="宋体"/>
              </w:rPr>
            </w:pPr>
          </w:p>
        </w:tc>
      </w:tr>
      <w:tr w:rsidR="00871BDF" w14:paraId="00BB05FB" w14:textId="77777777">
        <w:tc>
          <w:tcPr>
            <w:tcW w:w="0" w:type="auto"/>
            <w:gridSpan w:val="3"/>
            <w:shd w:val="clear" w:color="auto" w:fill="D7E4BC"/>
            <w:tcMar>
              <w:top w:w="40" w:type="dxa"/>
              <w:left w:w="20" w:type="dxa"/>
              <w:bottom w:w="40" w:type="dxa"/>
              <w:right w:w="20" w:type="dxa"/>
            </w:tcMar>
          </w:tcPr>
          <w:p w14:paraId="00BB05F5" w14:textId="77777777" w:rsidR="00871BDF" w:rsidRDefault="005C5088">
            <w:pPr>
              <w:textAlignment w:val="top"/>
            </w:pPr>
            <w:r>
              <w:rPr>
                <w:rFonts w:ascii="Times New Roman" w:eastAsia="宋体" w:hAnsi="Times New Roman"/>
                <w:color w:val="000000"/>
                <w:sz w:val="20"/>
                <w:szCs w:val="20"/>
              </w:rPr>
              <w:t>Intangible assets and goodwill</w:t>
            </w:r>
          </w:p>
        </w:tc>
        <w:tc>
          <w:tcPr>
            <w:tcW w:w="0" w:type="auto"/>
            <w:gridSpan w:val="2"/>
            <w:shd w:val="clear" w:color="auto" w:fill="D7E4BC"/>
            <w:tcMar>
              <w:top w:w="40" w:type="dxa"/>
              <w:left w:w="20" w:type="dxa"/>
              <w:bottom w:w="40" w:type="dxa"/>
              <w:right w:w="0" w:type="dxa"/>
            </w:tcMar>
            <w:vAlign w:val="bottom"/>
          </w:tcPr>
          <w:p w14:paraId="00BB05F6" w14:textId="77777777" w:rsidR="00871BDF" w:rsidRDefault="005C5088">
            <w:pPr>
              <w:jc w:val="right"/>
              <w:textAlignment w:val="bottom"/>
            </w:pPr>
            <w:r>
              <w:rPr>
                <w:rFonts w:ascii="Times New Roman" w:eastAsia="宋体" w:hAnsi="Times New Roman"/>
                <w:color w:val="000000"/>
                <w:sz w:val="20"/>
                <w:szCs w:val="20"/>
              </w:rPr>
              <w:t>(145.1)</w:t>
            </w:r>
          </w:p>
        </w:tc>
        <w:tc>
          <w:tcPr>
            <w:tcW w:w="0" w:type="auto"/>
            <w:shd w:val="clear" w:color="auto" w:fill="D7E4BC"/>
            <w:tcMar>
              <w:top w:w="40" w:type="dxa"/>
              <w:left w:w="0" w:type="dxa"/>
              <w:bottom w:w="40" w:type="dxa"/>
              <w:right w:w="20" w:type="dxa"/>
            </w:tcMar>
            <w:vAlign w:val="bottom"/>
          </w:tcPr>
          <w:p w14:paraId="00BB05F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5F8"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5F9" w14:textId="77777777" w:rsidR="00871BDF" w:rsidRDefault="005C5088">
            <w:pPr>
              <w:jc w:val="right"/>
              <w:textAlignment w:val="bottom"/>
            </w:pPr>
            <w:r>
              <w:rPr>
                <w:rFonts w:ascii="Times New Roman" w:eastAsia="宋体" w:hAnsi="Times New Roman"/>
                <w:color w:val="000000"/>
                <w:sz w:val="20"/>
                <w:szCs w:val="20"/>
              </w:rPr>
              <w:t>(209.9)</w:t>
            </w:r>
          </w:p>
        </w:tc>
        <w:tc>
          <w:tcPr>
            <w:tcW w:w="0" w:type="auto"/>
            <w:shd w:val="clear" w:color="auto" w:fill="D7E4BC"/>
            <w:tcMar>
              <w:top w:w="40" w:type="dxa"/>
              <w:left w:w="0" w:type="dxa"/>
              <w:bottom w:w="40" w:type="dxa"/>
              <w:right w:w="20" w:type="dxa"/>
            </w:tcMar>
            <w:vAlign w:val="bottom"/>
          </w:tcPr>
          <w:p w14:paraId="00BB05FA" w14:textId="77777777" w:rsidR="00871BDF" w:rsidRDefault="00871BDF">
            <w:pPr>
              <w:jc w:val="right"/>
              <w:rPr>
                <w:rFonts w:ascii="宋体"/>
              </w:rPr>
            </w:pPr>
          </w:p>
        </w:tc>
      </w:tr>
      <w:tr w:rsidR="00871BDF" w14:paraId="00BB0602" w14:textId="77777777">
        <w:tc>
          <w:tcPr>
            <w:tcW w:w="0" w:type="auto"/>
            <w:gridSpan w:val="3"/>
            <w:shd w:val="clear" w:color="auto" w:fill="FFFFFF"/>
            <w:tcMar>
              <w:top w:w="40" w:type="dxa"/>
              <w:left w:w="20" w:type="dxa"/>
              <w:bottom w:w="40" w:type="dxa"/>
              <w:right w:w="20" w:type="dxa"/>
            </w:tcMar>
          </w:tcPr>
          <w:p w14:paraId="00BB05FC" w14:textId="77777777" w:rsidR="00871BDF" w:rsidRDefault="005C5088">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0BB05FD" w14:textId="77777777" w:rsidR="00871BDF" w:rsidRDefault="005C5088">
            <w:pPr>
              <w:jc w:val="right"/>
              <w:textAlignment w:val="bottom"/>
            </w:pPr>
            <w:r>
              <w:rPr>
                <w:rFonts w:ascii="Times New Roman" w:eastAsia="宋体" w:hAnsi="Times New Roman"/>
                <w:color w:val="000000"/>
                <w:sz w:val="20"/>
                <w:szCs w:val="20"/>
              </w:rPr>
              <w:t>(123.2)</w:t>
            </w:r>
          </w:p>
        </w:tc>
        <w:tc>
          <w:tcPr>
            <w:tcW w:w="0" w:type="auto"/>
            <w:shd w:val="clear" w:color="auto" w:fill="FFFFFF"/>
            <w:tcMar>
              <w:top w:w="40" w:type="dxa"/>
              <w:left w:w="0" w:type="dxa"/>
              <w:bottom w:w="40" w:type="dxa"/>
              <w:right w:w="20" w:type="dxa"/>
            </w:tcMar>
            <w:vAlign w:val="bottom"/>
          </w:tcPr>
          <w:p w14:paraId="00BB05F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5F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600" w14:textId="77777777" w:rsidR="00871BDF" w:rsidRDefault="005C5088">
            <w:pPr>
              <w:jc w:val="right"/>
              <w:textAlignment w:val="bottom"/>
            </w:pPr>
            <w:r>
              <w:rPr>
                <w:rFonts w:ascii="Times New Roman" w:eastAsia="宋体" w:hAnsi="Times New Roman"/>
                <w:color w:val="000000"/>
                <w:sz w:val="20"/>
                <w:szCs w:val="20"/>
              </w:rPr>
              <w:t>(148.3)</w:t>
            </w:r>
          </w:p>
        </w:tc>
        <w:tc>
          <w:tcPr>
            <w:tcW w:w="0" w:type="auto"/>
            <w:shd w:val="clear" w:color="auto" w:fill="FFFFFF"/>
            <w:tcMar>
              <w:top w:w="40" w:type="dxa"/>
              <w:left w:w="0" w:type="dxa"/>
              <w:bottom w:w="40" w:type="dxa"/>
              <w:right w:w="20" w:type="dxa"/>
            </w:tcMar>
            <w:vAlign w:val="bottom"/>
          </w:tcPr>
          <w:p w14:paraId="00BB0601" w14:textId="77777777" w:rsidR="00871BDF" w:rsidRDefault="00871BDF">
            <w:pPr>
              <w:jc w:val="right"/>
              <w:rPr>
                <w:rFonts w:ascii="宋体"/>
              </w:rPr>
            </w:pPr>
          </w:p>
        </w:tc>
      </w:tr>
      <w:tr w:rsidR="00871BDF" w14:paraId="00BB0609" w14:textId="77777777">
        <w:tc>
          <w:tcPr>
            <w:tcW w:w="0" w:type="auto"/>
            <w:gridSpan w:val="3"/>
            <w:shd w:val="clear" w:color="auto" w:fill="D7E4BC"/>
            <w:tcMar>
              <w:top w:w="40" w:type="dxa"/>
              <w:left w:w="20" w:type="dxa"/>
              <w:bottom w:w="40" w:type="dxa"/>
              <w:right w:w="20" w:type="dxa"/>
            </w:tcMar>
          </w:tcPr>
          <w:p w14:paraId="00BB0603" w14:textId="77777777" w:rsidR="00871BDF" w:rsidRDefault="005C5088">
            <w:pPr>
              <w:textAlignment w:val="top"/>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604" w14:textId="77777777" w:rsidR="00871BDF" w:rsidRDefault="005C5088">
            <w:pPr>
              <w:jc w:val="right"/>
              <w:textAlignment w:val="bottom"/>
            </w:pPr>
            <w:r>
              <w:rPr>
                <w:rFonts w:ascii="Times New Roman" w:eastAsia="宋体" w:hAnsi="Times New Roman"/>
                <w:color w:val="000000"/>
                <w:sz w:val="20"/>
                <w:szCs w:val="20"/>
              </w:rPr>
              <w:t>(2,923.4)</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60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06"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607" w14:textId="77777777" w:rsidR="00871BDF" w:rsidRDefault="005C5088">
            <w:pPr>
              <w:jc w:val="right"/>
              <w:textAlignment w:val="bottom"/>
            </w:pPr>
            <w:r>
              <w:rPr>
                <w:rFonts w:ascii="Times New Roman" w:eastAsia="宋体" w:hAnsi="Times New Roman"/>
                <w:color w:val="000000"/>
                <w:sz w:val="20"/>
                <w:szCs w:val="20"/>
              </w:rPr>
              <w:t>(759.1)</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608" w14:textId="77777777" w:rsidR="00871BDF" w:rsidRDefault="00871BDF">
            <w:pPr>
              <w:jc w:val="right"/>
              <w:rPr>
                <w:rFonts w:ascii="宋体"/>
              </w:rPr>
            </w:pPr>
          </w:p>
        </w:tc>
      </w:tr>
      <w:tr w:rsidR="00871BDF" w14:paraId="00BB0612" w14:textId="77777777">
        <w:tc>
          <w:tcPr>
            <w:tcW w:w="0" w:type="auto"/>
            <w:gridSpan w:val="3"/>
            <w:shd w:val="clear" w:color="auto" w:fill="FFFFFF"/>
            <w:tcMar>
              <w:top w:w="40" w:type="dxa"/>
              <w:left w:w="20" w:type="dxa"/>
              <w:bottom w:w="40" w:type="dxa"/>
              <w:right w:w="20" w:type="dxa"/>
            </w:tcMar>
          </w:tcPr>
          <w:p w14:paraId="00BB060A" w14:textId="77777777" w:rsidR="00871BDF" w:rsidRDefault="005C5088">
            <w:pPr>
              <w:textAlignment w:val="top"/>
            </w:pPr>
            <w:r>
              <w:rPr>
                <w:rFonts w:ascii="Times New Roman" w:eastAsia="宋体" w:hAnsi="Times New Roman"/>
                <w:color w:val="000000"/>
                <w:sz w:val="20"/>
                <w:szCs w:val="20"/>
              </w:rPr>
              <w:t>Net deferred tax asset (liability)</w:t>
            </w:r>
          </w:p>
        </w:tc>
        <w:tc>
          <w:tcPr>
            <w:tcW w:w="0" w:type="auto"/>
            <w:tcBorders>
              <w:top w:val="single" w:sz="8" w:space="0" w:color="000000"/>
            </w:tcBorders>
            <w:shd w:val="clear" w:color="auto" w:fill="FFFFFF"/>
            <w:tcMar>
              <w:top w:w="40" w:type="dxa"/>
              <w:left w:w="20" w:type="dxa"/>
              <w:bottom w:w="40" w:type="dxa"/>
              <w:right w:w="0" w:type="dxa"/>
            </w:tcMar>
            <w:vAlign w:val="bottom"/>
          </w:tcPr>
          <w:p w14:paraId="00BB060B"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B060C" w14:textId="77777777" w:rsidR="00871BDF" w:rsidRDefault="005C5088">
            <w:pPr>
              <w:jc w:val="right"/>
              <w:textAlignment w:val="bottom"/>
            </w:pPr>
            <w:r>
              <w:rPr>
                <w:rFonts w:ascii="Times New Roman" w:eastAsia="宋体" w:hAnsi="Times New Roman"/>
                <w:color w:val="000000"/>
                <w:sz w:val="20"/>
                <w:szCs w:val="20"/>
              </w:rPr>
              <w:t>1,631.8 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B060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60E" w14:textId="77777777" w:rsidR="00871BDF" w:rsidRDefault="00871BD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0BB060F"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0BB0610" w14:textId="77777777" w:rsidR="00871BDF" w:rsidRDefault="005C5088">
            <w:pPr>
              <w:jc w:val="right"/>
              <w:textAlignment w:val="bottom"/>
            </w:pPr>
            <w:r>
              <w:rPr>
                <w:rFonts w:ascii="Times New Roman" w:eastAsia="宋体" w:hAnsi="Times New Roman"/>
                <w:color w:val="000000"/>
                <w:sz w:val="20"/>
                <w:szCs w:val="20"/>
              </w:rPr>
              <w:t>1,579.4 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B0611" w14:textId="77777777" w:rsidR="00871BDF" w:rsidRDefault="00871BDF">
            <w:pPr>
              <w:jc w:val="right"/>
              <w:rPr>
                <w:rFonts w:ascii="宋体"/>
              </w:rPr>
            </w:pPr>
          </w:p>
        </w:tc>
      </w:tr>
      <w:tr w:rsidR="00871BDF" w14:paraId="00BB0617" w14:textId="77777777">
        <w:tc>
          <w:tcPr>
            <w:tcW w:w="0" w:type="auto"/>
            <w:gridSpan w:val="3"/>
            <w:shd w:val="clear" w:color="auto" w:fill="D7E4BC"/>
            <w:tcMar>
              <w:top w:w="40" w:type="dxa"/>
              <w:left w:w="20" w:type="dxa"/>
              <w:bottom w:w="40" w:type="dxa"/>
              <w:right w:w="20" w:type="dxa"/>
            </w:tcMar>
          </w:tcPr>
          <w:p w14:paraId="00BB0613" w14:textId="77777777" w:rsidR="00871BDF" w:rsidRDefault="005C5088">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D7E4BC"/>
            <w:tcMar>
              <w:top w:w="0" w:type="dxa"/>
              <w:left w:w="20" w:type="dxa"/>
              <w:bottom w:w="0" w:type="dxa"/>
              <w:right w:w="20" w:type="dxa"/>
            </w:tcMar>
          </w:tcPr>
          <w:p w14:paraId="00BB061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615" w14:textId="77777777" w:rsidR="00871BDF" w:rsidRDefault="00871BDF">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tcPr>
          <w:p w14:paraId="00BB0616" w14:textId="77777777" w:rsidR="00871BDF" w:rsidRDefault="00871BDF">
            <w:pPr>
              <w:rPr>
                <w:rFonts w:ascii="宋体"/>
              </w:rPr>
            </w:pPr>
          </w:p>
        </w:tc>
      </w:tr>
      <w:tr w:rsidR="00871BDF" w14:paraId="00BB061C" w14:textId="77777777">
        <w:trPr>
          <w:hidden/>
        </w:trPr>
        <w:tc>
          <w:tcPr>
            <w:tcW w:w="0" w:type="auto"/>
            <w:gridSpan w:val="3"/>
            <w:shd w:val="clear" w:color="auto" w:fill="auto"/>
          </w:tcPr>
          <w:p w14:paraId="00BB0618" w14:textId="77777777" w:rsidR="00871BDF" w:rsidRDefault="00871BDF">
            <w:pPr>
              <w:rPr>
                <w:rFonts w:ascii="宋体"/>
                <w:vanish/>
              </w:rPr>
            </w:pPr>
          </w:p>
        </w:tc>
        <w:tc>
          <w:tcPr>
            <w:tcW w:w="0" w:type="auto"/>
            <w:gridSpan w:val="3"/>
            <w:shd w:val="clear" w:color="auto" w:fill="auto"/>
          </w:tcPr>
          <w:p w14:paraId="00BB0619" w14:textId="77777777" w:rsidR="00871BDF" w:rsidRDefault="00871BDF">
            <w:pPr>
              <w:rPr>
                <w:rFonts w:ascii="宋体"/>
                <w:vanish/>
              </w:rPr>
            </w:pPr>
          </w:p>
        </w:tc>
        <w:tc>
          <w:tcPr>
            <w:tcW w:w="0" w:type="auto"/>
            <w:gridSpan w:val="3"/>
            <w:shd w:val="clear" w:color="auto" w:fill="auto"/>
          </w:tcPr>
          <w:p w14:paraId="00BB061A" w14:textId="77777777" w:rsidR="00871BDF" w:rsidRDefault="00871BDF">
            <w:pPr>
              <w:rPr>
                <w:rFonts w:ascii="宋体"/>
                <w:vanish/>
              </w:rPr>
            </w:pPr>
          </w:p>
        </w:tc>
        <w:tc>
          <w:tcPr>
            <w:tcW w:w="0" w:type="auto"/>
            <w:gridSpan w:val="3"/>
            <w:shd w:val="clear" w:color="auto" w:fill="auto"/>
          </w:tcPr>
          <w:p w14:paraId="00BB061B" w14:textId="77777777" w:rsidR="00871BDF" w:rsidRDefault="00871BDF">
            <w:pPr>
              <w:rPr>
                <w:rFonts w:ascii="宋体"/>
                <w:vanish/>
              </w:rPr>
            </w:pPr>
          </w:p>
        </w:tc>
      </w:tr>
      <w:tr w:rsidR="00871BDF" w14:paraId="00BB0623" w14:textId="77777777">
        <w:tc>
          <w:tcPr>
            <w:tcW w:w="0" w:type="auto"/>
            <w:gridSpan w:val="3"/>
            <w:shd w:val="clear" w:color="auto" w:fill="FFFFFF"/>
            <w:tcMar>
              <w:top w:w="40" w:type="dxa"/>
              <w:left w:w="20" w:type="dxa"/>
              <w:bottom w:w="40" w:type="dxa"/>
              <w:right w:w="20" w:type="dxa"/>
            </w:tcMar>
          </w:tcPr>
          <w:p w14:paraId="00BB061D" w14:textId="77777777" w:rsidR="00871BDF" w:rsidRDefault="005C5088">
            <w:pPr>
              <w:textAlignment w:val="top"/>
            </w:pPr>
            <w:r>
              <w:rPr>
                <w:rFonts w:ascii="Times New Roman" w:eastAsia="宋体" w:hAnsi="Times New Roman"/>
                <w:color w:val="000000"/>
                <w:sz w:val="20"/>
                <w:szCs w:val="20"/>
              </w:rPr>
              <w:t>Deferred income tax assets</w:t>
            </w:r>
          </w:p>
        </w:tc>
        <w:tc>
          <w:tcPr>
            <w:tcW w:w="0" w:type="auto"/>
            <w:gridSpan w:val="2"/>
            <w:shd w:val="clear" w:color="auto" w:fill="FFFFFF"/>
            <w:tcMar>
              <w:top w:w="40" w:type="dxa"/>
              <w:left w:w="20" w:type="dxa"/>
              <w:bottom w:w="40" w:type="dxa"/>
              <w:right w:w="0" w:type="dxa"/>
            </w:tcMar>
            <w:vAlign w:val="bottom"/>
          </w:tcPr>
          <w:p w14:paraId="00BB061E" w14:textId="77777777" w:rsidR="00871BDF" w:rsidRDefault="005C5088">
            <w:pPr>
              <w:jc w:val="right"/>
              <w:textAlignment w:val="bottom"/>
            </w:pPr>
            <w:r>
              <w:rPr>
                <w:rFonts w:ascii="Times New Roman" w:eastAsia="宋体" w:hAnsi="Times New Roman"/>
                <w:color w:val="000000"/>
                <w:sz w:val="20"/>
                <w:szCs w:val="20"/>
              </w:rPr>
              <w:t>1,789.9 </w:t>
            </w:r>
          </w:p>
        </w:tc>
        <w:tc>
          <w:tcPr>
            <w:tcW w:w="0" w:type="auto"/>
            <w:shd w:val="clear" w:color="auto" w:fill="FFFFFF"/>
            <w:tcMar>
              <w:top w:w="40" w:type="dxa"/>
              <w:left w:w="0" w:type="dxa"/>
              <w:bottom w:w="40" w:type="dxa"/>
              <w:right w:w="20" w:type="dxa"/>
            </w:tcMar>
            <w:vAlign w:val="bottom"/>
          </w:tcPr>
          <w:p w14:paraId="00BB061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62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621" w14:textId="77777777" w:rsidR="00871BDF" w:rsidRDefault="005C5088">
            <w:pPr>
              <w:jc w:val="right"/>
              <w:textAlignment w:val="bottom"/>
            </w:pPr>
            <w:r>
              <w:rPr>
                <w:rFonts w:ascii="Times New Roman" w:eastAsia="宋体" w:hAnsi="Times New Roman"/>
                <w:color w:val="000000"/>
                <w:sz w:val="20"/>
                <w:szCs w:val="20"/>
              </w:rPr>
              <w:t>1,765.8 </w:t>
            </w:r>
          </w:p>
        </w:tc>
        <w:tc>
          <w:tcPr>
            <w:tcW w:w="0" w:type="auto"/>
            <w:shd w:val="clear" w:color="auto" w:fill="FFFFFF"/>
            <w:tcMar>
              <w:top w:w="40" w:type="dxa"/>
              <w:left w:w="0" w:type="dxa"/>
              <w:bottom w:w="40" w:type="dxa"/>
              <w:right w:w="20" w:type="dxa"/>
            </w:tcMar>
            <w:vAlign w:val="bottom"/>
          </w:tcPr>
          <w:p w14:paraId="00BB0622" w14:textId="77777777" w:rsidR="00871BDF" w:rsidRDefault="00871BDF">
            <w:pPr>
              <w:jc w:val="right"/>
              <w:rPr>
                <w:rFonts w:ascii="宋体"/>
              </w:rPr>
            </w:pPr>
          </w:p>
        </w:tc>
      </w:tr>
      <w:tr w:rsidR="00871BDF" w14:paraId="00BB0628" w14:textId="77777777">
        <w:trPr>
          <w:hidden/>
        </w:trPr>
        <w:tc>
          <w:tcPr>
            <w:tcW w:w="0" w:type="auto"/>
            <w:gridSpan w:val="3"/>
            <w:shd w:val="clear" w:color="auto" w:fill="auto"/>
          </w:tcPr>
          <w:p w14:paraId="00BB0624" w14:textId="77777777" w:rsidR="00871BDF" w:rsidRDefault="00871BDF">
            <w:pPr>
              <w:rPr>
                <w:rFonts w:ascii="宋体"/>
                <w:vanish/>
              </w:rPr>
            </w:pPr>
          </w:p>
        </w:tc>
        <w:tc>
          <w:tcPr>
            <w:tcW w:w="0" w:type="auto"/>
            <w:gridSpan w:val="3"/>
            <w:shd w:val="clear" w:color="auto" w:fill="auto"/>
          </w:tcPr>
          <w:p w14:paraId="00BB0625" w14:textId="77777777" w:rsidR="00871BDF" w:rsidRDefault="00871BDF">
            <w:pPr>
              <w:rPr>
                <w:rFonts w:ascii="宋体"/>
                <w:vanish/>
              </w:rPr>
            </w:pPr>
          </w:p>
        </w:tc>
        <w:tc>
          <w:tcPr>
            <w:tcW w:w="0" w:type="auto"/>
            <w:gridSpan w:val="3"/>
            <w:shd w:val="clear" w:color="auto" w:fill="auto"/>
          </w:tcPr>
          <w:p w14:paraId="00BB0626" w14:textId="77777777" w:rsidR="00871BDF" w:rsidRDefault="00871BDF">
            <w:pPr>
              <w:rPr>
                <w:rFonts w:ascii="宋体"/>
                <w:vanish/>
              </w:rPr>
            </w:pPr>
          </w:p>
        </w:tc>
        <w:tc>
          <w:tcPr>
            <w:tcW w:w="0" w:type="auto"/>
            <w:gridSpan w:val="3"/>
            <w:shd w:val="clear" w:color="auto" w:fill="auto"/>
          </w:tcPr>
          <w:p w14:paraId="00BB0627" w14:textId="77777777" w:rsidR="00871BDF" w:rsidRDefault="00871BDF">
            <w:pPr>
              <w:rPr>
                <w:rFonts w:ascii="宋体"/>
                <w:vanish/>
              </w:rPr>
            </w:pPr>
          </w:p>
        </w:tc>
      </w:tr>
      <w:tr w:rsidR="00871BDF" w14:paraId="00BB062F" w14:textId="77777777">
        <w:tc>
          <w:tcPr>
            <w:tcW w:w="0" w:type="auto"/>
            <w:gridSpan w:val="3"/>
            <w:shd w:val="clear" w:color="auto" w:fill="D7E4BC"/>
            <w:tcMar>
              <w:top w:w="40" w:type="dxa"/>
              <w:left w:w="20" w:type="dxa"/>
              <w:bottom w:w="40" w:type="dxa"/>
              <w:right w:w="20" w:type="dxa"/>
            </w:tcMar>
          </w:tcPr>
          <w:p w14:paraId="00BB0629" w14:textId="77777777" w:rsidR="00871BDF" w:rsidRDefault="005C5088">
            <w:pPr>
              <w:textAlignment w:val="top"/>
            </w:pPr>
            <w:r>
              <w:rPr>
                <w:rFonts w:ascii="Times New Roman" w:eastAsia="宋体" w:hAnsi="Times New Roman"/>
                <w:color w:val="000000"/>
                <w:sz w:val="20"/>
                <w:szCs w:val="20"/>
              </w:rPr>
              <w:t>Deferred income tax liabilities (included in Other long-term liabilities)</w:t>
            </w:r>
          </w:p>
        </w:tc>
        <w:tc>
          <w:tcPr>
            <w:tcW w:w="0" w:type="auto"/>
            <w:gridSpan w:val="2"/>
            <w:shd w:val="clear" w:color="auto" w:fill="D7E4BC"/>
            <w:tcMar>
              <w:top w:w="40" w:type="dxa"/>
              <w:left w:w="20" w:type="dxa"/>
              <w:bottom w:w="40" w:type="dxa"/>
              <w:right w:w="0" w:type="dxa"/>
            </w:tcMar>
            <w:vAlign w:val="bottom"/>
          </w:tcPr>
          <w:p w14:paraId="00BB062A" w14:textId="77777777" w:rsidR="00871BDF" w:rsidRDefault="005C5088">
            <w:pPr>
              <w:jc w:val="right"/>
              <w:textAlignment w:val="bottom"/>
            </w:pPr>
            <w:r>
              <w:rPr>
                <w:rFonts w:ascii="Times New Roman" w:eastAsia="宋体" w:hAnsi="Times New Roman"/>
                <w:color w:val="000000"/>
                <w:sz w:val="20"/>
                <w:szCs w:val="20"/>
              </w:rPr>
              <w:t>(158.1)</w:t>
            </w:r>
          </w:p>
        </w:tc>
        <w:tc>
          <w:tcPr>
            <w:tcW w:w="0" w:type="auto"/>
            <w:shd w:val="clear" w:color="auto" w:fill="D7E4BC"/>
            <w:tcMar>
              <w:top w:w="40" w:type="dxa"/>
              <w:left w:w="0" w:type="dxa"/>
              <w:bottom w:w="40" w:type="dxa"/>
              <w:right w:w="20" w:type="dxa"/>
            </w:tcMar>
            <w:vAlign w:val="bottom"/>
          </w:tcPr>
          <w:p w14:paraId="00BB062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2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62D" w14:textId="77777777" w:rsidR="00871BDF" w:rsidRDefault="005C5088">
            <w:pPr>
              <w:jc w:val="right"/>
              <w:textAlignment w:val="bottom"/>
            </w:pPr>
            <w:r>
              <w:rPr>
                <w:rFonts w:ascii="Times New Roman" w:eastAsia="宋体" w:hAnsi="Times New Roman"/>
                <w:color w:val="000000"/>
                <w:sz w:val="20"/>
                <w:szCs w:val="20"/>
              </w:rPr>
              <w:t>(186.4)</w:t>
            </w:r>
          </w:p>
        </w:tc>
        <w:tc>
          <w:tcPr>
            <w:tcW w:w="0" w:type="auto"/>
            <w:shd w:val="clear" w:color="auto" w:fill="D7E4BC"/>
            <w:tcMar>
              <w:top w:w="40" w:type="dxa"/>
              <w:left w:w="0" w:type="dxa"/>
              <w:bottom w:w="40" w:type="dxa"/>
              <w:right w:w="20" w:type="dxa"/>
            </w:tcMar>
            <w:vAlign w:val="bottom"/>
          </w:tcPr>
          <w:p w14:paraId="00BB062E" w14:textId="77777777" w:rsidR="00871BDF" w:rsidRDefault="00871BDF">
            <w:pPr>
              <w:jc w:val="right"/>
              <w:rPr>
                <w:rFonts w:ascii="宋体"/>
              </w:rPr>
            </w:pPr>
          </w:p>
        </w:tc>
      </w:tr>
      <w:tr w:rsidR="00871BDF" w14:paraId="00BB0638" w14:textId="77777777">
        <w:tc>
          <w:tcPr>
            <w:tcW w:w="0" w:type="auto"/>
            <w:gridSpan w:val="3"/>
            <w:shd w:val="clear" w:color="auto" w:fill="FFFFFF"/>
            <w:tcMar>
              <w:top w:w="40" w:type="dxa"/>
              <w:left w:w="20" w:type="dxa"/>
              <w:bottom w:w="40" w:type="dxa"/>
              <w:right w:w="20" w:type="dxa"/>
            </w:tcMar>
          </w:tcPr>
          <w:p w14:paraId="00BB0630" w14:textId="77777777" w:rsidR="00871BDF" w:rsidRDefault="005C5088">
            <w:pPr>
              <w:textAlignment w:val="top"/>
            </w:pPr>
            <w:r>
              <w:rPr>
                <w:rFonts w:ascii="Times New Roman" w:eastAsia="宋体" w:hAnsi="Times New Roman"/>
                <w:color w:val="000000"/>
                <w:sz w:val="20"/>
                <w:szCs w:val="20"/>
              </w:rPr>
              <w:t>Net deferred tax asset (liability)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63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632" w14:textId="77777777" w:rsidR="00871BDF" w:rsidRDefault="005C5088">
            <w:pPr>
              <w:jc w:val="right"/>
              <w:textAlignment w:val="bottom"/>
            </w:pPr>
            <w:r>
              <w:rPr>
                <w:rFonts w:ascii="Times New Roman" w:eastAsia="宋体" w:hAnsi="Times New Roman"/>
                <w:color w:val="000000"/>
                <w:sz w:val="20"/>
                <w:szCs w:val="20"/>
              </w:rPr>
              <w:t>1,631.8 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63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634"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63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636" w14:textId="77777777" w:rsidR="00871BDF" w:rsidRDefault="005C5088">
            <w:pPr>
              <w:jc w:val="right"/>
              <w:textAlignment w:val="bottom"/>
            </w:pPr>
            <w:r>
              <w:rPr>
                <w:rFonts w:ascii="Times New Roman" w:eastAsia="宋体" w:hAnsi="Times New Roman"/>
                <w:color w:val="000000"/>
                <w:sz w:val="20"/>
                <w:szCs w:val="20"/>
              </w:rPr>
              <w:t>1,579.4 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637" w14:textId="77777777" w:rsidR="00871BDF" w:rsidRDefault="00871BDF">
            <w:pPr>
              <w:jc w:val="right"/>
              <w:rPr>
                <w:rFonts w:ascii="宋体"/>
              </w:rPr>
            </w:pPr>
          </w:p>
        </w:tc>
      </w:tr>
    </w:tbl>
    <w:p w14:paraId="00BB0639" w14:textId="77777777" w:rsidR="00871BDF" w:rsidRDefault="005C5088">
      <w:pPr>
        <w:spacing w:before="120"/>
      </w:pPr>
      <w:r>
        <w:rPr>
          <w:rFonts w:ascii="Times New Roman" w:eastAsia="宋体" w:hAnsi="Times New Roman"/>
          <w:color w:val="000000"/>
          <w:sz w:val="20"/>
          <w:szCs w:val="20"/>
        </w:rPr>
        <w:t xml:space="preserve">The valuation allowances as of September 27, 2020 and September 29, 2019 were primarily related to net operating losses and other deferred tax assets of consolidated foreign subsidiaries. </w:t>
      </w:r>
    </w:p>
    <w:p w14:paraId="00BB063A" w14:textId="77777777" w:rsidR="00871BDF" w:rsidRDefault="005C5088">
      <w:pPr>
        <w:spacing w:before="120"/>
      </w:pPr>
      <w:r>
        <w:rPr>
          <w:rFonts w:ascii="Times New Roman" w:eastAsia="宋体" w:hAnsi="Times New Roman"/>
          <w:color w:val="000000"/>
          <w:sz w:val="20"/>
          <w:szCs w:val="20"/>
        </w:rPr>
        <w:t>As of September 27, 2020, we had federal net operating loss carryfo</w:t>
      </w:r>
      <w:r>
        <w:rPr>
          <w:rFonts w:ascii="Times New Roman" w:eastAsia="宋体" w:hAnsi="Times New Roman"/>
          <w:color w:val="000000"/>
          <w:sz w:val="20"/>
          <w:szCs w:val="20"/>
        </w:rPr>
        <w:t>rwards of $75.2 million which have an indefinite carryforward period, state net operating loss carryforwards of $112.8 million which will begin to expire in fiscal 2024, federal tax credit carryforwards of $11.9 million which will begin to expire in fiscal</w:t>
      </w:r>
      <w:r>
        <w:rPr>
          <w:rFonts w:ascii="Times New Roman" w:eastAsia="宋体" w:hAnsi="Times New Roman"/>
          <w:color w:val="000000"/>
          <w:sz w:val="20"/>
          <w:szCs w:val="20"/>
        </w:rPr>
        <w:t xml:space="preserve"> 2029, state tax credit carryforwards of $2.7 million which will begin to expire in fiscal 2024 and foreign net operating loss carryforwards of $317.8 million, of which $150.5 million have an indefinite carryforward period and the remainder expire at vario</w:t>
      </w:r>
      <w:r>
        <w:rPr>
          <w:rFonts w:ascii="Times New Roman" w:eastAsia="宋体" w:hAnsi="Times New Roman"/>
          <w:color w:val="000000"/>
          <w:sz w:val="20"/>
          <w:szCs w:val="20"/>
        </w:rPr>
        <w:t>us dates starting from fiscal 2021.</w:t>
      </w:r>
    </w:p>
    <w:p w14:paraId="00BB063B" w14:textId="77777777" w:rsidR="00871BDF" w:rsidRDefault="005C5088">
      <w:pPr>
        <w:spacing w:before="120"/>
      </w:pPr>
      <w:r>
        <w:rPr>
          <w:rFonts w:ascii="Times New Roman" w:eastAsia="宋体" w:hAnsi="Times New Roman"/>
          <w:b/>
          <w:bCs/>
          <w:i/>
          <w:iCs/>
          <w:color w:val="000000"/>
          <w:sz w:val="20"/>
          <w:szCs w:val="20"/>
        </w:rPr>
        <w:t>Uncertain Tax Positions</w:t>
      </w:r>
    </w:p>
    <w:p w14:paraId="00BB063C" w14:textId="77777777" w:rsidR="00871BDF" w:rsidRDefault="005C5088">
      <w:pPr>
        <w:spacing w:before="120"/>
      </w:pPr>
      <w:r>
        <w:rPr>
          <w:rFonts w:ascii="Times New Roman" w:eastAsia="宋体" w:hAnsi="Times New Roman"/>
          <w:color w:val="000000"/>
          <w:sz w:val="20"/>
          <w:szCs w:val="20"/>
        </w:rPr>
        <w:t xml:space="preserve">As of September 27, 2020, we had $123.7 million of gross unrecognized tax benefits of which $103.0 million, if recognized, would affect our effective tax rate. We recognized an expense of $3.0 </w:t>
      </w:r>
      <w:r>
        <w:rPr>
          <w:rFonts w:ascii="Times New Roman" w:eastAsia="宋体" w:hAnsi="Times New Roman"/>
          <w:color w:val="000000"/>
          <w:sz w:val="20"/>
          <w:szCs w:val="20"/>
        </w:rPr>
        <w:t>million, a benefit of $2.8 million and a benefit of $0.5 million of interest and penalties in income tax expense, prior to the benefit of the federal tax deduction, for fiscal 2020, 2019 and 2018, respectively. As of September 27, 2020 and September 29, 20</w:t>
      </w:r>
      <w:r>
        <w:rPr>
          <w:rFonts w:ascii="Times New Roman" w:eastAsia="宋体" w:hAnsi="Times New Roman"/>
          <w:color w:val="000000"/>
          <w:sz w:val="20"/>
          <w:szCs w:val="20"/>
        </w:rPr>
        <w:t>19, we had accrued interest and penalties of $13.0 million and $10.0 million, respectively, within our consolidated balance sheets.</w:t>
      </w:r>
    </w:p>
    <w:p w14:paraId="00BB063D" w14:textId="77777777" w:rsidR="00871BDF" w:rsidRDefault="005C5088">
      <w:pPr>
        <w:spacing w:before="120"/>
      </w:pPr>
      <w:r>
        <w:rPr>
          <w:rFonts w:ascii="Times New Roman" w:eastAsia="宋体" w:hAnsi="Times New Roman"/>
          <w:color w:val="000000"/>
          <w:sz w:val="20"/>
          <w:szCs w:val="20"/>
        </w:rPr>
        <w:t xml:space="preserve">The following table summarizes the activity related to our unrecognized tax benefits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8"/>
        <w:gridCol w:w="4294"/>
        <w:gridCol w:w="37"/>
        <w:gridCol w:w="120"/>
        <w:gridCol w:w="1117"/>
        <w:gridCol w:w="36"/>
        <w:gridCol w:w="36"/>
        <w:gridCol w:w="36"/>
        <w:gridCol w:w="36"/>
        <w:gridCol w:w="120"/>
        <w:gridCol w:w="1077"/>
        <w:gridCol w:w="36"/>
        <w:gridCol w:w="36"/>
        <w:gridCol w:w="36"/>
        <w:gridCol w:w="36"/>
        <w:gridCol w:w="120"/>
        <w:gridCol w:w="1077"/>
        <w:gridCol w:w="36"/>
      </w:tblGrid>
      <w:tr w:rsidR="00871BDF" w14:paraId="00BB0650" w14:textId="77777777">
        <w:tc>
          <w:tcPr>
            <w:tcW w:w="50" w:type="pct"/>
            <w:shd w:val="clear" w:color="auto" w:fill="auto"/>
          </w:tcPr>
          <w:p w14:paraId="00BB063E" w14:textId="77777777" w:rsidR="00871BDF" w:rsidRDefault="00871BDF">
            <w:pPr>
              <w:rPr>
                <w:rFonts w:ascii="宋体"/>
              </w:rPr>
            </w:pPr>
          </w:p>
        </w:tc>
        <w:tc>
          <w:tcPr>
            <w:tcW w:w="2609" w:type="pct"/>
            <w:shd w:val="clear" w:color="auto" w:fill="auto"/>
          </w:tcPr>
          <w:p w14:paraId="00BB063F" w14:textId="77777777" w:rsidR="00871BDF" w:rsidRDefault="00871BDF">
            <w:pPr>
              <w:rPr>
                <w:rFonts w:ascii="宋体"/>
              </w:rPr>
            </w:pPr>
          </w:p>
        </w:tc>
        <w:tc>
          <w:tcPr>
            <w:tcW w:w="5" w:type="pct"/>
            <w:shd w:val="clear" w:color="auto" w:fill="auto"/>
          </w:tcPr>
          <w:p w14:paraId="00BB0640" w14:textId="77777777" w:rsidR="00871BDF" w:rsidRDefault="00871BDF">
            <w:pPr>
              <w:rPr>
                <w:rFonts w:ascii="宋体"/>
              </w:rPr>
            </w:pPr>
          </w:p>
        </w:tc>
        <w:tc>
          <w:tcPr>
            <w:tcW w:w="50" w:type="pct"/>
            <w:shd w:val="clear" w:color="auto" w:fill="auto"/>
          </w:tcPr>
          <w:p w14:paraId="00BB0641" w14:textId="77777777" w:rsidR="00871BDF" w:rsidRDefault="00871BDF">
            <w:pPr>
              <w:rPr>
                <w:rFonts w:ascii="宋体"/>
              </w:rPr>
            </w:pPr>
          </w:p>
        </w:tc>
        <w:tc>
          <w:tcPr>
            <w:tcW w:w="699" w:type="pct"/>
            <w:shd w:val="clear" w:color="auto" w:fill="auto"/>
          </w:tcPr>
          <w:p w14:paraId="00BB0642" w14:textId="77777777" w:rsidR="00871BDF" w:rsidRDefault="00871BDF">
            <w:pPr>
              <w:rPr>
                <w:rFonts w:ascii="宋体"/>
              </w:rPr>
            </w:pPr>
          </w:p>
        </w:tc>
        <w:tc>
          <w:tcPr>
            <w:tcW w:w="5" w:type="pct"/>
            <w:shd w:val="clear" w:color="auto" w:fill="auto"/>
          </w:tcPr>
          <w:p w14:paraId="00BB0643" w14:textId="77777777" w:rsidR="00871BDF" w:rsidRDefault="00871BDF">
            <w:pPr>
              <w:rPr>
                <w:rFonts w:ascii="宋体"/>
              </w:rPr>
            </w:pPr>
          </w:p>
        </w:tc>
        <w:tc>
          <w:tcPr>
            <w:tcW w:w="5" w:type="pct"/>
            <w:shd w:val="clear" w:color="auto" w:fill="auto"/>
          </w:tcPr>
          <w:p w14:paraId="00BB0644" w14:textId="77777777" w:rsidR="00871BDF" w:rsidRDefault="00871BDF">
            <w:pPr>
              <w:rPr>
                <w:rFonts w:ascii="宋体"/>
              </w:rPr>
            </w:pPr>
          </w:p>
        </w:tc>
        <w:tc>
          <w:tcPr>
            <w:tcW w:w="26" w:type="pct"/>
            <w:shd w:val="clear" w:color="auto" w:fill="auto"/>
          </w:tcPr>
          <w:p w14:paraId="00BB0645" w14:textId="77777777" w:rsidR="00871BDF" w:rsidRDefault="00871BDF">
            <w:pPr>
              <w:rPr>
                <w:rFonts w:ascii="宋体"/>
              </w:rPr>
            </w:pPr>
          </w:p>
        </w:tc>
        <w:tc>
          <w:tcPr>
            <w:tcW w:w="5" w:type="pct"/>
            <w:shd w:val="clear" w:color="auto" w:fill="auto"/>
          </w:tcPr>
          <w:p w14:paraId="00BB0646" w14:textId="77777777" w:rsidR="00871BDF" w:rsidRDefault="00871BDF">
            <w:pPr>
              <w:rPr>
                <w:rFonts w:ascii="宋体"/>
              </w:rPr>
            </w:pPr>
          </w:p>
        </w:tc>
        <w:tc>
          <w:tcPr>
            <w:tcW w:w="50" w:type="pct"/>
            <w:shd w:val="clear" w:color="auto" w:fill="auto"/>
          </w:tcPr>
          <w:p w14:paraId="00BB0647" w14:textId="77777777" w:rsidR="00871BDF" w:rsidRDefault="00871BDF">
            <w:pPr>
              <w:rPr>
                <w:rFonts w:ascii="宋体"/>
              </w:rPr>
            </w:pPr>
          </w:p>
        </w:tc>
        <w:tc>
          <w:tcPr>
            <w:tcW w:w="699" w:type="pct"/>
            <w:shd w:val="clear" w:color="auto" w:fill="auto"/>
          </w:tcPr>
          <w:p w14:paraId="00BB0648" w14:textId="77777777" w:rsidR="00871BDF" w:rsidRDefault="00871BDF">
            <w:pPr>
              <w:rPr>
                <w:rFonts w:ascii="宋体"/>
              </w:rPr>
            </w:pPr>
          </w:p>
        </w:tc>
        <w:tc>
          <w:tcPr>
            <w:tcW w:w="5" w:type="pct"/>
            <w:shd w:val="clear" w:color="auto" w:fill="auto"/>
          </w:tcPr>
          <w:p w14:paraId="00BB0649" w14:textId="77777777" w:rsidR="00871BDF" w:rsidRDefault="00871BDF">
            <w:pPr>
              <w:rPr>
                <w:rFonts w:ascii="宋体"/>
              </w:rPr>
            </w:pPr>
          </w:p>
        </w:tc>
        <w:tc>
          <w:tcPr>
            <w:tcW w:w="5" w:type="pct"/>
            <w:shd w:val="clear" w:color="auto" w:fill="auto"/>
          </w:tcPr>
          <w:p w14:paraId="00BB064A" w14:textId="77777777" w:rsidR="00871BDF" w:rsidRDefault="00871BDF">
            <w:pPr>
              <w:rPr>
                <w:rFonts w:ascii="宋体"/>
              </w:rPr>
            </w:pPr>
          </w:p>
        </w:tc>
        <w:tc>
          <w:tcPr>
            <w:tcW w:w="26" w:type="pct"/>
            <w:shd w:val="clear" w:color="auto" w:fill="auto"/>
          </w:tcPr>
          <w:p w14:paraId="00BB064B" w14:textId="77777777" w:rsidR="00871BDF" w:rsidRDefault="00871BDF">
            <w:pPr>
              <w:rPr>
                <w:rFonts w:ascii="宋体"/>
              </w:rPr>
            </w:pPr>
          </w:p>
        </w:tc>
        <w:tc>
          <w:tcPr>
            <w:tcW w:w="5" w:type="pct"/>
            <w:shd w:val="clear" w:color="auto" w:fill="auto"/>
          </w:tcPr>
          <w:p w14:paraId="00BB064C" w14:textId="77777777" w:rsidR="00871BDF" w:rsidRDefault="00871BDF">
            <w:pPr>
              <w:rPr>
                <w:rFonts w:ascii="宋体"/>
              </w:rPr>
            </w:pPr>
          </w:p>
        </w:tc>
        <w:tc>
          <w:tcPr>
            <w:tcW w:w="50" w:type="pct"/>
            <w:shd w:val="clear" w:color="auto" w:fill="auto"/>
          </w:tcPr>
          <w:p w14:paraId="00BB064D" w14:textId="77777777" w:rsidR="00871BDF" w:rsidRDefault="00871BDF">
            <w:pPr>
              <w:rPr>
                <w:rFonts w:ascii="宋体"/>
              </w:rPr>
            </w:pPr>
          </w:p>
        </w:tc>
        <w:tc>
          <w:tcPr>
            <w:tcW w:w="699" w:type="pct"/>
            <w:shd w:val="clear" w:color="auto" w:fill="auto"/>
          </w:tcPr>
          <w:p w14:paraId="00BB064E" w14:textId="77777777" w:rsidR="00871BDF" w:rsidRDefault="00871BDF">
            <w:pPr>
              <w:rPr>
                <w:rFonts w:ascii="宋体"/>
              </w:rPr>
            </w:pPr>
          </w:p>
        </w:tc>
        <w:tc>
          <w:tcPr>
            <w:tcW w:w="5" w:type="pct"/>
            <w:shd w:val="clear" w:color="auto" w:fill="auto"/>
          </w:tcPr>
          <w:p w14:paraId="00BB064F" w14:textId="77777777" w:rsidR="00871BDF" w:rsidRDefault="00871BDF">
            <w:pPr>
              <w:rPr>
                <w:rFonts w:ascii="宋体"/>
              </w:rPr>
            </w:pPr>
          </w:p>
        </w:tc>
      </w:tr>
      <w:tr w:rsidR="00871BDF" w14:paraId="00BB0657" w14:textId="77777777">
        <w:tc>
          <w:tcPr>
            <w:tcW w:w="0" w:type="auto"/>
            <w:gridSpan w:val="3"/>
            <w:shd w:val="clear" w:color="auto" w:fill="auto"/>
            <w:tcMar>
              <w:top w:w="0" w:type="dxa"/>
              <w:left w:w="20" w:type="dxa"/>
              <w:bottom w:w="0" w:type="dxa"/>
              <w:right w:w="20" w:type="dxa"/>
            </w:tcMar>
          </w:tcPr>
          <w:p w14:paraId="00BB0651"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652"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B0653"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654" w14:textId="77777777" w:rsidR="00871BDF" w:rsidRDefault="005C5088">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B0655"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656" w14:textId="77777777" w:rsidR="00871BDF" w:rsidRDefault="005C5088">
            <w:pPr>
              <w:jc w:val="center"/>
              <w:textAlignment w:val="bottom"/>
            </w:pPr>
            <w:r>
              <w:rPr>
                <w:rFonts w:ascii="Times New Roman" w:eastAsia="宋体" w:hAnsi="Times New Roman"/>
                <w:b/>
                <w:bCs/>
                <w:color w:val="FFFFFF"/>
                <w:sz w:val="16"/>
                <w:szCs w:val="16"/>
              </w:rPr>
              <w:t>Sep 30, 2018</w:t>
            </w:r>
          </w:p>
        </w:tc>
      </w:tr>
      <w:tr w:rsidR="00871BDF" w14:paraId="00BB0664" w14:textId="77777777">
        <w:tc>
          <w:tcPr>
            <w:tcW w:w="0" w:type="auto"/>
            <w:gridSpan w:val="3"/>
            <w:shd w:val="clear" w:color="auto" w:fill="D7E4BC"/>
            <w:tcMar>
              <w:top w:w="40" w:type="dxa"/>
              <w:left w:w="20" w:type="dxa"/>
              <w:bottom w:w="40" w:type="dxa"/>
              <w:right w:w="20" w:type="dxa"/>
            </w:tcMar>
          </w:tcPr>
          <w:p w14:paraId="00BB0658" w14:textId="77777777" w:rsidR="00871BDF" w:rsidRDefault="005C5088">
            <w:pPr>
              <w:textAlignment w:val="top"/>
            </w:pPr>
            <w:r>
              <w:rPr>
                <w:rFonts w:ascii="Times New Roman" w:eastAsia="宋体" w:hAnsi="Times New Roman"/>
                <w:color w:val="000000"/>
                <w:sz w:val="20"/>
                <w:szCs w:val="20"/>
              </w:rPr>
              <w:t>Beginning balance</w:t>
            </w:r>
          </w:p>
        </w:tc>
        <w:tc>
          <w:tcPr>
            <w:tcW w:w="0" w:type="auto"/>
            <w:tcBorders>
              <w:top w:val="single" w:sz="8" w:space="0" w:color="000000"/>
            </w:tcBorders>
            <w:shd w:val="clear" w:color="auto" w:fill="D7E4BC"/>
            <w:tcMar>
              <w:top w:w="40" w:type="dxa"/>
              <w:left w:w="20" w:type="dxa"/>
              <w:bottom w:w="40" w:type="dxa"/>
              <w:right w:w="0" w:type="dxa"/>
            </w:tcMar>
            <w:vAlign w:val="bottom"/>
          </w:tcPr>
          <w:p w14:paraId="00BB065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65A" w14:textId="77777777" w:rsidR="00871BDF" w:rsidRDefault="005C5088">
            <w:pPr>
              <w:jc w:val="right"/>
              <w:textAlignment w:val="bottom"/>
            </w:pPr>
            <w:r>
              <w:rPr>
                <w:rFonts w:ascii="Times New Roman" w:eastAsia="宋体" w:hAnsi="Times New Roman"/>
                <w:color w:val="000000"/>
                <w:sz w:val="20"/>
                <w:szCs w:val="20"/>
              </w:rPr>
              <w:t>132.1 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65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5C"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65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65E" w14:textId="77777777" w:rsidR="00871BDF" w:rsidRDefault="005C5088">
            <w:pPr>
              <w:jc w:val="right"/>
              <w:textAlignment w:val="bottom"/>
            </w:pPr>
            <w:r>
              <w:rPr>
                <w:rFonts w:ascii="Times New Roman" w:eastAsia="宋体" w:hAnsi="Times New Roman"/>
                <w:color w:val="000000"/>
                <w:sz w:val="20"/>
                <w:szCs w:val="20"/>
              </w:rPr>
              <w:t>224.6 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65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60"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66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662" w14:textId="77777777" w:rsidR="00871BDF" w:rsidRDefault="005C5088">
            <w:pPr>
              <w:jc w:val="right"/>
              <w:textAlignment w:val="bottom"/>
            </w:pPr>
            <w:r>
              <w:rPr>
                <w:rFonts w:ascii="Times New Roman" w:eastAsia="宋体" w:hAnsi="Times New Roman"/>
                <w:color w:val="000000"/>
                <w:sz w:val="20"/>
                <w:szCs w:val="20"/>
              </w:rPr>
              <w:t>196.9 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663" w14:textId="77777777" w:rsidR="00871BDF" w:rsidRDefault="00871BDF">
            <w:pPr>
              <w:jc w:val="right"/>
              <w:rPr>
                <w:rFonts w:ascii="宋体"/>
              </w:rPr>
            </w:pPr>
          </w:p>
        </w:tc>
      </w:tr>
      <w:tr w:rsidR="00871BDF" w14:paraId="00BB066E" w14:textId="77777777">
        <w:tc>
          <w:tcPr>
            <w:tcW w:w="0" w:type="auto"/>
            <w:gridSpan w:val="3"/>
            <w:shd w:val="clear" w:color="auto" w:fill="FFFFFF"/>
            <w:tcMar>
              <w:top w:w="40" w:type="dxa"/>
              <w:left w:w="20" w:type="dxa"/>
              <w:bottom w:w="40" w:type="dxa"/>
              <w:right w:w="20" w:type="dxa"/>
            </w:tcMar>
          </w:tcPr>
          <w:p w14:paraId="00BB0665" w14:textId="77777777" w:rsidR="00871BDF" w:rsidRDefault="005C5088">
            <w:pPr>
              <w:textAlignment w:val="top"/>
            </w:pPr>
            <w:r>
              <w:rPr>
                <w:rFonts w:ascii="Times New Roman" w:eastAsia="宋体" w:hAnsi="Times New Roman"/>
                <w:color w:val="000000"/>
                <w:sz w:val="20"/>
                <w:szCs w:val="20"/>
              </w:rPr>
              <w:t>Increase related to prior year tax positions</w:t>
            </w:r>
          </w:p>
        </w:tc>
        <w:tc>
          <w:tcPr>
            <w:tcW w:w="0" w:type="auto"/>
            <w:gridSpan w:val="2"/>
            <w:shd w:val="clear" w:color="auto" w:fill="FFFFFF"/>
            <w:tcMar>
              <w:top w:w="40" w:type="dxa"/>
              <w:left w:w="20" w:type="dxa"/>
              <w:bottom w:w="40" w:type="dxa"/>
              <w:right w:w="0" w:type="dxa"/>
            </w:tcMar>
            <w:vAlign w:val="bottom"/>
          </w:tcPr>
          <w:p w14:paraId="00BB0666" w14:textId="77777777" w:rsidR="00871BDF" w:rsidRDefault="005C5088">
            <w:pPr>
              <w:jc w:val="right"/>
              <w:textAlignment w:val="bottom"/>
            </w:pPr>
            <w:r>
              <w:rPr>
                <w:rFonts w:ascii="Times New Roman" w:eastAsia="宋体" w:hAnsi="Times New Roman"/>
                <w:color w:val="000000"/>
                <w:sz w:val="20"/>
                <w:szCs w:val="20"/>
              </w:rPr>
              <w:t>11.1 </w:t>
            </w:r>
          </w:p>
        </w:tc>
        <w:tc>
          <w:tcPr>
            <w:tcW w:w="0" w:type="auto"/>
            <w:shd w:val="clear" w:color="auto" w:fill="FFFFFF"/>
            <w:tcMar>
              <w:top w:w="40" w:type="dxa"/>
              <w:left w:w="0" w:type="dxa"/>
              <w:bottom w:w="40" w:type="dxa"/>
              <w:right w:w="20" w:type="dxa"/>
            </w:tcMar>
            <w:vAlign w:val="bottom"/>
          </w:tcPr>
          <w:p w14:paraId="00BB066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66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669" w14:textId="77777777" w:rsidR="00871BDF" w:rsidRDefault="005C5088">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00BB066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66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66C" w14:textId="77777777" w:rsidR="00871BDF" w:rsidRDefault="005C5088">
            <w:pPr>
              <w:jc w:val="right"/>
              <w:textAlignment w:val="bottom"/>
            </w:pPr>
            <w:r>
              <w:rPr>
                <w:rFonts w:ascii="Times New Roman" w:eastAsia="宋体" w:hAnsi="Times New Roman"/>
                <w:color w:val="000000"/>
                <w:sz w:val="20"/>
                <w:szCs w:val="20"/>
              </w:rPr>
              <w:t>17.5 </w:t>
            </w:r>
          </w:p>
        </w:tc>
        <w:tc>
          <w:tcPr>
            <w:tcW w:w="0" w:type="auto"/>
            <w:shd w:val="clear" w:color="auto" w:fill="FFFFFF"/>
            <w:tcMar>
              <w:top w:w="40" w:type="dxa"/>
              <w:left w:w="0" w:type="dxa"/>
              <w:bottom w:w="40" w:type="dxa"/>
              <w:right w:w="20" w:type="dxa"/>
            </w:tcMar>
            <w:vAlign w:val="bottom"/>
          </w:tcPr>
          <w:p w14:paraId="00BB066D" w14:textId="77777777" w:rsidR="00871BDF" w:rsidRDefault="00871BDF">
            <w:pPr>
              <w:jc w:val="right"/>
              <w:rPr>
                <w:rFonts w:ascii="宋体"/>
              </w:rPr>
            </w:pPr>
          </w:p>
        </w:tc>
      </w:tr>
      <w:tr w:rsidR="00871BDF" w14:paraId="00BB0678" w14:textId="77777777">
        <w:tc>
          <w:tcPr>
            <w:tcW w:w="0" w:type="auto"/>
            <w:gridSpan w:val="3"/>
            <w:shd w:val="clear" w:color="auto" w:fill="D7E4BC"/>
            <w:tcMar>
              <w:top w:w="40" w:type="dxa"/>
              <w:left w:w="20" w:type="dxa"/>
              <w:bottom w:w="40" w:type="dxa"/>
              <w:right w:w="20" w:type="dxa"/>
            </w:tcMar>
          </w:tcPr>
          <w:p w14:paraId="00BB066F" w14:textId="77777777" w:rsidR="00871BDF" w:rsidRDefault="005C5088">
            <w:pPr>
              <w:textAlignment w:val="top"/>
            </w:pPr>
            <w:r>
              <w:rPr>
                <w:rFonts w:ascii="Times New Roman" w:eastAsia="宋体" w:hAnsi="Times New Roman"/>
                <w:color w:val="000000"/>
                <w:sz w:val="20"/>
                <w:szCs w:val="20"/>
              </w:rPr>
              <w:t>Decrease related to prior year tax positions</w:t>
            </w:r>
          </w:p>
        </w:tc>
        <w:tc>
          <w:tcPr>
            <w:tcW w:w="0" w:type="auto"/>
            <w:gridSpan w:val="2"/>
            <w:shd w:val="clear" w:color="auto" w:fill="D7E4BC"/>
            <w:tcMar>
              <w:top w:w="40" w:type="dxa"/>
              <w:left w:w="20" w:type="dxa"/>
              <w:bottom w:w="40" w:type="dxa"/>
              <w:right w:w="0" w:type="dxa"/>
            </w:tcMar>
            <w:vAlign w:val="bottom"/>
          </w:tcPr>
          <w:p w14:paraId="00BB0670" w14:textId="77777777" w:rsidR="00871BDF" w:rsidRDefault="005C5088">
            <w:pPr>
              <w:jc w:val="right"/>
              <w:textAlignment w:val="bottom"/>
            </w:pPr>
            <w:r>
              <w:rPr>
                <w:rFonts w:ascii="Times New Roman" w:eastAsia="宋体" w:hAnsi="Times New Roman"/>
                <w:color w:val="000000"/>
                <w:sz w:val="20"/>
                <w:szCs w:val="20"/>
              </w:rPr>
              <w:t>(0.5)</w:t>
            </w:r>
          </w:p>
        </w:tc>
        <w:tc>
          <w:tcPr>
            <w:tcW w:w="0" w:type="auto"/>
            <w:shd w:val="clear" w:color="auto" w:fill="D7E4BC"/>
            <w:tcMar>
              <w:top w:w="40" w:type="dxa"/>
              <w:left w:w="0" w:type="dxa"/>
              <w:bottom w:w="40" w:type="dxa"/>
              <w:right w:w="20" w:type="dxa"/>
            </w:tcMar>
            <w:vAlign w:val="bottom"/>
          </w:tcPr>
          <w:p w14:paraId="00BB067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7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673" w14:textId="77777777" w:rsidR="00871BDF" w:rsidRDefault="005C5088">
            <w:pPr>
              <w:jc w:val="right"/>
              <w:textAlignment w:val="bottom"/>
            </w:pPr>
            <w:r>
              <w:rPr>
                <w:rFonts w:ascii="Times New Roman" w:eastAsia="宋体" w:hAnsi="Times New Roman"/>
                <w:color w:val="000000"/>
                <w:sz w:val="20"/>
                <w:szCs w:val="20"/>
              </w:rPr>
              <w:t>(75.3)</w:t>
            </w:r>
          </w:p>
        </w:tc>
        <w:tc>
          <w:tcPr>
            <w:tcW w:w="0" w:type="auto"/>
            <w:shd w:val="clear" w:color="auto" w:fill="D7E4BC"/>
            <w:tcMar>
              <w:top w:w="40" w:type="dxa"/>
              <w:left w:w="0" w:type="dxa"/>
              <w:bottom w:w="40" w:type="dxa"/>
              <w:right w:w="20" w:type="dxa"/>
            </w:tcMar>
            <w:vAlign w:val="bottom"/>
          </w:tcPr>
          <w:p w14:paraId="00BB067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7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676" w14:textId="77777777" w:rsidR="00871BDF" w:rsidRDefault="005C5088">
            <w:pPr>
              <w:jc w:val="right"/>
              <w:textAlignment w:val="bottom"/>
            </w:pPr>
            <w:r>
              <w:rPr>
                <w:rFonts w:ascii="Times New Roman" w:eastAsia="宋体" w:hAnsi="Times New Roman"/>
                <w:color w:val="000000"/>
                <w:sz w:val="20"/>
                <w:szCs w:val="20"/>
              </w:rPr>
              <w:t>(41.8)</w:t>
            </w:r>
          </w:p>
        </w:tc>
        <w:tc>
          <w:tcPr>
            <w:tcW w:w="0" w:type="auto"/>
            <w:shd w:val="clear" w:color="auto" w:fill="D7E4BC"/>
            <w:tcMar>
              <w:top w:w="40" w:type="dxa"/>
              <w:left w:w="0" w:type="dxa"/>
              <w:bottom w:w="40" w:type="dxa"/>
              <w:right w:w="20" w:type="dxa"/>
            </w:tcMar>
            <w:vAlign w:val="bottom"/>
          </w:tcPr>
          <w:p w14:paraId="00BB0677" w14:textId="77777777" w:rsidR="00871BDF" w:rsidRDefault="00871BDF">
            <w:pPr>
              <w:jc w:val="right"/>
              <w:rPr>
                <w:rFonts w:ascii="宋体"/>
              </w:rPr>
            </w:pPr>
          </w:p>
        </w:tc>
      </w:tr>
      <w:tr w:rsidR="00871BDF" w14:paraId="00BB0682" w14:textId="77777777">
        <w:tc>
          <w:tcPr>
            <w:tcW w:w="0" w:type="auto"/>
            <w:gridSpan w:val="3"/>
            <w:shd w:val="clear" w:color="auto" w:fill="FFFFFF"/>
            <w:tcMar>
              <w:top w:w="40" w:type="dxa"/>
              <w:left w:w="20" w:type="dxa"/>
              <w:bottom w:w="40" w:type="dxa"/>
              <w:right w:w="20" w:type="dxa"/>
            </w:tcMar>
          </w:tcPr>
          <w:p w14:paraId="00BB0679" w14:textId="77777777" w:rsidR="00871BDF" w:rsidRDefault="005C5088">
            <w:pPr>
              <w:textAlignment w:val="top"/>
            </w:pPr>
            <w:r>
              <w:rPr>
                <w:rFonts w:ascii="Times New Roman" w:eastAsia="宋体" w:hAnsi="Times New Roman"/>
                <w:color w:val="000000"/>
                <w:sz w:val="20"/>
                <w:szCs w:val="20"/>
              </w:rPr>
              <w:t>Increase related to current year tax positions</w:t>
            </w:r>
          </w:p>
        </w:tc>
        <w:tc>
          <w:tcPr>
            <w:tcW w:w="0" w:type="auto"/>
            <w:gridSpan w:val="2"/>
            <w:shd w:val="clear" w:color="auto" w:fill="FFFFFF"/>
            <w:tcMar>
              <w:top w:w="40" w:type="dxa"/>
              <w:left w:w="20" w:type="dxa"/>
              <w:bottom w:w="40" w:type="dxa"/>
              <w:right w:w="0" w:type="dxa"/>
            </w:tcMar>
            <w:vAlign w:val="bottom"/>
          </w:tcPr>
          <w:p w14:paraId="00BB067A" w14:textId="77777777" w:rsidR="00871BDF" w:rsidRDefault="005C5088">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00BB067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67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67D" w14:textId="77777777" w:rsidR="00871BDF" w:rsidRDefault="005C5088">
            <w:pPr>
              <w:jc w:val="right"/>
              <w:textAlignment w:val="bottom"/>
            </w:pPr>
            <w:r>
              <w:rPr>
                <w:rFonts w:ascii="Times New Roman" w:eastAsia="宋体" w:hAnsi="Times New Roman"/>
                <w:color w:val="000000"/>
                <w:sz w:val="20"/>
                <w:szCs w:val="20"/>
              </w:rPr>
              <w:t>18.5 </w:t>
            </w:r>
          </w:p>
        </w:tc>
        <w:tc>
          <w:tcPr>
            <w:tcW w:w="0" w:type="auto"/>
            <w:shd w:val="clear" w:color="auto" w:fill="FFFFFF"/>
            <w:tcMar>
              <w:top w:w="40" w:type="dxa"/>
              <w:left w:w="0" w:type="dxa"/>
              <w:bottom w:w="40" w:type="dxa"/>
              <w:right w:w="20" w:type="dxa"/>
            </w:tcMar>
            <w:vAlign w:val="bottom"/>
          </w:tcPr>
          <w:p w14:paraId="00BB067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67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680" w14:textId="77777777" w:rsidR="00871BDF" w:rsidRDefault="005C5088">
            <w:pPr>
              <w:jc w:val="right"/>
              <w:textAlignment w:val="bottom"/>
            </w:pPr>
            <w:r>
              <w:rPr>
                <w:rFonts w:ascii="Times New Roman" w:eastAsia="宋体" w:hAnsi="Times New Roman"/>
                <w:color w:val="000000"/>
                <w:sz w:val="20"/>
                <w:szCs w:val="20"/>
              </w:rPr>
              <w:t>62.4 </w:t>
            </w:r>
          </w:p>
        </w:tc>
        <w:tc>
          <w:tcPr>
            <w:tcW w:w="0" w:type="auto"/>
            <w:shd w:val="clear" w:color="auto" w:fill="FFFFFF"/>
            <w:tcMar>
              <w:top w:w="40" w:type="dxa"/>
              <w:left w:w="0" w:type="dxa"/>
              <w:bottom w:w="40" w:type="dxa"/>
              <w:right w:w="20" w:type="dxa"/>
            </w:tcMar>
            <w:vAlign w:val="bottom"/>
          </w:tcPr>
          <w:p w14:paraId="00BB0681" w14:textId="77777777" w:rsidR="00871BDF" w:rsidRDefault="00871BDF">
            <w:pPr>
              <w:jc w:val="right"/>
              <w:rPr>
                <w:rFonts w:ascii="宋体"/>
              </w:rPr>
            </w:pPr>
          </w:p>
        </w:tc>
      </w:tr>
      <w:tr w:rsidR="00871BDF" w14:paraId="00BB0689" w14:textId="77777777">
        <w:trPr>
          <w:hidden/>
        </w:trPr>
        <w:tc>
          <w:tcPr>
            <w:tcW w:w="0" w:type="auto"/>
            <w:gridSpan w:val="3"/>
            <w:shd w:val="clear" w:color="auto" w:fill="auto"/>
          </w:tcPr>
          <w:p w14:paraId="00BB0683" w14:textId="77777777" w:rsidR="00871BDF" w:rsidRDefault="00871BDF">
            <w:pPr>
              <w:rPr>
                <w:rFonts w:ascii="宋体"/>
                <w:vanish/>
              </w:rPr>
            </w:pPr>
          </w:p>
        </w:tc>
        <w:tc>
          <w:tcPr>
            <w:tcW w:w="0" w:type="auto"/>
            <w:gridSpan w:val="3"/>
            <w:shd w:val="clear" w:color="auto" w:fill="auto"/>
          </w:tcPr>
          <w:p w14:paraId="00BB0684" w14:textId="77777777" w:rsidR="00871BDF" w:rsidRDefault="00871BDF">
            <w:pPr>
              <w:rPr>
                <w:rFonts w:ascii="宋体"/>
                <w:vanish/>
              </w:rPr>
            </w:pPr>
          </w:p>
        </w:tc>
        <w:tc>
          <w:tcPr>
            <w:tcW w:w="0" w:type="auto"/>
            <w:gridSpan w:val="3"/>
            <w:shd w:val="clear" w:color="auto" w:fill="auto"/>
          </w:tcPr>
          <w:p w14:paraId="00BB0685" w14:textId="77777777" w:rsidR="00871BDF" w:rsidRDefault="00871BDF">
            <w:pPr>
              <w:rPr>
                <w:rFonts w:ascii="宋体"/>
                <w:vanish/>
              </w:rPr>
            </w:pPr>
          </w:p>
        </w:tc>
        <w:tc>
          <w:tcPr>
            <w:tcW w:w="0" w:type="auto"/>
            <w:gridSpan w:val="3"/>
            <w:shd w:val="clear" w:color="auto" w:fill="auto"/>
          </w:tcPr>
          <w:p w14:paraId="00BB0686" w14:textId="77777777" w:rsidR="00871BDF" w:rsidRDefault="00871BDF">
            <w:pPr>
              <w:rPr>
                <w:rFonts w:ascii="宋体"/>
                <w:vanish/>
              </w:rPr>
            </w:pPr>
          </w:p>
        </w:tc>
        <w:tc>
          <w:tcPr>
            <w:tcW w:w="0" w:type="auto"/>
            <w:gridSpan w:val="3"/>
            <w:shd w:val="clear" w:color="auto" w:fill="auto"/>
          </w:tcPr>
          <w:p w14:paraId="00BB0687" w14:textId="77777777" w:rsidR="00871BDF" w:rsidRDefault="00871BDF">
            <w:pPr>
              <w:rPr>
                <w:rFonts w:ascii="宋体"/>
                <w:vanish/>
              </w:rPr>
            </w:pPr>
          </w:p>
        </w:tc>
        <w:tc>
          <w:tcPr>
            <w:tcW w:w="0" w:type="auto"/>
            <w:gridSpan w:val="3"/>
            <w:shd w:val="clear" w:color="auto" w:fill="auto"/>
          </w:tcPr>
          <w:p w14:paraId="00BB0688" w14:textId="77777777" w:rsidR="00871BDF" w:rsidRDefault="00871BDF">
            <w:pPr>
              <w:rPr>
                <w:rFonts w:ascii="宋体"/>
                <w:vanish/>
              </w:rPr>
            </w:pPr>
          </w:p>
        </w:tc>
      </w:tr>
      <w:tr w:rsidR="00871BDF" w14:paraId="00BB0693" w14:textId="77777777">
        <w:tc>
          <w:tcPr>
            <w:tcW w:w="0" w:type="auto"/>
            <w:gridSpan w:val="3"/>
            <w:shd w:val="clear" w:color="auto" w:fill="D7E4BC"/>
            <w:tcMar>
              <w:top w:w="40" w:type="dxa"/>
              <w:left w:w="20" w:type="dxa"/>
              <w:bottom w:w="40" w:type="dxa"/>
              <w:right w:w="20" w:type="dxa"/>
            </w:tcMar>
          </w:tcPr>
          <w:p w14:paraId="00BB068A" w14:textId="77777777" w:rsidR="00871BDF" w:rsidRDefault="005C5088">
            <w:pPr>
              <w:textAlignment w:val="top"/>
            </w:pPr>
            <w:r>
              <w:rPr>
                <w:rFonts w:ascii="Times New Roman" w:eastAsia="宋体" w:hAnsi="Times New Roman"/>
                <w:color w:val="000000"/>
                <w:sz w:val="20"/>
                <w:szCs w:val="20"/>
              </w:rPr>
              <w:t>Decreases related to settlements with taxing authorities</w:t>
            </w:r>
          </w:p>
        </w:tc>
        <w:tc>
          <w:tcPr>
            <w:tcW w:w="0" w:type="auto"/>
            <w:gridSpan w:val="2"/>
            <w:shd w:val="clear" w:color="auto" w:fill="D7E4BC"/>
            <w:tcMar>
              <w:top w:w="40" w:type="dxa"/>
              <w:left w:w="20" w:type="dxa"/>
              <w:bottom w:w="40" w:type="dxa"/>
              <w:right w:w="0" w:type="dxa"/>
            </w:tcMar>
            <w:vAlign w:val="bottom"/>
          </w:tcPr>
          <w:p w14:paraId="00BB068B"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B068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8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68E" w14:textId="77777777" w:rsidR="00871BDF" w:rsidRDefault="005C5088">
            <w:pPr>
              <w:jc w:val="right"/>
              <w:textAlignment w:val="bottom"/>
            </w:pPr>
            <w:r>
              <w:rPr>
                <w:rFonts w:ascii="Times New Roman" w:eastAsia="宋体" w:hAnsi="Times New Roman"/>
                <w:color w:val="000000"/>
                <w:sz w:val="20"/>
                <w:szCs w:val="20"/>
              </w:rPr>
              <w:t>(16.4)</w:t>
            </w:r>
          </w:p>
        </w:tc>
        <w:tc>
          <w:tcPr>
            <w:tcW w:w="0" w:type="auto"/>
            <w:shd w:val="clear" w:color="auto" w:fill="D7E4BC"/>
            <w:tcMar>
              <w:top w:w="40" w:type="dxa"/>
              <w:left w:w="0" w:type="dxa"/>
              <w:bottom w:w="40" w:type="dxa"/>
              <w:right w:w="20" w:type="dxa"/>
            </w:tcMar>
            <w:vAlign w:val="bottom"/>
          </w:tcPr>
          <w:p w14:paraId="00BB068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90"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691" w14:textId="77777777" w:rsidR="00871BDF" w:rsidRDefault="005C5088">
            <w:pPr>
              <w:jc w:val="right"/>
              <w:textAlignment w:val="bottom"/>
            </w:pPr>
            <w:r>
              <w:rPr>
                <w:rFonts w:ascii="Times New Roman" w:eastAsia="宋体" w:hAnsi="Times New Roman"/>
                <w:color w:val="000000"/>
                <w:sz w:val="20"/>
                <w:szCs w:val="20"/>
              </w:rPr>
              <w:t>(4.5)</w:t>
            </w:r>
          </w:p>
        </w:tc>
        <w:tc>
          <w:tcPr>
            <w:tcW w:w="0" w:type="auto"/>
            <w:shd w:val="clear" w:color="auto" w:fill="D7E4BC"/>
            <w:tcMar>
              <w:top w:w="40" w:type="dxa"/>
              <w:left w:w="0" w:type="dxa"/>
              <w:bottom w:w="40" w:type="dxa"/>
              <w:right w:w="20" w:type="dxa"/>
            </w:tcMar>
            <w:vAlign w:val="bottom"/>
          </w:tcPr>
          <w:p w14:paraId="00BB0692" w14:textId="77777777" w:rsidR="00871BDF" w:rsidRDefault="00871BDF">
            <w:pPr>
              <w:jc w:val="right"/>
              <w:rPr>
                <w:rFonts w:ascii="宋体"/>
              </w:rPr>
            </w:pPr>
          </w:p>
        </w:tc>
      </w:tr>
      <w:tr w:rsidR="00871BDF" w14:paraId="00BB069D" w14:textId="77777777">
        <w:tc>
          <w:tcPr>
            <w:tcW w:w="0" w:type="auto"/>
            <w:gridSpan w:val="3"/>
            <w:shd w:val="clear" w:color="auto" w:fill="FFFFFF"/>
            <w:tcMar>
              <w:top w:w="40" w:type="dxa"/>
              <w:left w:w="20" w:type="dxa"/>
              <w:bottom w:w="40" w:type="dxa"/>
              <w:right w:w="20" w:type="dxa"/>
            </w:tcMar>
          </w:tcPr>
          <w:p w14:paraId="00BB0694" w14:textId="77777777" w:rsidR="00871BDF" w:rsidRDefault="005C5088">
            <w:pPr>
              <w:textAlignment w:val="top"/>
            </w:pPr>
            <w:r>
              <w:rPr>
                <w:rFonts w:ascii="Times New Roman" w:eastAsia="宋体" w:hAnsi="Times New Roman"/>
                <w:color w:val="000000"/>
                <w:sz w:val="20"/>
                <w:szCs w:val="20"/>
              </w:rPr>
              <w:t>Decrease related to lapsing of statute of limitations</w:t>
            </w:r>
          </w:p>
        </w:tc>
        <w:tc>
          <w:tcPr>
            <w:tcW w:w="0" w:type="auto"/>
            <w:gridSpan w:val="2"/>
            <w:shd w:val="clear" w:color="auto" w:fill="FFFFFF"/>
            <w:tcMar>
              <w:top w:w="40" w:type="dxa"/>
              <w:left w:w="20" w:type="dxa"/>
              <w:bottom w:w="40" w:type="dxa"/>
              <w:right w:w="0" w:type="dxa"/>
            </w:tcMar>
            <w:vAlign w:val="bottom"/>
          </w:tcPr>
          <w:p w14:paraId="00BB0695" w14:textId="77777777" w:rsidR="00871BDF" w:rsidRDefault="005C5088">
            <w:pPr>
              <w:jc w:val="right"/>
              <w:textAlignment w:val="bottom"/>
            </w:pPr>
            <w:r>
              <w:rPr>
                <w:rFonts w:ascii="Times New Roman" w:eastAsia="宋体" w:hAnsi="Times New Roman"/>
                <w:color w:val="000000"/>
                <w:sz w:val="20"/>
                <w:szCs w:val="20"/>
              </w:rPr>
              <w:t>(28.8)</w:t>
            </w:r>
          </w:p>
        </w:tc>
        <w:tc>
          <w:tcPr>
            <w:tcW w:w="0" w:type="auto"/>
            <w:shd w:val="clear" w:color="auto" w:fill="FFFFFF"/>
            <w:tcMar>
              <w:top w:w="40" w:type="dxa"/>
              <w:left w:w="0" w:type="dxa"/>
              <w:bottom w:w="40" w:type="dxa"/>
              <w:right w:w="20" w:type="dxa"/>
            </w:tcMar>
            <w:vAlign w:val="bottom"/>
          </w:tcPr>
          <w:p w14:paraId="00BB069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69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698" w14:textId="77777777" w:rsidR="00871BDF" w:rsidRDefault="005C5088">
            <w:pPr>
              <w:jc w:val="right"/>
              <w:textAlignment w:val="bottom"/>
            </w:pPr>
            <w:r>
              <w:rPr>
                <w:rFonts w:ascii="Times New Roman" w:eastAsia="宋体" w:hAnsi="Times New Roman"/>
                <w:color w:val="000000"/>
                <w:sz w:val="20"/>
                <w:szCs w:val="20"/>
              </w:rPr>
              <w:t>(23.1)</w:t>
            </w:r>
          </w:p>
        </w:tc>
        <w:tc>
          <w:tcPr>
            <w:tcW w:w="0" w:type="auto"/>
            <w:shd w:val="clear" w:color="auto" w:fill="FFFFFF"/>
            <w:tcMar>
              <w:top w:w="40" w:type="dxa"/>
              <w:left w:w="0" w:type="dxa"/>
              <w:bottom w:w="40" w:type="dxa"/>
              <w:right w:w="20" w:type="dxa"/>
            </w:tcMar>
            <w:vAlign w:val="bottom"/>
          </w:tcPr>
          <w:p w14:paraId="00BB069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69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69B" w14:textId="77777777" w:rsidR="00871BDF" w:rsidRDefault="005C5088">
            <w:pPr>
              <w:jc w:val="right"/>
              <w:textAlignment w:val="bottom"/>
            </w:pPr>
            <w:r>
              <w:rPr>
                <w:rFonts w:ascii="Times New Roman" w:eastAsia="宋体" w:hAnsi="Times New Roman"/>
                <w:color w:val="000000"/>
                <w:sz w:val="20"/>
                <w:szCs w:val="20"/>
              </w:rPr>
              <w:t>(5.9)</w:t>
            </w:r>
          </w:p>
        </w:tc>
        <w:tc>
          <w:tcPr>
            <w:tcW w:w="0" w:type="auto"/>
            <w:shd w:val="clear" w:color="auto" w:fill="FFFFFF"/>
            <w:tcMar>
              <w:top w:w="40" w:type="dxa"/>
              <w:left w:w="0" w:type="dxa"/>
              <w:bottom w:w="40" w:type="dxa"/>
              <w:right w:w="20" w:type="dxa"/>
            </w:tcMar>
            <w:vAlign w:val="bottom"/>
          </w:tcPr>
          <w:p w14:paraId="00BB069C" w14:textId="77777777" w:rsidR="00871BDF" w:rsidRDefault="00871BDF">
            <w:pPr>
              <w:jc w:val="right"/>
              <w:rPr>
                <w:rFonts w:ascii="宋体"/>
              </w:rPr>
            </w:pPr>
          </w:p>
        </w:tc>
      </w:tr>
      <w:tr w:rsidR="00871BDF" w14:paraId="00BB06AA" w14:textId="77777777">
        <w:tc>
          <w:tcPr>
            <w:tcW w:w="0" w:type="auto"/>
            <w:gridSpan w:val="3"/>
            <w:shd w:val="clear" w:color="auto" w:fill="D7E4BC"/>
            <w:tcMar>
              <w:top w:w="40" w:type="dxa"/>
              <w:left w:w="20" w:type="dxa"/>
              <w:bottom w:w="40" w:type="dxa"/>
              <w:right w:w="20" w:type="dxa"/>
            </w:tcMar>
          </w:tcPr>
          <w:p w14:paraId="00BB069E" w14:textId="77777777" w:rsidR="00871BDF" w:rsidRDefault="005C5088">
            <w:pPr>
              <w:textAlignment w:val="top"/>
            </w:pPr>
            <w:r>
              <w:rPr>
                <w:rFonts w:ascii="Times New Roman" w:eastAsia="宋体" w:hAnsi="Times New Roman"/>
                <w:color w:val="000000"/>
                <w:sz w:val="20"/>
                <w:szCs w:val="20"/>
              </w:rPr>
              <w:t>Ending balance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69F"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6A0" w14:textId="77777777" w:rsidR="00871BDF" w:rsidRDefault="005C5088">
            <w:pPr>
              <w:jc w:val="right"/>
              <w:textAlignment w:val="bottom"/>
            </w:pPr>
            <w:r>
              <w:rPr>
                <w:rFonts w:ascii="Times New Roman" w:eastAsia="宋体" w:hAnsi="Times New Roman"/>
                <w:color w:val="000000"/>
                <w:sz w:val="20"/>
                <w:szCs w:val="20"/>
              </w:rPr>
              <w:t>123.7 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6A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A2"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6A3"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6A4" w14:textId="77777777" w:rsidR="00871BDF" w:rsidRDefault="005C5088">
            <w:pPr>
              <w:jc w:val="right"/>
              <w:textAlignment w:val="bottom"/>
            </w:pPr>
            <w:r>
              <w:rPr>
                <w:rFonts w:ascii="Times New Roman" w:eastAsia="宋体" w:hAnsi="Times New Roman"/>
                <w:color w:val="000000"/>
                <w:sz w:val="20"/>
                <w:szCs w:val="20"/>
              </w:rPr>
              <w:t>132.1 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6A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A6"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6A7"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6A8" w14:textId="77777777" w:rsidR="00871BDF" w:rsidRDefault="005C5088">
            <w:pPr>
              <w:jc w:val="right"/>
              <w:textAlignment w:val="bottom"/>
            </w:pPr>
            <w:r>
              <w:rPr>
                <w:rFonts w:ascii="Times New Roman" w:eastAsia="宋体" w:hAnsi="Times New Roman"/>
                <w:color w:val="000000"/>
                <w:sz w:val="20"/>
                <w:szCs w:val="20"/>
              </w:rPr>
              <w:t>224.6 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6A9" w14:textId="77777777" w:rsidR="00871BDF" w:rsidRDefault="00871BDF">
            <w:pPr>
              <w:jc w:val="right"/>
              <w:rPr>
                <w:rFonts w:ascii="宋体"/>
              </w:rPr>
            </w:pPr>
          </w:p>
        </w:tc>
      </w:tr>
    </w:tbl>
    <w:p w14:paraId="00BB06AB" w14:textId="77777777" w:rsidR="00871BDF" w:rsidRDefault="005C5088">
      <w:pPr>
        <w:spacing w:before="120"/>
      </w:pPr>
      <w:r>
        <w:rPr>
          <w:rFonts w:ascii="Times New Roman" w:eastAsia="宋体" w:hAnsi="Times New Roman"/>
          <w:color w:val="000000"/>
          <w:sz w:val="20"/>
          <w:szCs w:val="20"/>
        </w:rPr>
        <w:t>We are currently under examination, or may be subject to examination, by various U.S. federal, state, local and foreign tax jurisdictions for fiscal 2011 through 2019.</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 xml:space="preserve">We are no longer subject to </w:t>
      </w:r>
      <w:r>
        <w:rPr>
          <w:rFonts w:ascii="Times New Roman" w:eastAsia="宋体" w:hAnsi="Times New Roman"/>
          <w:color w:val="000000"/>
          <w:sz w:val="20"/>
          <w:szCs w:val="20"/>
        </w:rPr>
        <w:t xml:space="preserve">U.S. federal examination for years prior to fiscal 2017. </w:t>
      </w:r>
    </w:p>
    <w:p w14:paraId="00BB06AC" w14:textId="77777777" w:rsidR="00871BDF" w:rsidRDefault="005C5088">
      <w:pPr>
        <w:jc w:val="center"/>
      </w:pPr>
      <w:r>
        <w:rPr>
          <w:rFonts w:ascii="Times New Roman" w:eastAsia="宋体" w:hAnsi="Times New Roman"/>
          <w:color w:val="000000"/>
          <w:sz w:val="20"/>
          <w:szCs w:val="20"/>
        </w:rPr>
        <w:t>85</w:t>
      </w:r>
    </w:p>
    <w:p w14:paraId="00BB06AD" w14:textId="77777777" w:rsidR="00871BDF" w:rsidRDefault="005C5088">
      <w:r>
        <w:pict w14:anchorId="00BB14BA">
          <v:rect id="_x0000_i1112" style="width:415.3pt;height:1.5pt" o:hralign="center" o:hrstd="t" o:hr="t" fillcolor="#a0a0a0" stroked="f"/>
        </w:pict>
      </w:r>
    </w:p>
    <w:p w14:paraId="00BB06AE" w14:textId="77777777" w:rsidR="00871BDF" w:rsidRDefault="005C5088">
      <w:hyperlink r:id="rId228" w:anchor="i54ccc64cb5384be5a4849ef1cdef4dde_7" w:history="1">
        <w:r>
          <w:rPr>
            <w:rStyle w:val="a5"/>
            <w:rFonts w:ascii="Times New Roman" w:eastAsia="宋体" w:hAnsi="Times New Roman"/>
            <w:sz w:val="20"/>
            <w:szCs w:val="20"/>
          </w:rPr>
          <w:t>Table of Contents</w:t>
        </w:r>
      </w:hyperlink>
    </w:p>
    <w:p w14:paraId="00BB06AF" w14:textId="77777777" w:rsidR="00871BDF" w:rsidRDefault="005C5088">
      <w:pPr>
        <w:spacing w:before="120"/>
      </w:pPr>
      <w:r>
        <w:rPr>
          <w:rFonts w:ascii="Times New Roman" w:eastAsia="宋体" w:hAnsi="Times New Roman"/>
          <w:color w:val="000000"/>
          <w:sz w:val="20"/>
          <w:szCs w:val="20"/>
        </w:rPr>
        <w:t>We are no longer subje</w:t>
      </w:r>
      <w:r>
        <w:rPr>
          <w:rFonts w:ascii="Times New Roman" w:eastAsia="宋体" w:hAnsi="Times New Roman"/>
          <w:color w:val="000000"/>
          <w:sz w:val="20"/>
          <w:szCs w:val="20"/>
        </w:rPr>
        <w:t>ct to U.S. state and local examinations for years prior to fiscal 2011. We are no longer subject to examination in any material international markets prior to 2015.</w:t>
      </w:r>
    </w:p>
    <w:p w14:paraId="00BB06B0" w14:textId="77777777" w:rsidR="00871BDF" w:rsidRDefault="005C5088">
      <w:pPr>
        <w:spacing w:before="120"/>
      </w:pPr>
      <w:r>
        <w:rPr>
          <w:rFonts w:ascii="Times New Roman" w:eastAsia="宋体" w:hAnsi="Times New Roman"/>
          <w:color w:val="000000"/>
          <w:sz w:val="20"/>
          <w:szCs w:val="20"/>
        </w:rPr>
        <w:t>It is reasonably possible that up to $39 million of the Company's gross unrecognized tax be</w:t>
      </w:r>
      <w:r>
        <w:rPr>
          <w:rFonts w:ascii="Times New Roman" w:eastAsia="宋体" w:hAnsi="Times New Roman"/>
          <w:color w:val="000000"/>
          <w:sz w:val="20"/>
          <w:szCs w:val="20"/>
        </w:rPr>
        <w:t>nefits may be recognized by the end of fiscal 2021 for reasons such as a lapse of the statute of limitations or resolution of examinations with tax authorities.</w:t>
      </w:r>
    </w:p>
    <w:p w14:paraId="00BB06B1" w14:textId="77777777" w:rsidR="00871BDF" w:rsidRDefault="005C5088">
      <w:pPr>
        <w:spacing w:before="120"/>
      </w:pPr>
      <w:r>
        <w:rPr>
          <w:rFonts w:ascii="Times New Roman" w:eastAsia="宋体" w:hAnsi="Times New Roman"/>
          <w:b/>
          <w:bCs/>
          <w:color w:val="000000"/>
          <w:sz w:val="20"/>
          <w:szCs w:val="20"/>
        </w:rPr>
        <w:t>Note 15:    Earnings per Share</w:t>
      </w:r>
    </w:p>
    <w:p w14:paraId="00BB06B2" w14:textId="77777777" w:rsidR="00871BDF" w:rsidRDefault="005C5088">
      <w:pPr>
        <w:spacing w:before="120"/>
      </w:pPr>
      <w:r>
        <w:rPr>
          <w:rFonts w:ascii="Times New Roman" w:eastAsia="宋体" w:hAnsi="Times New Roman"/>
          <w:color w:val="000000"/>
          <w:sz w:val="20"/>
          <w:szCs w:val="20"/>
        </w:rPr>
        <w:t>Calculation of net earnings per common share (“EPS”) — basic and</w:t>
      </w:r>
      <w:r>
        <w:rPr>
          <w:rFonts w:ascii="Times New Roman" w:eastAsia="宋体" w:hAnsi="Times New Roman"/>
          <w:color w:val="000000"/>
          <w:sz w:val="20"/>
          <w:szCs w:val="20"/>
        </w:rPr>
        <w:t xml:space="preserve"> diluted </w:t>
      </w:r>
      <w:r>
        <w:rPr>
          <w:rFonts w:ascii="Times New Roman" w:eastAsia="宋体" w:hAnsi="Times New Roman"/>
          <w:i/>
          <w:iCs/>
          <w:color w:val="000000"/>
          <w:sz w:val="20"/>
          <w:szCs w:val="20"/>
        </w:rPr>
        <w:t>(in millions, except EPS)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8"/>
        <w:gridCol w:w="4294"/>
        <w:gridCol w:w="37"/>
        <w:gridCol w:w="121"/>
        <w:gridCol w:w="1116"/>
        <w:gridCol w:w="36"/>
        <w:gridCol w:w="36"/>
        <w:gridCol w:w="36"/>
        <w:gridCol w:w="36"/>
        <w:gridCol w:w="120"/>
        <w:gridCol w:w="1077"/>
        <w:gridCol w:w="36"/>
        <w:gridCol w:w="36"/>
        <w:gridCol w:w="36"/>
        <w:gridCol w:w="36"/>
        <w:gridCol w:w="120"/>
        <w:gridCol w:w="1077"/>
        <w:gridCol w:w="36"/>
      </w:tblGrid>
      <w:tr w:rsidR="00871BDF" w14:paraId="00BB06C5" w14:textId="77777777">
        <w:tc>
          <w:tcPr>
            <w:tcW w:w="50" w:type="pct"/>
            <w:shd w:val="clear" w:color="auto" w:fill="auto"/>
          </w:tcPr>
          <w:p w14:paraId="00BB06B3" w14:textId="77777777" w:rsidR="00871BDF" w:rsidRDefault="00871BDF">
            <w:pPr>
              <w:rPr>
                <w:rFonts w:ascii="宋体"/>
              </w:rPr>
            </w:pPr>
          </w:p>
        </w:tc>
        <w:tc>
          <w:tcPr>
            <w:tcW w:w="2609" w:type="pct"/>
            <w:shd w:val="clear" w:color="auto" w:fill="auto"/>
          </w:tcPr>
          <w:p w14:paraId="00BB06B4" w14:textId="77777777" w:rsidR="00871BDF" w:rsidRDefault="00871BDF">
            <w:pPr>
              <w:rPr>
                <w:rFonts w:ascii="宋体"/>
              </w:rPr>
            </w:pPr>
          </w:p>
        </w:tc>
        <w:tc>
          <w:tcPr>
            <w:tcW w:w="5" w:type="pct"/>
            <w:shd w:val="clear" w:color="auto" w:fill="auto"/>
          </w:tcPr>
          <w:p w14:paraId="00BB06B5" w14:textId="77777777" w:rsidR="00871BDF" w:rsidRDefault="00871BDF">
            <w:pPr>
              <w:rPr>
                <w:rFonts w:ascii="宋体"/>
              </w:rPr>
            </w:pPr>
          </w:p>
        </w:tc>
        <w:tc>
          <w:tcPr>
            <w:tcW w:w="50" w:type="pct"/>
            <w:shd w:val="clear" w:color="auto" w:fill="auto"/>
          </w:tcPr>
          <w:p w14:paraId="00BB06B6" w14:textId="77777777" w:rsidR="00871BDF" w:rsidRDefault="00871BDF">
            <w:pPr>
              <w:rPr>
                <w:rFonts w:ascii="宋体"/>
              </w:rPr>
            </w:pPr>
          </w:p>
        </w:tc>
        <w:tc>
          <w:tcPr>
            <w:tcW w:w="699" w:type="pct"/>
            <w:shd w:val="clear" w:color="auto" w:fill="auto"/>
          </w:tcPr>
          <w:p w14:paraId="00BB06B7" w14:textId="77777777" w:rsidR="00871BDF" w:rsidRDefault="00871BDF">
            <w:pPr>
              <w:rPr>
                <w:rFonts w:ascii="宋体"/>
              </w:rPr>
            </w:pPr>
          </w:p>
        </w:tc>
        <w:tc>
          <w:tcPr>
            <w:tcW w:w="5" w:type="pct"/>
            <w:shd w:val="clear" w:color="auto" w:fill="auto"/>
          </w:tcPr>
          <w:p w14:paraId="00BB06B8" w14:textId="77777777" w:rsidR="00871BDF" w:rsidRDefault="00871BDF">
            <w:pPr>
              <w:rPr>
                <w:rFonts w:ascii="宋体"/>
              </w:rPr>
            </w:pPr>
          </w:p>
        </w:tc>
        <w:tc>
          <w:tcPr>
            <w:tcW w:w="5" w:type="pct"/>
            <w:shd w:val="clear" w:color="auto" w:fill="auto"/>
          </w:tcPr>
          <w:p w14:paraId="00BB06B9" w14:textId="77777777" w:rsidR="00871BDF" w:rsidRDefault="00871BDF">
            <w:pPr>
              <w:rPr>
                <w:rFonts w:ascii="宋体"/>
              </w:rPr>
            </w:pPr>
          </w:p>
        </w:tc>
        <w:tc>
          <w:tcPr>
            <w:tcW w:w="26" w:type="pct"/>
            <w:shd w:val="clear" w:color="auto" w:fill="auto"/>
          </w:tcPr>
          <w:p w14:paraId="00BB06BA" w14:textId="77777777" w:rsidR="00871BDF" w:rsidRDefault="00871BDF">
            <w:pPr>
              <w:rPr>
                <w:rFonts w:ascii="宋体"/>
              </w:rPr>
            </w:pPr>
          </w:p>
        </w:tc>
        <w:tc>
          <w:tcPr>
            <w:tcW w:w="5" w:type="pct"/>
            <w:shd w:val="clear" w:color="auto" w:fill="auto"/>
          </w:tcPr>
          <w:p w14:paraId="00BB06BB" w14:textId="77777777" w:rsidR="00871BDF" w:rsidRDefault="00871BDF">
            <w:pPr>
              <w:rPr>
                <w:rFonts w:ascii="宋体"/>
              </w:rPr>
            </w:pPr>
          </w:p>
        </w:tc>
        <w:tc>
          <w:tcPr>
            <w:tcW w:w="50" w:type="pct"/>
            <w:shd w:val="clear" w:color="auto" w:fill="auto"/>
          </w:tcPr>
          <w:p w14:paraId="00BB06BC" w14:textId="77777777" w:rsidR="00871BDF" w:rsidRDefault="00871BDF">
            <w:pPr>
              <w:rPr>
                <w:rFonts w:ascii="宋体"/>
              </w:rPr>
            </w:pPr>
          </w:p>
        </w:tc>
        <w:tc>
          <w:tcPr>
            <w:tcW w:w="699" w:type="pct"/>
            <w:shd w:val="clear" w:color="auto" w:fill="auto"/>
          </w:tcPr>
          <w:p w14:paraId="00BB06BD" w14:textId="77777777" w:rsidR="00871BDF" w:rsidRDefault="00871BDF">
            <w:pPr>
              <w:rPr>
                <w:rFonts w:ascii="宋体"/>
              </w:rPr>
            </w:pPr>
          </w:p>
        </w:tc>
        <w:tc>
          <w:tcPr>
            <w:tcW w:w="5" w:type="pct"/>
            <w:shd w:val="clear" w:color="auto" w:fill="auto"/>
          </w:tcPr>
          <w:p w14:paraId="00BB06BE" w14:textId="77777777" w:rsidR="00871BDF" w:rsidRDefault="00871BDF">
            <w:pPr>
              <w:rPr>
                <w:rFonts w:ascii="宋体"/>
              </w:rPr>
            </w:pPr>
          </w:p>
        </w:tc>
        <w:tc>
          <w:tcPr>
            <w:tcW w:w="5" w:type="pct"/>
            <w:shd w:val="clear" w:color="auto" w:fill="auto"/>
          </w:tcPr>
          <w:p w14:paraId="00BB06BF" w14:textId="77777777" w:rsidR="00871BDF" w:rsidRDefault="00871BDF">
            <w:pPr>
              <w:rPr>
                <w:rFonts w:ascii="宋体"/>
              </w:rPr>
            </w:pPr>
          </w:p>
        </w:tc>
        <w:tc>
          <w:tcPr>
            <w:tcW w:w="26" w:type="pct"/>
            <w:shd w:val="clear" w:color="auto" w:fill="auto"/>
          </w:tcPr>
          <w:p w14:paraId="00BB06C0" w14:textId="77777777" w:rsidR="00871BDF" w:rsidRDefault="00871BDF">
            <w:pPr>
              <w:rPr>
                <w:rFonts w:ascii="宋体"/>
              </w:rPr>
            </w:pPr>
          </w:p>
        </w:tc>
        <w:tc>
          <w:tcPr>
            <w:tcW w:w="5" w:type="pct"/>
            <w:shd w:val="clear" w:color="auto" w:fill="auto"/>
          </w:tcPr>
          <w:p w14:paraId="00BB06C1" w14:textId="77777777" w:rsidR="00871BDF" w:rsidRDefault="00871BDF">
            <w:pPr>
              <w:rPr>
                <w:rFonts w:ascii="宋体"/>
              </w:rPr>
            </w:pPr>
          </w:p>
        </w:tc>
        <w:tc>
          <w:tcPr>
            <w:tcW w:w="50" w:type="pct"/>
            <w:shd w:val="clear" w:color="auto" w:fill="auto"/>
          </w:tcPr>
          <w:p w14:paraId="00BB06C2" w14:textId="77777777" w:rsidR="00871BDF" w:rsidRDefault="00871BDF">
            <w:pPr>
              <w:rPr>
                <w:rFonts w:ascii="宋体"/>
              </w:rPr>
            </w:pPr>
          </w:p>
        </w:tc>
        <w:tc>
          <w:tcPr>
            <w:tcW w:w="699" w:type="pct"/>
            <w:shd w:val="clear" w:color="auto" w:fill="auto"/>
          </w:tcPr>
          <w:p w14:paraId="00BB06C3" w14:textId="77777777" w:rsidR="00871BDF" w:rsidRDefault="00871BDF">
            <w:pPr>
              <w:rPr>
                <w:rFonts w:ascii="宋体"/>
              </w:rPr>
            </w:pPr>
          </w:p>
        </w:tc>
        <w:tc>
          <w:tcPr>
            <w:tcW w:w="5" w:type="pct"/>
            <w:shd w:val="clear" w:color="auto" w:fill="auto"/>
          </w:tcPr>
          <w:p w14:paraId="00BB06C4" w14:textId="77777777" w:rsidR="00871BDF" w:rsidRDefault="00871BDF">
            <w:pPr>
              <w:rPr>
                <w:rFonts w:ascii="宋体"/>
              </w:rPr>
            </w:pPr>
          </w:p>
        </w:tc>
      </w:tr>
      <w:tr w:rsidR="00871BDF" w14:paraId="00BB06CC" w14:textId="77777777">
        <w:tc>
          <w:tcPr>
            <w:tcW w:w="0" w:type="auto"/>
            <w:gridSpan w:val="3"/>
            <w:shd w:val="clear" w:color="auto" w:fill="auto"/>
            <w:tcMar>
              <w:top w:w="40" w:type="dxa"/>
              <w:left w:w="20" w:type="dxa"/>
              <w:bottom w:w="40" w:type="dxa"/>
              <w:right w:w="20" w:type="dxa"/>
            </w:tcMar>
            <w:vAlign w:val="bottom"/>
          </w:tcPr>
          <w:p w14:paraId="00BB06C6"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B06C7"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B06C8"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6C9" w14:textId="77777777" w:rsidR="00871BDF" w:rsidRDefault="005C5088">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B06C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6CB" w14:textId="77777777" w:rsidR="00871BDF" w:rsidRDefault="005C5088">
            <w:pPr>
              <w:jc w:val="center"/>
              <w:textAlignment w:val="bottom"/>
            </w:pPr>
            <w:r>
              <w:rPr>
                <w:rFonts w:ascii="Times New Roman" w:eastAsia="宋体" w:hAnsi="Times New Roman"/>
                <w:b/>
                <w:bCs/>
                <w:color w:val="FFFFFF"/>
                <w:sz w:val="16"/>
                <w:szCs w:val="16"/>
              </w:rPr>
              <w:t>Sep 30, 2018</w:t>
            </w:r>
          </w:p>
        </w:tc>
      </w:tr>
      <w:tr w:rsidR="00871BDF" w14:paraId="00BB06D9" w14:textId="77777777">
        <w:tc>
          <w:tcPr>
            <w:tcW w:w="0" w:type="auto"/>
            <w:gridSpan w:val="3"/>
            <w:shd w:val="clear" w:color="auto" w:fill="D7E4BC"/>
            <w:tcMar>
              <w:top w:w="40" w:type="dxa"/>
              <w:left w:w="20" w:type="dxa"/>
              <w:bottom w:w="40" w:type="dxa"/>
              <w:right w:w="20" w:type="dxa"/>
            </w:tcMar>
          </w:tcPr>
          <w:p w14:paraId="00BB06CD" w14:textId="77777777" w:rsidR="00871BDF" w:rsidRDefault="005C5088">
            <w:pPr>
              <w:textAlignment w:val="top"/>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00BB06C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6CF" w14:textId="77777777" w:rsidR="00871BDF" w:rsidRDefault="005C5088">
            <w:pPr>
              <w:jc w:val="right"/>
              <w:textAlignment w:val="bottom"/>
            </w:pPr>
            <w:r>
              <w:rPr>
                <w:rFonts w:ascii="Times New Roman" w:eastAsia="宋体" w:hAnsi="Times New Roman"/>
                <w:color w:val="000000"/>
                <w:sz w:val="20"/>
                <w:szCs w:val="20"/>
              </w:rPr>
              <w:t>928.3 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6D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D1"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6D2"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6D3" w14:textId="77777777" w:rsidR="00871BDF" w:rsidRDefault="005C5088">
            <w:pPr>
              <w:jc w:val="right"/>
              <w:textAlignment w:val="bottom"/>
            </w:pPr>
            <w:r>
              <w:rPr>
                <w:rFonts w:ascii="Times New Roman" w:eastAsia="宋体" w:hAnsi="Times New Roman"/>
                <w:color w:val="000000"/>
                <w:sz w:val="20"/>
                <w:szCs w:val="20"/>
              </w:rPr>
              <w:t>3,599.2 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6D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D5"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6D6"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6D7" w14:textId="77777777" w:rsidR="00871BDF" w:rsidRDefault="005C5088">
            <w:pPr>
              <w:jc w:val="right"/>
              <w:textAlignment w:val="bottom"/>
            </w:pPr>
            <w:r>
              <w:rPr>
                <w:rFonts w:ascii="Times New Roman" w:eastAsia="宋体" w:hAnsi="Times New Roman"/>
                <w:color w:val="000000"/>
                <w:sz w:val="20"/>
                <w:szCs w:val="20"/>
              </w:rPr>
              <w:t>4,518.3 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6D8" w14:textId="77777777" w:rsidR="00871BDF" w:rsidRDefault="00871BDF">
            <w:pPr>
              <w:jc w:val="right"/>
              <w:rPr>
                <w:rFonts w:ascii="宋体"/>
              </w:rPr>
            </w:pPr>
          </w:p>
        </w:tc>
      </w:tr>
      <w:tr w:rsidR="00871BDF" w14:paraId="00BB06E3" w14:textId="77777777">
        <w:tc>
          <w:tcPr>
            <w:tcW w:w="0" w:type="auto"/>
            <w:gridSpan w:val="3"/>
            <w:shd w:val="clear" w:color="auto" w:fill="FFFFFF"/>
            <w:tcMar>
              <w:top w:w="40" w:type="dxa"/>
              <w:left w:w="20" w:type="dxa"/>
              <w:bottom w:w="40" w:type="dxa"/>
              <w:right w:w="20" w:type="dxa"/>
            </w:tcMar>
          </w:tcPr>
          <w:p w14:paraId="00BB06DA" w14:textId="77777777" w:rsidR="00871BDF" w:rsidRDefault="005C5088">
            <w:pPr>
              <w:textAlignment w:val="top"/>
            </w:pPr>
            <w:r>
              <w:rPr>
                <w:rFonts w:ascii="Times New Roman" w:eastAsia="宋体" w:hAnsi="Times New Roman"/>
                <w:color w:val="000000"/>
                <w:sz w:val="20"/>
                <w:szCs w:val="20"/>
              </w:rPr>
              <w:t>Weighted average common shares outstanding (for basic calculation)</w:t>
            </w:r>
          </w:p>
        </w:tc>
        <w:tc>
          <w:tcPr>
            <w:tcW w:w="0" w:type="auto"/>
            <w:gridSpan w:val="2"/>
            <w:shd w:val="clear" w:color="auto" w:fill="FFFFFF"/>
            <w:tcMar>
              <w:top w:w="40" w:type="dxa"/>
              <w:left w:w="20" w:type="dxa"/>
              <w:bottom w:w="40" w:type="dxa"/>
              <w:right w:w="0" w:type="dxa"/>
            </w:tcMar>
            <w:vAlign w:val="bottom"/>
          </w:tcPr>
          <w:p w14:paraId="00BB06DB" w14:textId="77777777" w:rsidR="00871BDF" w:rsidRDefault="005C5088">
            <w:pPr>
              <w:jc w:val="right"/>
              <w:textAlignment w:val="bottom"/>
            </w:pPr>
            <w:r>
              <w:rPr>
                <w:rFonts w:ascii="Times New Roman" w:eastAsia="宋体" w:hAnsi="Times New Roman"/>
                <w:color w:val="000000"/>
                <w:sz w:val="20"/>
                <w:szCs w:val="20"/>
              </w:rPr>
              <w:t>1,172.8 </w:t>
            </w:r>
          </w:p>
        </w:tc>
        <w:tc>
          <w:tcPr>
            <w:tcW w:w="0" w:type="auto"/>
            <w:shd w:val="clear" w:color="auto" w:fill="FFFFFF"/>
            <w:tcMar>
              <w:top w:w="40" w:type="dxa"/>
              <w:left w:w="0" w:type="dxa"/>
              <w:bottom w:w="40" w:type="dxa"/>
              <w:right w:w="20" w:type="dxa"/>
            </w:tcMar>
            <w:vAlign w:val="bottom"/>
          </w:tcPr>
          <w:p w14:paraId="00BB06D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6D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6DE" w14:textId="77777777" w:rsidR="00871BDF" w:rsidRDefault="005C5088">
            <w:pPr>
              <w:jc w:val="right"/>
              <w:textAlignment w:val="bottom"/>
            </w:pPr>
            <w:r>
              <w:rPr>
                <w:rFonts w:ascii="Times New Roman" w:eastAsia="宋体" w:hAnsi="Times New Roman"/>
                <w:color w:val="000000"/>
                <w:sz w:val="20"/>
                <w:szCs w:val="20"/>
              </w:rPr>
              <w:t>1,221.2 </w:t>
            </w:r>
          </w:p>
        </w:tc>
        <w:tc>
          <w:tcPr>
            <w:tcW w:w="0" w:type="auto"/>
            <w:shd w:val="clear" w:color="auto" w:fill="FFFFFF"/>
            <w:tcMar>
              <w:top w:w="40" w:type="dxa"/>
              <w:left w:w="0" w:type="dxa"/>
              <w:bottom w:w="40" w:type="dxa"/>
              <w:right w:w="20" w:type="dxa"/>
            </w:tcMar>
            <w:vAlign w:val="bottom"/>
          </w:tcPr>
          <w:p w14:paraId="00BB06D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6E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6E1" w14:textId="77777777" w:rsidR="00871BDF" w:rsidRDefault="005C5088">
            <w:pPr>
              <w:jc w:val="right"/>
              <w:textAlignment w:val="bottom"/>
            </w:pPr>
            <w:r>
              <w:rPr>
                <w:rFonts w:ascii="Times New Roman" w:eastAsia="宋体" w:hAnsi="Times New Roman"/>
                <w:color w:val="000000"/>
                <w:sz w:val="20"/>
                <w:szCs w:val="20"/>
              </w:rPr>
              <w:t>1,382.7 </w:t>
            </w:r>
          </w:p>
        </w:tc>
        <w:tc>
          <w:tcPr>
            <w:tcW w:w="0" w:type="auto"/>
            <w:shd w:val="clear" w:color="auto" w:fill="FFFFFF"/>
            <w:tcMar>
              <w:top w:w="40" w:type="dxa"/>
              <w:left w:w="0" w:type="dxa"/>
              <w:bottom w:w="40" w:type="dxa"/>
              <w:right w:w="20" w:type="dxa"/>
            </w:tcMar>
            <w:vAlign w:val="bottom"/>
          </w:tcPr>
          <w:p w14:paraId="00BB06E2" w14:textId="77777777" w:rsidR="00871BDF" w:rsidRDefault="00871BDF">
            <w:pPr>
              <w:jc w:val="right"/>
              <w:rPr>
                <w:rFonts w:ascii="宋体"/>
              </w:rPr>
            </w:pPr>
          </w:p>
        </w:tc>
      </w:tr>
      <w:tr w:rsidR="00871BDF" w14:paraId="00BB06ED" w14:textId="77777777">
        <w:tc>
          <w:tcPr>
            <w:tcW w:w="0" w:type="auto"/>
            <w:gridSpan w:val="3"/>
            <w:shd w:val="clear" w:color="auto" w:fill="D7E4BC"/>
            <w:tcMar>
              <w:top w:w="40" w:type="dxa"/>
              <w:left w:w="20" w:type="dxa"/>
              <w:bottom w:w="40" w:type="dxa"/>
              <w:right w:w="20" w:type="dxa"/>
            </w:tcMar>
          </w:tcPr>
          <w:p w14:paraId="00BB06E4" w14:textId="77777777" w:rsidR="00871BDF" w:rsidRDefault="005C5088">
            <w:pPr>
              <w:textAlignment w:val="top"/>
            </w:pPr>
            <w:r>
              <w:rPr>
                <w:rFonts w:ascii="Times New Roman" w:eastAsia="宋体" w:hAnsi="Times New Roman"/>
                <w:color w:val="000000"/>
                <w:sz w:val="20"/>
                <w:szCs w:val="20"/>
              </w:rPr>
              <w:t>Dilutive effect of outstanding common stock options and RSUs</w:t>
            </w:r>
          </w:p>
        </w:tc>
        <w:tc>
          <w:tcPr>
            <w:tcW w:w="0" w:type="auto"/>
            <w:gridSpan w:val="2"/>
            <w:shd w:val="clear" w:color="auto" w:fill="D7E4BC"/>
            <w:tcMar>
              <w:top w:w="40" w:type="dxa"/>
              <w:left w:w="20" w:type="dxa"/>
              <w:bottom w:w="40" w:type="dxa"/>
              <w:right w:w="0" w:type="dxa"/>
            </w:tcMar>
            <w:vAlign w:val="bottom"/>
          </w:tcPr>
          <w:p w14:paraId="00BB06E5" w14:textId="77777777" w:rsidR="00871BDF" w:rsidRDefault="005C5088">
            <w:pPr>
              <w:jc w:val="right"/>
              <w:textAlignment w:val="bottom"/>
            </w:pPr>
            <w:r>
              <w:rPr>
                <w:rFonts w:ascii="Times New Roman" w:eastAsia="宋体" w:hAnsi="Times New Roman"/>
                <w:color w:val="000000"/>
                <w:sz w:val="20"/>
                <w:szCs w:val="20"/>
              </w:rPr>
              <w:t>9.0 </w:t>
            </w:r>
          </w:p>
        </w:tc>
        <w:tc>
          <w:tcPr>
            <w:tcW w:w="0" w:type="auto"/>
            <w:shd w:val="clear" w:color="auto" w:fill="D7E4BC"/>
            <w:tcMar>
              <w:top w:w="40" w:type="dxa"/>
              <w:left w:w="0" w:type="dxa"/>
              <w:bottom w:w="40" w:type="dxa"/>
              <w:right w:w="20" w:type="dxa"/>
            </w:tcMar>
            <w:vAlign w:val="bottom"/>
          </w:tcPr>
          <w:p w14:paraId="00BB06E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E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6E8" w14:textId="77777777" w:rsidR="00871BDF" w:rsidRDefault="005C5088">
            <w:pPr>
              <w:jc w:val="right"/>
              <w:textAlignment w:val="bottom"/>
            </w:pPr>
            <w:r>
              <w:rPr>
                <w:rFonts w:ascii="Times New Roman" w:eastAsia="宋体" w:hAnsi="Times New Roman"/>
                <w:color w:val="000000"/>
                <w:sz w:val="20"/>
                <w:szCs w:val="20"/>
              </w:rPr>
              <w:t>12.0 </w:t>
            </w:r>
          </w:p>
        </w:tc>
        <w:tc>
          <w:tcPr>
            <w:tcW w:w="0" w:type="auto"/>
            <w:shd w:val="clear" w:color="auto" w:fill="D7E4BC"/>
            <w:tcMar>
              <w:top w:w="40" w:type="dxa"/>
              <w:left w:w="0" w:type="dxa"/>
              <w:bottom w:w="40" w:type="dxa"/>
              <w:right w:w="20" w:type="dxa"/>
            </w:tcMar>
            <w:vAlign w:val="bottom"/>
          </w:tcPr>
          <w:p w14:paraId="00BB06E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E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6EB" w14:textId="77777777" w:rsidR="00871BDF" w:rsidRDefault="005C5088">
            <w:pPr>
              <w:jc w:val="right"/>
              <w:textAlignment w:val="bottom"/>
            </w:pPr>
            <w:r>
              <w:rPr>
                <w:rFonts w:ascii="Times New Roman" w:eastAsia="宋体" w:hAnsi="Times New Roman"/>
                <w:color w:val="000000"/>
                <w:sz w:val="20"/>
                <w:szCs w:val="20"/>
              </w:rPr>
              <w:t>11.9 </w:t>
            </w:r>
          </w:p>
        </w:tc>
        <w:tc>
          <w:tcPr>
            <w:tcW w:w="0" w:type="auto"/>
            <w:shd w:val="clear" w:color="auto" w:fill="D7E4BC"/>
            <w:tcMar>
              <w:top w:w="40" w:type="dxa"/>
              <w:left w:w="0" w:type="dxa"/>
              <w:bottom w:w="40" w:type="dxa"/>
              <w:right w:w="20" w:type="dxa"/>
            </w:tcMar>
            <w:vAlign w:val="bottom"/>
          </w:tcPr>
          <w:p w14:paraId="00BB06EC" w14:textId="77777777" w:rsidR="00871BDF" w:rsidRDefault="00871BDF">
            <w:pPr>
              <w:jc w:val="right"/>
              <w:rPr>
                <w:rFonts w:ascii="宋体"/>
              </w:rPr>
            </w:pPr>
          </w:p>
        </w:tc>
      </w:tr>
      <w:tr w:rsidR="00871BDF" w14:paraId="00BB06F7" w14:textId="77777777">
        <w:tc>
          <w:tcPr>
            <w:tcW w:w="0" w:type="auto"/>
            <w:gridSpan w:val="3"/>
            <w:shd w:val="clear" w:color="auto" w:fill="FFFFFF"/>
            <w:tcMar>
              <w:top w:w="40" w:type="dxa"/>
              <w:left w:w="20" w:type="dxa"/>
              <w:bottom w:w="40" w:type="dxa"/>
              <w:right w:w="20" w:type="dxa"/>
            </w:tcMar>
          </w:tcPr>
          <w:p w14:paraId="00BB06EE" w14:textId="77777777" w:rsidR="00871BDF" w:rsidRDefault="005C5088">
            <w:pPr>
              <w:textAlignment w:val="top"/>
            </w:pPr>
            <w:r>
              <w:rPr>
                <w:rFonts w:ascii="Times New Roman" w:eastAsia="宋体" w:hAnsi="Times New Roman"/>
                <w:color w:val="000000"/>
                <w:sz w:val="20"/>
                <w:szCs w:val="20"/>
              </w:rPr>
              <w:t xml:space="preserve">Weighted average common and </w:t>
            </w:r>
            <w:r>
              <w:rPr>
                <w:rFonts w:ascii="Times New Roman" w:eastAsia="宋体" w:hAnsi="Times New Roman"/>
                <w:color w:val="000000"/>
                <w:sz w:val="20"/>
                <w:szCs w:val="20"/>
              </w:rPr>
              <w:t>common equivalent shares outstanding (for diluted calculation)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B06EF" w14:textId="77777777" w:rsidR="00871BDF" w:rsidRDefault="005C5088">
            <w:pPr>
              <w:jc w:val="right"/>
              <w:textAlignment w:val="bottom"/>
            </w:pPr>
            <w:r>
              <w:rPr>
                <w:rFonts w:ascii="Times New Roman" w:eastAsia="宋体" w:hAnsi="Times New Roman"/>
                <w:color w:val="000000"/>
                <w:sz w:val="20"/>
                <w:szCs w:val="20"/>
              </w:rPr>
              <w:t>1,181.8 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B06F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6F1"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B06F2" w14:textId="77777777" w:rsidR="00871BDF" w:rsidRDefault="005C5088">
            <w:pPr>
              <w:jc w:val="right"/>
              <w:textAlignment w:val="bottom"/>
            </w:pPr>
            <w:r>
              <w:rPr>
                <w:rFonts w:ascii="Times New Roman" w:eastAsia="宋体" w:hAnsi="Times New Roman"/>
                <w:color w:val="000000"/>
                <w:sz w:val="20"/>
                <w:szCs w:val="20"/>
              </w:rPr>
              <w:t>1,233.2 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B06F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6F4" w14:textId="77777777" w:rsidR="00871BDF" w:rsidRDefault="00871BD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0BB06F5" w14:textId="77777777" w:rsidR="00871BDF" w:rsidRDefault="005C5088">
            <w:pPr>
              <w:jc w:val="right"/>
              <w:textAlignment w:val="bottom"/>
            </w:pPr>
            <w:r>
              <w:rPr>
                <w:rFonts w:ascii="Times New Roman" w:eastAsia="宋体" w:hAnsi="Times New Roman"/>
                <w:color w:val="000000"/>
                <w:sz w:val="20"/>
                <w:szCs w:val="20"/>
              </w:rPr>
              <w:t>1,394.6 </w:t>
            </w:r>
          </w:p>
        </w:tc>
        <w:tc>
          <w:tcPr>
            <w:tcW w:w="0" w:type="auto"/>
            <w:tcBorders>
              <w:top w:val="single" w:sz="8" w:space="0" w:color="000000"/>
            </w:tcBorders>
            <w:shd w:val="clear" w:color="auto" w:fill="FFFFFF"/>
            <w:tcMar>
              <w:top w:w="40" w:type="dxa"/>
              <w:left w:w="0" w:type="dxa"/>
              <w:bottom w:w="40" w:type="dxa"/>
              <w:right w:w="20" w:type="dxa"/>
            </w:tcMar>
            <w:vAlign w:val="bottom"/>
          </w:tcPr>
          <w:p w14:paraId="00BB06F6" w14:textId="77777777" w:rsidR="00871BDF" w:rsidRDefault="00871BDF">
            <w:pPr>
              <w:jc w:val="right"/>
              <w:rPr>
                <w:rFonts w:ascii="宋体"/>
              </w:rPr>
            </w:pPr>
          </w:p>
        </w:tc>
      </w:tr>
      <w:tr w:rsidR="00871BDF" w14:paraId="00BB0704" w14:textId="77777777">
        <w:tc>
          <w:tcPr>
            <w:tcW w:w="0" w:type="auto"/>
            <w:gridSpan w:val="3"/>
            <w:shd w:val="clear" w:color="auto" w:fill="D7E4BC"/>
            <w:tcMar>
              <w:top w:w="40" w:type="dxa"/>
              <w:left w:w="20" w:type="dxa"/>
              <w:bottom w:w="40" w:type="dxa"/>
              <w:right w:w="20" w:type="dxa"/>
            </w:tcMar>
          </w:tcPr>
          <w:p w14:paraId="00BB06F8" w14:textId="77777777" w:rsidR="00871BDF" w:rsidRDefault="005C5088">
            <w:pPr>
              <w:textAlignment w:val="top"/>
            </w:pPr>
            <w:r>
              <w:rPr>
                <w:rFonts w:ascii="Times New Roman" w:eastAsia="宋体" w:hAnsi="Times New Roman"/>
                <w:color w:val="000000"/>
                <w:sz w:val="20"/>
                <w:szCs w:val="20"/>
              </w:rPr>
              <w:t>EPS — basic</w:t>
            </w:r>
          </w:p>
        </w:tc>
        <w:tc>
          <w:tcPr>
            <w:tcW w:w="0" w:type="auto"/>
            <w:tcBorders>
              <w:top w:val="double" w:sz="6" w:space="0" w:color="000000"/>
            </w:tcBorders>
            <w:shd w:val="clear" w:color="auto" w:fill="D7E4BC"/>
            <w:tcMar>
              <w:top w:w="40" w:type="dxa"/>
              <w:left w:w="20" w:type="dxa"/>
              <w:bottom w:w="40" w:type="dxa"/>
              <w:right w:w="0" w:type="dxa"/>
            </w:tcMar>
            <w:vAlign w:val="bottom"/>
          </w:tcPr>
          <w:p w14:paraId="00BB06F9"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00BB06FA" w14:textId="77777777" w:rsidR="00871BDF" w:rsidRDefault="005C5088">
            <w:pPr>
              <w:jc w:val="right"/>
              <w:textAlignment w:val="bottom"/>
            </w:pPr>
            <w:r>
              <w:rPr>
                <w:rFonts w:ascii="Times New Roman" w:eastAsia="宋体" w:hAnsi="Times New Roman"/>
                <w:color w:val="000000"/>
                <w:sz w:val="20"/>
                <w:szCs w:val="20"/>
              </w:rPr>
              <w:t>0.79 </w:t>
            </w:r>
          </w:p>
        </w:tc>
        <w:tc>
          <w:tcPr>
            <w:tcW w:w="0" w:type="auto"/>
            <w:tcBorders>
              <w:top w:val="double" w:sz="6" w:space="0" w:color="000000"/>
            </w:tcBorders>
            <w:shd w:val="clear" w:color="auto" w:fill="D7E4BC"/>
            <w:tcMar>
              <w:top w:w="40" w:type="dxa"/>
              <w:left w:w="0" w:type="dxa"/>
              <w:bottom w:w="40" w:type="dxa"/>
              <w:right w:w="20" w:type="dxa"/>
            </w:tcMar>
            <w:vAlign w:val="bottom"/>
          </w:tcPr>
          <w:p w14:paraId="00BB06F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6FC" w14:textId="77777777" w:rsidR="00871BDF" w:rsidRDefault="00871BDF">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00BB06FD"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00BB06FE" w14:textId="77777777" w:rsidR="00871BDF" w:rsidRDefault="005C5088">
            <w:pPr>
              <w:jc w:val="right"/>
              <w:textAlignment w:val="bottom"/>
            </w:pPr>
            <w:r>
              <w:rPr>
                <w:rFonts w:ascii="Times New Roman" w:eastAsia="宋体" w:hAnsi="Times New Roman"/>
                <w:color w:val="000000"/>
                <w:sz w:val="20"/>
                <w:szCs w:val="20"/>
              </w:rPr>
              <w:t>2.95 </w:t>
            </w:r>
          </w:p>
        </w:tc>
        <w:tc>
          <w:tcPr>
            <w:tcW w:w="0" w:type="auto"/>
            <w:tcBorders>
              <w:top w:val="double" w:sz="6" w:space="0" w:color="000000"/>
            </w:tcBorders>
            <w:shd w:val="clear" w:color="auto" w:fill="D7E4BC"/>
            <w:tcMar>
              <w:top w:w="40" w:type="dxa"/>
              <w:left w:w="0" w:type="dxa"/>
              <w:bottom w:w="40" w:type="dxa"/>
              <w:right w:w="20" w:type="dxa"/>
            </w:tcMar>
            <w:vAlign w:val="bottom"/>
          </w:tcPr>
          <w:p w14:paraId="00BB06F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700" w14:textId="77777777" w:rsidR="00871BDF" w:rsidRDefault="00871BDF">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00BB0701" w14:textId="77777777" w:rsidR="00871BDF" w:rsidRDefault="005C5088">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00BB0702" w14:textId="77777777" w:rsidR="00871BDF" w:rsidRDefault="005C5088">
            <w:pPr>
              <w:jc w:val="right"/>
              <w:textAlignment w:val="bottom"/>
            </w:pPr>
            <w:r>
              <w:rPr>
                <w:rFonts w:ascii="Times New Roman" w:eastAsia="宋体" w:hAnsi="Times New Roman"/>
                <w:color w:val="000000"/>
                <w:sz w:val="20"/>
                <w:szCs w:val="20"/>
              </w:rPr>
              <w:t>3.27 </w:t>
            </w:r>
          </w:p>
        </w:tc>
        <w:tc>
          <w:tcPr>
            <w:tcW w:w="0" w:type="auto"/>
            <w:tcBorders>
              <w:top w:val="double" w:sz="6" w:space="0" w:color="000000"/>
            </w:tcBorders>
            <w:shd w:val="clear" w:color="auto" w:fill="D7E4BC"/>
            <w:tcMar>
              <w:top w:w="40" w:type="dxa"/>
              <w:left w:w="0" w:type="dxa"/>
              <w:bottom w:w="40" w:type="dxa"/>
              <w:right w:w="20" w:type="dxa"/>
            </w:tcMar>
            <w:vAlign w:val="bottom"/>
          </w:tcPr>
          <w:p w14:paraId="00BB0703" w14:textId="77777777" w:rsidR="00871BDF" w:rsidRDefault="00871BDF">
            <w:pPr>
              <w:jc w:val="right"/>
              <w:rPr>
                <w:rFonts w:ascii="宋体"/>
              </w:rPr>
            </w:pPr>
          </w:p>
        </w:tc>
      </w:tr>
      <w:tr w:rsidR="00871BDF" w14:paraId="00BB0711" w14:textId="77777777">
        <w:tc>
          <w:tcPr>
            <w:tcW w:w="0" w:type="auto"/>
            <w:gridSpan w:val="3"/>
            <w:shd w:val="clear" w:color="auto" w:fill="FFFFFF"/>
            <w:tcMar>
              <w:top w:w="40" w:type="dxa"/>
              <w:left w:w="20" w:type="dxa"/>
              <w:bottom w:w="40" w:type="dxa"/>
              <w:right w:w="20" w:type="dxa"/>
            </w:tcMar>
          </w:tcPr>
          <w:p w14:paraId="00BB0705" w14:textId="77777777" w:rsidR="00871BDF" w:rsidRDefault="005C5088">
            <w:pPr>
              <w:textAlignment w:val="top"/>
            </w:pPr>
            <w:r>
              <w:rPr>
                <w:rFonts w:ascii="Times New Roman" w:eastAsia="宋体" w:hAnsi="Times New Roman"/>
                <w:color w:val="000000"/>
                <w:sz w:val="20"/>
                <w:szCs w:val="20"/>
              </w:rPr>
              <w:t>EPS — diluted</w:t>
            </w:r>
          </w:p>
        </w:tc>
        <w:tc>
          <w:tcPr>
            <w:tcW w:w="0" w:type="auto"/>
            <w:shd w:val="clear" w:color="auto" w:fill="FFFFFF"/>
            <w:tcMar>
              <w:top w:w="40" w:type="dxa"/>
              <w:left w:w="20" w:type="dxa"/>
              <w:bottom w:w="40" w:type="dxa"/>
              <w:right w:w="0" w:type="dxa"/>
            </w:tcMar>
            <w:vAlign w:val="bottom"/>
          </w:tcPr>
          <w:p w14:paraId="00BB0706"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707" w14:textId="77777777" w:rsidR="00871BDF" w:rsidRDefault="005C5088">
            <w:pPr>
              <w:jc w:val="right"/>
              <w:textAlignment w:val="bottom"/>
            </w:pPr>
            <w:r>
              <w:rPr>
                <w:rFonts w:ascii="Times New Roman" w:eastAsia="宋体" w:hAnsi="Times New Roman"/>
                <w:color w:val="000000"/>
                <w:sz w:val="20"/>
                <w:szCs w:val="20"/>
              </w:rPr>
              <w:t>0.79 </w:t>
            </w:r>
          </w:p>
        </w:tc>
        <w:tc>
          <w:tcPr>
            <w:tcW w:w="0" w:type="auto"/>
            <w:shd w:val="clear" w:color="auto" w:fill="FFFFFF"/>
            <w:tcMar>
              <w:top w:w="40" w:type="dxa"/>
              <w:left w:w="0" w:type="dxa"/>
              <w:bottom w:w="40" w:type="dxa"/>
              <w:right w:w="20" w:type="dxa"/>
            </w:tcMar>
            <w:vAlign w:val="bottom"/>
          </w:tcPr>
          <w:p w14:paraId="00BB0708"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709"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70A"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70B" w14:textId="77777777" w:rsidR="00871BDF" w:rsidRDefault="005C5088">
            <w:pPr>
              <w:jc w:val="right"/>
              <w:textAlignment w:val="bottom"/>
            </w:pPr>
            <w:r>
              <w:rPr>
                <w:rFonts w:ascii="Times New Roman" w:eastAsia="宋体" w:hAnsi="Times New Roman"/>
                <w:color w:val="000000"/>
                <w:sz w:val="20"/>
                <w:szCs w:val="20"/>
              </w:rPr>
              <w:t>2.92 </w:t>
            </w:r>
          </w:p>
        </w:tc>
        <w:tc>
          <w:tcPr>
            <w:tcW w:w="0" w:type="auto"/>
            <w:shd w:val="clear" w:color="auto" w:fill="FFFFFF"/>
            <w:tcMar>
              <w:top w:w="40" w:type="dxa"/>
              <w:left w:w="0" w:type="dxa"/>
              <w:bottom w:w="40" w:type="dxa"/>
              <w:right w:w="20" w:type="dxa"/>
            </w:tcMar>
            <w:vAlign w:val="bottom"/>
          </w:tcPr>
          <w:p w14:paraId="00BB070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70D"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70E"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70F" w14:textId="77777777" w:rsidR="00871BDF" w:rsidRDefault="005C5088">
            <w:pPr>
              <w:jc w:val="right"/>
              <w:textAlignment w:val="bottom"/>
            </w:pPr>
            <w:r>
              <w:rPr>
                <w:rFonts w:ascii="Times New Roman" w:eastAsia="宋体" w:hAnsi="Times New Roman"/>
                <w:color w:val="000000"/>
                <w:sz w:val="20"/>
                <w:szCs w:val="20"/>
              </w:rPr>
              <w:t>3.24 </w:t>
            </w:r>
          </w:p>
        </w:tc>
        <w:tc>
          <w:tcPr>
            <w:tcW w:w="0" w:type="auto"/>
            <w:shd w:val="clear" w:color="auto" w:fill="FFFFFF"/>
            <w:tcMar>
              <w:top w:w="40" w:type="dxa"/>
              <w:left w:w="0" w:type="dxa"/>
              <w:bottom w:w="40" w:type="dxa"/>
              <w:right w:w="20" w:type="dxa"/>
            </w:tcMar>
            <w:vAlign w:val="bottom"/>
          </w:tcPr>
          <w:p w14:paraId="00BB0710" w14:textId="77777777" w:rsidR="00871BDF" w:rsidRDefault="00871BDF">
            <w:pPr>
              <w:jc w:val="right"/>
              <w:rPr>
                <w:rFonts w:ascii="宋体"/>
              </w:rPr>
            </w:pPr>
          </w:p>
        </w:tc>
      </w:tr>
    </w:tbl>
    <w:p w14:paraId="00BB0712" w14:textId="77777777" w:rsidR="00871BDF" w:rsidRDefault="005C5088">
      <w:pPr>
        <w:spacing w:before="120"/>
      </w:pPr>
      <w:r>
        <w:rPr>
          <w:rFonts w:ascii="Times New Roman" w:eastAsia="宋体" w:hAnsi="Times New Roman"/>
          <w:color w:val="000000"/>
          <w:sz w:val="20"/>
          <w:szCs w:val="20"/>
        </w:rPr>
        <w:t>Potential dilutive shares consist of the incremental common shares issuable upon the exercise of outstanding stock options (both vested and non-vested) and unvested RSUs, calculated using the treasury stock method. The calculation of dilu</w:t>
      </w:r>
      <w:r>
        <w:rPr>
          <w:rFonts w:ascii="Times New Roman" w:eastAsia="宋体" w:hAnsi="Times New Roman"/>
          <w:color w:val="000000"/>
          <w:sz w:val="20"/>
          <w:szCs w:val="20"/>
        </w:rPr>
        <w:t>tive shares outstanding excludes out-of-the-money stock options (i.e., such options’ exercise prices were greater than the average market price of our common shares for the period) because their inclusion would have been antidilutive. As of September 27, 2</w:t>
      </w:r>
      <w:r>
        <w:rPr>
          <w:rFonts w:ascii="Times New Roman" w:eastAsia="宋体" w:hAnsi="Times New Roman"/>
          <w:color w:val="000000"/>
          <w:sz w:val="20"/>
          <w:szCs w:val="20"/>
        </w:rPr>
        <w:t>020 and September 29, 2019, we had no out-of-the-money stock options compared to 14.1 million as of September 30, 2018.</w:t>
      </w:r>
    </w:p>
    <w:p w14:paraId="00BB0713" w14:textId="77777777" w:rsidR="00871BDF" w:rsidRDefault="005C5088">
      <w:pPr>
        <w:spacing w:before="120"/>
      </w:pPr>
      <w:r>
        <w:rPr>
          <w:rFonts w:ascii="Times New Roman" w:eastAsia="宋体" w:hAnsi="Times New Roman"/>
          <w:b/>
          <w:bCs/>
          <w:color w:val="000000"/>
          <w:sz w:val="20"/>
          <w:szCs w:val="20"/>
        </w:rPr>
        <w:t>Note 16:    Commitments and Contingencies</w:t>
      </w:r>
    </w:p>
    <w:p w14:paraId="00BB0714" w14:textId="77777777" w:rsidR="00871BDF" w:rsidRDefault="005C5088">
      <w:pPr>
        <w:spacing w:before="120"/>
      </w:pPr>
      <w:r>
        <w:rPr>
          <w:rFonts w:ascii="Times New Roman" w:eastAsia="宋体" w:hAnsi="Times New Roman"/>
          <w:b/>
          <w:bCs/>
          <w:i/>
          <w:iCs/>
          <w:color w:val="000000"/>
          <w:sz w:val="20"/>
          <w:szCs w:val="20"/>
        </w:rPr>
        <w:t>Legal Proceedings</w:t>
      </w:r>
    </w:p>
    <w:p w14:paraId="00BB0715" w14:textId="77777777" w:rsidR="00871BDF" w:rsidRDefault="005C5088">
      <w:pPr>
        <w:spacing w:before="120"/>
      </w:pPr>
      <w:r>
        <w:rPr>
          <w:rFonts w:ascii="Times New Roman" w:eastAsia="宋体" w:hAnsi="Times New Roman"/>
          <w:color w:val="000000"/>
          <w:sz w:val="20"/>
          <w:szCs w:val="20"/>
        </w:rPr>
        <w:t xml:space="preserve">On April 13, 2010, an organization named Council for Education and Research </w:t>
      </w:r>
      <w:r>
        <w:rPr>
          <w:rFonts w:ascii="Times New Roman" w:eastAsia="宋体" w:hAnsi="Times New Roman"/>
          <w:color w:val="000000"/>
          <w:sz w:val="20"/>
          <w:szCs w:val="20"/>
        </w:rPr>
        <w:t xml:space="preserve">on Toxics (“Plaintiff”) filed a lawsuit in the Superior Court of the State of California, County of Los Angeles, against the Company and certain other defendants who manufacture, package, distribute or sell brewed coffee. The lawsuit is </w:t>
      </w:r>
      <w:r>
        <w:rPr>
          <w:rFonts w:ascii="Times New Roman" w:eastAsia="宋体" w:hAnsi="Times New Roman"/>
          <w:i/>
          <w:iCs/>
          <w:color w:val="000000"/>
          <w:sz w:val="20"/>
          <w:szCs w:val="20"/>
        </w:rPr>
        <w:t>Council for Educati</w:t>
      </w:r>
      <w:r>
        <w:rPr>
          <w:rFonts w:ascii="Times New Roman" w:eastAsia="宋体" w:hAnsi="Times New Roman"/>
          <w:i/>
          <w:iCs/>
          <w:color w:val="000000"/>
          <w:sz w:val="20"/>
          <w:szCs w:val="20"/>
        </w:rPr>
        <w:t>on and Research on Toxics v. Starbucks Corporation, et al</w:t>
      </w:r>
      <w:r>
        <w:rPr>
          <w:rFonts w:ascii="Times New Roman" w:eastAsia="宋体" w:hAnsi="Times New Roman"/>
          <w:color w:val="000000"/>
          <w:sz w:val="20"/>
          <w:szCs w:val="20"/>
        </w:rPr>
        <w:t>. On May 9, 2011, the Plaintiff filed an additional lawsuit in the Superior Court of the State of California, County of Los Angeles, against the Company and additional defendants who manufacture, pac</w:t>
      </w:r>
      <w:r>
        <w:rPr>
          <w:rFonts w:ascii="Times New Roman" w:eastAsia="宋体" w:hAnsi="Times New Roman"/>
          <w:color w:val="000000"/>
          <w:sz w:val="20"/>
          <w:szCs w:val="20"/>
        </w:rPr>
        <w:t xml:space="preserve">kage, distribute or sell packaged coffee. The lawsuit is </w:t>
      </w:r>
      <w:r>
        <w:rPr>
          <w:rFonts w:ascii="Times New Roman" w:eastAsia="宋体" w:hAnsi="Times New Roman"/>
          <w:i/>
          <w:iCs/>
          <w:color w:val="000000"/>
          <w:sz w:val="20"/>
          <w:szCs w:val="20"/>
        </w:rPr>
        <w:t>Council for Education and Research on Toxics v. Brad Barry LLC, et al</w:t>
      </w:r>
      <w:r>
        <w:rPr>
          <w:rFonts w:ascii="Times New Roman" w:eastAsia="宋体" w:hAnsi="Times New Roman"/>
          <w:color w:val="000000"/>
          <w:sz w:val="20"/>
          <w:szCs w:val="20"/>
        </w:rPr>
        <w:t>.. Both cases have since been consolidated and now include nearly eighty defendants, which constitute the great majority of the co</w:t>
      </w:r>
      <w:r>
        <w:rPr>
          <w:rFonts w:ascii="Times New Roman" w:eastAsia="宋体" w:hAnsi="Times New Roman"/>
          <w:color w:val="000000"/>
          <w:sz w:val="20"/>
          <w:szCs w:val="20"/>
        </w:rPr>
        <w:t>ffee industry in California. Plaintiff alleges that the Company and the other defendants failed to provide warnings for their coffee products of exposure to the chemical acrylamide as required under California Health and Safety Code section 25249.5, the Ca</w:t>
      </w:r>
      <w:r>
        <w:rPr>
          <w:rFonts w:ascii="Times New Roman" w:eastAsia="宋体" w:hAnsi="Times New Roman"/>
          <w:color w:val="000000"/>
          <w:sz w:val="20"/>
          <w:szCs w:val="20"/>
        </w:rPr>
        <w:t>lifornia Safe Drinking Water and Toxic Enforcement Act of 1986, better known as Proposition 65. Plaintiff seeks equitable relief, including providing warnings to consumers of coffee products, as well as civil penalties in the amount of the statutory maximu</w:t>
      </w:r>
      <w:r>
        <w:rPr>
          <w:rFonts w:ascii="Times New Roman" w:eastAsia="宋体" w:hAnsi="Times New Roman"/>
          <w:color w:val="000000"/>
          <w:sz w:val="20"/>
          <w:szCs w:val="20"/>
        </w:rPr>
        <w:t>m of two thousand five hundred dollars per day per violation of Proposition 65. The Plaintiff asserts that every consumed cup of coffee, absent a compliant warning, is equivalent to a violation under Proposition 65.</w:t>
      </w:r>
    </w:p>
    <w:p w14:paraId="00BB0716" w14:textId="77777777" w:rsidR="00871BDF" w:rsidRDefault="005C5088">
      <w:pPr>
        <w:spacing w:before="120"/>
      </w:pPr>
      <w:r>
        <w:rPr>
          <w:rFonts w:ascii="Times New Roman" w:eastAsia="宋体" w:hAnsi="Times New Roman"/>
          <w:color w:val="000000"/>
          <w:sz w:val="20"/>
          <w:szCs w:val="20"/>
        </w:rPr>
        <w:t xml:space="preserve">The Company, as part of a joint defense </w:t>
      </w:r>
      <w:r>
        <w:rPr>
          <w:rFonts w:ascii="Times New Roman" w:eastAsia="宋体" w:hAnsi="Times New Roman"/>
          <w:color w:val="000000"/>
          <w:sz w:val="20"/>
          <w:szCs w:val="20"/>
        </w:rPr>
        <w:t>group organized to defend against the lawsuit, disputes the claims of the Plaintiff. Acrylamide is not added to coffee but is present in all coffee in small amounts (parts per billion) as a byproduct of the coffee bean roasting process. The Company has ass</w:t>
      </w:r>
      <w:r>
        <w:rPr>
          <w:rFonts w:ascii="Times New Roman" w:eastAsia="宋体" w:hAnsi="Times New Roman"/>
          <w:color w:val="000000"/>
          <w:sz w:val="20"/>
          <w:szCs w:val="20"/>
        </w:rPr>
        <w:t>erted multiple affirmative defenses. Trial of the first phase of the case commenced on September 8, 2014, and was limited to three affirmative defenses shared by all defendants. On September 1, 2015, the trial court issued a final ruling adverse to defenda</w:t>
      </w:r>
      <w:r>
        <w:rPr>
          <w:rFonts w:ascii="Times New Roman" w:eastAsia="宋体" w:hAnsi="Times New Roman"/>
          <w:color w:val="000000"/>
          <w:sz w:val="20"/>
          <w:szCs w:val="20"/>
        </w:rPr>
        <w:t>nts on all Phase 1 defenses. Trial of the second phase of the case commenced in the fall of 2017. On May 7, 2018, the trial court issued a ruling adverse to defendants on the Phase 2 defense, the Company's last remaining defense to liability. On June 22, 2</w:t>
      </w:r>
      <w:r>
        <w:rPr>
          <w:rFonts w:ascii="Times New Roman" w:eastAsia="宋体" w:hAnsi="Times New Roman"/>
          <w:color w:val="000000"/>
          <w:sz w:val="20"/>
          <w:szCs w:val="20"/>
        </w:rPr>
        <w:t>018, the California Office of Environmental Health Hazard Assessment (OEHHA) proposed a new regulation clarifying that cancer warnings are not required for coffee under Proposition 65. The case was set to proceed to a third phase trial on damages, remedies</w:t>
      </w:r>
      <w:r>
        <w:rPr>
          <w:rFonts w:ascii="Times New Roman" w:eastAsia="宋体" w:hAnsi="Times New Roman"/>
          <w:color w:val="000000"/>
          <w:sz w:val="20"/>
          <w:szCs w:val="20"/>
        </w:rPr>
        <w:t xml:space="preserve"> and attorneys' fees on October 15, 2018. However, on October 12, 2018, the California Court of Appeal granted the defendants request for a stay of the Phase 3 trial. </w:t>
      </w:r>
    </w:p>
    <w:p w14:paraId="00BB0717" w14:textId="77777777" w:rsidR="00871BDF" w:rsidRDefault="005C5088">
      <w:pPr>
        <w:spacing w:before="120"/>
      </w:pPr>
      <w:r>
        <w:rPr>
          <w:rFonts w:ascii="Times New Roman" w:eastAsia="宋体" w:hAnsi="Times New Roman"/>
          <w:color w:val="000000"/>
          <w:sz w:val="20"/>
          <w:szCs w:val="20"/>
        </w:rPr>
        <w:t>On June 3, 2019, the Office of Administrative Law (OAL) approved the coffee exemption re</w:t>
      </w:r>
      <w:r>
        <w:rPr>
          <w:rFonts w:ascii="Times New Roman" w:eastAsia="宋体" w:hAnsi="Times New Roman"/>
          <w:color w:val="000000"/>
          <w:sz w:val="20"/>
          <w:szCs w:val="20"/>
        </w:rPr>
        <w:t>gulation. The regulation will be effective on October 1, 2019. On June 24, 2019, the Court of Appeal lifted the stay of the litigation. At the status conference on August 25, 2020, the trial judge granted the defendants’ motion for summary judgment, ruling</w:t>
      </w:r>
      <w:r>
        <w:rPr>
          <w:rFonts w:ascii="Times New Roman" w:eastAsia="宋体" w:hAnsi="Times New Roman"/>
          <w:color w:val="000000"/>
          <w:sz w:val="20"/>
          <w:szCs w:val="20"/>
        </w:rPr>
        <w:t xml:space="preserve"> that the coffee exemption regulation is a complete defense to the Plaintiff’s complaint. The Notice of Entry of Judgment from the court was served on October 6, 2020. The plaintiff has not yet filed a Notice of Appeal. Starbucks believes that the likeliho</w:t>
      </w:r>
      <w:r>
        <w:rPr>
          <w:rFonts w:ascii="Times New Roman" w:eastAsia="宋体" w:hAnsi="Times New Roman"/>
          <w:color w:val="000000"/>
          <w:sz w:val="20"/>
          <w:szCs w:val="20"/>
        </w:rPr>
        <w:t>od that the Company will ultimately incur a loss in connection with this litigation is less than reasonably possible. Accordingly, no loss contingency was recorded for this matter.</w:t>
      </w:r>
    </w:p>
    <w:p w14:paraId="00BB0718" w14:textId="77777777" w:rsidR="00871BDF" w:rsidRDefault="005C5088">
      <w:pPr>
        <w:jc w:val="center"/>
      </w:pPr>
      <w:r>
        <w:rPr>
          <w:rFonts w:ascii="Times New Roman" w:eastAsia="宋体" w:hAnsi="Times New Roman"/>
          <w:color w:val="000000"/>
          <w:sz w:val="20"/>
          <w:szCs w:val="20"/>
        </w:rPr>
        <w:t>86</w:t>
      </w:r>
    </w:p>
    <w:p w14:paraId="00BB0719" w14:textId="77777777" w:rsidR="00871BDF" w:rsidRDefault="005C5088">
      <w:r>
        <w:pict w14:anchorId="00BB14BB">
          <v:rect id="_x0000_i1113" style="width:415.3pt;height:1.5pt" o:hralign="center" o:hrstd="t" o:hr="t" fillcolor="#a0a0a0" stroked="f"/>
        </w:pict>
      </w:r>
    </w:p>
    <w:p w14:paraId="00BB071A" w14:textId="77777777" w:rsidR="00871BDF" w:rsidRDefault="005C5088">
      <w:hyperlink r:id="rId229" w:anchor="i54ccc64cb5384be5a4849ef1cdef4dde_7" w:history="1">
        <w:r>
          <w:rPr>
            <w:rStyle w:val="a5"/>
            <w:rFonts w:ascii="Times New Roman" w:eastAsia="宋体" w:hAnsi="Times New Roman"/>
            <w:sz w:val="20"/>
            <w:szCs w:val="20"/>
          </w:rPr>
          <w:t>Table of Contents</w:t>
        </w:r>
      </w:hyperlink>
    </w:p>
    <w:p w14:paraId="00BB071B" w14:textId="77777777" w:rsidR="00871BDF" w:rsidRDefault="005C5088">
      <w:pPr>
        <w:spacing w:before="120"/>
      </w:pPr>
      <w:r>
        <w:rPr>
          <w:rFonts w:ascii="Times New Roman" w:eastAsia="宋体" w:hAnsi="Times New Roman"/>
          <w:color w:val="000000"/>
          <w:sz w:val="20"/>
          <w:szCs w:val="20"/>
        </w:rPr>
        <w:t xml:space="preserve">Starbucks is party to various other legal proceedings arising in the ordinary course of business, including certain employment litigation cases that </w:t>
      </w:r>
      <w:r>
        <w:rPr>
          <w:rFonts w:ascii="Times New Roman" w:eastAsia="宋体" w:hAnsi="Times New Roman"/>
          <w:color w:val="000000"/>
          <w:sz w:val="20"/>
          <w:szCs w:val="20"/>
        </w:rPr>
        <w:t xml:space="preserve">have been certified as class or collective actions, but, except as noted above, is not currently a party to any legal proceeding that management believes could have a material adverse effect on our consolidated financial position, results of operations or </w:t>
      </w:r>
      <w:r>
        <w:rPr>
          <w:rFonts w:ascii="Times New Roman" w:eastAsia="宋体" w:hAnsi="Times New Roman"/>
          <w:color w:val="000000"/>
          <w:sz w:val="20"/>
          <w:szCs w:val="20"/>
        </w:rPr>
        <w:t>cash flows.</w:t>
      </w:r>
    </w:p>
    <w:p w14:paraId="00BB071C" w14:textId="77777777" w:rsidR="00871BDF" w:rsidRDefault="005C5088">
      <w:pPr>
        <w:spacing w:before="120"/>
      </w:pPr>
      <w:r>
        <w:rPr>
          <w:rFonts w:ascii="Times New Roman" w:eastAsia="宋体" w:hAnsi="Times New Roman"/>
          <w:b/>
          <w:bCs/>
          <w:color w:val="000000"/>
          <w:sz w:val="20"/>
          <w:szCs w:val="20"/>
        </w:rPr>
        <w:t>Note 17:    Segment Reporting</w:t>
      </w:r>
    </w:p>
    <w:p w14:paraId="00BB071D" w14:textId="77777777" w:rsidR="00871BDF" w:rsidRDefault="005C5088">
      <w:pPr>
        <w:spacing w:before="120"/>
      </w:pPr>
      <w:r>
        <w:rPr>
          <w:rFonts w:ascii="Times New Roman" w:eastAsia="宋体" w:hAnsi="Times New Roman"/>
          <w:color w:val="000000"/>
          <w:sz w:val="20"/>
          <w:szCs w:val="20"/>
        </w:rPr>
        <w:t xml:space="preserve">Segment information is prepared on the same basis that our ceo, who is our Chief Operating Decision Maker, manages the segments, evaluates financial results and makes key operating decisions. </w:t>
      </w:r>
    </w:p>
    <w:p w14:paraId="00BB071E" w14:textId="77777777" w:rsidR="00871BDF" w:rsidRDefault="005C5088">
      <w:pPr>
        <w:spacing w:before="120"/>
      </w:pPr>
      <w:r>
        <w:rPr>
          <w:rFonts w:ascii="Times New Roman" w:eastAsia="宋体" w:hAnsi="Times New Roman"/>
          <w:color w:val="000000"/>
          <w:sz w:val="20"/>
          <w:szCs w:val="20"/>
        </w:rPr>
        <w:t>We have three reporta</w:t>
      </w:r>
      <w:r>
        <w:rPr>
          <w:rFonts w:ascii="Times New Roman" w:eastAsia="宋体" w:hAnsi="Times New Roman"/>
          <w:color w:val="000000"/>
          <w:sz w:val="20"/>
          <w:szCs w:val="20"/>
        </w:rPr>
        <w:t xml:space="preserve">ble operating segments: 1) Americas, which is inclusive of the U.S., Canada and Latin America; 2) International, which is inclusive of China, Japan, Asia Pacific, Europe, the Middle East and Africa; and 3) Channel Development. </w:t>
      </w:r>
    </w:p>
    <w:p w14:paraId="00BB071F" w14:textId="77777777" w:rsidR="00871BDF" w:rsidRDefault="005C5088">
      <w:pPr>
        <w:spacing w:before="120"/>
      </w:pPr>
      <w:r>
        <w:rPr>
          <w:rFonts w:ascii="Times New Roman" w:eastAsia="宋体" w:hAnsi="Times New Roman"/>
          <w:color w:val="000000"/>
          <w:sz w:val="20"/>
          <w:szCs w:val="20"/>
        </w:rPr>
        <w:t>Americas and International o</w:t>
      </w:r>
      <w:r>
        <w:rPr>
          <w:rFonts w:ascii="Times New Roman" w:eastAsia="宋体" w:hAnsi="Times New Roman"/>
          <w:color w:val="000000"/>
          <w:sz w:val="20"/>
          <w:szCs w:val="20"/>
        </w:rPr>
        <w:t>perations sell coffee and other beverages, complementary food, packaged coffees, single-serve coffee products and a focused selection of merchandise through company-operated stores and licensed stores. Our Americas segment is our most mature business and h</w:t>
      </w:r>
      <w:r>
        <w:rPr>
          <w:rFonts w:ascii="Times New Roman" w:eastAsia="宋体" w:hAnsi="Times New Roman"/>
          <w:color w:val="000000"/>
          <w:sz w:val="20"/>
          <w:szCs w:val="20"/>
        </w:rPr>
        <w:t xml:space="preserve">as achieved significant scale. </w:t>
      </w:r>
    </w:p>
    <w:p w14:paraId="00BB0720" w14:textId="77777777" w:rsidR="00871BDF" w:rsidRDefault="005C5088">
      <w:pPr>
        <w:spacing w:before="120"/>
      </w:pPr>
      <w:r>
        <w:rPr>
          <w:rFonts w:ascii="Times New Roman" w:eastAsia="宋体" w:hAnsi="Times New Roman"/>
          <w:color w:val="000000"/>
          <w:sz w:val="20"/>
          <w:szCs w:val="20"/>
        </w:rPr>
        <w:t>Channel Development revenues include packaged coffee sales, tea and ready-to-drink beverages to customers outside of our company-operated and licensed stores. Historically revenues have included domestic and international sa</w:t>
      </w:r>
      <w:r>
        <w:rPr>
          <w:rFonts w:ascii="Times New Roman" w:eastAsia="宋体" w:hAnsi="Times New Roman"/>
          <w:color w:val="000000"/>
          <w:sz w:val="20"/>
          <w:szCs w:val="20"/>
        </w:rPr>
        <w:t>les of our packaged coffee, tea and ready-to-drink products to grocery, warehouse club and specialty retail stores and through institutional foodservice companies which serviced businesses. Since the fourth quarter of fiscal 2018, most of our Channel Devel</w:t>
      </w:r>
      <w:r>
        <w:rPr>
          <w:rFonts w:ascii="Times New Roman" w:eastAsia="宋体" w:hAnsi="Times New Roman"/>
          <w:color w:val="000000"/>
          <w:sz w:val="20"/>
          <w:szCs w:val="20"/>
        </w:rPr>
        <w:t>opment revenues are from product sales to and royalty revenues from Nestlé. The collaborative business relationships for ready-to-drink products and the associated revenues remain unchanged due to the Global Coffee Alliance.</w:t>
      </w:r>
      <w:r>
        <w:rPr>
          <w:rFonts w:ascii="Times New Roman" w:eastAsia="宋体" w:hAnsi="Times New Roman"/>
          <w:color w:val="000000"/>
          <w:sz w:val="20"/>
          <w:szCs w:val="20"/>
        </w:rPr>
        <w:br/>
        <w:t>Consolidated revenue mix by pro</w:t>
      </w:r>
      <w:r>
        <w:rPr>
          <w:rFonts w:ascii="Times New Roman" w:eastAsia="宋体" w:hAnsi="Times New Roman"/>
          <w:color w:val="000000"/>
          <w:sz w:val="20"/>
          <w:szCs w:val="20"/>
        </w:rPr>
        <w:t>duct type</w:t>
      </w:r>
      <w:r>
        <w:rPr>
          <w:rFonts w:ascii="Times New Roman" w:eastAsia="宋体" w:hAnsi="Times New Roman"/>
          <w:color w:val="000000"/>
          <w:sz w:val="13"/>
          <w:szCs w:val="13"/>
        </w:rPr>
        <w:t>(1)</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p>
    <w:tbl>
      <w:tblPr>
        <w:tblW w:w="4963" w:type="pct"/>
        <w:tblCellMar>
          <w:top w:w="15" w:type="dxa"/>
          <w:left w:w="15" w:type="dxa"/>
          <w:bottom w:w="15" w:type="dxa"/>
          <w:right w:w="15" w:type="dxa"/>
        </w:tblCellMar>
        <w:tblLook w:val="04A0" w:firstRow="1" w:lastRow="0" w:firstColumn="1" w:lastColumn="0" w:noHBand="0" w:noVBand="1"/>
      </w:tblPr>
      <w:tblGrid>
        <w:gridCol w:w="38"/>
        <w:gridCol w:w="2897"/>
        <w:gridCol w:w="37"/>
        <w:gridCol w:w="120"/>
        <w:gridCol w:w="750"/>
        <w:gridCol w:w="36"/>
        <w:gridCol w:w="36"/>
        <w:gridCol w:w="36"/>
        <w:gridCol w:w="36"/>
        <w:gridCol w:w="42"/>
        <w:gridCol w:w="491"/>
        <w:gridCol w:w="187"/>
        <w:gridCol w:w="36"/>
        <w:gridCol w:w="36"/>
        <w:gridCol w:w="36"/>
        <w:gridCol w:w="120"/>
        <w:gridCol w:w="750"/>
        <w:gridCol w:w="36"/>
        <w:gridCol w:w="36"/>
        <w:gridCol w:w="36"/>
        <w:gridCol w:w="36"/>
        <w:gridCol w:w="42"/>
        <w:gridCol w:w="433"/>
        <w:gridCol w:w="187"/>
        <w:gridCol w:w="36"/>
        <w:gridCol w:w="36"/>
        <w:gridCol w:w="36"/>
        <w:gridCol w:w="120"/>
        <w:gridCol w:w="750"/>
        <w:gridCol w:w="36"/>
        <w:gridCol w:w="36"/>
        <w:gridCol w:w="36"/>
        <w:gridCol w:w="36"/>
        <w:gridCol w:w="42"/>
        <w:gridCol w:w="433"/>
        <w:gridCol w:w="187"/>
      </w:tblGrid>
      <w:tr w:rsidR="00871BDF" w14:paraId="00BB0745" w14:textId="77777777">
        <w:tc>
          <w:tcPr>
            <w:tcW w:w="50" w:type="pct"/>
            <w:shd w:val="clear" w:color="auto" w:fill="auto"/>
          </w:tcPr>
          <w:p w14:paraId="00BB0721" w14:textId="77777777" w:rsidR="00871BDF" w:rsidRDefault="00871BDF">
            <w:pPr>
              <w:rPr>
                <w:rFonts w:ascii="宋体"/>
              </w:rPr>
            </w:pPr>
          </w:p>
        </w:tc>
        <w:tc>
          <w:tcPr>
            <w:tcW w:w="1800" w:type="pct"/>
            <w:shd w:val="clear" w:color="auto" w:fill="auto"/>
          </w:tcPr>
          <w:p w14:paraId="00BB0722" w14:textId="77777777" w:rsidR="00871BDF" w:rsidRDefault="00871BDF">
            <w:pPr>
              <w:rPr>
                <w:rFonts w:ascii="宋体"/>
              </w:rPr>
            </w:pPr>
          </w:p>
        </w:tc>
        <w:tc>
          <w:tcPr>
            <w:tcW w:w="5" w:type="pct"/>
            <w:shd w:val="clear" w:color="auto" w:fill="auto"/>
          </w:tcPr>
          <w:p w14:paraId="00BB0723" w14:textId="77777777" w:rsidR="00871BDF" w:rsidRDefault="00871BDF">
            <w:pPr>
              <w:rPr>
                <w:rFonts w:ascii="宋体"/>
              </w:rPr>
            </w:pPr>
          </w:p>
        </w:tc>
        <w:tc>
          <w:tcPr>
            <w:tcW w:w="50" w:type="pct"/>
            <w:shd w:val="clear" w:color="auto" w:fill="auto"/>
          </w:tcPr>
          <w:p w14:paraId="00BB0724" w14:textId="77777777" w:rsidR="00871BDF" w:rsidRDefault="00871BDF">
            <w:pPr>
              <w:rPr>
                <w:rFonts w:ascii="宋体"/>
              </w:rPr>
            </w:pPr>
          </w:p>
        </w:tc>
        <w:tc>
          <w:tcPr>
            <w:tcW w:w="482" w:type="pct"/>
            <w:shd w:val="clear" w:color="auto" w:fill="auto"/>
          </w:tcPr>
          <w:p w14:paraId="00BB0725" w14:textId="77777777" w:rsidR="00871BDF" w:rsidRDefault="00871BDF">
            <w:pPr>
              <w:rPr>
                <w:rFonts w:ascii="宋体"/>
              </w:rPr>
            </w:pPr>
          </w:p>
        </w:tc>
        <w:tc>
          <w:tcPr>
            <w:tcW w:w="5" w:type="pct"/>
            <w:shd w:val="clear" w:color="auto" w:fill="auto"/>
          </w:tcPr>
          <w:p w14:paraId="00BB0726" w14:textId="77777777" w:rsidR="00871BDF" w:rsidRDefault="00871BDF">
            <w:pPr>
              <w:rPr>
                <w:rFonts w:ascii="宋体"/>
              </w:rPr>
            </w:pPr>
          </w:p>
        </w:tc>
        <w:tc>
          <w:tcPr>
            <w:tcW w:w="5" w:type="pct"/>
            <w:shd w:val="clear" w:color="auto" w:fill="auto"/>
          </w:tcPr>
          <w:p w14:paraId="00BB0727" w14:textId="77777777" w:rsidR="00871BDF" w:rsidRDefault="00871BDF">
            <w:pPr>
              <w:rPr>
                <w:rFonts w:ascii="宋体"/>
              </w:rPr>
            </w:pPr>
          </w:p>
        </w:tc>
        <w:tc>
          <w:tcPr>
            <w:tcW w:w="26" w:type="pct"/>
            <w:shd w:val="clear" w:color="auto" w:fill="auto"/>
          </w:tcPr>
          <w:p w14:paraId="00BB0728" w14:textId="77777777" w:rsidR="00871BDF" w:rsidRDefault="00871BDF">
            <w:pPr>
              <w:rPr>
                <w:rFonts w:ascii="宋体"/>
              </w:rPr>
            </w:pPr>
          </w:p>
        </w:tc>
        <w:tc>
          <w:tcPr>
            <w:tcW w:w="5" w:type="pct"/>
            <w:shd w:val="clear" w:color="auto" w:fill="auto"/>
          </w:tcPr>
          <w:p w14:paraId="00BB0729" w14:textId="77777777" w:rsidR="00871BDF" w:rsidRDefault="00871BDF">
            <w:pPr>
              <w:rPr>
                <w:rFonts w:ascii="宋体"/>
              </w:rPr>
            </w:pPr>
          </w:p>
        </w:tc>
        <w:tc>
          <w:tcPr>
            <w:tcW w:w="50" w:type="pct"/>
            <w:shd w:val="clear" w:color="auto" w:fill="auto"/>
          </w:tcPr>
          <w:p w14:paraId="00BB072A" w14:textId="77777777" w:rsidR="00871BDF" w:rsidRDefault="00871BDF">
            <w:pPr>
              <w:rPr>
                <w:rFonts w:ascii="宋体"/>
              </w:rPr>
            </w:pPr>
          </w:p>
        </w:tc>
        <w:tc>
          <w:tcPr>
            <w:tcW w:w="394" w:type="pct"/>
            <w:shd w:val="clear" w:color="auto" w:fill="auto"/>
          </w:tcPr>
          <w:p w14:paraId="00BB072B" w14:textId="77777777" w:rsidR="00871BDF" w:rsidRDefault="00871BDF">
            <w:pPr>
              <w:rPr>
                <w:rFonts w:ascii="宋体"/>
              </w:rPr>
            </w:pPr>
          </w:p>
        </w:tc>
        <w:tc>
          <w:tcPr>
            <w:tcW w:w="5" w:type="pct"/>
            <w:shd w:val="clear" w:color="auto" w:fill="auto"/>
          </w:tcPr>
          <w:p w14:paraId="00BB072C" w14:textId="77777777" w:rsidR="00871BDF" w:rsidRDefault="00871BDF">
            <w:pPr>
              <w:rPr>
                <w:rFonts w:ascii="宋体"/>
              </w:rPr>
            </w:pPr>
          </w:p>
        </w:tc>
        <w:tc>
          <w:tcPr>
            <w:tcW w:w="5" w:type="pct"/>
            <w:shd w:val="clear" w:color="auto" w:fill="auto"/>
          </w:tcPr>
          <w:p w14:paraId="00BB072D" w14:textId="77777777" w:rsidR="00871BDF" w:rsidRDefault="00871BDF">
            <w:pPr>
              <w:rPr>
                <w:rFonts w:ascii="宋体"/>
              </w:rPr>
            </w:pPr>
          </w:p>
        </w:tc>
        <w:tc>
          <w:tcPr>
            <w:tcW w:w="26" w:type="pct"/>
            <w:shd w:val="clear" w:color="auto" w:fill="auto"/>
          </w:tcPr>
          <w:p w14:paraId="00BB072E" w14:textId="77777777" w:rsidR="00871BDF" w:rsidRDefault="00871BDF">
            <w:pPr>
              <w:rPr>
                <w:rFonts w:ascii="宋体"/>
              </w:rPr>
            </w:pPr>
          </w:p>
        </w:tc>
        <w:tc>
          <w:tcPr>
            <w:tcW w:w="5" w:type="pct"/>
            <w:shd w:val="clear" w:color="auto" w:fill="auto"/>
          </w:tcPr>
          <w:p w14:paraId="00BB072F" w14:textId="77777777" w:rsidR="00871BDF" w:rsidRDefault="00871BDF">
            <w:pPr>
              <w:rPr>
                <w:rFonts w:ascii="宋体"/>
              </w:rPr>
            </w:pPr>
          </w:p>
        </w:tc>
        <w:tc>
          <w:tcPr>
            <w:tcW w:w="50" w:type="pct"/>
            <w:shd w:val="clear" w:color="auto" w:fill="auto"/>
          </w:tcPr>
          <w:p w14:paraId="00BB0730" w14:textId="77777777" w:rsidR="00871BDF" w:rsidRDefault="00871BDF">
            <w:pPr>
              <w:rPr>
                <w:rFonts w:ascii="宋体"/>
              </w:rPr>
            </w:pPr>
          </w:p>
        </w:tc>
        <w:tc>
          <w:tcPr>
            <w:tcW w:w="482" w:type="pct"/>
            <w:shd w:val="clear" w:color="auto" w:fill="auto"/>
          </w:tcPr>
          <w:p w14:paraId="00BB0731" w14:textId="77777777" w:rsidR="00871BDF" w:rsidRDefault="00871BDF">
            <w:pPr>
              <w:rPr>
                <w:rFonts w:ascii="宋体"/>
              </w:rPr>
            </w:pPr>
          </w:p>
        </w:tc>
        <w:tc>
          <w:tcPr>
            <w:tcW w:w="5" w:type="pct"/>
            <w:shd w:val="clear" w:color="auto" w:fill="auto"/>
          </w:tcPr>
          <w:p w14:paraId="00BB0732" w14:textId="77777777" w:rsidR="00871BDF" w:rsidRDefault="00871BDF">
            <w:pPr>
              <w:rPr>
                <w:rFonts w:ascii="宋体"/>
              </w:rPr>
            </w:pPr>
          </w:p>
        </w:tc>
        <w:tc>
          <w:tcPr>
            <w:tcW w:w="5" w:type="pct"/>
            <w:shd w:val="clear" w:color="auto" w:fill="auto"/>
          </w:tcPr>
          <w:p w14:paraId="00BB0733" w14:textId="77777777" w:rsidR="00871BDF" w:rsidRDefault="00871BDF">
            <w:pPr>
              <w:rPr>
                <w:rFonts w:ascii="宋体"/>
              </w:rPr>
            </w:pPr>
          </w:p>
        </w:tc>
        <w:tc>
          <w:tcPr>
            <w:tcW w:w="26" w:type="pct"/>
            <w:shd w:val="clear" w:color="auto" w:fill="auto"/>
          </w:tcPr>
          <w:p w14:paraId="00BB0734" w14:textId="77777777" w:rsidR="00871BDF" w:rsidRDefault="00871BDF">
            <w:pPr>
              <w:rPr>
                <w:rFonts w:ascii="宋体"/>
              </w:rPr>
            </w:pPr>
          </w:p>
        </w:tc>
        <w:tc>
          <w:tcPr>
            <w:tcW w:w="5" w:type="pct"/>
            <w:shd w:val="clear" w:color="auto" w:fill="auto"/>
          </w:tcPr>
          <w:p w14:paraId="00BB0735" w14:textId="77777777" w:rsidR="00871BDF" w:rsidRDefault="00871BDF">
            <w:pPr>
              <w:rPr>
                <w:rFonts w:ascii="宋体"/>
              </w:rPr>
            </w:pPr>
          </w:p>
        </w:tc>
        <w:tc>
          <w:tcPr>
            <w:tcW w:w="50" w:type="pct"/>
            <w:shd w:val="clear" w:color="auto" w:fill="auto"/>
          </w:tcPr>
          <w:p w14:paraId="00BB0736" w14:textId="77777777" w:rsidR="00871BDF" w:rsidRDefault="00871BDF">
            <w:pPr>
              <w:rPr>
                <w:rFonts w:ascii="宋体"/>
              </w:rPr>
            </w:pPr>
          </w:p>
        </w:tc>
        <w:tc>
          <w:tcPr>
            <w:tcW w:w="394" w:type="pct"/>
            <w:shd w:val="clear" w:color="auto" w:fill="auto"/>
          </w:tcPr>
          <w:p w14:paraId="00BB0737" w14:textId="77777777" w:rsidR="00871BDF" w:rsidRDefault="00871BDF">
            <w:pPr>
              <w:rPr>
                <w:rFonts w:ascii="宋体"/>
              </w:rPr>
            </w:pPr>
          </w:p>
        </w:tc>
        <w:tc>
          <w:tcPr>
            <w:tcW w:w="5" w:type="pct"/>
            <w:shd w:val="clear" w:color="auto" w:fill="auto"/>
          </w:tcPr>
          <w:p w14:paraId="00BB0738" w14:textId="77777777" w:rsidR="00871BDF" w:rsidRDefault="00871BDF">
            <w:pPr>
              <w:rPr>
                <w:rFonts w:ascii="宋体"/>
              </w:rPr>
            </w:pPr>
          </w:p>
        </w:tc>
        <w:tc>
          <w:tcPr>
            <w:tcW w:w="5" w:type="pct"/>
            <w:shd w:val="clear" w:color="auto" w:fill="auto"/>
          </w:tcPr>
          <w:p w14:paraId="00BB0739" w14:textId="77777777" w:rsidR="00871BDF" w:rsidRDefault="00871BDF">
            <w:pPr>
              <w:rPr>
                <w:rFonts w:ascii="宋体"/>
              </w:rPr>
            </w:pPr>
          </w:p>
        </w:tc>
        <w:tc>
          <w:tcPr>
            <w:tcW w:w="26" w:type="pct"/>
            <w:shd w:val="clear" w:color="auto" w:fill="auto"/>
          </w:tcPr>
          <w:p w14:paraId="00BB073A" w14:textId="77777777" w:rsidR="00871BDF" w:rsidRDefault="00871BDF">
            <w:pPr>
              <w:rPr>
                <w:rFonts w:ascii="宋体"/>
              </w:rPr>
            </w:pPr>
          </w:p>
        </w:tc>
        <w:tc>
          <w:tcPr>
            <w:tcW w:w="5" w:type="pct"/>
            <w:shd w:val="clear" w:color="auto" w:fill="auto"/>
          </w:tcPr>
          <w:p w14:paraId="00BB073B" w14:textId="77777777" w:rsidR="00871BDF" w:rsidRDefault="00871BDF">
            <w:pPr>
              <w:rPr>
                <w:rFonts w:ascii="宋体"/>
              </w:rPr>
            </w:pPr>
          </w:p>
        </w:tc>
        <w:tc>
          <w:tcPr>
            <w:tcW w:w="50" w:type="pct"/>
            <w:shd w:val="clear" w:color="auto" w:fill="auto"/>
          </w:tcPr>
          <w:p w14:paraId="00BB073C" w14:textId="77777777" w:rsidR="00871BDF" w:rsidRDefault="00871BDF">
            <w:pPr>
              <w:rPr>
                <w:rFonts w:ascii="宋体"/>
              </w:rPr>
            </w:pPr>
          </w:p>
        </w:tc>
        <w:tc>
          <w:tcPr>
            <w:tcW w:w="482" w:type="pct"/>
            <w:shd w:val="clear" w:color="auto" w:fill="auto"/>
          </w:tcPr>
          <w:p w14:paraId="00BB073D" w14:textId="77777777" w:rsidR="00871BDF" w:rsidRDefault="00871BDF">
            <w:pPr>
              <w:rPr>
                <w:rFonts w:ascii="宋体"/>
              </w:rPr>
            </w:pPr>
          </w:p>
        </w:tc>
        <w:tc>
          <w:tcPr>
            <w:tcW w:w="5" w:type="pct"/>
            <w:shd w:val="clear" w:color="auto" w:fill="auto"/>
          </w:tcPr>
          <w:p w14:paraId="00BB073E" w14:textId="77777777" w:rsidR="00871BDF" w:rsidRDefault="00871BDF">
            <w:pPr>
              <w:rPr>
                <w:rFonts w:ascii="宋体"/>
              </w:rPr>
            </w:pPr>
          </w:p>
        </w:tc>
        <w:tc>
          <w:tcPr>
            <w:tcW w:w="5" w:type="pct"/>
            <w:shd w:val="clear" w:color="auto" w:fill="auto"/>
          </w:tcPr>
          <w:p w14:paraId="00BB073F" w14:textId="77777777" w:rsidR="00871BDF" w:rsidRDefault="00871BDF">
            <w:pPr>
              <w:rPr>
                <w:rFonts w:ascii="宋体"/>
              </w:rPr>
            </w:pPr>
          </w:p>
        </w:tc>
        <w:tc>
          <w:tcPr>
            <w:tcW w:w="26" w:type="pct"/>
            <w:shd w:val="clear" w:color="auto" w:fill="auto"/>
          </w:tcPr>
          <w:p w14:paraId="00BB0740" w14:textId="77777777" w:rsidR="00871BDF" w:rsidRDefault="00871BDF">
            <w:pPr>
              <w:rPr>
                <w:rFonts w:ascii="宋体"/>
              </w:rPr>
            </w:pPr>
          </w:p>
        </w:tc>
        <w:tc>
          <w:tcPr>
            <w:tcW w:w="5" w:type="pct"/>
            <w:shd w:val="clear" w:color="auto" w:fill="auto"/>
          </w:tcPr>
          <w:p w14:paraId="00BB0741" w14:textId="77777777" w:rsidR="00871BDF" w:rsidRDefault="00871BDF">
            <w:pPr>
              <w:rPr>
                <w:rFonts w:ascii="宋体"/>
              </w:rPr>
            </w:pPr>
          </w:p>
        </w:tc>
        <w:tc>
          <w:tcPr>
            <w:tcW w:w="50" w:type="pct"/>
            <w:shd w:val="clear" w:color="auto" w:fill="auto"/>
          </w:tcPr>
          <w:p w14:paraId="00BB0742" w14:textId="77777777" w:rsidR="00871BDF" w:rsidRDefault="00871BDF">
            <w:pPr>
              <w:rPr>
                <w:rFonts w:ascii="宋体"/>
              </w:rPr>
            </w:pPr>
          </w:p>
        </w:tc>
        <w:tc>
          <w:tcPr>
            <w:tcW w:w="394" w:type="pct"/>
            <w:shd w:val="clear" w:color="auto" w:fill="auto"/>
          </w:tcPr>
          <w:p w14:paraId="00BB0743" w14:textId="77777777" w:rsidR="00871BDF" w:rsidRDefault="00871BDF">
            <w:pPr>
              <w:rPr>
                <w:rFonts w:ascii="宋体"/>
              </w:rPr>
            </w:pPr>
          </w:p>
        </w:tc>
        <w:tc>
          <w:tcPr>
            <w:tcW w:w="5" w:type="pct"/>
            <w:shd w:val="clear" w:color="auto" w:fill="auto"/>
          </w:tcPr>
          <w:p w14:paraId="00BB0744" w14:textId="77777777" w:rsidR="00871BDF" w:rsidRDefault="00871BDF">
            <w:pPr>
              <w:rPr>
                <w:rFonts w:ascii="宋体"/>
              </w:rPr>
            </w:pPr>
          </w:p>
        </w:tc>
      </w:tr>
      <w:tr w:rsidR="00871BDF" w14:paraId="00BB074C" w14:textId="77777777">
        <w:tc>
          <w:tcPr>
            <w:tcW w:w="0" w:type="auto"/>
            <w:gridSpan w:val="3"/>
            <w:shd w:val="clear" w:color="auto" w:fill="auto"/>
            <w:tcMar>
              <w:top w:w="40" w:type="dxa"/>
              <w:left w:w="20" w:type="dxa"/>
              <w:bottom w:w="40" w:type="dxa"/>
              <w:right w:w="20" w:type="dxa"/>
            </w:tcMar>
            <w:vAlign w:val="bottom"/>
          </w:tcPr>
          <w:p w14:paraId="00BB0746"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9"/>
            <w:shd w:val="clear" w:color="auto" w:fill="00704A"/>
            <w:tcMar>
              <w:top w:w="40" w:type="dxa"/>
              <w:left w:w="20" w:type="dxa"/>
              <w:bottom w:w="40" w:type="dxa"/>
              <w:right w:w="20" w:type="dxa"/>
            </w:tcMar>
            <w:vAlign w:val="bottom"/>
          </w:tcPr>
          <w:p w14:paraId="00BB0747"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B0748" w14:textId="77777777" w:rsidR="00871BDF" w:rsidRDefault="00871BDF">
            <w:pPr>
              <w:rPr>
                <w:rFonts w:ascii="宋体"/>
              </w:rPr>
            </w:pPr>
          </w:p>
        </w:tc>
        <w:tc>
          <w:tcPr>
            <w:tcW w:w="0" w:type="auto"/>
            <w:gridSpan w:val="9"/>
            <w:shd w:val="clear" w:color="auto" w:fill="00704A"/>
            <w:tcMar>
              <w:top w:w="40" w:type="dxa"/>
              <w:left w:w="20" w:type="dxa"/>
              <w:bottom w:w="40" w:type="dxa"/>
              <w:right w:w="20" w:type="dxa"/>
            </w:tcMar>
            <w:vAlign w:val="bottom"/>
          </w:tcPr>
          <w:p w14:paraId="00BB0749" w14:textId="77777777" w:rsidR="00871BDF" w:rsidRDefault="005C5088">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B074A" w14:textId="77777777" w:rsidR="00871BDF" w:rsidRDefault="00871BDF">
            <w:pPr>
              <w:rPr>
                <w:rFonts w:ascii="宋体"/>
              </w:rPr>
            </w:pPr>
          </w:p>
        </w:tc>
        <w:tc>
          <w:tcPr>
            <w:tcW w:w="0" w:type="auto"/>
            <w:gridSpan w:val="9"/>
            <w:shd w:val="clear" w:color="auto" w:fill="00704A"/>
            <w:tcMar>
              <w:top w:w="40" w:type="dxa"/>
              <w:left w:w="20" w:type="dxa"/>
              <w:bottom w:w="40" w:type="dxa"/>
              <w:right w:w="20" w:type="dxa"/>
            </w:tcMar>
            <w:vAlign w:val="bottom"/>
          </w:tcPr>
          <w:p w14:paraId="00BB074B" w14:textId="77777777" w:rsidR="00871BDF" w:rsidRDefault="005C5088">
            <w:pPr>
              <w:jc w:val="center"/>
              <w:textAlignment w:val="bottom"/>
            </w:pPr>
            <w:r>
              <w:rPr>
                <w:rFonts w:ascii="Times New Roman" w:eastAsia="宋体" w:hAnsi="Times New Roman"/>
                <w:b/>
                <w:bCs/>
                <w:color w:val="FFFFFF"/>
                <w:sz w:val="16"/>
                <w:szCs w:val="16"/>
              </w:rPr>
              <w:t>Sep 30, 2018</w:t>
            </w:r>
          </w:p>
        </w:tc>
      </w:tr>
      <w:tr w:rsidR="00871BDF" w14:paraId="00BB0762" w14:textId="77777777">
        <w:tc>
          <w:tcPr>
            <w:tcW w:w="0" w:type="auto"/>
            <w:gridSpan w:val="3"/>
            <w:shd w:val="clear" w:color="auto" w:fill="D7E4BC"/>
            <w:tcMar>
              <w:top w:w="40" w:type="dxa"/>
              <w:left w:w="20" w:type="dxa"/>
              <w:bottom w:w="40" w:type="dxa"/>
              <w:right w:w="20" w:type="dxa"/>
            </w:tcMar>
            <w:vAlign w:val="bottom"/>
          </w:tcPr>
          <w:p w14:paraId="00BB074D" w14:textId="77777777" w:rsidR="00871BDF" w:rsidRDefault="005C5088">
            <w:pPr>
              <w:textAlignment w:val="bottom"/>
            </w:pPr>
            <w:r>
              <w:rPr>
                <w:rFonts w:ascii="Times New Roman" w:eastAsia="宋体" w:hAnsi="Times New Roman"/>
                <w:color w:val="000000"/>
                <w:sz w:val="20"/>
                <w:szCs w:val="20"/>
              </w:rPr>
              <w:t>Beverage</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00BB074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74F" w14:textId="77777777" w:rsidR="00871BDF" w:rsidRDefault="005C5088">
            <w:pPr>
              <w:jc w:val="right"/>
              <w:textAlignment w:val="bottom"/>
            </w:pPr>
            <w:r>
              <w:rPr>
                <w:rFonts w:ascii="Times New Roman" w:eastAsia="宋体" w:hAnsi="Times New Roman"/>
                <w:color w:val="000000"/>
                <w:sz w:val="20"/>
                <w:szCs w:val="20"/>
              </w:rPr>
              <w:t>14,337.5 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750" w14:textId="77777777" w:rsidR="00871BDF" w:rsidRDefault="00871BDF">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751"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752" w14:textId="77777777" w:rsidR="00871BDF" w:rsidRDefault="005C5088">
            <w:pPr>
              <w:jc w:val="right"/>
              <w:textAlignment w:val="bottom"/>
            </w:pPr>
            <w:r>
              <w:rPr>
                <w:rFonts w:ascii="Times New Roman" w:eastAsia="宋体" w:hAnsi="Times New Roman"/>
                <w:color w:val="000000"/>
                <w:sz w:val="20"/>
                <w:szCs w:val="20"/>
              </w:rPr>
              <w:t>61 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753"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0754"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75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756" w14:textId="77777777" w:rsidR="00871BDF" w:rsidRDefault="005C5088">
            <w:pPr>
              <w:jc w:val="right"/>
              <w:textAlignment w:val="bottom"/>
            </w:pPr>
            <w:r>
              <w:rPr>
                <w:rFonts w:ascii="Times New Roman" w:eastAsia="宋体" w:hAnsi="Times New Roman"/>
                <w:color w:val="000000"/>
                <w:sz w:val="20"/>
                <w:szCs w:val="20"/>
              </w:rPr>
              <w:t>15,921.2 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757" w14:textId="77777777" w:rsidR="00871BDF" w:rsidRDefault="00871BDF">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758"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759" w14:textId="77777777" w:rsidR="00871BDF" w:rsidRDefault="005C5088">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75A"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075B"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75C"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75D" w14:textId="77777777" w:rsidR="00871BDF" w:rsidRDefault="005C5088">
            <w:pPr>
              <w:jc w:val="right"/>
              <w:textAlignment w:val="bottom"/>
            </w:pPr>
            <w:r>
              <w:rPr>
                <w:rFonts w:ascii="Times New Roman" w:eastAsia="宋体" w:hAnsi="Times New Roman"/>
                <w:color w:val="000000"/>
                <w:sz w:val="20"/>
                <w:szCs w:val="20"/>
              </w:rPr>
              <w:t>14,463.1 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75E" w14:textId="77777777" w:rsidR="00871BDF" w:rsidRDefault="00871BDF">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75F" w14:textId="77777777" w:rsidR="00871BDF" w:rsidRDefault="00871BDF">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0BB0760" w14:textId="77777777" w:rsidR="00871BDF" w:rsidRDefault="005C5088">
            <w:pPr>
              <w:jc w:val="right"/>
              <w:textAlignment w:val="bottom"/>
            </w:pPr>
            <w:r>
              <w:rPr>
                <w:rFonts w:ascii="Times New Roman" w:eastAsia="宋体" w:hAnsi="Times New Roman"/>
                <w:color w:val="000000"/>
                <w:sz w:val="20"/>
                <w:szCs w:val="20"/>
              </w:rPr>
              <w:t>59 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761" w14:textId="77777777" w:rsidR="00871BDF" w:rsidRDefault="005C5088">
            <w:pPr>
              <w:jc w:val="right"/>
              <w:textAlignment w:val="bottom"/>
            </w:pPr>
            <w:r>
              <w:rPr>
                <w:rFonts w:ascii="Times New Roman" w:eastAsia="宋体" w:hAnsi="Times New Roman"/>
                <w:color w:val="000000"/>
                <w:sz w:val="20"/>
                <w:szCs w:val="20"/>
              </w:rPr>
              <w:t>%</w:t>
            </w:r>
          </w:p>
        </w:tc>
      </w:tr>
      <w:tr w:rsidR="00871BDF" w14:paraId="00BB0775" w14:textId="77777777">
        <w:tc>
          <w:tcPr>
            <w:tcW w:w="0" w:type="auto"/>
            <w:gridSpan w:val="3"/>
            <w:shd w:val="clear" w:color="auto" w:fill="FFFFFF"/>
            <w:tcMar>
              <w:top w:w="40" w:type="dxa"/>
              <w:left w:w="20" w:type="dxa"/>
              <w:bottom w:w="40" w:type="dxa"/>
              <w:right w:w="20" w:type="dxa"/>
            </w:tcMar>
            <w:vAlign w:val="bottom"/>
          </w:tcPr>
          <w:p w14:paraId="00BB0763" w14:textId="77777777" w:rsidR="00871BDF" w:rsidRDefault="005C5088">
            <w:pPr>
              <w:textAlignment w:val="bottom"/>
            </w:pPr>
            <w:r>
              <w:rPr>
                <w:rFonts w:ascii="Times New Roman" w:eastAsia="宋体" w:hAnsi="Times New Roman"/>
                <w:color w:val="000000"/>
                <w:sz w:val="20"/>
                <w:szCs w:val="20"/>
              </w:rPr>
              <w:t>Food</w:t>
            </w:r>
            <w:r>
              <w:rPr>
                <w:rFonts w:ascii="Times New Roman" w:eastAsia="宋体" w:hAnsi="Times New Roman"/>
                <w:color w:val="000000"/>
                <w:sz w:val="13"/>
                <w:szCs w:val="13"/>
              </w:rPr>
              <w:t>(3)</w:t>
            </w:r>
          </w:p>
        </w:tc>
        <w:tc>
          <w:tcPr>
            <w:tcW w:w="0" w:type="auto"/>
            <w:gridSpan w:val="2"/>
            <w:shd w:val="clear" w:color="auto" w:fill="FFFFFF"/>
            <w:tcMar>
              <w:top w:w="40" w:type="dxa"/>
              <w:left w:w="20" w:type="dxa"/>
              <w:bottom w:w="40" w:type="dxa"/>
              <w:right w:w="0" w:type="dxa"/>
            </w:tcMar>
            <w:vAlign w:val="bottom"/>
          </w:tcPr>
          <w:p w14:paraId="00BB0764" w14:textId="77777777" w:rsidR="00871BDF" w:rsidRDefault="005C5088">
            <w:pPr>
              <w:jc w:val="right"/>
              <w:textAlignment w:val="bottom"/>
            </w:pPr>
            <w:r>
              <w:rPr>
                <w:rFonts w:ascii="Times New Roman" w:eastAsia="宋体" w:hAnsi="Times New Roman"/>
                <w:color w:val="000000"/>
                <w:sz w:val="20"/>
                <w:szCs w:val="20"/>
              </w:rPr>
              <w:t>3,799.2 </w:t>
            </w:r>
          </w:p>
        </w:tc>
        <w:tc>
          <w:tcPr>
            <w:tcW w:w="0" w:type="auto"/>
            <w:shd w:val="clear" w:color="auto" w:fill="FFFFFF"/>
            <w:tcMar>
              <w:top w:w="40" w:type="dxa"/>
              <w:left w:w="0" w:type="dxa"/>
              <w:bottom w:w="40" w:type="dxa"/>
              <w:right w:w="20" w:type="dxa"/>
            </w:tcMar>
            <w:vAlign w:val="bottom"/>
          </w:tcPr>
          <w:p w14:paraId="00BB076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766"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767" w14:textId="77777777" w:rsidR="00871BDF" w:rsidRDefault="005C5088">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0BB076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0769"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76A" w14:textId="77777777" w:rsidR="00871BDF" w:rsidRDefault="005C5088">
            <w:pPr>
              <w:jc w:val="right"/>
              <w:textAlignment w:val="bottom"/>
            </w:pPr>
            <w:r>
              <w:rPr>
                <w:rFonts w:ascii="Times New Roman" w:eastAsia="宋体" w:hAnsi="Times New Roman"/>
                <w:color w:val="000000"/>
                <w:sz w:val="20"/>
                <w:szCs w:val="20"/>
              </w:rPr>
              <w:t>4,336.3 </w:t>
            </w:r>
          </w:p>
        </w:tc>
        <w:tc>
          <w:tcPr>
            <w:tcW w:w="0" w:type="auto"/>
            <w:shd w:val="clear" w:color="auto" w:fill="FFFFFF"/>
            <w:tcMar>
              <w:top w:w="40" w:type="dxa"/>
              <w:left w:w="0" w:type="dxa"/>
              <w:bottom w:w="40" w:type="dxa"/>
              <w:right w:w="20" w:type="dxa"/>
            </w:tcMar>
            <w:vAlign w:val="bottom"/>
          </w:tcPr>
          <w:p w14:paraId="00BB076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76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76D" w14:textId="77777777" w:rsidR="00871BDF" w:rsidRDefault="005C5088">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0BB076E"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076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770" w14:textId="77777777" w:rsidR="00871BDF" w:rsidRDefault="005C5088">
            <w:pPr>
              <w:jc w:val="right"/>
              <w:textAlignment w:val="bottom"/>
            </w:pPr>
            <w:r>
              <w:rPr>
                <w:rFonts w:ascii="Times New Roman" w:eastAsia="宋体" w:hAnsi="Times New Roman"/>
                <w:color w:val="000000"/>
                <w:sz w:val="20"/>
                <w:szCs w:val="20"/>
              </w:rPr>
              <w:t>3,986.5 </w:t>
            </w:r>
          </w:p>
        </w:tc>
        <w:tc>
          <w:tcPr>
            <w:tcW w:w="0" w:type="auto"/>
            <w:shd w:val="clear" w:color="auto" w:fill="FFFFFF"/>
            <w:tcMar>
              <w:top w:w="40" w:type="dxa"/>
              <w:left w:w="0" w:type="dxa"/>
              <w:bottom w:w="40" w:type="dxa"/>
              <w:right w:w="20" w:type="dxa"/>
            </w:tcMar>
            <w:vAlign w:val="bottom"/>
          </w:tcPr>
          <w:p w14:paraId="00BB077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772"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773" w14:textId="77777777" w:rsidR="00871BDF" w:rsidRDefault="005C5088">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0BB0774" w14:textId="77777777" w:rsidR="00871BDF" w:rsidRDefault="005C5088">
            <w:pPr>
              <w:jc w:val="right"/>
              <w:textAlignment w:val="bottom"/>
            </w:pPr>
            <w:r>
              <w:rPr>
                <w:rFonts w:ascii="Times New Roman" w:eastAsia="宋体" w:hAnsi="Times New Roman"/>
                <w:color w:val="000000"/>
                <w:sz w:val="20"/>
                <w:szCs w:val="20"/>
              </w:rPr>
              <w:t>%</w:t>
            </w:r>
          </w:p>
        </w:tc>
      </w:tr>
      <w:tr w:rsidR="00871BDF" w14:paraId="00BB0782" w14:textId="77777777">
        <w:trPr>
          <w:hidden/>
        </w:trPr>
        <w:tc>
          <w:tcPr>
            <w:tcW w:w="0" w:type="auto"/>
            <w:gridSpan w:val="3"/>
            <w:shd w:val="clear" w:color="auto" w:fill="auto"/>
          </w:tcPr>
          <w:p w14:paraId="00BB0776" w14:textId="77777777" w:rsidR="00871BDF" w:rsidRDefault="00871BDF">
            <w:pPr>
              <w:rPr>
                <w:rFonts w:ascii="宋体"/>
                <w:vanish/>
              </w:rPr>
            </w:pPr>
          </w:p>
        </w:tc>
        <w:tc>
          <w:tcPr>
            <w:tcW w:w="0" w:type="auto"/>
            <w:gridSpan w:val="3"/>
            <w:shd w:val="clear" w:color="auto" w:fill="auto"/>
          </w:tcPr>
          <w:p w14:paraId="00BB0777" w14:textId="77777777" w:rsidR="00871BDF" w:rsidRDefault="00871BDF">
            <w:pPr>
              <w:rPr>
                <w:rFonts w:ascii="宋体"/>
                <w:vanish/>
              </w:rPr>
            </w:pPr>
          </w:p>
        </w:tc>
        <w:tc>
          <w:tcPr>
            <w:tcW w:w="0" w:type="auto"/>
            <w:gridSpan w:val="3"/>
            <w:shd w:val="clear" w:color="auto" w:fill="auto"/>
          </w:tcPr>
          <w:p w14:paraId="00BB0778" w14:textId="77777777" w:rsidR="00871BDF" w:rsidRDefault="00871BDF">
            <w:pPr>
              <w:rPr>
                <w:rFonts w:ascii="宋体"/>
                <w:vanish/>
              </w:rPr>
            </w:pPr>
          </w:p>
        </w:tc>
        <w:tc>
          <w:tcPr>
            <w:tcW w:w="0" w:type="auto"/>
            <w:gridSpan w:val="3"/>
            <w:shd w:val="clear" w:color="auto" w:fill="auto"/>
          </w:tcPr>
          <w:p w14:paraId="00BB0779" w14:textId="77777777" w:rsidR="00871BDF" w:rsidRDefault="00871BDF">
            <w:pPr>
              <w:rPr>
                <w:rFonts w:ascii="宋体"/>
                <w:vanish/>
              </w:rPr>
            </w:pPr>
          </w:p>
        </w:tc>
        <w:tc>
          <w:tcPr>
            <w:tcW w:w="0" w:type="auto"/>
            <w:gridSpan w:val="3"/>
            <w:shd w:val="clear" w:color="auto" w:fill="auto"/>
          </w:tcPr>
          <w:p w14:paraId="00BB077A" w14:textId="77777777" w:rsidR="00871BDF" w:rsidRDefault="00871BDF">
            <w:pPr>
              <w:rPr>
                <w:rFonts w:ascii="宋体"/>
                <w:vanish/>
              </w:rPr>
            </w:pPr>
          </w:p>
        </w:tc>
        <w:tc>
          <w:tcPr>
            <w:tcW w:w="0" w:type="auto"/>
            <w:gridSpan w:val="3"/>
            <w:shd w:val="clear" w:color="auto" w:fill="auto"/>
          </w:tcPr>
          <w:p w14:paraId="00BB077B" w14:textId="77777777" w:rsidR="00871BDF" w:rsidRDefault="00871BDF">
            <w:pPr>
              <w:rPr>
                <w:rFonts w:ascii="宋体"/>
                <w:vanish/>
              </w:rPr>
            </w:pPr>
          </w:p>
        </w:tc>
        <w:tc>
          <w:tcPr>
            <w:tcW w:w="0" w:type="auto"/>
            <w:gridSpan w:val="3"/>
            <w:shd w:val="clear" w:color="auto" w:fill="auto"/>
          </w:tcPr>
          <w:p w14:paraId="00BB077C" w14:textId="77777777" w:rsidR="00871BDF" w:rsidRDefault="00871BDF">
            <w:pPr>
              <w:rPr>
                <w:rFonts w:ascii="宋体"/>
                <w:vanish/>
              </w:rPr>
            </w:pPr>
          </w:p>
        </w:tc>
        <w:tc>
          <w:tcPr>
            <w:tcW w:w="0" w:type="auto"/>
            <w:gridSpan w:val="3"/>
            <w:shd w:val="clear" w:color="auto" w:fill="auto"/>
          </w:tcPr>
          <w:p w14:paraId="00BB077D" w14:textId="77777777" w:rsidR="00871BDF" w:rsidRDefault="00871BDF">
            <w:pPr>
              <w:rPr>
                <w:rFonts w:ascii="宋体"/>
                <w:vanish/>
              </w:rPr>
            </w:pPr>
          </w:p>
        </w:tc>
        <w:tc>
          <w:tcPr>
            <w:tcW w:w="0" w:type="auto"/>
            <w:gridSpan w:val="3"/>
            <w:shd w:val="clear" w:color="auto" w:fill="auto"/>
          </w:tcPr>
          <w:p w14:paraId="00BB077E" w14:textId="77777777" w:rsidR="00871BDF" w:rsidRDefault="00871BDF">
            <w:pPr>
              <w:rPr>
                <w:rFonts w:ascii="宋体"/>
                <w:vanish/>
              </w:rPr>
            </w:pPr>
          </w:p>
        </w:tc>
        <w:tc>
          <w:tcPr>
            <w:tcW w:w="0" w:type="auto"/>
            <w:gridSpan w:val="3"/>
            <w:shd w:val="clear" w:color="auto" w:fill="auto"/>
          </w:tcPr>
          <w:p w14:paraId="00BB077F" w14:textId="77777777" w:rsidR="00871BDF" w:rsidRDefault="00871BDF">
            <w:pPr>
              <w:rPr>
                <w:rFonts w:ascii="宋体"/>
                <w:vanish/>
              </w:rPr>
            </w:pPr>
          </w:p>
        </w:tc>
        <w:tc>
          <w:tcPr>
            <w:tcW w:w="0" w:type="auto"/>
            <w:gridSpan w:val="3"/>
            <w:shd w:val="clear" w:color="auto" w:fill="auto"/>
          </w:tcPr>
          <w:p w14:paraId="00BB0780" w14:textId="77777777" w:rsidR="00871BDF" w:rsidRDefault="00871BDF">
            <w:pPr>
              <w:rPr>
                <w:rFonts w:ascii="宋体"/>
                <w:vanish/>
              </w:rPr>
            </w:pPr>
          </w:p>
        </w:tc>
        <w:tc>
          <w:tcPr>
            <w:tcW w:w="0" w:type="auto"/>
            <w:gridSpan w:val="3"/>
            <w:shd w:val="clear" w:color="auto" w:fill="auto"/>
          </w:tcPr>
          <w:p w14:paraId="00BB0781" w14:textId="77777777" w:rsidR="00871BDF" w:rsidRDefault="00871BDF">
            <w:pPr>
              <w:rPr>
                <w:rFonts w:ascii="宋体"/>
                <w:vanish/>
              </w:rPr>
            </w:pPr>
          </w:p>
        </w:tc>
      </w:tr>
      <w:tr w:rsidR="00871BDF" w14:paraId="00BB0795" w14:textId="77777777">
        <w:tc>
          <w:tcPr>
            <w:tcW w:w="0" w:type="auto"/>
            <w:gridSpan w:val="3"/>
            <w:shd w:val="clear" w:color="auto" w:fill="D7E4BC"/>
            <w:tcMar>
              <w:top w:w="40" w:type="dxa"/>
              <w:left w:w="20" w:type="dxa"/>
              <w:bottom w:w="40" w:type="dxa"/>
              <w:right w:w="20" w:type="dxa"/>
            </w:tcMar>
            <w:vAlign w:val="bottom"/>
          </w:tcPr>
          <w:p w14:paraId="00BB0783" w14:textId="77777777" w:rsidR="00871BDF" w:rsidRDefault="005C5088">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(4)</w:t>
            </w:r>
          </w:p>
        </w:tc>
        <w:tc>
          <w:tcPr>
            <w:tcW w:w="0" w:type="auto"/>
            <w:gridSpan w:val="2"/>
            <w:shd w:val="clear" w:color="auto" w:fill="D7E4BC"/>
            <w:tcMar>
              <w:top w:w="40" w:type="dxa"/>
              <w:left w:w="20" w:type="dxa"/>
              <w:bottom w:w="40" w:type="dxa"/>
              <w:right w:w="0" w:type="dxa"/>
            </w:tcMar>
            <w:vAlign w:val="bottom"/>
          </w:tcPr>
          <w:p w14:paraId="00BB0784" w14:textId="77777777" w:rsidR="00871BDF" w:rsidRDefault="005C5088">
            <w:pPr>
              <w:jc w:val="right"/>
              <w:textAlignment w:val="bottom"/>
            </w:pPr>
            <w:r>
              <w:rPr>
                <w:rFonts w:ascii="Times New Roman" w:eastAsia="宋体" w:hAnsi="Times New Roman"/>
                <w:color w:val="000000"/>
                <w:sz w:val="20"/>
                <w:szCs w:val="20"/>
              </w:rPr>
              <w:t>5,381.3 </w:t>
            </w:r>
          </w:p>
        </w:tc>
        <w:tc>
          <w:tcPr>
            <w:tcW w:w="0" w:type="auto"/>
            <w:shd w:val="clear" w:color="auto" w:fill="D7E4BC"/>
            <w:tcMar>
              <w:top w:w="40" w:type="dxa"/>
              <w:left w:w="0" w:type="dxa"/>
              <w:bottom w:w="40" w:type="dxa"/>
              <w:right w:w="20" w:type="dxa"/>
            </w:tcMar>
            <w:vAlign w:val="bottom"/>
          </w:tcPr>
          <w:p w14:paraId="00BB078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78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787" w14:textId="77777777" w:rsidR="00871BDF" w:rsidRDefault="005C5088">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00BB0788"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078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78A" w14:textId="77777777" w:rsidR="00871BDF" w:rsidRDefault="005C5088">
            <w:pPr>
              <w:jc w:val="right"/>
              <w:textAlignment w:val="bottom"/>
            </w:pPr>
            <w:r>
              <w:rPr>
                <w:rFonts w:ascii="Times New Roman" w:eastAsia="宋体" w:hAnsi="Times New Roman"/>
                <w:color w:val="000000"/>
                <w:sz w:val="20"/>
                <w:szCs w:val="20"/>
              </w:rPr>
              <w:t>6,251.1 </w:t>
            </w:r>
          </w:p>
        </w:tc>
        <w:tc>
          <w:tcPr>
            <w:tcW w:w="0" w:type="auto"/>
            <w:shd w:val="clear" w:color="auto" w:fill="D7E4BC"/>
            <w:tcMar>
              <w:top w:w="40" w:type="dxa"/>
              <w:left w:w="0" w:type="dxa"/>
              <w:bottom w:w="40" w:type="dxa"/>
              <w:right w:w="20" w:type="dxa"/>
            </w:tcMar>
            <w:vAlign w:val="bottom"/>
          </w:tcPr>
          <w:p w14:paraId="00BB078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78C"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78D" w14:textId="77777777" w:rsidR="00871BDF" w:rsidRDefault="005C5088">
            <w:pPr>
              <w:jc w:val="right"/>
              <w:textAlignment w:val="bottom"/>
            </w:pPr>
            <w:r>
              <w:rPr>
                <w:rFonts w:ascii="Times New Roman" w:eastAsia="宋体" w:hAnsi="Times New Roman"/>
                <w:color w:val="000000"/>
                <w:sz w:val="20"/>
                <w:szCs w:val="20"/>
              </w:rPr>
              <w:t>24 </w:t>
            </w:r>
          </w:p>
        </w:tc>
        <w:tc>
          <w:tcPr>
            <w:tcW w:w="0" w:type="auto"/>
            <w:shd w:val="clear" w:color="auto" w:fill="D7E4BC"/>
            <w:tcMar>
              <w:top w:w="40" w:type="dxa"/>
              <w:left w:w="0" w:type="dxa"/>
              <w:bottom w:w="40" w:type="dxa"/>
              <w:right w:w="20" w:type="dxa"/>
            </w:tcMar>
            <w:vAlign w:val="bottom"/>
          </w:tcPr>
          <w:p w14:paraId="00BB078E"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078F"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790" w14:textId="77777777" w:rsidR="00871BDF" w:rsidRDefault="005C5088">
            <w:pPr>
              <w:jc w:val="right"/>
              <w:textAlignment w:val="bottom"/>
            </w:pPr>
            <w:r>
              <w:rPr>
                <w:rFonts w:ascii="Times New Roman" w:eastAsia="宋体" w:hAnsi="Times New Roman"/>
                <w:color w:val="000000"/>
                <w:sz w:val="20"/>
                <w:szCs w:val="20"/>
              </w:rPr>
              <w:t>6,269.9 </w:t>
            </w:r>
          </w:p>
        </w:tc>
        <w:tc>
          <w:tcPr>
            <w:tcW w:w="0" w:type="auto"/>
            <w:shd w:val="clear" w:color="auto" w:fill="D7E4BC"/>
            <w:tcMar>
              <w:top w:w="40" w:type="dxa"/>
              <w:left w:w="0" w:type="dxa"/>
              <w:bottom w:w="40" w:type="dxa"/>
              <w:right w:w="20" w:type="dxa"/>
            </w:tcMar>
            <w:vAlign w:val="bottom"/>
          </w:tcPr>
          <w:p w14:paraId="00BB079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79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793" w14:textId="77777777" w:rsidR="00871BDF" w:rsidRDefault="005C5088">
            <w:pPr>
              <w:jc w:val="right"/>
              <w:textAlignment w:val="bottom"/>
            </w:pPr>
            <w:r>
              <w:rPr>
                <w:rFonts w:ascii="Times New Roman" w:eastAsia="宋体" w:hAnsi="Times New Roman"/>
                <w:color w:val="000000"/>
                <w:sz w:val="20"/>
                <w:szCs w:val="20"/>
              </w:rPr>
              <w:t>25 </w:t>
            </w:r>
          </w:p>
        </w:tc>
        <w:tc>
          <w:tcPr>
            <w:tcW w:w="0" w:type="auto"/>
            <w:shd w:val="clear" w:color="auto" w:fill="D7E4BC"/>
            <w:tcMar>
              <w:top w:w="40" w:type="dxa"/>
              <w:left w:w="0" w:type="dxa"/>
              <w:bottom w:w="40" w:type="dxa"/>
              <w:right w:w="20" w:type="dxa"/>
            </w:tcMar>
            <w:vAlign w:val="bottom"/>
          </w:tcPr>
          <w:p w14:paraId="00BB0794" w14:textId="77777777" w:rsidR="00871BDF" w:rsidRDefault="005C5088">
            <w:pPr>
              <w:jc w:val="right"/>
              <w:textAlignment w:val="bottom"/>
            </w:pPr>
            <w:r>
              <w:rPr>
                <w:rFonts w:ascii="Times New Roman" w:eastAsia="宋体" w:hAnsi="Times New Roman"/>
                <w:color w:val="000000"/>
                <w:sz w:val="20"/>
                <w:szCs w:val="20"/>
              </w:rPr>
              <w:t>%</w:t>
            </w:r>
          </w:p>
        </w:tc>
      </w:tr>
      <w:tr w:rsidR="00871BDF" w14:paraId="00BB07AB" w14:textId="77777777">
        <w:tc>
          <w:tcPr>
            <w:tcW w:w="0" w:type="auto"/>
            <w:gridSpan w:val="3"/>
            <w:shd w:val="clear" w:color="auto" w:fill="FFFFFF"/>
            <w:tcMar>
              <w:top w:w="40" w:type="dxa"/>
              <w:left w:w="20" w:type="dxa"/>
              <w:bottom w:w="40" w:type="dxa"/>
              <w:right w:w="20" w:type="dxa"/>
            </w:tcMar>
          </w:tcPr>
          <w:p w14:paraId="00BB0796" w14:textId="77777777" w:rsidR="00871BDF" w:rsidRDefault="005C5088">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797"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798" w14:textId="77777777" w:rsidR="00871BDF" w:rsidRDefault="005C5088">
            <w:pPr>
              <w:jc w:val="right"/>
              <w:textAlignment w:val="bottom"/>
            </w:pPr>
            <w:r>
              <w:rPr>
                <w:rFonts w:ascii="Times New Roman" w:eastAsia="宋体" w:hAnsi="Times New Roman"/>
                <w:color w:val="000000"/>
                <w:sz w:val="20"/>
                <w:szCs w:val="20"/>
              </w:rPr>
              <w:t>23,518.0 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79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79A"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79B" w14:textId="77777777" w:rsidR="00871BDF" w:rsidRDefault="005C5088">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79C"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079D"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79E"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79F" w14:textId="77777777" w:rsidR="00871BDF" w:rsidRDefault="005C5088">
            <w:pPr>
              <w:jc w:val="right"/>
              <w:textAlignment w:val="bottom"/>
            </w:pPr>
            <w:r>
              <w:rPr>
                <w:rFonts w:ascii="Times New Roman" w:eastAsia="宋体" w:hAnsi="Times New Roman"/>
                <w:color w:val="000000"/>
                <w:sz w:val="20"/>
                <w:szCs w:val="20"/>
              </w:rPr>
              <w:t>26,508.6 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7A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7A1"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7A2" w14:textId="77777777" w:rsidR="00871BDF" w:rsidRDefault="005C5088">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7A3" w14:textId="77777777" w:rsidR="00871BDF" w:rsidRDefault="005C5088">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07A4" w14:textId="77777777" w:rsidR="00871BDF" w:rsidRDefault="00871BD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7A5"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0BB07A6" w14:textId="77777777" w:rsidR="00871BDF" w:rsidRDefault="005C5088">
            <w:pPr>
              <w:jc w:val="right"/>
              <w:textAlignment w:val="bottom"/>
            </w:pPr>
            <w:r>
              <w:rPr>
                <w:rFonts w:ascii="Times New Roman" w:eastAsia="宋体" w:hAnsi="Times New Roman"/>
                <w:color w:val="000000"/>
                <w:sz w:val="20"/>
                <w:szCs w:val="20"/>
              </w:rPr>
              <w:t>24,719.5 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7A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7A8" w14:textId="77777777" w:rsidR="00871BDF" w:rsidRDefault="00871BD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0BB07A9" w14:textId="77777777" w:rsidR="00871BDF" w:rsidRDefault="005C5088">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0BB07AA" w14:textId="77777777" w:rsidR="00871BDF" w:rsidRDefault="005C5088">
            <w:pPr>
              <w:jc w:val="right"/>
              <w:textAlignment w:val="bottom"/>
            </w:pPr>
            <w:r>
              <w:rPr>
                <w:rFonts w:ascii="Times New Roman" w:eastAsia="宋体" w:hAnsi="Times New Roman"/>
                <w:color w:val="000000"/>
                <w:sz w:val="20"/>
                <w:szCs w:val="20"/>
              </w:rPr>
              <w:t>%</w:t>
            </w:r>
          </w:p>
        </w:tc>
      </w:tr>
    </w:tbl>
    <w:p w14:paraId="00BB07AC" w14:textId="77777777" w:rsidR="00871BDF" w:rsidRDefault="005C5088">
      <w:pPr>
        <w:spacing w:before="120"/>
        <w:ind w:hanging="450"/>
      </w:pPr>
      <w:r>
        <w:rPr>
          <w:rFonts w:ascii="Times New Roman" w:eastAsia="宋体" w:hAnsi="Times New Roman"/>
          <w:color w:val="000000"/>
          <w:sz w:val="13"/>
          <w:szCs w:val="13"/>
        </w:rPr>
        <w:t>(1)     </w:t>
      </w:r>
      <w:r>
        <w:rPr>
          <w:rFonts w:ascii="Times New Roman" w:eastAsia="宋体" w:hAnsi="Times New Roman"/>
          <w:color w:val="000000"/>
          <w:sz w:val="20"/>
          <w:szCs w:val="20"/>
        </w:rPr>
        <w:t>Certain prior period amounts have been reclassified to conform to current year presentation.</w:t>
      </w:r>
    </w:p>
    <w:p w14:paraId="00BB07AD" w14:textId="77777777" w:rsidR="00871BDF" w:rsidRDefault="005C5088">
      <w:pPr>
        <w:spacing w:before="120"/>
        <w:ind w:hanging="450"/>
      </w:pPr>
      <w:r>
        <w:rPr>
          <w:rFonts w:ascii="Times New Roman" w:eastAsia="宋体" w:hAnsi="Times New Roman"/>
          <w:color w:val="000000"/>
          <w:sz w:val="13"/>
          <w:szCs w:val="13"/>
        </w:rPr>
        <w:t>(2)     </w:t>
      </w:r>
      <w:r>
        <w:rPr>
          <w:rFonts w:ascii="Times New Roman" w:eastAsia="宋体" w:hAnsi="Times New Roman"/>
          <w:color w:val="000000"/>
          <w:sz w:val="20"/>
          <w:szCs w:val="20"/>
        </w:rPr>
        <w:t>Beverage represents sales within our company-operated stores.</w:t>
      </w:r>
    </w:p>
    <w:p w14:paraId="00BB07AE" w14:textId="77777777" w:rsidR="00871BDF" w:rsidRDefault="005C5088">
      <w:pPr>
        <w:spacing w:before="120"/>
        <w:ind w:hanging="450"/>
      </w:pPr>
      <w:r>
        <w:rPr>
          <w:rFonts w:ascii="Times New Roman" w:eastAsia="宋体" w:hAnsi="Times New Roman"/>
          <w:color w:val="000000"/>
          <w:sz w:val="13"/>
          <w:szCs w:val="13"/>
        </w:rPr>
        <w:t>(3)     </w:t>
      </w:r>
      <w:r>
        <w:rPr>
          <w:rFonts w:ascii="Times New Roman" w:eastAsia="宋体" w:hAnsi="Times New Roman"/>
          <w:color w:val="000000"/>
          <w:sz w:val="20"/>
          <w:szCs w:val="20"/>
        </w:rPr>
        <w:t>Food includes sales within our company-ope</w:t>
      </w:r>
      <w:r>
        <w:rPr>
          <w:rFonts w:ascii="Times New Roman" w:eastAsia="宋体" w:hAnsi="Times New Roman"/>
          <w:color w:val="000000"/>
          <w:sz w:val="20"/>
          <w:szCs w:val="20"/>
        </w:rPr>
        <w:t>rated stores.</w:t>
      </w:r>
    </w:p>
    <w:p w14:paraId="00BB07AF" w14:textId="77777777" w:rsidR="00871BDF" w:rsidRDefault="005C5088">
      <w:pPr>
        <w:spacing w:before="120"/>
        <w:ind w:hanging="720"/>
      </w:pPr>
      <w:r>
        <w:rPr>
          <w:rFonts w:ascii="Times New Roman" w:eastAsia="宋体" w:hAnsi="Times New Roman"/>
          <w:color w:val="000000"/>
          <w:sz w:val="13"/>
          <w:szCs w:val="13"/>
        </w:rPr>
        <w:t>(4)     </w:t>
      </w:r>
      <w:r>
        <w:rPr>
          <w:rFonts w:ascii="Times New Roman" w:eastAsia="宋体" w:hAnsi="Times New Roman"/>
          <w:color w:val="000000"/>
          <w:sz w:val="20"/>
          <w:szCs w:val="20"/>
        </w:rPr>
        <w:t>“Other” primarily consists of packaged and single-serve coffees and teas, royalty and licensing revenues, beverage-related ingredients, serveware and ready-to-drink beverages, among other items.</w:t>
      </w:r>
    </w:p>
    <w:p w14:paraId="00BB07B0" w14:textId="77777777" w:rsidR="00871BDF" w:rsidRDefault="005C5088">
      <w:pPr>
        <w:spacing w:before="120"/>
      </w:pPr>
      <w:r>
        <w:rPr>
          <w:rFonts w:ascii="Times New Roman" w:eastAsia="宋体" w:hAnsi="Times New Roman"/>
          <w:color w:val="000000"/>
          <w:sz w:val="20"/>
          <w:szCs w:val="20"/>
        </w:rPr>
        <w:t>Information by geographic area (</w:t>
      </w:r>
      <w:r>
        <w:rPr>
          <w:rFonts w:ascii="Times New Roman" w:eastAsia="宋体" w:hAnsi="Times New Roman"/>
          <w:i/>
          <w:iCs/>
          <w:color w:val="000000"/>
          <w:sz w:val="20"/>
          <w:szCs w:val="20"/>
        </w:rPr>
        <w:t>in mill</w:t>
      </w:r>
      <w:r>
        <w:rPr>
          <w:rFonts w:ascii="Times New Roman" w:eastAsia="宋体" w:hAnsi="Times New Roman"/>
          <w:i/>
          <w:iCs/>
          <w:color w:val="000000"/>
          <w:sz w:val="20"/>
          <w:szCs w:val="20"/>
        </w:rPr>
        <w:t>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9"/>
        <w:gridCol w:w="4293"/>
        <w:gridCol w:w="38"/>
        <w:gridCol w:w="120"/>
        <w:gridCol w:w="1116"/>
        <w:gridCol w:w="36"/>
        <w:gridCol w:w="36"/>
        <w:gridCol w:w="36"/>
        <w:gridCol w:w="36"/>
        <w:gridCol w:w="120"/>
        <w:gridCol w:w="1077"/>
        <w:gridCol w:w="36"/>
        <w:gridCol w:w="36"/>
        <w:gridCol w:w="36"/>
        <w:gridCol w:w="36"/>
        <w:gridCol w:w="120"/>
        <w:gridCol w:w="1077"/>
        <w:gridCol w:w="36"/>
      </w:tblGrid>
      <w:tr w:rsidR="00871BDF" w14:paraId="00BB07C3" w14:textId="77777777">
        <w:tc>
          <w:tcPr>
            <w:tcW w:w="50" w:type="pct"/>
            <w:shd w:val="clear" w:color="auto" w:fill="auto"/>
          </w:tcPr>
          <w:p w14:paraId="00BB07B1" w14:textId="77777777" w:rsidR="00871BDF" w:rsidRDefault="00871BDF">
            <w:pPr>
              <w:rPr>
                <w:rFonts w:ascii="宋体"/>
              </w:rPr>
            </w:pPr>
          </w:p>
        </w:tc>
        <w:tc>
          <w:tcPr>
            <w:tcW w:w="2609" w:type="pct"/>
            <w:shd w:val="clear" w:color="auto" w:fill="auto"/>
          </w:tcPr>
          <w:p w14:paraId="00BB07B2" w14:textId="77777777" w:rsidR="00871BDF" w:rsidRDefault="00871BDF">
            <w:pPr>
              <w:rPr>
                <w:rFonts w:ascii="宋体"/>
              </w:rPr>
            </w:pPr>
          </w:p>
        </w:tc>
        <w:tc>
          <w:tcPr>
            <w:tcW w:w="5" w:type="pct"/>
            <w:shd w:val="clear" w:color="auto" w:fill="auto"/>
          </w:tcPr>
          <w:p w14:paraId="00BB07B3" w14:textId="77777777" w:rsidR="00871BDF" w:rsidRDefault="00871BDF">
            <w:pPr>
              <w:rPr>
                <w:rFonts w:ascii="宋体"/>
              </w:rPr>
            </w:pPr>
          </w:p>
        </w:tc>
        <w:tc>
          <w:tcPr>
            <w:tcW w:w="50" w:type="pct"/>
            <w:shd w:val="clear" w:color="auto" w:fill="auto"/>
          </w:tcPr>
          <w:p w14:paraId="00BB07B4" w14:textId="77777777" w:rsidR="00871BDF" w:rsidRDefault="00871BDF">
            <w:pPr>
              <w:rPr>
                <w:rFonts w:ascii="宋体"/>
              </w:rPr>
            </w:pPr>
          </w:p>
        </w:tc>
        <w:tc>
          <w:tcPr>
            <w:tcW w:w="699" w:type="pct"/>
            <w:shd w:val="clear" w:color="auto" w:fill="auto"/>
          </w:tcPr>
          <w:p w14:paraId="00BB07B5" w14:textId="77777777" w:rsidR="00871BDF" w:rsidRDefault="00871BDF">
            <w:pPr>
              <w:rPr>
                <w:rFonts w:ascii="宋体"/>
              </w:rPr>
            </w:pPr>
          </w:p>
        </w:tc>
        <w:tc>
          <w:tcPr>
            <w:tcW w:w="5" w:type="pct"/>
            <w:shd w:val="clear" w:color="auto" w:fill="auto"/>
          </w:tcPr>
          <w:p w14:paraId="00BB07B6" w14:textId="77777777" w:rsidR="00871BDF" w:rsidRDefault="00871BDF">
            <w:pPr>
              <w:rPr>
                <w:rFonts w:ascii="宋体"/>
              </w:rPr>
            </w:pPr>
          </w:p>
        </w:tc>
        <w:tc>
          <w:tcPr>
            <w:tcW w:w="5" w:type="pct"/>
            <w:shd w:val="clear" w:color="auto" w:fill="auto"/>
          </w:tcPr>
          <w:p w14:paraId="00BB07B7" w14:textId="77777777" w:rsidR="00871BDF" w:rsidRDefault="00871BDF">
            <w:pPr>
              <w:rPr>
                <w:rFonts w:ascii="宋体"/>
              </w:rPr>
            </w:pPr>
          </w:p>
        </w:tc>
        <w:tc>
          <w:tcPr>
            <w:tcW w:w="26" w:type="pct"/>
            <w:shd w:val="clear" w:color="auto" w:fill="auto"/>
          </w:tcPr>
          <w:p w14:paraId="00BB07B8" w14:textId="77777777" w:rsidR="00871BDF" w:rsidRDefault="00871BDF">
            <w:pPr>
              <w:rPr>
                <w:rFonts w:ascii="宋体"/>
              </w:rPr>
            </w:pPr>
          </w:p>
        </w:tc>
        <w:tc>
          <w:tcPr>
            <w:tcW w:w="5" w:type="pct"/>
            <w:shd w:val="clear" w:color="auto" w:fill="auto"/>
          </w:tcPr>
          <w:p w14:paraId="00BB07B9" w14:textId="77777777" w:rsidR="00871BDF" w:rsidRDefault="00871BDF">
            <w:pPr>
              <w:rPr>
                <w:rFonts w:ascii="宋体"/>
              </w:rPr>
            </w:pPr>
          </w:p>
        </w:tc>
        <w:tc>
          <w:tcPr>
            <w:tcW w:w="50" w:type="pct"/>
            <w:shd w:val="clear" w:color="auto" w:fill="auto"/>
          </w:tcPr>
          <w:p w14:paraId="00BB07BA" w14:textId="77777777" w:rsidR="00871BDF" w:rsidRDefault="00871BDF">
            <w:pPr>
              <w:rPr>
                <w:rFonts w:ascii="宋体"/>
              </w:rPr>
            </w:pPr>
          </w:p>
        </w:tc>
        <w:tc>
          <w:tcPr>
            <w:tcW w:w="699" w:type="pct"/>
            <w:shd w:val="clear" w:color="auto" w:fill="auto"/>
          </w:tcPr>
          <w:p w14:paraId="00BB07BB" w14:textId="77777777" w:rsidR="00871BDF" w:rsidRDefault="00871BDF">
            <w:pPr>
              <w:rPr>
                <w:rFonts w:ascii="宋体"/>
              </w:rPr>
            </w:pPr>
          </w:p>
        </w:tc>
        <w:tc>
          <w:tcPr>
            <w:tcW w:w="5" w:type="pct"/>
            <w:shd w:val="clear" w:color="auto" w:fill="auto"/>
          </w:tcPr>
          <w:p w14:paraId="00BB07BC" w14:textId="77777777" w:rsidR="00871BDF" w:rsidRDefault="00871BDF">
            <w:pPr>
              <w:rPr>
                <w:rFonts w:ascii="宋体"/>
              </w:rPr>
            </w:pPr>
          </w:p>
        </w:tc>
        <w:tc>
          <w:tcPr>
            <w:tcW w:w="5" w:type="pct"/>
            <w:shd w:val="clear" w:color="auto" w:fill="auto"/>
          </w:tcPr>
          <w:p w14:paraId="00BB07BD" w14:textId="77777777" w:rsidR="00871BDF" w:rsidRDefault="00871BDF">
            <w:pPr>
              <w:rPr>
                <w:rFonts w:ascii="宋体"/>
              </w:rPr>
            </w:pPr>
          </w:p>
        </w:tc>
        <w:tc>
          <w:tcPr>
            <w:tcW w:w="26" w:type="pct"/>
            <w:shd w:val="clear" w:color="auto" w:fill="auto"/>
          </w:tcPr>
          <w:p w14:paraId="00BB07BE" w14:textId="77777777" w:rsidR="00871BDF" w:rsidRDefault="00871BDF">
            <w:pPr>
              <w:rPr>
                <w:rFonts w:ascii="宋体"/>
              </w:rPr>
            </w:pPr>
          </w:p>
        </w:tc>
        <w:tc>
          <w:tcPr>
            <w:tcW w:w="5" w:type="pct"/>
            <w:shd w:val="clear" w:color="auto" w:fill="auto"/>
          </w:tcPr>
          <w:p w14:paraId="00BB07BF" w14:textId="77777777" w:rsidR="00871BDF" w:rsidRDefault="00871BDF">
            <w:pPr>
              <w:rPr>
                <w:rFonts w:ascii="宋体"/>
              </w:rPr>
            </w:pPr>
          </w:p>
        </w:tc>
        <w:tc>
          <w:tcPr>
            <w:tcW w:w="50" w:type="pct"/>
            <w:shd w:val="clear" w:color="auto" w:fill="auto"/>
          </w:tcPr>
          <w:p w14:paraId="00BB07C0" w14:textId="77777777" w:rsidR="00871BDF" w:rsidRDefault="00871BDF">
            <w:pPr>
              <w:rPr>
                <w:rFonts w:ascii="宋体"/>
              </w:rPr>
            </w:pPr>
          </w:p>
        </w:tc>
        <w:tc>
          <w:tcPr>
            <w:tcW w:w="699" w:type="pct"/>
            <w:shd w:val="clear" w:color="auto" w:fill="auto"/>
          </w:tcPr>
          <w:p w14:paraId="00BB07C1" w14:textId="77777777" w:rsidR="00871BDF" w:rsidRDefault="00871BDF">
            <w:pPr>
              <w:rPr>
                <w:rFonts w:ascii="宋体"/>
              </w:rPr>
            </w:pPr>
          </w:p>
        </w:tc>
        <w:tc>
          <w:tcPr>
            <w:tcW w:w="5" w:type="pct"/>
            <w:shd w:val="clear" w:color="auto" w:fill="auto"/>
          </w:tcPr>
          <w:p w14:paraId="00BB07C2" w14:textId="77777777" w:rsidR="00871BDF" w:rsidRDefault="00871BDF">
            <w:pPr>
              <w:rPr>
                <w:rFonts w:ascii="宋体"/>
              </w:rPr>
            </w:pPr>
          </w:p>
        </w:tc>
      </w:tr>
      <w:tr w:rsidR="00871BDF" w14:paraId="00BB07CA" w14:textId="77777777">
        <w:tc>
          <w:tcPr>
            <w:tcW w:w="0" w:type="auto"/>
            <w:gridSpan w:val="3"/>
            <w:shd w:val="clear" w:color="auto" w:fill="auto"/>
            <w:tcMar>
              <w:top w:w="40" w:type="dxa"/>
              <w:left w:w="20" w:type="dxa"/>
              <w:bottom w:w="40" w:type="dxa"/>
              <w:right w:w="20" w:type="dxa"/>
            </w:tcMar>
            <w:vAlign w:val="bottom"/>
          </w:tcPr>
          <w:p w14:paraId="00BB07C4" w14:textId="77777777" w:rsidR="00871BDF" w:rsidRDefault="005C5088">
            <w:pPr>
              <w:textAlignment w:val="bottom"/>
            </w:pPr>
            <w:r>
              <w:rPr>
                <w:rFonts w:ascii="Times New Roman" w:eastAsia="宋体" w:hAnsi="Times New Roman"/>
                <w:b/>
                <w:bCs/>
                <w:color w:val="000000"/>
                <w:sz w:val="16"/>
                <w:szCs w:val="16"/>
                <w:u w:val="single"/>
              </w:rPr>
              <w:t>Fiscal Year Ended</w:t>
            </w:r>
          </w:p>
        </w:tc>
        <w:tc>
          <w:tcPr>
            <w:tcW w:w="0" w:type="auto"/>
            <w:gridSpan w:val="3"/>
            <w:shd w:val="clear" w:color="auto" w:fill="00704A"/>
            <w:tcMar>
              <w:top w:w="40" w:type="dxa"/>
              <w:left w:w="20" w:type="dxa"/>
              <w:bottom w:w="40" w:type="dxa"/>
              <w:right w:w="20" w:type="dxa"/>
            </w:tcMar>
            <w:vAlign w:val="bottom"/>
          </w:tcPr>
          <w:p w14:paraId="00BB07C5" w14:textId="77777777" w:rsidR="00871BDF" w:rsidRDefault="005C5088">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tcPr>
          <w:p w14:paraId="00BB07C6"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7C7" w14:textId="77777777" w:rsidR="00871BDF" w:rsidRDefault="005C5088">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top w:w="0" w:type="dxa"/>
              <w:left w:w="20" w:type="dxa"/>
              <w:bottom w:w="0" w:type="dxa"/>
              <w:right w:w="20" w:type="dxa"/>
            </w:tcMar>
          </w:tcPr>
          <w:p w14:paraId="00BB07C8"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7C9" w14:textId="77777777" w:rsidR="00871BDF" w:rsidRDefault="005C5088">
            <w:pPr>
              <w:jc w:val="center"/>
              <w:textAlignment w:val="bottom"/>
            </w:pPr>
            <w:r>
              <w:rPr>
                <w:rFonts w:ascii="Times New Roman" w:eastAsia="宋体" w:hAnsi="Times New Roman"/>
                <w:b/>
                <w:bCs/>
                <w:color w:val="FFFFFF"/>
                <w:sz w:val="16"/>
                <w:szCs w:val="16"/>
              </w:rPr>
              <w:t>Sep 30, 2018</w:t>
            </w:r>
          </w:p>
        </w:tc>
      </w:tr>
      <w:tr w:rsidR="00871BDF" w14:paraId="00BB07D1" w14:textId="77777777">
        <w:tc>
          <w:tcPr>
            <w:tcW w:w="0" w:type="auto"/>
            <w:gridSpan w:val="3"/>
            <w:shd w:val="clear" w:color="auto" w:fill="D7E4BC"/>
            <w:tcMar>
              <w:top w:w="40" w:type="dxa"/>
              <w:left w:w="20" w:type="dxa"/>
              <w:bottom w:w="40" w:type="dxa"/>
              <w:right w:w="20" w:type="dxa"/>
            </w:tcMar>
          </w:tcPr>
          <w:p w14:paraId="00BB07CB" w14:textId="77777777" w:rsidR="00871BDF" w:rsidRDefault="005C5088">
            <w:pPr>
              <w:textAlignment w:val="top"/>
            </w:pPr>
            <w:r>
              <w:rPr>
                <w:rFonts w:ascii="Times New Roman" w:eastAsia="宋体" w:hAnsi="Times New Roman"/>
                <w:i/>
                <w:iCs/>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tcPr>
          <w:p w14:paraId="00BB07C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7CD"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7C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7CF"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7D0" w14:textId="77777777" w:rsidR="00871BDF" w:rsidRDefault="00871BDF">
            <w:pPr>
              <w:rPr>
                <w:rFonts w:ascii="宋体"/>
              </w:rPr>
            </w:pPr>
          </w:p>
        </w:tc>
      </w:tr>
      <w:tr w:rsidR="00871BDF" w14:paraId="00BB07DE" w14:textId="77777777">
        <w:tc>
          <w:tcPr>
            <w:tcW w:w="0" w:type="auto"/>
            <w:gridSpan w:val="3"/>
            <w:shd w:val="clear" w:color="auto" w:fill="FFFFFF"/>
            <w:tcMar>
              <w:top w:w="40" w:type="dxa"/>
              <w:left w:w="20" w:type="dxa"/>
              <w:bottom w:w="40" w:type="dxa"/>
              <w:right w:w="20" w:type="dxa"/>
            </w:tcMar>
          </w:tcPr>
          <w:p w14:paraId="00BB07D2" w14:textId="77777777" w:rsidR="00871BDF" w:rsidRDefault="005C5088">
            <w:pPr>
              <w:textAlignment w:val="top"/>
            </w:pPr>
            <w:r>
              <w:rPr>
                <w:rFonts w:ascii="Times New Roman" w:eastAsia="宋体" w:hAnsi="Times New Roman"/>
                <w:color w:val="000000"/>
                <w:sz w:val="20"/>
                <w:szCs w:val="20"/>
              </w:rPr>
              <w:t>United States</w:t>
            </w:r>
          </w:p>
        </w:tc>
        <w:tc>
          <w:tcPr>
            <w:tcW w:w="0" w:type="auto"/>
            <w:shd w:val="clear" w:color="auto" w:fill="FFFFFF"/>
            <w:tcMar>
              <w:top w:w="40" w:type="dxa"/>
              <w:left w:w="20" w:type="dxa"/>
              <w:bottom w:w="40" w:type="dxa"/>
              <w:right w:w="0" w:type="dxa"/>
            </w:tcMar>
            <w:vAlign w:val="bottom"/>
          </w:tcPr>
          <w:p w14:paraId="00BB07D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7D4" w14:textId="77777777" w:rsidR="00871BDF" w:rsidRDefault="005C5088">
            <w:pPr>
              <w:jc w:val="right"/>
              <w:textAlignment w:val="bottom"/>
            </w:pPr>
            <w:r>
              <w:rPr>
                <w:rFonts w:ascii="Times New Roman" w:eastAsia="宋体" w:hAnsi="Times New Roman"/>
                <w:color w:val="000000"/>
                <w:sz w:val="20"/>
                <w:szCs w:val="20"/>
              </w:rPr>
              <w:t>16,879.8 </w:t>
            </w:r>
          </w:p>
        </w:tc>
        <w:tc>
          <w:tcPr>
            <w:tcW w:w="0" w:type="auto"/>
            <w:shd w:val="clear" w:color="auto" w:fill="FFFFFF"/>
            <w:tcMar>
              <w:top w:w="40" w:type="dxa"/>
              <w:left w:w="0" w:type="dxa"/>
              <w:bottom w:w="40" w:type="dxa"/>
              <w:right w:w="20" w:type="dxa"/>
            </w:tcMar>
            <w:vAlign w:val="bottom"/>
          </w:tcPr>
          <w:p w14:paraId="00BB07D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7D6"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7D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7D8" w14:textId="77777777" w:rsidR="00871BDF" w:rsidRDefault="005C5088">
            <w:pPr>
              <w:jc w:val="right"/>
              <w:textAlignment w:val="bottom"/>
            </w:pPr>
            <w:r>
              <w:rPr>
                <w:rFonts w:ascii="Times New Roman" w:eastAsia="宋体" w:hAnsi="Times New Roman"/>
                <w:color w:val="000000"/>
                <w:sz w:val="20"/>
                <w:szCs w:val="20"/>
              </w:rPr>
              <w:t>18,622.7 </w:t>
            </w:r>
          </w:p>
        </w:tc>
        <w:tc>
          <w:tcPr>
            <w:tcW w:w="0" w:type="auto"/>
            <w:shd w:val="clear" w:color="auto" w:fill="FFFFFF"/>
            <w:tcMar>
              <w:top w:w="40" w:type="dxa"/>
              <w:left w:w="0" w:type="dxa"/>
              <w:bottom w:w="40" w:type="dxa"/>
              <w:right w:w="20" w:type="dxa"/>
            </w:tcMar>
            <w:vAlign w:val="bottom"/>
          </w:tcPr>
          <w:p w14:paraId="00BB07D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7DA"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7D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7DC" w14:textId="77777777" w:rsidR="00871BDF" w:rsidRDefault="005C5088">
            <w:pPr>
              <w:jc w:val="right"/>
              <w:textAlignment w:val="bottom"/>
            </w:pPr>
            <w:r>
              <w:rPr>
                <w:rFonts w:ascii="Times New Roman" w:eastAsia="宋体" w:hAnsi="Times New Roman"/>
                <w:color w:val="000000"/>
                <w:sz w:val="20"/>
                <w:szCs w:val="20"/>
              </w:rPr>
              <w:t>17,409.4 </w:t>
            </w:r>
          </w:p>
        </w:tc>
        <w:tc>
          <w:tcPr>
            <w:tcW w:w="0" w:type="auto"/>
            <w:shd w:val="clear" w:color="auto" w:fill="FFFFFF"/>
            <w:tcMar>
              <w:top w:w="40" w:type="dxa"/>
              <w:left w:w="0" w:type="dxa"/>
              <w:bottom w:w="40" w:type="dxa"/>
              <w:right w:w="20" w:type="dxa"/>
            </w:tcMar>
            <w:vAlign w:val="bottom"/>
          </w:tcPr>
          <w:p w14:paraId="00BB07DD" w14:textId="77777777" w:rsidR="00871BDF" w:rsidRDefault="00871BDF">
            <w:pPr>
              <w:jc w:val="right"/>
              <w:rPr>
                <w:rFonts w:ascii="宋体"/>
              </w:rPr>
            </w:pPr>
          </w:p>
        </w:tc>
      </w:tr>
      <w:tr w:rsidR="00871BDF" w14:paraId="00BB07E8" w14:textId="77777777">
        <w:tc>
          <w:tcPr>
            <w:tcW w:w="0" w:type="auto"/>
            <w:gridSpan w:val="3"/>
            <w:shd w:val="clear" w:color="auto" w:fill="D7E4BC"/>
            <w:tcMar>
              <w:top w:w="40" w:type="dxa"/>
              <w:left w:w="20" w:type="dxa"/>
              <w:bottom w:w="40" w:type="dxa"/>
              <w:right w:w="20" w:type="dxa"/>
            </w:tcMar>
          </w:tcPr>
          <w:p w14:paraId="00BB07DF" w14:textId="77777777" w:rsidR="00871BDF" w:rsidRDefault="005C5088">
            <w:pPr>
              <w:textAlignment w:val="top"/>
            </w:pPr>
            <w:r>
              <w:rPr>
                <w:rFonts w:ascii="Times New Roman" w:eastAsia="宋体" w:hAnsi="Times New Roman"/>
                <w:color w:val="000000"/>
                <w:sz w:val="20"/>
                <w:szCs w:val="20"/>
              </w:rPr>
              <w:t>China</w:t>
            </w:r>
          </w:p>
        </w:tc>
        <w:tc>
          <w:tcPr>
            <w:tcW w:w="0" w:type="auto"/>
            <w:gridSpan w:val="2"/>
            <w:shd w:val="clear" w:color="auto" w:fill="D7E4BC"/>
            <w:tcMar>
              <w:top w:w="40" w:type="dxa"/>
              <w:left w:w="20" w:type="dxa"/>
              <w:bottom w:w="40" w:type="dxa"/>
              <w:right w:w="0" w:type="dxa"/>
            </w:tcMar>
            <w:vAlign w:val="bottom"/>
          </w:tcPr>
          <w:p w14:paraId="00BB07E0" w14:textId="77777777" w:rsidR="00871BDF" w:rsidRDefault="005C5088">
            <w:pPr>
              <w:jc w:val="right"/>
              <w:textAlignment w:val="bottom"/>
            </w:pPr>
            <w:r>
              <w:rPr>
                <w:rFonts w:ascii="Times New Roman" w:eastAsia="宋体" w:hAnsi="Times New Roman"/>
                <w:color w:val="000000"/>
                <w:sz w:val="20"/>
                <w:szCs w:val="20"/>
              </w:rPr>
              <w:t>2,582.8 </w:t>
            </w:r>
          </w:p>
        </w:tc>
        <w:tc>
          <w:tcPr>
            <w:tcW w:w="0" w:type="auto"/>
            <w:shd w:val="clear" w:color="auto" w:fill="D7E4BC"/>
            <w:tcMar>
              <w:top w:w="40" w:type="dxa"/>
              <w:left w:w="0" w:type="dxa"/>
              <w:bottom w:w="40" w:type="dxa"/>
              <w:right w:w="20" w:type="dxa"/>
            </w:tcMar>
            <w:vAlign w:val="bottom"/>
          </w:tcPr>
          <w:p w14:paraId="00BB07E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7E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7E3" w14:textId="77777777" w:rsidR="00871BDF" w:rsidRDefault="005C5088">
            <w:pPr>
              <w:jc w:val="right"/>
              <w:textAlignment w:val="bottom"/>
            </w:pPr>
            <w:r>
              <w:rPr>
                <w:rFonts w:ascii="Times New Roman" w:eastAsia="宋体" w:hAnsi="Times New Roman"/>
                <w:color w:val="000000"/>
                <w:sz w:val="20"/>
                <w:szCs w:val="20"/>
              </w:rPr>
              <w:t>2,872.0 </w:t>
            </w:r>
          </w:p>
        </w:tc>
        <w:tc>
          <w:tcPr>
            <w:tcW w:w="0" w:type="auto"/>
            <w:shd w:val="clear" w:color="auto" w:fill="D7E4BC"/>
            <w:tcMar>
              <w:top w:w="40" w:type="dxa"/>
              <w:left w:w="0" w:type="dxa"/>
              <w:bottom w:w="40" w:type="dxa"/>
              <w:right w:w="20" w:type="dxa"/>
            </w:tcMar>
            <w:vAlign w:val="bottom"/>
          </w:tcPr>
          <w:p w14:paraId="00BB07E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7E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7E6" w14:textId="77777777" w:rsidR="00871BDF" w:rsidRDefault="005C5088">
            <w:pPr>
              <w:jc w:val="right"/>
              <w:textAlignment w:val="bottom"/>
            </w:pPr>
            <w:r>
              <w:rPr>
                <w:rFonts w:ascii="Times New Roman" w:eastAsia="宋体" w:hAnsi="Times New Roman"/>
                <w:color w:val="000000"/>
                <w:sz w:val="20"/>
                <w:szCs w:val="20"/>
              </w:rPr>
              <w:t>2,355.8 </w:t>
            </w:r>
          </w:p>
        </w:tc>
        <w:tc>
          <w:tcPr>
            <w:tcW w:w="0" w:type="auto"/>
            <w:shd w:val="clear" w:color="auto" w:fill="D7E4BC"/>
            <w:tcMar>
              <w:top w:w="40" w:type="dxa"/>
              <w:left w:w="0" w:type="dxa"/>
              <w:bottom w:w="40" w:type="dxa"/>
              <w:right w:w="20" w:type="dxa"/>
            </w:tcMar>
            <w:vAlign w:val="bottom"/>
          </w:tcPr>
          <w:p w14:paraId="00BB07E7" w14:textId="77777777" w:rsidR="00871BDF" w:rsidRDefault="00871BDF">
            <w:pPr>
              <w:jc w:val="right"/>
              <w:rPr>
                <w:rFonts w:ascii="宋体"/>
              </w:rPr>
            </w:pPr>
          </w:p>
        </w:tc>
      </w:tr>
      <w:tr w:rsidR="00871BDF" w14:paraId="00BB07F2" w14:textId="77777777">
        <w:tc>
          <w:tcPr>
            <w:tcW w:w="0" w:type="auto"/>
            <w:gridSpan w:val="3"/>
            <w:shd w:val="clear" w:color="auto" w:fill="FFFFFF"/>
            <w:tcMar>
              <w:top w:w="40" w:type="dxa"/>
              <w:left w:w="20" w:type="dxa"/>
              <w:bottom w:w="40" w:type="dxa"/>
              <w:right w:w="20" w:type="dxa"/>
            </w:tcMar>
          </w:tcPr>
          <w:p w14:paraId="00BB07E9" w14:textId="77777777" w:rsidR="00871BDF" w:rsidRDefault="005C5088">
            <w:pPr>
              <w:textAlignment w:val="top"/>
            </w:pPr>
            <w:r>
              <w:rPr>
                <w:rFonts w:ascii="Times New Roman" w:eastAsia="宋体" w:hAnsi="Times New Roman"/>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00BB07EA" w14:textId="77777777" w:rsidR="00871BDF" w:rsidRDefault="005C5088">
            <w:pPr>
              <w:jc w:val="right"/>
              <w:textAlignment w:val="bottom"/>
            </w:pPr>
            <w:r>
              <w:rPr>
                <w:rFonts w:ascii="Times New Roman" w:eastAsia="宋体" w:hAnsi="Times New Roman"/>
                <w:color w:val="000000"/>
                <w:sz w:val="20"/>
                <w:szCs w:val="20"/>
              </w:rPr>
              <w:t>4,055.4 </w:t>
            </w:r>
          </w:p>
        </w:tc>
        <w:tc>
          <w:tcPr>
            <w:tcW w:w="0" w:type="auto"/>
            <w:shd w:val="clear" w:color="auto" w:fill="FFFFFF"/>
            <w:tcMar>
              <w:top w:w="40" w:type="dxa"/>
              <w:left w:w="0" w:type="dxa"/>
              <w:bottom w:w="40" w:type="dxa"/>
              <w:right w:w="20" w:type="dxa"/>
            </w:tcMar>
            <w:vAlign w:val="bottom"/>
          </w:tcPr>
          <w:p w14:paraId="00BB07E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7E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7ED" w14:textId="77777777" w:rsidR="00871BDF" w:rsidRDefault="005C5088">
            <w:pPr>
              <w:jc w:val="right"/>
              <w:textAlignment w:val="bottom"/>
            </w:pPr>
            <w:r>
              <w:rPr>
                <w:rFonts w:ascii="Times New Roman" w:eastAsia="宋体" w:hAnsi="Times New Roman"/>
                <w:color w:val="000000"/>
                <w:sz w:val="20"/>
                <w:szCs w:val="20"/>
              </w:rPr>
              <w:t>5,013.9 </w:t>
            </w:r>
          </w:p>
        </w:tc>
        <w:tc>
          <w:tcPr>
            <w:tcW w:w="0" w:type="auto"/>
            <w:shd w:val="clear" w:color="auto" w:fill="FFFFFF"/>
            <w:tcMar>
              <w:top w:w="40" w:type="dxa"/>
              <w:left w:w="0" w:type="dxa"/>
              <w:bottom w:w="40" w:type="dxa"/>
              <w:right w:w="20" w:type="dxa"/>
            </w:tcMar>
            <w:vAlign w:val="bottom"/>
          </w:tcPr>
          <w:p w14:paraId="00BB07E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7EF"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7F0" w14:textId="77777777" w:rsidR="00871BDF" w:rsidRDefault="005C5088">
            <w:pPr>
              <w:jc w:val="right"/>
              <w:textAlignment w:val="bottom"/>
            </w:pPr>
            <w:r>
              <w:rPr>
                <w:rFonts w:ascii="Times New Roman" w:eastAsia="宋体" w:hAnsi="Times New Roman"/>
                <w:color w:val="000000"/>
                <w:sz w:val="20"/>
                <w:szCs w:val="20"/>
              </w:rPr>
              <w:t>4,954.3 </w:t>
            </w:r>
          </w:p>
        </w:tc>
        <w:tc>
          <w:tcPr>
            <w:tcW w:w="0" w:type="auto"/>
            <w:shd w:val="clear" w:color="auto" w:fill="FFFFFF"/>
            <w:tcMar>
              <w:top w:w="40" w:type="dxa"/>
              <w:left w:w="0" w:type="dxa"/>
              <w:bottom w:w="40" w:type="dxa"/>
              <w:right w:w="20" w:type="dxa"/>
            </w:tcMar>
            <w:vAlign w:val="bottom"/>
          </w:tcPr>
          <w:p w14:paraId="00BB07F1" w14:textId="77777777" w:rsidR="00871BDF" w:rsidRDefault="00871BDF">
            <w:pPr>
              <w:jc w:val="right"/>
              <w:rPr>
                <w:rFonts w:ascii="宋体"/>
              </w:rPr>
            </w:pPr>
          </w:p>
        </w:tc>
      </w:tr>
      <w:tr w:rsidR="00871BDF" w14:paraId="00BB07FF" w14:textId="77777777">
        <w:tc>
          <w:tcPr>
            <w:tcW w:w="0" w:type="auto"/>
            <w:gridSpan w:val="3"/>
            <w:shd w:val="clear" w:color="auto" w:fill="D7E4BC"/>
            <w:tcMar>
              <w:top w:w="40" w:type="dxa"/>
              <w:left w:w="20" w:type="dxa"/>
              <w:bottom w:w="40" w:type="dxa"/>
              <w:right w:w="20" w:type="dxa"/>
            </w:tcMar>
          </w:tcPr>
          <w:p w14:paraId="00BB07F3" w14:textId="77777777" w:rsidR="00871BDF" w:rsidRDefault="005C5088">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D7E4BC"/>
            <w:tcMar>
              <w:top w:w="40" w:type="dxa"/>
              <w:left w:w="20" w:type="dxa"/>
              <w:bottom w:w="40" w:type="dxa"/>
              <w:right w:w="0" w:type="dxa"/>
            </w:tcMar>
            <w:vAlign w:val="bottom"/>
          </w:tcPr>
          <w:p w14:paraId="00BB07F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7F5" w14:textId="77777777" w:rsidR="00871BDF" w:rsidRDefault="005C5088">
            <w:pPr>
              <w:jc w:val="right"/>
              <w:textAlignment w:val="bottom"/>
            </w:pPr>
            <w:r>
              <w:rPr>
                <w:rFonts w:ascii="Times New Roman" w:eastAsia="宋体" w:hAnsi="Times New Roman"/>
                <w:color w:val="000000"/>
                <w:sz w:val="20"/>
                <w:szCs w:val="20"/>
              </w:rPr>
              <w:t>23,518.0 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7F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7F7"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7F8"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7F9" w14:textId="77777777" w:rsidR="00871BDF" w:rsidRDefault="005C5088">
            <w:pPr>
              <w:jc w:val="right"/>
              <w:textAlignment w:val="bottom"/>
            </w:pPr>
            <w:r>
              <w:rPr>
                <w:rFonts w:ascii="Times New Roman" w:eastAsia="宋体" w:hAnsi="Times New Roman"/>
                <w:color w:val="000000"/>
                <w:sz w:val="20"/>
                <w:szCs w:val="20"/>
              </w:rPr>
              <w:t>26,508.6 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7FA"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7FB" w14:textId="77777777" w:rsidR="00871BDF" w:rsidRDefault="00871BDF">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0BB07FC"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0BB07FD" w14:textId="77777777" w:rsidR="00871BDF" w:rsidRDefault="005C5088">
            <w:pPr>
              <w:jc w:val="right"/>
              <w:textAlignment w:val="bottom"/>
            </w:pPr>
            <w:r>
              <w:rPr>
                <w:rFonts w:ascii="Times New Roman" w:eastAsia="宋体" w:hAnsi="Times New Roman"/>
                <w:color w:val="000000"/>
                <w:sz w:val="20"/>
                <w:szCs w:val="20"/>
              </w:rPr>
              <w:t>24,719.5 </w:t>
            </w:r>
          </w:p>
        </w:tc>
        <w:tc>
          <w:tcPr>
            <w:tcW w:w="0" w:type="auto"/>
            <w:tcBorders>
              <w:top w:val="single" w:sz="8" w:space="0" w:color="000000"/>
            </w:tcBorders>
            <w:shd w:val="clear" w:color="auto" w:fill="D7E4BC"/>
            <w:tcMar>
              <w:top w:w="40" w:type="dxa"/>
              <w:left w:w="0" w:type="dxa"/>
              <w:bottom w:w="40" w:type="dxa"/>
              <w:right w:w="20" w:type="dxa"/>
            </w:tcMar>
            <w:vAlign w:val="bottom"/>
          </w:tcPr>
          <w:p w14:paraId="00BB07FE" w14:textId="77777777" w:rsidR="00871BDF" w:rsidRDefault="00871BDF">
            <w:pPr>
              <w:jc w:val="right"/>
              <w:rPr>
                <w:rFonts w:ascii="宋体"/>
              </w:rPr>
            </w:pPr>
          </w:p>
        </w:tc>
      </w:tr>
      <w:tr w:rsidR="00871BDF" w14:paraId="00BB0806" w14:textId="77777777">
        <w:trPr>
          <w:trHeight w:val="300"/>
        </w:trPr>
        <w:tc>
          <w:tcPr>
            <w:tcW w:w="0" w:type="auto"/>
            <w:gridSpan w:val="3"/>
            <w:shd w:val="clear" w:color="auto" w:fill="FFFFFF"/>
            <w:tcMar>
              <w:top w:w="0" w:type="dxa"/>
              <w:left w:w="20" w:type="dxa"/>
              <w:bottom w:w="0" w:type="dxa"/>
              <w:right w:w="20" w:type="dxa"/>
            </w:tcMar>
          </w:tcPr>
          <w:p w14:paraId="00BB0800"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B080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802"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B080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804" w14:textId="77777777" w:rsidR="00871BDF" w:rsidRDefault="00871BD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00BB0805" w14:textId="77777777" w:rsidR="00871BDF" w:rsidRDefault="00871BDF">
            <w:pPr>
              <w:rPr>
                <w:rFonts w:ascii="宋体"/>
              </w:rPr>
            </w:pPr>
          </w:p>
        </w:tc>
      </w:tr>
      <w:tr w:rsidR="00871BDF" w14:paraId="00BB080D" w14:textId="77777777">
        <w:tc>
          <w:tcPr>
            <w:tcW w:w="0" w:type="auto"/>
            <w:gridSpan w:val="3"/>
            <w:shd w:val="clear" w:color="auto" w:fill="D7E4BC"/>
            <w:tcMar>
              <w:top w:w="40" w:type="dxa"/>
              <w:left w:w="20" w:type="dxa"/>
              <w:bottom w:w="40" w:type="dxa"/>
              <w:right w:w="20" w:type="dxa"/>
            </w:tcMar>
          </w:tcPr>
          <w:p w14:paraId="00BB0807" w14:textId="77777777" w:rsidR="00871BDF" w:rsidRDefault="005C5088">
            <w:pPr>
              <w:textAlignment w:val="top"/>
            </w:pPr>
            <w:r>
              <w:rPr>
                <w:rFonts w:ascii="Times New Roman" w:eastAsia="宋体" w:hAnsi="Times New Roman"/>
                <w:i/>
                <w:iCs/>
                <w:color w:val="000000"/>
                <w:sz w:val="20"/>
                <w:szCs w:val="20"/>
              </w:rPr>
              <w:t>Long-lived assets:</w:t>
            </w:r>
          </w:p>
        </w:tc>
        <w:tc>
          <w:tcPr>
            <w:tcW w:w="0" w:type="auto"/>
            <w:gridSpan w:val="3"/>
            <w:shd w:val="clear" w:color="auto" w:fill="D7E4BC"/>
            <w:tcMar>
              <w:top w:w="0" w:type="dxa"/>
              <w:left w:w="20" w:type="dxa"/>
              <w:bottom w:w="0" w:type="dxa"/>
              <w:right w:w="20" w:type="dxa"/>
            </w:tcMar>
          </w:tcPr>
          <w:p w14:paraId="00BB080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0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0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0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0C" w14:textId="77777777" w:rsidR="00871BDF" w:rsidRDefault="00871BDF">
            <w:pPr>
              <w:rPr>
                <w:rFonts w:ascii="宋体"/>
              </w:rPr>
            </w:pPr>
          </w:p>
        </w:tc>
      </w:tr>
      <w:tr w:rsidR="00871BDF" w14:paraId="00BB081A" w14:textId="77777777">
        <w:tc>
          <w:tcPr>
            <w:tcW w:w="0" w:type="auto"/>
            <w:gridSpan w:val="3"/>
            <w:shd w:val="clear" w:color="auto" w:fill="FFFFFF"/>
            <w:tcMar>
              <w:top w:w="40" w:type="dxa"/>
              <w:left w:w="20" w:type="dxa"/>
              <w:bottom w:w="40" w:type="dxa"/>
              <w:right w:w="20" w:type="dxa"/>
            </w:tcMar>
          </w:tcPr>
          <w:p w14:paraId="00BB080E" w14:textId="77777777" w:rsidR="00871BDF" w:rsidRDefault="005C5088">
            <w:pPr>
              <w:textAlignment w:val="top"/>
            </w:pPr>
            <w:r>
              <w:rPr>
                <w:rFonts w:ascii="Times New Roman" w:eastAsia="宋体" w:hAnsi="Times New Roman"/>
                <w:color w:val="000000"/>
                <w:sz w:val="20"/>
                <w:szCs w:val="20"/>
              </w:rPr>
              <w:t>United States</w:t>
            </w:r>
          </w:p>
        </w:tc>
        <w:tc>
          <w:tcPr>
            <w:tcW w:w="0" w:type="auto"/>
            <w:shd w:val="clear" w:color="auto" w:fill="FFFFFF"/>
            <w:tcMar>
              <w:top w:w="40" w:type="dxa"/>
              <w:left w:w="20" w:type="dxa"/>
              <w:bottom w:w="40" w:type="dxa"/>
              <w:right w:w="0" w:type="dxa"/>
            </w:tcMar>
            <w:vAlign w:val="bottom"/>
          </w:tcPr>
          <w:p w14:paraId="00BB080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810" w14:textId="77777777" w:rsidR="00871BDF" w:rsidRDefault="005C5088">
            <w:pPr>
              <w:jc w:val="right"/>
              <w:textAlignment w:val="bottom"/>
            </w:pPr>
            <w:r>
              <w:rPr>
                <w:rFonts w:ascii="Times New Roman" w:eastAsia="宋体" w:hAnsi="Times New Roman"/>
                <w:color w:val="000000"/>
                <w:sz w:val="20"/>
                <w:szCs w:val="20"/>
              </w:rPr>
              <w:t>12,624.9 </w:t>
            </w:r>
          </w:p>
        </w:tc>
        <w:tc>
          <w:tcPr>
            <w:tcW w:w="0" w:type="auto"/>
            <w:shd w:val="clear" w:color="auto" w:fill="FFFFFF"/>
            <w:tcMar>
              <w:top w:w="40" w:type="dxa"/>
              <w:left w:w="0" w:type="dxa"/>
              <w:bottom w:w="40" w:type="dxa"/>
              <w:right w:w="20" w:type="dxa"/>
            </w:tcMar>
            <w:vAlign w:val="bottom"/>
          </w:tcPr>
          <w:p w14:paraId="00BB081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12"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81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814" w14:textId="77777777" w:rsidR="00871BDF" w:rsidRDefault="005C5088">
            <w:pPr>
              <w:jc w:val="right"/>
              <w:textAlignment w:val="bottom"/>
            </w:pPr>
            <w:r>
              <w:rPr>
                <w:rFonts w:ascii="Times New Roman" w:eastAsia="宋体" w:hAnsi="Times New Roman"/>
                <w:color w:val="000000"/>
                <w:sz w:val="20"/>
                <w:szCs w:val="20"/>
              </w:rPr>
              <w:t>7,330.2 </w:t>
            </w:r>
          </w:p>
        </w:tc>
        <w:tc>
          <w:tcPr>
            <w:tcW w:w="0" w:type="auto"/>
            <w:shd w:val="clear" w:color="auto" w:fill="FFFFFF"/>
            <w:tcMar>
              <w:top w:w="40" w:type="dxa"/>
              <w:left w:w="0" w:type="dxa"/>
              <w:bottom w:w="40" w:type="dxa"/>
              <w:right w:w="20" w:type="dxa"/>
            </w:tcMar>
            <w:vAlign w:val="bottom"/>
          </w:tcPr>
          <w:p w14:paraId="00BB0815"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16"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81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818" w14:textId="77777777" w:rsidR="00871BDF" w:rsidRDefault="005C5088">
            <w:pPr>
              <w:jc w:val="right"/>
              <w:textAlignment w:val="bottom"/>
            </w:pPr>
            <w:r>
              <w:rPr>
                <w:rFonts w:ascii="Times New Roman" w:eastAsia="宋体" w:hAnsi="Times New Roman"/>
                <w:color w:val="000000"/>
                <w:sz w:val="20"/>
                <w:szCs w:val="20"/>
              </w:rPr>
              <w:t>5,635.9 </w:t>
            </w:r>
          </w:p>
        </w:tc>
        <w:tc>
          <w:tcPr>
            <w:tcW w:w="0" w:type="auto"/>
            <w:shd w:val="clear" w:color="auto" w:fill="FFFFFF"/>
            <w:tcMar>
              <w:top w:w="40" w:type="dxa"/>
              <w:left w:w="0" w:type="dxa"/>
              <w:bottom w:w="40" w:type="dxa"/>
              <w:right w:w="20" w:type="dxa"/>
            </w:tcMar>
            <w:vAlign w:val="bottom"/>
          </w:tcPr>
          <w:p w14:paraId="00BB0819" w14:textId="77777777" w:rsidR="00871BDF" w:rsidRDefault="00871BDF">
            <w:pPr>
              <w:jc w:val="right"/>
              <w:rPr>
                <w:rFonts w:ascii="宋体"/>
              </w:rPr>
            </w:pPr>
          </w:p>
        </w:tc>
      </w:tr>
      <w:tr w:rsidR="00871BDF" w14:paraId="00BB0824" w14:textId="77777777">
        <w:tc>
          <w:tcPr>
            <w:tcW w:w="0" w:type="auto"/>
            <w:gridSpan w:val="3"/>
            <w:shd w:val="clear" w:color="auto" w:fill="D7E4BC"/>
            <w:tcMar>
              <w:top w:w="40" w:type="dxa"/>
              <w:left w:w="20" w:type="dxa"/>
              <w:bottom w:w="40" w:type="dxa"/>
              <w:right w:w="20" w:type="dxa"/>
            </w:tcMar>
          </w:tcPr>
          <w:p w14:paraId="00BB081B" w14:textId="77777777" w:rsidR="00871BDF" w:rsidRDefault="005C5088">
            <w:pPr>
              <w:textAlignment w:val="top"/>
            </w:pPr>
            <w:r>
              <w:rPr>
                <w:rFonts w:ascii="Times New Roman" w:eastAsia="宋体" w:hAnsi="Times New Roman"/>
                <w:color w:val="000000"/>
                <w:sz w:val="20"/>
                <w:szCs w:val="20"/>
              </w:rPr>
              <w:t>China</w:t>
            </w:r>
          </w:p>
        </w:tc>
        <w:tc>
          <w:tcPr>
            <w:tcW w:w="0" w:type="auto"/>
            <w:gridSpan w:val="2"/>
            <w:shd w:val="clear" w:color="auto" w:fill="D7E4BC"/>
            <w:tcMar>
              <w:top w:w="40" w:type="dxa"/>
              <w:left w:w="20" w:type="dxa"/>
              <w:bottom w:w="40" w:type="dxa"/>
              <w:right w:w="0" w:type="dxa"/>
            </w:tcMar>
            <w:vAlign w:val="bottom"/>
          </w:tcPr>
          <w:p w14:paraId="00BB081C" w14:textId="77777777" w:rsidR="00871BDF" w:rsidRDefault="005C5088">
            <w:pPr>
              <w:jc w:val="right"/>
              <w:textAlignment w:val="bottom"/>
            </w:pPr>
            <w:r>
              <w:rPr>
                <w:rFonts w:ascii="Times New Roman" w:eastAsia="宋体" w:hAnsi="Times New Roman"/>
                <w:color w:val="000000"/>
                <w:sz w:val="20"/>
                <w:szCs w:val="20"/>
              </w:rPr>
              <w:t>4,425.6 </w:t>
            </w:r>
          </w:p>
        </w:tc>
        <w:tc>
          <w:tcPr>
            <w:tcW w:w="0" w:type="auto"/>
            <w:shd w:val="clear" w:color="auto" w:fill="D7E4BC"/>
            <w:tcMar>
              <w:top w:w="40" w:type="dxa"/>
              <w:left w:w="0" w:type="dxa"/>
              <w:bottom w:w="40" w:type="dxa"/>
              <w:right w:w="20" w:type="dxa"/>
            </w:tcMar>
            <w:vAlign w:val="bottom"/>
          </w:tcPr>
          <w:p w14:paraId="00BB081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81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81F" w14:textId="77777777" w:rsidR="00871BDF" w:rsidRDefault="005C5088">
            <w:pPr>
              <w:jc w:val="right"/>
              <w:textAlignment w:val="bottom"/>
            </w:pPr>
            <w:r>
              <w:rPr>
                <w:rFonts w:ascii="Times New Roman" w:eastAsia="宋体" w:hAnsi="Times New Roman"/>
                <w:color w:val="000000"/>
                <w:sz w:val="20"/>
                <w:szCs w:val="20"/>
              </w:rPr>
              <w:t>3,279.8 </w:t>
            </w:r>
          </w:p>
        </w:tc>
        <w:tc>
          <w:tcPr>
            <w:tcW w:w="0" w:type="auto"/>
            <w:shd w:val="clear" w:color="auto" w:fill="D7E4BC"/>
            <w:tcMar>
              <w:top w:w="40" w:type="dxa"/>
              <w:left w:w="0" w:type="dxa"/>
              <w:bottom w:w="40" w:type="dxa"/>
              <w:right w:w="20" w:type="dxa"/>
            </w:tcMar>
            <w:vAlign w:val="bottom"/>
          </w:tcPr>
          <w:p w14:paraId="00BB082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82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822" w14:textId="77777777" w:rsidR="00871BDF" w:rsidRDefault="005C5088">
            <w:pPr>
              <w:jc w:val="right"/>
              <w:textAlignment w:val="bottom"/>
            </w:pPr>
            <w:r>
              <w:rPr>
                <w:rFonts w:ascii="Times New Roman" w:eastAsia="宋体" w:hAnsi="Times New Roman"/>
                <w:color w:val="000000"/>
                <w:sz w:val="20"/>
                <w:szCs w:val="20"/>
              </w:rPr>
              <w:t>3,474.6 </w:t>
            </w:r>
          </w:p>
        </w:tc>
        <w:tc>
          <w:tcPr>
            <w:tcW w:w="0" w:type="auto"/>
            <w:shd w:val="clear" w:color="auto" w:fill="D7E4BC"/>
            <w:tcMar>
              <w:top w:w="40" w:type="dxa"/>
              <w:left w:w="0" w:type="dxa"/>
              <w:bottom w:w="40" w:type="dxa"/>
              <w:right w:w="20" w:type="dxa"/>
            </w:tcMar>
            <w:vAlign w:val="bottom"/>
          </w:tcPr>
          <w:p w14:paraId="00BB0823" w14:textId="77777777" w:rsidR="00871BDF" w:rsidRDefault="00871BDF">
            <w:pPr>
              <w:jc w:val="right"/>
              <w:rPr>
                <w:rFonts w:ascii="宋体"/>
              </w:rPr>
            </w:pPr>
          </w:p>
        </w:tc>
      </w:tr>
      <w:tr w:rsidR="00871BDF" w14:paraId="00BB082E" w14:textId="77777777">
        <w:tc>
          <w:tcPr>
            <w:tcW w:w="0" w:type="auto"/>
            <w:gridSpan w:val="3"/>
            <w:shd w:val="clear" w:color="auto" w:fill="FFFFFF"/>
            <w:tcMar>
              <w:top w:w="40" w:type="dxa"/>
              <w:left w:w="20" w:type="dxa"/>
              <w:bottom w:w="40" w:type="dxa"/>
              <w:right w:w="20" w:type="dxa"/>
            </w:tcMar>
          </w:tcPr>
          <w:p w14:paraId="00BB0825" w14:textId="77777777" w:rsidR="00871BDF" w:rsidRDefault="005C5088">
            <w:pPr>
              <w:textAlignment w:val="top"/>
            </w:pPr>
            <w:r>
              <w:rPr>
                <w:rFonts w:ascii="Times New Roman" w:eastAsia="宋体" w:hAnsi="Times New Roman"/>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00BB0826" w14:textId="77777777" w:rsidR="00871BDF" w:rsidRDefault="005C5088">
            <w:pPr>
              <w:jc w:val="right"/>
              <w:textAlignment w:val="bottom"/>
            </w:pPr>
            <w:r>
              <w:rPr>
                <w:rFonts w:ascii="Times New Roman" w:eastAsia="宋体" w:hAnsi="Times New Roman"/>
                <w:color w:val="000000"/>
                <w:sz w:val="20"/>
                <w:szCs w:val="20"/>
              </w:rPr>
              <w:t>4,517.6 </w:t>
            </w:r>
          </w:p>
        </w:tc>
        <w:tc>
          <w:tcPr>
            <w:tcW w:w="0" w:type="auto"/>
            <w:shd w:val="clear" w:color="auto" w:fill="FFFFFF"/>
            <w:tcMar>
              <w:top w:w="40" w:type="dxa"/>
              <w:left w:w="0" w:type="dxa"/>
              <w:bottom w:w="40" w:type="dxa"/>
              <w:right w:w="20" w:type="dxa"/>
            </w:tcMar>
            <w:vAlign w:val="bottom"/>
          </w:tcPr>
          <w:p w14:paraId="00BB082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2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829" w14:textId="77777777" w:rsidR="00871BDF" w:rsidRDefault="005C5088">
            <w:pPr>
              <w:jc w:val="right"/>
              <w:textAlignment w:val="bottom"/>
            </w:pPr>
            <w:r>
              <w:rPr>
                <w:rFonts w:ascii="Times New Roman" w:eastAsia="宋体" w:hAnsi="Times New Roman"/>
                <w:color w:val="000000"/>
                <w:sz w:val="20"/>
                <w:szCs w:val="20"/>
              </w:rPr>
              <w:t>2,955.7 </w:t>
            </w:r>
          </w:p>
        </w:tc>
        <w:tc>
          <w:tcPr>
            <w:tcW w:w="0" w:type="auto"/>
            <w:shd w:val="clear" w:color="auto" w:fill="FFFFFF"/>
            <w:tcMar>
              <w:top w:w="40" w:type="dxa"/>
              <w:left w:w="0" w:type="dxa"/>
              <w:bottom w:w="40" w:type="dxa"/>
              <w:right w:w="20" w:type="dxa"/>
            </w:tcMar>
            <w:vAlign w:val="bottom"/>
          </w:tcPr>
          <w:p w14:paraId="00BB082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2B"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82C" w14:textId="77777777" w:rsidR="00871BDF" w:rsidRDefault="005C5088">
            <w:pPr>
              <w:jc w:val="right"/>
              <w:textAlignment w:val="bottom"/>
            </w:pPr>
            <w:r>
              <w:rPr>
                <w:rFonts w:ascii="Times New Roman" w:eastAsia="宋体" w:hAnsi="Times New Roman"/>
                <w:color w:val="000000"/>
                <w:sz w:val="20"/>
                <w:szCs w:val="20"/>
              </w:rPr>
              <w:t>2,551.7 </w:t>
            </w:r>
          </w:p>
        </w:tc>
        <w:tc>
          <w:tcPr>
            <w:tcW w:w="0" w:type="auto"/>
            <w:shd w:val="clear" w:color="auto" w:fill="FFFFFF"/>
            <w:tcMar>
              <w:top w:w="40" w:type="dxa"/>
              <w:left w:w="0" w:type="dxa"/>
              <w:bottom w:w="40" w:type="dxa"/>
              <w:right w:w="20" w:type="dxa"/>
            </w:tcMar>
            <w:vAlign w:val="bottom"/>
          </w:tcPr>
          <w:p w14:paraId="00BB082D" w14:textId="77777777" w:rsidR="00871BDF" w:rsidRDefault="00871BDF">
            <w:pPr>
              <w:jc w:val="right"/>
              <w:rPr>
                <w:rFonts w:ascii="宋体"/>
              </w:rPr>
            </w:pPr>
          </w:p>
        </w:tc>
      </w:tr>
      <w:tr w:rsidR="00871BDF" w14:paraId="00BB083B" w14:textId="77777777">
        <w:tc>
          <w:tcPr>
            <w:tcW w:w="0" w:type="auto"/>
            <w:gridSpan w:val="3"/>
            <w:shd w:val="clear" w:color="auto" w:fill="D7E4BC"/>
            <w:tcMar>
              <w:top w:w="40" w:type="dxa"/>
              <w:left w:w="20" w:type="dxa"/>
              <w:bottom w:w="40" w:type="dxa"/>
              <w:right w:w="20" w:type="dxa"/>
            </w:tcMar>
          </w:tcPr>
          <w:p w14:paraId="00BB082F" w14:textId="77777777" w:rsidR="00871BDF" w:rsidRDefault="005C5088">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830"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831" w14:textId="77777777" w:rsidR="00871BDF" w:rsidRDefault="005C5088">
            <w:pPr>
              <w:jc w:val="right"/>
              <w:textAlignment w:val="bottom"/>
            </w:pPr>
            <w:r>
              <w:rPr>
                <w:rFonts w:ascii="Times New Roman" w:eastAsia="宋体" w:hAnsi="Times New Roman"/>
                <w:color w:val="000000"/>
                <w:sz w:val="20"/>
                <w:szCs w:val="20"/>
              </w:rPr>
              <w:t>21,568.1 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83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833"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834"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835" w14:textId="77777777" w:rsidR="00871BDF" w:rsidRDefault="005C5088">
            <w:pPr>
              <w:jc w:val="right"/>
              <w:textAlignment w:val="bottom"/>
            </w:pPr>
            <w:r>
              <w:rPr>
                <w:rFonts w:ascii="Times New Roman" w:eastAsia="宋体" w:hAnsi="Times New Roman"/>
                <w:color w:val="000000"/>
                <w:sz w:val="20"/>
                <w:szCs w:val="20"/>
              </w:rPr>
              <w:t>13,565.7 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83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837" w14:textId="77777777" w:rsidR="00871BDF" w:rsidRDefault="00871BDF">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0BB0838" w14:textId="77777777" w:rsidR="00871BDF" w:rsidRDefault="005C5088">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0BB0839" w14:textId="77777777" w:rsidR="00871BDF" w:rsidRDefault="005C5088">
            <w:pPr>
              <w:jc w:val="right"/>
              <w:textAlignment w:val="bottom"/>
            </w:pPr>
            <w:r>
              <w:rPr>
                <w:rFonts w:ascii="Times New Roman" w:eastAsia="宋体" w:hAnsi="Times New Roman"/>
                <w:color w:val="000000"/>
                <w:sz w:val="20"/>
                <w:szCs w:val="20"/>
              </w:rPr>
              <w:t>11,662.2 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0BB083A" w14:textId="77777777" w:rsidR="00871BDF" w:rsidRDefault="00871BDF">
            <w:pPr>
              <w:jc w:val="right"/>
              <w:rPr>
                <w:rFonts w:ascii="宋体"/>
              </w:rPr>
            </w:pPr>
          </w:p>
        </w:tc>
      </w:tr>
    </w:tbl>
    <w:p w14:paraId="00BB083C" w14:textId="77777777" w:rsidR="00871BDF" w:rsidRDefault="005C5088">
      <w:pPr>
        <w:spacing w:before="120"/>
      </w:pPr>
      <w:r>
        <w:rPr>
          <w:rFonts w:ascii="Times New Roman" w:eastAsia="宋体" w:hAnsi="Times New Roman"/>
          <w:color w:val="000000"/>
          <w:sz w:val="20"/>
          <w:szCs w:val="20"/>
        </w:rPr>
        <w:t xml:space="preserve">No customer accounts for 10% or more of our revenues. Revenues are shown based on the geographic location of our customers. Revenues from countries other than the U.S. and China consist primarily </w:t>
      </w:r>
      <w:r>
        <w:rPr>
          <w:rFonts w:ascii="Times New Roman" w:eastAsia="宋体" w:hAnsi="Times New Roman"/>
          <w:color w:val="000000"/>
          <w:sz w:val="20"/>
          <w:szCs w:val="20"/>
        </w:rPr>
        <w:t>of revenues from Japan, Canada and the U.K., which together account for approximately 78% of net revenues from other countries for fiscal 2020.</w:t>
      </w:r>
    </w:p>
    <w:p w14:paraId="00BB083D" w14:textId="77777777" w:rsidR="00871BDF" w:rsidRDefault="005C5088">
      <w:pPr>
        <w:spacing w:before="120"/>
      </w:pPr>
      <w:r>
        <w:rPr>
          <w:rFonts w:ascii="Times New Roman" w:eastAsia="宋体" w:hAnsi="Times New Roman"/>
          <w:color w:val="000000"/>
          <w:sz w:val="20"/>
          <w:szCs w:val="20"/>
        </w:rPr>
        <w:t>Management evaluates the performance of its operating segments based on net revenues and operating income. The a</w:t>
      </w:r>
      <w:r>
        <w:rPr>
          <w:rFonts w:ascii="Times New Roman" w:eastAsia="宋体" w:hAnsi="Times New Roman"/>
          <w:color w:val="000000"/>
          <w:sz w:val="20"/>
          <w:szCs w:val="20"/>
        </w:rPr>
        <w:t xml:space="preserve">ccounting policies of the operating segments are the same as those described in </w:t>
      </w:r>
      <w:hyperlink r:id="rId230" w:anchor="i54ccc64cb5384be5a4849ef1cdef4dde_13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w:t>
      </w:r>
      <w:r>
        <w:rPr>
          <w:rFonts w:ascii="Times New Roman" w:eastAsia="宋体" w:hAnsi="Times New Roman"/>
          <w:color w:val="000000"/>
          <w:sz w:val="20"/>
          <w:szCs w:val="20"/>
        </w:rPr>
        <w:t xml:space="preserve">gnificant Accounting Policies. </w:t>
      </w:r>
    </w:p>
    <w:p w14:paraId="00BB083E" w14:textId="77777777" w:rsidR="00871BDF" w:rsidRDefault="005C5088">
      <w:pPr>
        <w:jc w:val="center"/>
      </w:pPr>
      <w:r>
        <w:rPr>
          <w:rFonts w:ascii="Times New Roman" w:eastAsia="宋体" w:hAnsi="Times New Roman"/>
          <w:color w:val="000000"/>
          <w:sz w:val="20"/>
          <w:szCs w:val="20"/>
        </w:rPr>
        <w:t>87</w:t>
      </w:r>
    </w:p>
    <w:p w14:paraId="00BB083F" w14:textId="77777777" w:rsidR="00871BDF" w:rsidRDefault="005C5088">
      <w:r>
        <w:pict w14:anchorId="00BB14BC">
          <v:rect id="_x0000_i1114" style="width:415.3pt;height:1.5pt" o:hralign="center" o:hrstd="t" o:hr="t" fillcolor="#a0a0a0" stroked="f"/>
        </w:pict>
      </w:r>
    </w:p>
    <w:p w14:paraId="00BB0840" w14:textId="77777777" w:rsidR="00871BDF" w:rsidRDefault="005C5088">
      <w:hyperlink r:id="rId231" w:anchor="i54ccc64cb5384be5a4849ef1cdef4dde_7" w:history="1">
        <w:r>
          <w:rPr>
            <w:rStyle w:val="a5"/>
            <w:rFonts w:ascii="Times New Roman" w:eastAsia="宋体" w:hAnsi="Times New Roman"/>
            <w:sz w:val="20"/>
            <w:szCs w:val="20"/>
          </w:rPr>
          <w:t>Table of Contents</w:t>
        </w:r>
      </w:hyperlink>
    </w:p>
    <w:p w14:paraId="00BB0841" w14:textId="77777777" w:rsidR="00871BDF" w:rsidRDefault="005C5088">
      <w:pPr>
        <w:spacing w:before="120"/>
      </w:pPr>
      <w:r>
        <w:rPr>
          <w:rFonts w:ascii="Times New Roman" w:eastAsia="宋体" w:hAnsi="Times New Roman"/>
          <w:color w:val="000000"/>
          <w:sz w:val="20"/>
          <w:szCs w:val="20"/>
        </w:rPr>
        <w:t>Operating income represents earnings before other income and expenses and income taxe</w:t>
      </w:r>
      <w:r>
        <w:rPr>
          <w:rFonts w:ascii="Times New Roman" w:eastAsia="宋体" w:hAnsi="Times New Roman"/>
          <w:color w:val="000000"/>
          <w:sz w:val="20"/>
          <w:szCs w:val="20"/>
        </w:rPr>
        <w:t>s. The identifiable assets by segment disclosed in this note are those assets specifically identifiable within each segment and include cash and cash equivalents, ROU assets, net property, plant and equipment, equity and cost investments, goodwill and othe</w:t>
      </w:r>
      <w:r>
        <w:rPr>
          <w:rFonts w:ascii="Times New Roman" w:eastAsia="宋体" w:hAnsi="Times New Roman"/>
          <w:color w:val="000000"/>
          <w:sz w:val="20"/>
          <w:szCs w:val="20"/>
        </w:rPr>
        <w:t>r intangible assets. Assets not attributed to reportable operating segments are corporate assets and are primarily comprised of cash and cash equivalents available for general corporate purposes, investments, assets of the corporate headquarters and roasti</w:t>
      </w:r>
      <w:r>
        <w:rPr>
          <w:rFonts w:ascii="Times New Roman" w:eastAsia="宋体" w:hAnsi="Times New Roman"/>
          <w:color w:val="000000"/>
          <w:sz w:val="20"/>
          <w:szCs w:val="20"/>
        </w:rPr>
        <w:t>ng facilities and inventory.</w:t>
      </w:r>
    </w:p>
    <w:p w14:paraId="00BB0842" w14:textId="77777777" w:rsidR="00871BDF" w:rsidRDefault="005C5088">
      <w:pPr>
        <w:spacing w:before="120"/>
      </w:pPr>
      <w:r>
        <w:rPr>
          <w:rFonts w:ascii="Times New Roman" w:eastAsia="宋体" w:hAnsi="Times New Roman"/>
          <w:color w:val="000000"/>
          <w:sz w:val="20"/>
          <w:szCs w:val="20"/>
        </w:rPr>
        <w:t>The table below presents financial information for our reportable operating segments and Corporate and Other segment for the years ended September 27, 2020, September 29, 2019 and September 30, 2018.</w:t>
      </w:r>
    </w:p>
    <w:tbl>
      <w:tblPr>
        <w:tblW w:w="4971" w:type="pct"/>
        <w:tblCellMar>
          <w:top w:w="15" w:type="dxa"/>
          <w:left w:w="15" w:type="dxa"/>
          <w:bottom w:w="15" w:type="dxa"/>
          <w:right w:w="15" w:type="dxa"/>
        </w:tblCellMar>
        <w:tblLook w:val="04A0" w:firstRow="1" w:lastRow="0" w:firstColumn="1" w:lastColumn="0" w:noHBand="0" w:noVBand="1"/>
      </w:tblPr>
      <w:tblGrid>
        <w:gridCol w:w="39"/>
        <w:gridCol w:w="2916"/>
        <w:gridCol w:w="38"/>
        <w:gridCol w:w="120"/>
        <w:gridCol w:w="797"/>
        <w:gridCol w:w="36"/>
        <w:gridCol w:w="36"/>
        <w:gridCol w:w="36"/>
        <w:gridCol w:w="36"/>
        <w:gridCol w:w="121"/>
        <w:gridCol w:w="860"/>
        <w:gridCol w:w="36"/>
        <w:gridCol w:w="36"/>
        <w:gridCol w:w="36"/>
        <w:gridCol w:w="36"/>
        <w:gridCol w:w="36"/>
        <w:gridCol w:w="36"/>
        <w:gridCol w:w="121"/>
        <w:gridCol w:w="852"/>
        <w:gridCol w:w="36"/>
        <w:gridCol w:w="36"/>
        <w:gridCol w:w="36"/>
        <w:gridCol w:w="36"/>
        <w:gridCol w:w="120"/>
        <w:gridCol w:w="750"/>
        <w:gridCol w:w="36"/>
        <w:gridCol w:w="36"/>
        <w:gridCol w:w="36"/>
        <w:gridCol w:w="36"/>
        <w:gridCol w:w="120"/>
        <w:gridCol w:w="750"/>
        <w:gridCol w:w="36"/>
      </w:tblGrid>
      <w:tr w:rsidR="00871BDF" w14:paraId="00BB0863" w14:textId="77777777">
        <w:tc>
          <w:tcPr>
            <w:tcW w:w="50" w:type="pct"/>
            <w:shd w:val="clear" w:color="auto" w:fill="auto"/>
          </w:tcPr>
          <w:p w14:paraId="00BB0843" w14:textId="77777777" w:rsidR="00871BDF" w:rsidRDefault="00871BDF">
            <w:pPr>
              <w:rPr>
                <w:rFonts w:ascii="宋体"/>
              </w:rPr>
            </w:pPr>
          </w:p>
        </w:tc>
        <w:tc>
          <w:tcPr>
            <w:tcW w:w="1827" w:type="pct"/>
            <w:shd w:val="clear" w:color="auto" w:fill="auto"/>
          </w:tcPr>
          <w:p w14:paraId="00BB0844" w14:textId="77777777" w:rsidR="00871BDF" w:rsidRDefault="00871BDF">
            <w:pPr>
              <w:rPr>
                <w:rFonts w:ascii="宋体"/>
              </w:rPr>
            </w:pPr>
          </w:p>
        </w:tc>
        <w:tc>
          <w:tcPr>
            <w:tcW w:w="5" w:type="pct"/>
            <w:shd w:val="clear" w:color="auto" w:fill="auto"/>
          </w:tcPr>
          <w:p w14:paraId="00BB0845" w14:textId="77777777" w:rsidR="00871BDF" w:rsidRDefault="00871BDF">
            <w:pPr>
              <w:rPr>
                <w:rFonts w:ascii="宋体"/>
              </w:rPr>
            </w:pPr>
          </w:p>
        </w:tc>
        <w:tc>
          <w:tcPr>
            <w:tcW w:w="50" w:type="pct"/>
            <w:shd w:val="clear" w:color="auto" w:fill="auto"/>
          </w:tcPr>
          <w:p w14:paraId="00BB0846" w14:textId="77777777" w:rsidR="00871BDF" w:rsidRDefault="00871BDF">
            <w:pPr>
              <w:rPr>
                <w:rFonts w:ascii="宋体"/>
              </w:rPr>
            </w:pPr>
          </w:p>
        </w:tc>
        <w:tc>
          <w:tcPr>
            <w:tcW w:w="533" w:type="pct"/>
            <w:shd w:val="clear" w:color="auto" w:fill="auto"/>
          </w:tcPr>
          <w:p w14:paraId="00BB0847" w14:textId="77777777" w:rsidR="00871BDF" w:rsidRDefault="00871BDF">
            <w:pPr>
              <w:rPr>
                <w:rFonts w:ascii="宋体"/>
              </w:rPr>
            </w:pPr>
          </w:p>
        </w:tc>
        <w:tc>
          <w:tcPr>
            <w:tcW w:w="5" w:type="pct"/>
            <w:shd w:val="clear" w:color="auto" w:fill="auto"/>
          </w:tcPr>
          <w:p w14:paraId="00BB0848" w14:textId="77777777" w:rsidR="00871BDF" w:rsidRDefault="00871BDF">
            <w:pPr>
              <w:rPr>
                <w:rFonts w:ascii="宋体"/>
              </w:rPr>
            </w:pPr>
          </w:p>
        </w:tc>
        <w:tc>
          <w:tcPr>
            <w:tcW w:w="5" w:type="pct"/>
            <w:shd w:val="clear" w:color="auto" w:fill="auto"/>
          </w:tcPr>
          <w:p w14:paraId="00BB0849" w14:textId="77777777" w:rsidR="00871BDF" w:rsidRDefault="00871BDF">
            <w:pPr>
              <w:rPr>
                <w:rFonts w:ascii="宋体"/>
              </w:rPr>
            </w:pPr>
          </w:p>
        </w:tc>
        <w:tc>
          <w:tcPr>
            <w:tcW w:w="26" w:type="pct"/>
            <w:shd w:val="clear" w:color="auto" w:fill="auto"/>
          </w:tcPr>
          <w:p w14:paraId="00BB084A" w14:textId="77777777" w:rsidR="00871BDF" w:rsidRDefault="00871BDF">
            <w:pPr>
              <w:rPr>
                <w:rFonts w:ascii="宋体"/>
              </w:rPr>
            </w:pPr>
          </w:p>
        </w:tc>
        <w:tc>
          <w:tcPr>
            <w:tcW w:w="5" w:type="pct"/>
            <w:shd w:val="clear" w:color="auto" w:fill="auto"/>
          </w:tcPr>
          <w:p w14:paraId="00BB084B" w14:textId="77777777" w:rsidR="00871BDF" w:rsidRDefault="00871BDF">
            <w:pPr>
              <w:rPr>
                <w:rFonts w:ascii="宋体"/>
              </w:rPr>
            </w:pPr>
          </w:p>
        </w:tc>
        <w:tc>
          <w:tcPr>
            <w:tcW w:w="50" w:type="pct"/>
            <w:shd w:val="clear" w:color="auto" w:fill="auto"/>
          </w:tcPr>
          <w:p w14:paraId="00BB084C" w14:textId="77777777" w:rsidR="00871BDF" w:rsidRDefault="00871BDF">
            <w:pPr>
              <w:rPr>
                <w:rFonts w:ascii="宋体"/>
              </w:rPr>
            </w:pPr>
          </w:p>
        </w:tc>
        <w:tc>
          <w:tcPr>
            <w:tcW w:w="540" w:type="pct"/>
            <w:shd w:val="clear" w:color="auto" w:fill="auto"/>
          </w:tcPr>
          <w:p w14:paraId="00BB084D" w14:textId="77777777" w:rsidR="00871BDF" w:rsidRDefault="00871BDF">
            <w:pPr>
              <w:rPr>
                <w:rFonts w:ascii="宋体"/>
              </w:rPr>
            </w:pPr>
          </w:p>
        </w:tc>
        <w:tc>
          <w:tcPr>
            <w:tcW w:w="5" w:type="pct"/>
            <w:shd w:val="clear" w:color="auto" w:fill="auto"/>
          </w:tcPr>
          <w:p w14:paraId="00BB084E" w14:textId="77777777" w:rsidR="00871BDF" w:rsidRDefault="00871BDF">
            <w:pPr>
              <w:rPr>
                <w:rFonts w:ascii="宋体"/>
              </w:rPr>
            </w:pPr>
          </w:p>
        </w:tc>
        <w:tc>
          <w:tcPr>
            <w:tcW w:w="5" w:type="pct"/>
            <w:shd w:val="clear" w:color="auto" w:fill="auto"/>
          </w:tcPr>
          <w:p w14:paraId="00BB084F" w14:textId="77777777" w:rsidR="00871BDF" w:rsidRDefault="00871BDF">
            <w:pPr>
              <w:rPr>
                <w:rFonts w:ascii="宋体"/>
              </w:rPr>
            </w:pPr>
          </w:p>
        </w:tc>
        <w:tc>
          <w:tcPr>
            <w:tcW w:w="26" w:type="pct"/>
            <w:shd w:val="clear" w:color="auto" w:fill="auto"/>
          </w:tcPr>
          <w:p w14:paraId="00BB0850" w14:textId="77777777" w:rsidR="00871BDF" w:rsidRDefault="00871BDF">
            <w:pPr>
              <w:rPr>
                <w:rFonts w:ascii="宋体"/>
              </w:rPr>
            </w:pPr>
          </w:p>
        </w:tc>
        <w:tc>
          <w:tcPr>
            <w:tcW w:w="5" w:type="pct"/>
            <w:shd w:val="clear" w:color="auto" w:fill="auto"/>
          </w:tcPr>
          <w:p w14:paraId="00BB0851" w14:textId="77777777" w:rsidR="00871BDF" w:rsidRDefault="00871BDF">
            <w:pPr>
              <w:rPr>
                <w:rFonts w:ascii="宋体"/>
              </w:rPr>
            </w:pPr>
          </w:p>
        </w:tc>
        <w:tc>
          <w:tcPr>
            <w:tcW w:w="0" w:type="auto"/>
            <w:shd w:val="clear" w:color="auto" w:fill="auto"/>
          </w:tcPr>
          <w:p w14:paraId="00BB0852" w14:textId="77777777" w:rsidR="00871BDF" w:rsidRDefault="00871BDF">
            <w:pPr>
              <w:rPr>
                <w:rFonts w:ascii="宋体"/>
                <w:vanish/>
              </w:rPr>
            </w:pPr>
          </w:p>
        </w:tc>
        <w:tc>
          <w:tcPr>
            <w:tcW w:w="0" w:type="auto"/>
            <w:shd w:val="clear" w:color="auto" w:fill="auto"/>
          </w:tcPr>
          <w:p w14:paraId="00BB0853" w14:textId="77777777" w:rsidR="00871BDF" w:rsidRDefault="00871BDF">
            <w:pPr>
              <w:rPr>
                <w:rFonts w:ascii="宋体"/>
                <w:vanish/>
              </w:rPr>
            </w:pPr>
          </w:p>
        </w:tc>
        <w:tc>
          <w:tcPr>
            <w:tcW w:w="50" w:type="pct"/>
            <w:shd w:val="clear" w:color="auto" w:fill="auto"/>
          </w:tcPr>
          <w:p w14:paraId="00BB0854" w14:textId="77777777" w:rsidR="00871BDF" w:rsidRDefault="00871BDF">
            <w:pPr>
              <w:rPr>
                <w:rFonts w:ascii="宋体"/>
              </w:rPr>
            </w:pPr>
          </w:p>
        </w:tc>
        <w:tc>
          <w:tcPr>
            <w:tcW w:w="540" w:type="pct"/>
            <w:shd w:val="clear" w:color="auto" w:fill="auto"/>
          </w:tcPr>
          <w:p w14:paraId="00BB0855" w14:textId="77777777" w:rsidR="00871BDF" w:rsidRDefault="00871BDF">
            <w:pPr>
              <w:rPr>
                <w:rFonts w:ascii="宋体"/>
              </w:rPr>
            </w:pPr>
          </w:p>
        </w:tc>
        <w:tc>
          <w:tcPr>
            <w:tcW w:w="5" w:type="pct"/>
            <w:shd w:val="clear" w:color="auto" w:fill="auto"/>
          </w:tcPr>
          <w:p w14:paraId="00BB0856" w14:textId="77777777" w:rsidR="00871BDF" w:rsidRDefault="00871BDF">
            <w:pPr>
              <w:rPr>
                <w:rFonts w:ascii="宋体"/>
              </w:rPr>
            </w:pPr>
          </w:p>
        </w:tc>
        <w:tc>
          <w:tcPr>
            <w:tcW w:w="5" w:type="pct"/>
            <w:shd w:val="clear" w:color="auto" w:fill="auto"/>
          </w:tcPr>
          <w:p w14:paraId="00BB0857" w14:textId="77777777" w:rsidR="00871BDF" w:rsidRDefault="00871BDF">
            <w:pPr>
              <w:rPr>
                <w:rFonts w:ascii="宋体"/>
              </w:rPr>
            </w:pPr>
          </w:p>
        </w:tc>
        <w:tc>
          <w:tcPr>
            <w:tcW w:w="26" w:type="pct"/>
            <w:shd w:val="clear" w:color="auto" w:fill="auto"/>
          </w:tcPr>
          <w:p w14:paraId="00BB0858" w14:textId="77777777" w:rsidR="00871BDF" w:rsidRDefault="00871BDF">
            <w:pPr>
              <w:rPr>
                <w:rFonts w:ascii="宋体"/>
              </w:rPr>
            </w:pPr>
          </w:p>
        </w:tc>
        <w:tc>
          <w:tcPr>
            <w:tcW w:w="5" w:type="pct"/>
            <w:shd w:val="clear" w:color="auto" w:fill="auto"/>
          </w:tcPr>
          <w:p w14:paraId="00BB0859" w14:textId="77777777" w:rsidR="00871BDF" w:rsidRDefault="00871BDF">
            <w:pPr>
              <w:rPr>
                <w:rFonts w:ascii="宋体"/>
              </w:rPr>
            </w:pPr>
          </w:p>
        </w:tc>
        <w:tc>
          <w:tcPr>
            <w:tcW w:w="50" w:type="pct"/>
            <w:shd w:val="clear" w:color="auto" w:fill="auto"/>
          </w:tcPr>
          <w:p w14:paraId="00BB085A" w14:textId="77777777" w:rsidR="00871BDF" w:rsidRDefault="00871BDF">
            <w:pPr>
              <w:rPr>
                <w:rFonts w:ascii="宋体"/>
              </w:rPr>
            </w:pPr>
          </w:p>
        </w:tc>
        <w:tc>
          <w:tcPr>
            <w:tcW w:w="540" w:type="pct"/>
            <w:shd w:val="clear" w:color="auto" w:fill="auto"/>
          </w:tcPr>
          <w:p w14:paraId="00BB085B" w14:textId="77777777" w:rsidR="00871BDF" w:rsidRDefault="00871BDF">
            <w:pPr>
              <w:rPr>
                <w:rFonts w:ascii="宋体"/>
              </w:rPr>
            </w:pPr>
          </w:p>
        </w:tc>
        <w:tc>
          <w:tcPr>
            <w:tcW w:w="5" w:type="pct"/>
            <w:shd w:val="clear" w:color="auto" w:fill="auto"/>
          </w:tcPr>
          <w:p w14:paraId="00BB085C" w14:textId="77777777" w:rsidR="00871BDF" w:rsidRDefault="00871BDF">
            <w:pPr>
              <w:rPr>
                <w:rFonts w:ascii="宋体"/>
              </w:rPr>
            </w:pPr>
          </w:p>
        </w:tc>
        <w:tc>
          <w:tcPr>
            <w:tcW w:w="5" w:type="pct"/>
            <w:shd w:val="clear" w:color="auto" w:fill="auto"/>
          </w:tcPr>
          <w:p w14:paraId="00BB085D" w14:textId="77777777" w:rsidR="00871BDF" w:rsidRDefault="00871BDF">
            <w:pPr>
              <w:rPr>
                <w:rFonts w:ascii="宋体"/>
              </w:rPr>
            </w:pPr>
          </w:p>
        </w:tc>
        <w:tc>
          <w:tcPr>
            <w:tcW w:w="26" w:type="pct"/>
            <w:shd w:val="clear" w:color="auto" w:fill="auto"/>
          </w:tcPr>
          <w:p w14:paraId="00BB085E" w14:textId="77777777" w:rsidR="00871BDF" w:rsidRDefault="00871BDF">
            <w:pPr>
              <w:rPr>
                <w:rFonts w:ascii="宋体"/>
              </w:rPr>
            </w:pPr>
          </w:p>
        </w:tc>
        <w:tc>
          <w:tcPr>
            <w:tcW w:w="5" w:type="pct"/>
            <w:shd w:val="clear" w:color="auto" w:fill="auto"/>
          </w:tcPr>
          <w:p w14:paraId="00BB085F" w14:textId="77777777" w:rsidR="00871BDF" w:rsidRDefault="00871BDF">
            <w:pPr>
              <w:rPr>
                <w:rFonts w:ascii="宋体"/>
              </w:rPr>
            </w:pPr>
          </w:p>
        </w:tc>
        <w:tc>
          <w:tcPr>
            <w:tcW w:w="50" w:type="pct"/>
            <w:shd w:val="clear" w:color="auto" w:fill="auto"/>
          </w:tcPr>
          <w:p w14:paraId="00BB0860" w14:textId="77777777" w:rsidR="00871BDF" w:rsidRDefault="00871BDF">
            <w:pPr>
              <w:rPr>
                <w:rFonts w:ascii="宋体"/>
              </w:rPr>
            </w:pPr>
          </w:p>
        </w:tc>
        <w:tc>
          <w:tcPr>
            <w:tcW w:w="540" w:type="pct"/>
            <w:shd w:val="clear" w:color="auto" w:fill="auto"/>
          </w:tcPr>
          <w:p w14:paraId="00BB0861" w14:textId="77777777" w:rsidR="00871BDF" w:rsidRDefault="00871BDF">
            <w:pPr>
              <w:rPr>
                <w:rFonts w:ascii="宋体"/>
              </w:rPr>
            </w:pPr>
          </w:p>
        </w:tc>
        <w:tc>
          <w:tcPr>
            <w:tcW w:w="5" w:type="pct"/>
            <w:shd w:val="clear" w:color="auto" w:fill="auto"/>
          </w:tcPr>
          <w:p w14:paraId="00BB0862" w14:textId="77777777" w:rsidR="00871BDF" w:rsidRDefault="00871BDF">
            <w:pPr>
              <w:rPr>
                <w:rFonts w:ascii="宋体"/>
              </w:rPr>
            </w:pPr>
          </w:p>
        </w:tc>
      </w:tr>
      <w:tr w:rsidR="00871BDF" w14:paraId="00BB0872" w14:textId="77777777">
        <w:tc>
          <w:tcPr>
            <w:tcW w:w="0" w:type="auto"/>
            <w:gridSpan w:val="3"/>
            <w:shd w:val="clear" w:color="auto" w:fill="auto"/>
            <w:tcMar>
              <w:top w:w="40" w:type="dxa"/>
              <w:left w:w="20" w:type="dxa"/>
              <w:bottom w:w="40" w:type="dxa"/>
              <w:right w:w="20" w:type="dxa"/>
            </w:tcMar>
            <w:vAlign w:val="bottom"/>
          </w:tcPr>
          <w:p w14:paraId="00BB0864" w14:textId="77777777" w:rsidR="00871BDF" w:rsidRDefault="005C5088">
            <w:pPr>
              <w:textAlignment w:val="bottom"/>
            </w:pPr>
            <w:r>
              <w:rPr>
                <w:rFonts w:ascii="Times New Roman" w:eastAsia="宋体" w:hAnsi="Times New Roman"/>
                <w:color w:val="000000"/>
                <w:sz w:val="20"/>
                <w:szCs w:val="20"/>
              </w:rPr>
              <w:t>(</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c>
        <w:tc>
          <w:tcPr>
            <w:tcW w:w="0" w:type="auto"/>
            <w:gridSpan w:val="3"/>
            <w:shd w:val="clear" w:color="auto" w:fill="00704A"/>
            <w:tcMar>
              <w:top w:w="40" w:type="dxa"/>
              <w:left w:w="20" w:type="dxa"/>
              <w:bottom w:w="40" w:type="dxa"/>
              <w:right w:w="20" w:type="dxa"/>
            </w:tcMar>
            <w:vAlign w:val="bottom"/>
          </w:tcPr>
          <w:p w14:paraId="00BB0865" w14:textId="77777777" w:rsidR="00871BDF" w:rsidRDefault="005C5088">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top w:w="0" w:type="dxa"/>
              <w:left w:w="20" w:type="dxa"/>
              <w:bottom w:w="0" w:type="dxa"/>
              <w:right w:w="20" w:type="dxa"/>
            </w:tcMar>
          </w:tcPr>
          <w:p w14:paraId="00BB0866"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867" w14:textId="77777777" w:rsidR="00871BDF" w:rsidRDefault="005C5088">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tcPr>
          <w:p w14:paraId="00BB0868" w14:textId="77777777" w:rsidR="00871BDF" w:rsidRDefault="00871BDF">
            <w:pPr>
              <w:rPr>
                <w:rFonts w:ascii="宋体"/>
              </w:rPr>
            </w:pPr>
          </w:p>
        </w:tc>
        <w:tc>
          <w:tcPr>
            <w:tcW w:w="0" w:type="auto"/>
            <w:shd w:val="clear" w:color="auto" w:fill="auto"/>
          </w:tcPr>
          <w:p w14:paraId="00BB0869" w14:textId="77777777" w:rsidR="00871BDF" w:rsidRDefault="00871BDF">
            <w:pPr>
              <w:rPr>
                <w:rFonts w:ascii="宋体"/>
                <w:vanish/>
              </w:rPr>
            </w:pPr>
          </w:p>
        </w:tc>
        <w:tc>
          <w:tcPr>
            <w:tcW w:w="0" w:type="auto"/>
            <w:shd w:val="clear" w:color="auto" w:fill="auto"/>
          </w:tcPr>
          <w:p w14:paraId="00BB086A" w14:textId="77777777" w:rsidR="00871BDF" w:rsidRDefault="00871BDF">
            <w:pPr>
              <w:rPr>
                <w:rFonts w:ascii="宋体"/>
                <w:vanish/>
              </w:rPr>
            </w:pPr>
          </w:p>
        </w:tc>
        <w:tc>
          <w:tcPr>
            <w:tcW w:w="0" w:type="auto"/>
            <w:gridSpan w:val="3"/>
            <w:shd w:val="clear" w:color="auto" w:fill="00704A"/>
            <w:tcMar>
              <w:top w:w="40" w:type="dxa"/>
              <w:left w:w="20" w:type="dxa"/>
              <w:bottom w:w="40" w:type="dxa"/>
              <w:right w:w="20" w:type="dxa"/>
            </w:tcMar>
            <w:vAlign w:val="bottom"/>
          </w:tcPr>
          <w:p w14:paraId="00BB086B" w14:textId="77777777" w:rsidR="00871BDF" w:rsidRDefault="005C5088">
            <w:pPr>
              <w:jc w:val="center"/>
              <w:textAlignment w:val="bottom"/>
            </w:pPr>
            <w:r>
              <w:rPr>
                <w:rFonts w:ascii="Times New Roman" w:eastAsia="宋体" w:hAnsi="Times New Roman"/>
                <w:b/>
                <w:bCs/>
                <w:color w:val="FFFFFF"/>
                <w:sz w:val="16"/>
                <w:szCs w:val="16"/>
              </w:rPr>
              <w:t>Channel</w:t>
            </w:r>
          </w:p>
          <w:p w14:paraId="00BB086C" w14:textId="77777777" w:rsidR="00871BDF" w:rsidRDefault="005C5088">
            <w:pPr>
              <w:jc w:val="center"/>
              <w:textAlignment w:val="bottom"/>
            </w:pPr>
            <w:r>
              <w:rPr>
                <w:rFonts w:ascii="Times New Roman" w:eastAsia="宋体" w:hAnsi="Times New Roman"/>
                <w:b/>
                <w:bCs/>
                <w:color w:val="FFFFFF"/>
                <w:sz w:val="16"/>
                <w:szCs w:val="16"/>
              </w:rPr>
              <w:t>Development</w:t>
            </w:r>
          </w:p>
        </w:tc>
        <w:tc>
          <w:tcPr>
            <w:tcW w:w="0" w:type="auto"/>
            <w:gridSpan w:val="3"/>
            <w:shd w:val="clear" w:color="auto" w:fill="auto"/>
            <w:tcMar>
              <w:top w:w="0" w:type="dxa"/>
              <w:left w:w="20" w:type="dxa"/>
              <w:bottom w:w="0" w:type="dxa"/>
              <w:right w:w="20" w:type="dxa"/>
            </w:tcMar>
          </w:tcPr>
          <w:p w14:paraId="00BB086D"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86E" w14:textId="77777777" w:rsidR="00871BDF" w:rsidRDefault="005C5088">
            <w:pPr>
              <w:jc w:val="center"/>
              <w:textAlignment w:val="bottom"/>
            </w:pPr>
            <w:r>
              <w:rPr>
                <w:rFonts w:ascii="Times New Roman" w:eastAsia="宋体" w:hAnsi="Times New Roman"/>
                <w:b/>
                <w:bCs/>
                <w:color w:val="FFFFFF"/>
                <w:sz w:val="16"/>
                <w:szCs w:val="16"/>
              </w:rPr>
              <w:t xml:space="preserve">Corporate and Other </w:t>
            </w:r>
          </w:p>
        </w:tc>
        <w:tc>
          <w:tcPr>
            <w:tcW w:w="0" w:type="auto"/>
            <w:gridSpan w:val="3"/>
            <w:shd w:val="clear" w:color="auto" w:fill="auto"/>
            <w:tcMar>
              <w:top w:w="0" w:type="dxa"/>
              <w:left w:w="20" w:type="dxa"/>
              <w:bottom w:w="0" w:type="dxa"/>
              <w:right w:w="20" w:type="dxa"/>
            </w:tcMar>
          </w:tcPr>
          <w:p w14:paraId="00BB086F"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870" w14:textId="77777777" w:rsidR="00871BDF" w:rsidRDefault="00871BDF">
            <w:pPr>
              <w:jc w:val="center"/>
              <w:textAlignment w:val="bottom"/>
            </w:pPr>
          </w:p>
          <w:p w14:paraId="00BB0871" w14:textId="77777777" w:rsidR="00871BDF" w:rsidRDefault="005C5088">
            <w:pPr>
              <w:jc w:val="center"/>
              <w:textAlignment w:val="bottom"/>
            </w:pPr>
            <w:r>
              <w:rPr>
                <w:rFonts w:ascii="Times New Roman" w:eastAsia="宋体" w:hAnsi="Times New Roman"/>
                <w:b/>
                <w:bCs/>
                <w:color w:val="FFFFFF"/>
                <w:sz w:val="16"/>
                <w:szCs w:val="16"/>
              </w:rPr>
              <w:t>Total</w:t>
            </w:r>
          </w:p>
        </w:tc>
      </w:tr>
      <w:tr w:rsidR="00871BDF" w14:paraId="00BB087F" w14:textId="77777777">
        <w:tc>
          <w:tcPr>
            <w:tcW w:w="0" w:type="auto"/>
            <w:gridSpan w:val="3"/>
            <w:shd w:val="clear" w:color="auto" w:fill="D7E4BC"/>
            <w:tcMar>
              <w:top w:w="40" w:type="dxa"/>
              <w:left w:w="20" w:type="dxa"/>
              <w:bottom w:w="40" w:type="dxa"/>
              <w:right w:w="20" w:type="dxa"/>
            </w:tcMar>
            <w:vAlign w:val="bottom"/>
          </w:tcPr>
          <w:p w14:paraId="00BB0873" w14:textId="77777777" w:rsidR="00871BDF" w:rsidRDefault="005C5088">
            <w:pPr>
              <w:textAlignment w:val="bottom"/>
            </w:pPr>
            <w:r>
              <w:rPr>
                <w:rFonts w:ascii="Times New Roman" w:eastAsia="宋体" w:hAnsi="Times New Roman"/>
                <w:i/>
                <w:iCs/>
                <w:color w:val="000000"/>
                <w:sz w:val="20"/>
                <w:szCs w:val="20"/>
              </w:rPr>
              <w:t>Fiscal 2020</w:t>
            </w:r>
          </w:p>
        </w:tc>
        <w:tc>
          <w:tcPr>
            <w:tcW w:w="0" w:type="auto"/>
            <w:gridSpan w:val="3"/>
            <w:tcBorders>
              <w:top w:val="single" w:sz="8" w:space="0" w:color="000000"/>
            </w:tcBorders>
            <w:shd w:val="clear" w:color="auto" w:fill="D7E4BC"/>
            <w:tcMar>
              <w:top w:w="0" w:type="dxa"/>
              <w:left w:w="20" w:type="dxa"/>
              <w:bottom w:w="0" w:type="dxa"/>
              <w:right w:w="20" w:type="dxa"/>
            </w:tcMar>
          </w:tcPr>
          <w:p w14:paraId="00BB087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7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87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77" w14:textId="77777777" w:rsidR="00871BDF" w:rsidRDefault="00871BDF">
            <w:pPr>
              <w:rPr>
                <w:rFonts w:ascii="宋体"/>
              </w:rPr>
            </w:pPr>
          </w:p>
        </w:tc>
        <w:tc>
          <w:tcPr>
            <w:tcW w:w="0" w:type="auto"/>
            <w:shd w:val="clear" w:color="auto" w:fill="auto"/>
          </w:tcPr>
          <w:p w14:paraId="00BB0878" w14:textId="77777777" w:rsidR="00871BDF" w:rsidRDefault="00871BDF">
            <w:pPr>
              <w:rPr>
                <w:rFonts w:ascii="宋体"/>
                <w:vanish/>
              </w:rPr>
            </w:pPr>
          </w:p>
        </w:tc>
        <w:tc>
          <w:tcPr>
            <w:tcW w:w="0" w:type="auto"/>
            <w:shd w:val="clear" w:color="auto" w:fill="auto"/>
          </w:tcPr>
          <w:p w14:paraId="00BB0879" w14:textId="77777777" w:rsidR="00871BDF" w:rsidRDefault="00871BDF">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87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7B"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87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7D"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87E" w14:textId="77777777" w:rsidR="00871BDF" w:rsidRDefault="00871BDF">
            <w:pPr>
              <w:rPr>
                <w:rFonts w:ascii="宋体"/>
              </w:rPr>
            </w:pPr>
          </w:p>
        </w:tc>
      </w:tr>
      <w:tr w:rsidR="00871BDF" w14:paraId="00BB0896" w14:textId="77777777">
        <w:tc>
          <w:tcPr>
            <w:tcW w:w="0" w:type="auto"/>
            <w:gridSpan w:val="3"/>
            <w:shd w:val="clear" w:color="auto" w:fill="FFFFFF"/>
            <w:tcMar>
              <w:top w:w="40" w:type="dxa"/>
              <w:left w:w="20" w:type="dxa"/>
              <w:bottom w:w="40" w:type="dxa"/>
              <w:right w:w="20" w:type="dxa"/>
            </w:tcMar>
          </w:tcPr>
          <w:p w14:paraId="00BB0880" w14:textId="77777777" w:rsidR="00871BDF" w:rsidRDefault="005C5088">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00BB0881"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882" w14:textId="77777777" w:rsidR="00871BDF" w:rsidRDefault="005C5088">
            <w:pPr>
              <w:jc w:val="right"/>
              <w:textAlignment w:val="bottom"/>
            </w:pPr>
            <w:r>
              <w:rPr>
                <w:rFonts w:ascii="Times New Roman" w:eastAsia="宋体" w:hAnsi="Times New Roman"/>
                <w:color w:val="000000"/>
                <w:sz w:val="20"/>
                <w:szCs w:val="20"/>
              </w:rPr>
              <w:t>16,379.2 </w:t>
            </w:r>
          </w:p>
        </w:tc>
        <w:tc>
          <w:tcPr>
            <w:tcW w:w="0" w:type="auto"/>
            <w:shd w:val="clear" w:color="auto" w:fill="FFFFFF"/>
            <w:tcMar>
              <w:top w:w="40" w:type="dxa"/>
              <w:left w:w="0" w:type="dxa"/>
              <w:bottom w:w="40" w:type="dxa"/>
              <w:right w:w="20" w:type="dxa"/>
            </w:tcMar>
            <w:vAlign w:val="bottom"/>
          </w:tcPr>
          <w:p w14:paraId="00BB088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84"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885"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886" w14:textId="77777777" w:rsidR="00871BDF" w:rsidRDefault="005C5088">
            <w:pPr>
              <w:jc w:val="right"/>
              <w:textAlignment w:val="bottom"/>
            </w:pPr>
            <w:r>
              <w:rPr>
                <w:rFonts w:ascii="Times New Roman" w:eastAsia="宋体" w:hAnsi="Times New Roman"/>
                <w:color w:val="000000"/>
                <w:sz w:val="20"/>
                <w:szCs w:val="20"/>
              </w:rPr>
              <w:t>5,147.6 </w:t>
            </w:r>
          </w:p>
        </w:tc>
        <w:tc>
          <w:tcPr>
            <w:tcW w:w="0" w:type="auto"/>
            <w:shd w:val="clear" w:color="auto" w:fill="FFFFFF"/>
            <w:tcMar>
              <w:top w:w="40" w:type="dxa"/>
              <w:left w:w="0" w:type="dxa"/>
              <w:bottom w:w="40" w:type="dxa"/>
              <w:right w:w="20" w:type="dxa"/>
            </w:tcMar>
            <w:vAlign w:val="bottom"/>
          </w:tcPr>
          <w:p w14:paraId="00BB088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88" w14:textId="77777777" w:rsidR="00871BDF" w:rsidRDefault="00871BDF">
            <w:pPr>
              <w:rPr>
                <w:rFonts w:ascii="宋体"/>
              </w:rPr>
            </w:pPr>
          </w:p>
        </w:tc>
        <w:tc>
          <w:tcPr>
            <w:tcW w:w="0" w:type="auto"/>
            <w:shd w:val="clear" w:color="auto" w:fill="auto"/>
          </w:tcPr>
          <w:p w14:paraId="00BB0889" w14:textId="77777777" w:rsidR="00871BDF" w:rsidRDefault="00871BDF">
            <w:pPr>
              <w:rPr>
                <w:rFonts w:ascii="宋体"/>
                <w:vanish/>
              </w:rPr>
            </w:pPr>
          </w:p>
        </w:tc>
        <w:tc>
          <w:tcPr>
            <w:tcW w:w="0" w:type="auto"/>
            <w:shd w:val="clear" w:color="auto" w:fill="auto"/>
          </w:tcPr>
          <w:p w14:paraId="00BB088A" w14:textId="77777777" w:rsidR="00871BDF" w:rsidRDefault="00871BDF">
            <w:pPr>
              <w:rPr>
                <w:rFonts w:ascii="宋体"/>
                <w:vanish/>
              </w:rPr>
            </w:pPr>
          </w:p>
        </w:tc>
        <w:tc>
          <w:tcPr>
            <w:tcW w:w="0" w:type="auto"/>
            <w:shd w:val="clear" w:color="auto" w:fill="FFFFFF"/>
            <w:tcMar>
              <w:top w:w="40" w:type="dxa"/>
              <w:left w:w="20" w:type="dxa"/>
              <w:bottom w:w="40" w:type="dxa"/>
              <w:right w:w="0" w:type="dxa"/>
            </w:tcMar>
            <w:vAlign w:val="bottom"/>
          </w:tcPr>
          <w:p w14:paraId="00BB088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88C" w14:textId="77777777" w:rsidR="00871BDF" w:rsidRDefault="005C5088">
            <w:pPr>
              <w:jc w:val="right"/>
              <w:textAlignment w:val="bottom"/>
            </w:pPr>
            <w:r>
              <w:rPr>
                <w:rFonts w:ascii="Times New Roman" w:eastAsia="宋体" w:hAnsi="Times New Roman"/>
                <w:color w:val="000000"/>
                <w:sz w:val="20"/>
                <w:szCs w:val="20"/>
              </w:rPr>
              <w:t>1,925.0 </w:t>
            </w:r>
          </w:p>
        </w:tc>
        <w:tc>
          <w:tcPr>
            <w:tcW w:w="0" w:type="auto"/>
            <w:shd w:val="clear" w:color="auto" w:fill="FFFFFF"/>
            <w:tcMar>
              <w:top w:w="40" w:type="dxa"/>
              <w:left w:w="0" w:type="dxa"/>
              <w:bottom w:w="40" w:type="dxa"/>
              <w:right w:w="20" w:type="dxa"/>
            </w:tcMar>
            <w:vAlign w:val="bottom"/>
          </w:tcPr>
          <w:p w14:paraId="00BB088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8E"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88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890" w14:textId="77777777" w:rsidR="00871BDF" w:rsidRDefault="005C5088">
            <w:pPr>
              <w:jc w:val="right"/>
              <w:textAlignment w:val="bottom"/>
            </w:pPr>
            <w:r>
              <w:rPr>
                <w:rFonts w:ascii="Times New Roman" w:eastAsia="宋体" w:hAnsi="Times New Roman"/>
                <w:color w:val="000000"/>
                <w:sz w:val="20"/>
                <w:szCs w:val="20"/>
              </w:rPr>
              <w:t>66.2 </w:t>
            </w:r>
          </w:p>
        </w:tc>
        <w:tc>
          <w:tcPr>
            <w:tcW w:w="0" w:type="auto"/>
            <w:shd w:val="clear" w:color="auto" w:fill="FFFFFF"/>
            <w:tcMar>
              <w:top w:w="40" w:type="dxa"/>
              <w:left w:w="0" w:type="dxa"/>
              <w:bottom w:w="40" w:type="dxa"/>
              <w:right w:w="20" w:type="dxa"/>
            </w:tcMar>
            <w:vAlign w:val="bottom"/>
          </w:tcPr>
          <w:p w14:paraId="00BB0891"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92"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89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894" w14:textId="77777777" w:rsidR="00871BDF" w:rsidRDefault="005C5088">
            <w:pPr>
              <w:jc w:val="right"/>
              <w:textAlignment w:val="bottom"/>
            </w:pPr>
            <w:r>
              <w:rPr>
                <w:rFonts w:ascii="Times New Roman" w:eastAsia="宋体" w:hAnsi="Times New Roman"/>
                <w:color w:val="000000"/>
                <w:sz w:val="20"/>
                <w:szCs w:val="20"/>
              </w:rPr>
              <w:t>23,518.0 </w:t>
            </w:r>
          </w:p>
        </w:tc>
        <w:tc>
          <w:tcPr>
            <w:tcW w:w="0" w:type="auto"/>
            <w:shd w:val="clear" w:color="auto" w:fill="FFFFFF"/>
            <w:tcMar>
              <w:top w:w="40" w:type="dxa"/>
              <w:left w:w="0" w:type="dxa"/>
              <w:bottom w:w="40" w:type="dxa"/>
              <w:right w:w="20" w:type="dxa"/>
            </w:tcMar>
            <w:vAlign w:val="bottom"/>
          </w:tcPr>
          <w:p w14:paraId="00BB0895" w14:textId="77777777" w:rsidR="00871BDF" w:rsidRDefault="00871BDF">
            <w:pPr>
              <w:jc w:val="right"/>
              <w:rPr>
                <w:rFonts w:ascii="宋体"/>
              </w:rPr>
            </w:pPr>
          </w:p>
        </w:tc>
      </w:tr>
      <w:tr w:rsidR="00871BDF" w14:paraId="00BB08A8" w14:textId="77777777">
        <w:tc>
          <w:tcPr>
            <w:tcW w:w="0" w:type="auto"/>
            <w:gridSpan w:val="3"/>
            <w:shd w:val="clear" w:color="auto" w:fill="D7E4BC"/>
            <w:tcMar>
              <w:top w:w="40" w:type="dxa"/>
              <w:left w:w="20" w:type="dxa"/>
              <w:bottom w:w="40" w:type="dxa"/>
              <w:right w:w="20" w:type="dxa"/>
            </w:tcMar>
          </w:tcPr>
          <w:p w14:paraId="00BB0897"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0BB0898" w14:textId="77777777" w:rsidR="00871BDF" w:rsidRDefault="005C5088">
            <w:pPr>
              <w:jc w:val="right"/>
              <w:textAlignment w:val="bottom"/>
            </w:pPr>
            <w:r>
              <w:rPr>
                <w:rFonts w:ascii="Times New Roman" w:eastAsia="宋体" w:hAnsi="Times New Roman"/>
                <w:color w:val="000000"/>
                <w:sz w:val="20"/>
                <w:szCs w:val="20"/>
              </w:rPr>
              <w:t>762.0 </w:t>
            </w:r>
          </w:p>
        </w:tc>
        <w:tc>
          <w:tcPr>
            <w:tcW w:w="0" w:type="auto"/>
            <w:shd w:val="clear" w:color="auto" w:fill="D7E4BC"/>
            <w:tcMar>
              <w:top w:w="40" w:type="dxa"/>
              <w:left w:w="0" w:type="dxa"/>
              <w:bottom w:w="40" w:type="dxa"/>
              <w:right w:w="20" w:type="dxa"/>
            </w:tcMar>
            <w:vAlign w:val="bottom"/>
          </w:tcPr>
          <w:p w14:paraId="00BB089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89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89B" w14:textId="77777777" w:rsidR="00871BDF" w:rsidRDefault="005C5088">
            <w:pPr>
              <w:jc w:val="right"/>
              <w:textAlignment w:val="bottom"/>
            </w:pPr>
            <w:r>
              <w:rPr>
                <w:rFonts w:ascii="Times New Roman" w:eastAsia="宋体" w:hAnsi="Times New Roman"/>
                <w:color w:val="000000"/>
                <w:sz w:val="20"/>
                <w:szCs w:val="20"/>
              </w:rPr>
              <w:t>518.4 </w:t>
            </w:r>
          </w:p>
        </w:tc>
        <w:tc>
          <w:tcPr>
            <w:tcW w:w="0" w:type="auto"/>
            <w:shd w:val="clear" w:color="auto" w:fill="D7E4BC"/>
            <w:tcMar>
              <w:top w:w="40" w:type="dxa"/>
              <w:left w:w="0" w:type="dxa"/>
              <w:bottom w:w="40" w:type="dxa"/>
              <w:right w:w="20" w:type="dxa"/>
            </w:tcMar>
            <w:vAlign w:val="bottom"/>
          </w:tcPr>
          <w:p w14:paraId="00BB089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89D" w14:textId="77777777" w:rsidR="00871BDF" w:rsidRDefault="00871BDF">
            <w:pPr>
              <w:rPr>
                <w:rFonts w:ascii="宋体"/>
              </w:rPr>
            </w:pPr>
          </w:p>
        </w:tc>
        <w:tc>
          <w:tcPr>
            <w:tcW w:w="0" w:type="auto"/>
            <w:shd w:val="clear" w:color="auto" w:fill="auto"/>
          </w:tcPr>
          <w:p w14:paraId="00BB089E" w14:textId="77777777" w:rsidR="00871BDF" w:rsidRDefault="00871BDF">
            <w:pPr>
              <w:rPr>
                <w:rFonts w:ascii="宋体"/>
                <w:vanish/>
              </w:rPr>
            </w:pPr>
          </w:p>
        </w:tc>
        <w:tc>
          <w:tcPr>
            <w:tcW w:w="0" w:type="auto"/>
            <w:shd w:val="clear" w:color="auto" w:fill="auto"/>
          </w:tcPr>
          <w:p w14:paraId="00BB089F" w14:textId="77777777" w:rsidR="00871BDF" w:rsidRDefault="00871BDF">
            <w:pPr>
              <w:rPr>
                <w:rFonts w:ascii="宋体"/>
                <w:vanish/>
              </w:rPr>
            </w:pPr>
          </w:p>
        </w:tc>
        <w:tc>
          <w:tcPr>
            <w:tcW w:w="0" w:type="auto"/>
            <w:gridSpan w:val="2"/>
            <w:shd w:val="clear" w:color="auto" w:fill="D7E4BC"/>
            <w:tcMar>
              <w:top w:w="40" w:type="dxa"/>
              <w:left w:w="20" w:type="dxa"/>
              <w:bottom w:w="40" w:type="dxa"/>
              <w:right w:w="0" w:type="dxa"/>
            </w:tcMar>
            <w:vAlign w:val="bottom"/>
          </w:tcPr>
          <w:p w14:paraId="00BB08A0" w14:textId="77777777" w:rsidR="00871BDF" w:rsidRDefault="005C5088">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0BB08A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8A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8A3" w14:textId="77777777" w:rsidR="00871BDF" w:rsidRDefault="005C5088">
            <w:pPr>
              <w:jc w:val="right"/>
              <w:textAlignment w:val="bottom"/>
            </w:pPr>
            <w:r>
              <w:rPr>
                <w:rFonts w:ascii="Times New Roman" w:eastAsia="宋体" w:hAnsi="Times New Roman"/>
                <w:color w:val="000000"/>
                <w:sz w:val="20"/>
                <w:szCs w:val="20"/>
              </w:rPr>
              <w:t>149.7 </w:t>
            </w:r>
          </w:p>
        </w:tc>
        <w:tc>
          <w:tcPr>
            <w:tcW w:w="0" w:type="auto"/>
            <w:shd w:val="clear" w:color="auto" w:fill="D7E4BC"/>
            <w:tcMar>
              <w:top w:w="40" w:type="dxa"/>
              <w:left w:w="0" w:type="dxa"/>
              <w:bottom w:w="40" w:type="dxa"/>
              <w:right w:w="20" w:type="dxa"/>
            </w:tcMar>
            <w:vAlign w:val="bottom"/>
          </w:tcPr>
          <w:p w14:paraId="00BB08A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8A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8A6" w14:textId="77777777" w:rsidR="00871BDF" w:rsidRDefault="005C5088">
            <w:pPr>
              <w:jc w:val="right"/>
              <w:textAlignment w:val="bottom"/>
            </w:pPr>
            <w:r>
              <w:rPr>
                <w:rFonts w:ascii="Times New Roman" w:eastAsia="宋体" w:hAnsi="Times New Roman"/>
                <w:color w:val="000000"/>
                <w:sz w:val="20"/>
                <w:szCs w:val="20"/>
              </w:rPr>
              <w:t>1,431.3 </w:t>
            </w:r>
          </w:p>
        </w:tc>
        <w:tc>
          <w:tcPr>
            <w:tcW w:w="0" w:type="auto"/>
            <w:shd w:val="clear" w:color="auto" w:fill="D7E4BC"/>
            <w:tcMar>
              <w:top w:w="40" w:type="dxa"/>
              <w:left w:w="0" w:type="dxa"/>
              <w:bottom w:w="40" w:type="dxa"/>
              <w:right w:w="20" w:type="dxa"/>
            </w:tcMar>
            <w:vAlign w:val="bottom"/>
          </w:tcPr>
          <w:p w14:paraId="00BB08A7" w14:textId="77777777" w:rsidR="00871BDF" w:rsidRDefault="00871BDF">
            <w:pPr>
              <w:jc w:val="right"/>
              <w:rPr>
                <w:rFonts w:ascii="宋体"/>
              </w:rPr>
            </w:pPr>
          </w:p>
        </w:tc>
      </w:tr>
      <w:tr w:rsidR="00871BDF" w14:paraId="00BB08BA" w14:textId="77777777">
        <w:tc>
          <w:tcPr>
            <w:tcW w:w="0" w:type="auto"/>
            <w:gridSpan w:val="3"/>
            <w:shd w:val="clear" w:color="auto" w:fill="FFFFFF"/>
            <w:tcMar>
              <w:top w:w="40" w:type="dxa"/>
              <w:left w:w="20" w:type="dxa"/>
              <w:bottom w:w="40" w:type="dxa"/>
              <w:right w:w="20" w:type="dxa"/>
            </w:tcMar>
          </w:tcPr>
          <w:p w14:paraId="00BB08A9" w14:textId="77777777" w:rsidR="00871BDF" w:rsidRDefault="005C5088">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00BB08AA"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8A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A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8AD" w14:textId="77777777" w:rsidR="00871BDF" w:rsidRDefault="005C5088">
            <w:pPr>
              <w:jc w:val="right"/>
              <w:textAlignment w:val="bottom"/>
            </w:pPr>
            <w:r>
              <w:rPr>
                <w:rFonts w:ascii="Times New Roman" w:eastAsia="宋体" w:hAnsi="Times New Roman"/>
                <w:color w:val="000000"/>
                <w:sz w:val="20"/>
                <w:szCs w:val="20"/>
              </w:rPr>
              <w:t>102.3 </w:t>
            </w:r>
          </w:p>
        </w:tc>
        <w:tc>
          <w:tcPr>
            <w:tcW w:w="0" w:type="auto"/>
            <w:shd w:val="clear" w:color="auto" w:fill="FFFFFF"/>
            <w:tcMar>
              <w:top w:w="40" w:type="dxa"/>
              <w:left w:w="0" w:type="dxa"/>
              <w:bottom w:w="40" w:type="dxa"/>
              <w:right w:w="20" w:type="dxa"/>
            </w:tcMar>
            <w:vAlign w:val="bottom"/>
          </w:tcPr>
          <w:p w14:paraId="00BB08A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AF" w14:textId="77777777" w:rsidR="00871BDF" w:rsidRDefault="00871BDF">
            <w:pPr>
              <w:rPr>
                <w:rFonts w:ascii="宋体"/>
              </w:rPr>
            </w:pPr>
          </w:p>
        </w:tc>
        <w:tc>
          <w:tcPr>
            <w:tcW w:w="0" w:type="auto"/>
            <w:shd w:val="clear" w:color="auto" w:fill="auto"/>
          </w:tcPr>
          <w:p w14:paraId="00BB08B0" w14:textId="77777777" w:rsidR="00871BDF" w:rsidRDefault="00871BDF">
            <w:pPr>
              <w:rPr>
                <w:rFonts w:ascii="宋体"/>
                <w:vanish/>
              </w:rPr>
            </w:pPr>
          </w:p>
        </w:tc>
        <w:tc>
          <w:tcPr>
            <w:tcW w:w="0" w:type="auto"/>
            <w:shd w:val="clear" w:color="auto" w:fill="auto"/>
          </w:tcPr>
          <w:p w14:paraId="00BB08B1" w14:textId="77777777" w:rsidR="00871BDF" w:rsidRDefault="00871BDF">
            <w:pPr>
              <w:rPr>
                <w:rFonts w:ascii="宋体"/>
                <w:vanish/>
              </w:rPr>
            </w:pPr>
          </w:p>
        </w:tc>
        <w:tc>
          <w:tcPr>
            <w:tcW w:w="0" w:type="auto"/>
            <w:gridSpan w:val="2"/>
            <w:shd w:val="clear" w:color="auto" w:fill="FFFFFF"/>
            <w:tcMar>
              <w:top w:w="40" w:type="dxa"/>
              <w:left w:w="20" w:type="dxa"/>
              <w:bottom w:w="40" w:type="dxa"/>
              <w:right w:w="0" w:type="dxa"/>
            </w:tcMar>
            <w:vAlign w:val="bottom"/>
          </w:tcPr>
          <w:p w14:paraId="00BB08B2" w14:textId="77777777" w:rsidR="00871BDF" w:rsidRDefault="005C5088">
            <w:pPr>
              <w:jc w:val="right"/>
              <w:textAlignment w:val="bottom"/>
            </w:pPr>
            <w:r>
              <w:rPr>
                <w:rFonts w:ascii="Times New Roman" w:eastAsia="宋体" w:hAnsi="Times New Roman"/>
                <w:color w:val="000000"/>
                <w:sz w:val="20"/>
                <w:szCs w:val="20"/>
              </w:rPr>
              <w:t>220.2 </w:t>
            </w:r>
          </w:p>
        </w:tc>
        <w:tc>
          <w:tcPr>
            <w:tcW w:w="0" w:type="auto"/>
            <w:shd w:val="clear" w:color="auto" w:fill="FFFFFF"/>
            <w:tcMar>
              <w:top w:w="40" w:type="dxa"/>
              <w:left w:w="0" w:type="dxa"/>
              <w:bottom w:w="40" w:type="dxa"/>
              <w:right w:w="20" w:type="dxa"/>
            </w:tcMar>
            <w:vAlign w:val="bottom"/>
          </w:tcPr>
          <w:p w14:paraId="00BB08B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B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8B5"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8B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B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8B8" w14:textId="77777777" w:rsidR="00871BDF" w:rsidRDefault="005C5088">
            <w:pPr>
              <w:jc w:val="right"/>
              <w:textAlignment w:val="bottom"/>
            </w:pPr>
            <w:r>
              <w:rPr>
                <w:rFonts w:ascii="Times New Roman" w:eastAsia="宋体" w:hAnsi="Times New Roman"/>
                <w:color w:val="000000"/>
                <w:sz w:val="20"/>
                <w:szCs w:val="20"/>
              </w:rPr>
              <w:t>322.5 </w:t>
            </w:r>
          </w:p>
        </w:tc>
        <w:tc>
          <w:tcPr>
            <w:tcW w:w="0" w:type="auto"/>
            <w:shd w:val="clear" w:color="auto" w:fill="FFFFFF"/>
            <w:tcMar>
              <w:top w:w="40" w:type="dxa"/>
              <w:left w:w="0" w:type="dxa"/>
              <w:bottom w:w="40" w:type="dxa"/>
              <w:right w:w="20" w:type="dxa"/>
            </w:tcMar>
            <w:vAlign w:val="bottom"/>
          </w:tcPr>
          <w:p w14:paraId="00BB08B9" w14:textId="77777777" w:rsidR="00871BDF" w:rsidRDefault="00871BDF">
            <w:pPr>
              <w:jc w:val="right"/>
              <w:rPr>
                <w:rFonts w:ascii="宋体"/>
              </w:rPr>
            </w:pPr>
          </w:p>
        </w:tc>
      </w:tr>
      <w:tr w:rsidR="00871BDF" w14:paraId="00BB08CC" w14:textId="77777777">
        <w:tc>
          <w:tcPr>
            <w:tcW w:w="0" w:type="auto"/>
            <w:gridSpan w:val="3"/>
            <w:shd w:val="clear" w:color="auto" w:fill="D7E4BC"/>
            <w:tcMar>
              <w:top w:w="40" w:type="dxa"/>
              <w:left w:w="20" w:type="dxa"/>
              <w:bottom w:w="40" w:type="dxa"/>
              <w:right w:w="20" w:type="dxa"/>
            </w:tcMar>
          </w:tcPr>
          <w:p w14:paraId="00BB08BB" w14:textId="77777777" w:rsidR="00871BDF" w:rsidRDefault="005C5088">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00BB08BC" w14:textId="77777777" w:rsidR="00871BDF" w:rsidRDefault="005C5088">
            <w:pPr>
              <w:jc w:val="right"/>
              <w:textAlignment w:val="bottom"/>
            </w:pPr>
            <w:r>
              <w:rPr>
                <w:rFonts w:ascii="Times New Roman" w:eastAsia="宋体" w:hAnsi="Times New Roman"/>
                <w:color w:val="000000"/>
                <w:sz w:val="20"/>
                <w:szCs w:val="20"/>
              </w:rPr>
              <w:t>1,825.3 </w:t>
            </w:r>
          </w:p>
        </w:tc>
        <w:tc>
          <w:tcPr>
            <w:tcW w:w="0" w:type="auto"/>
            <w:shd w:val="clear" w:color="auto" w:fill="D7E4BC"/>
            <w:tcMar>
              <w:top w:w="40" w:type="dxa"/>
              <w:left w:w="0" w:type="dxa"/>
              <w:bottom w:w="40" w:type="dxa"/>
              <w:right w:w="20" w:type="dxa"/>
            </w:tcMar>
            <w:vAlign w:val="bottom"/>
          </w:tcPr>
          <w:p w14:paraId="00BB08B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8B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8BF" w14:textId="77777777" w:rsidR="00871BDF" w:rsidRDefault="005C5088">
            <w:pPr>
              <w:jc w:val="right"/>
              <w:textAlignment w:val="bottom"/>
            </w:pPr>
            <w:r>
              <w:rPr>
                <w:rFonts w:ascii="Times New Roman" w:eastAsia="宋体" w:hAnsi="Times New Roman"/>
                <w:color w:val="000000"/>
                <w:sz w:val="20"/>
                <w:szCs w:val="20"/>
              </w:rPr>
              <w:t>354.0 </w:t>
            </w:r>
          </w:p>
        </w:tc>
        <w:tc>
          <w:tcPr>
            <w:tcW w:w="0" w:type="auto"/>
            <w:shd w:val="clear" w:color="auto" w:fill="D7E4BC"/>
            <w:tcMar>
              <w:top w:w="40" w:type="dxa"/>
              <w:left w:w="0" w:type="dxa"/>
              <w:bottom w:w="40" w:type="dxa"/>
              <w:right w:w="20" w:type="dxa"/>
            </w:tcMar>
            <w:vAlign w:val="bottom"/>
          </w:tcPr>
          <w:p w14:paraId="00BB08C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8C1" w14:textId="77777777" w:rsidR="00871BDF" w:rsidRDefault="00871BDF">
            <w:pPr>
              <w:rPr>
                <w:rFonts w:ascii="宋体"/>
              </w:rPr>
            </w:pPr>
          </w:p>
        </w:tc>
        <w:tc>
          <w:tcPr>
            <w:tcW w:w="0" w:type="auto"/>
            <w:shd w:val="clear" w:color="auto" w:fill="auto"/>
          </w:tcPr>
          <w:p w14:paraId="00BB08C2" w14:textId="77777777" w:rsidR="00871BDF" w:rsidRDefault="00871BDF">
            <w:pPr>
              <w:rPr>
                <w:rFonts w:ascii="宋体"/>
                <w:vanish/>
              </w:rPr>
            </w:pPr>
          </w:p>
        </w:tc>
        <w:tc>
          <w:tcPr>
            <w:tcW w:w="0" w:type="auto"/>
            <w:shd w:val="clear" w:color="auto" w:fill="auto"/>
          </w:tcPr>
          <w:p w14:paraId="00BB08C3" w14:textId="77777777" w:rsidR="00871BDF" w:rsidRDefault="00871BDF">
            <w:pPr>
              <w:rPr>
                <w:rFonts w:ascii="宋体"/>
                <w:vanish/>
              </w:rPr>
            </w:pPr>
          </w:p>
        </w:tc>
        <w:tc>
          <w:tcPr>
            <w:tcW w:w="0" w:type="auto"/>
            <w:gridSpan w:val="2"/>
            <w:shd w:val="clear" w:color="auto" w:fill="D7E4BC"/>
            <w:tcMar>
              <w:top w:w="40" w:type="dxa"/>
              <w:left w:w="20" w:type="dxa"/>
              <w:bottom w:w="40" w:type="dxa"/>
              <w:right w:w="0" w:type="dxa"/>
            </w:tcMar>
            <w:vAlign w:val="bottom"/>
          </w:tcPr>
          <w:p w14:paraId="00BB08C4" w14:textId="77777777" w:rsidR="00871BDF" w:rsidRDefault="005C5088">
            <w:pPr>
              <w:jc w:val="right"/>
              <w:textAlignment w:val="bottom"/>
            </w:pPr>
            <w:r>
              <w:rPr>
                <w:rFonts w:ascii="Times New Roman" w:eastAsia="宋体" w:hAnsi="Times New Roman"/>
                <w:color w:val="000000"/>
                <w:sz w:val="20"/>
                <w:szCs w:val="20"/>
              </w:rPr>
              <w:t>687.2 </w:t>
            </w:r>
          </w:p>
        </w:tc>
        <w:tc>
          <w:tcPr>
            <w:tcW w:w="0" w:type="auto"/>
            <w:shd w:val="clear" w:color="auto" w:fill="D7E4BC"/>
            <w:tcMar>
              <w:top w:w="40" w:type="dxa"/>
              <w:left w:w="0" w:type="dxa"/>
              <w:bottom w:w="40" w:type="dxa"/>
              <w:right w:w="20" w:type="dxa"/>
            </w:tcMar>
            <w:vAlign w:val="bottom"/>
          </w:tcPr>
          <w:p w14:paraId="00BB08C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8C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8C7" w14:textId="77777777" w:rsidR="00871BDF" w:rsidRDefault="005C5088">
            <w:pPr>
              <w:jc w:val="right"/>
              <w:textAlignment w:val="bottom"/>
            </w:pPr>
            <w:r>
              <w:rPr>
                <w:rFonts w:ascii="Times New Roman" w:eastAsia="宋体" w:hAnsi="Times New Roman"/>
                <w:color w:val="000000"/>
                <w:sz w:val="20"/>
                <w:szCs w:val="20"/>
              </w:rPr>
              <w:t>(1,304.8)</w:t>
            </w:r>
          </w:p>
        </w:tc>
        <w:tc>
          <w:tcPr>
            <w:tcW w:w="0" w:type="auto"/>
            <w:shd w:val="clear" w:color="auto" w:fill="D7E4BC"/>
            <w:tcMar>
              <w:top w:w="40" w:type="dxa"/>
              <w:left w:w="0" w:type="dxa"/>
              <w:bottom w:w="40" w:type="dxa"/>
              <w:right w:w="20" w:type="dxa"/>
            </w:tcMar>
            <w:vAlign w:val="bottom"/>
          </w:tcPr>
          <w:p w14:paraId="00BB08C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8C9"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8CA" w14:textId="77777777" w:rsidR="00871BDF" w:rsidRDefault="005C5088">
            <w:pPr>
              <w:jc w:val="right"/>
              <w:textAlignment w:val="bottom"/>
            </w:pPr>
            <w:r>
              <w:rPr>
                <w:rFonts w:ascii="Times New Roman" w:eastAsia="宋体" w:hAnsi="Times New Roman"/>
                <w:color w:val="000000"/>
                <w:sz w:val="20"/>
                <w:szCs w:val="20"/>
              </w:rPr>
              <w:t>1,561.7 </w:t>
            </w:r>
          </w:p>
        </w:tc>
        <w:tc>
          <w:tcPr>
            <w:tcW w:w="0" w:type="auto"/>
            <w:shd w:val="clear" w:color="auto" w:fill="D7E4BC"/>
            <w:tcMar>
              <w:top w:w="40" w:type="dxa"/>
              <w:left w:w="0" w:type="dxa"/>
              <w:bottom w:w="40" w:type="dxa"/>
              <w:right w:w="20" w:type="dxa"/>
            </w:tcMar>
            <w:vAlign w:val="bottom"/>
          </w:tcPr>
          <w:p w14:paraId="00BB08CB" w14:textId="77777777" w:rsidR="00871BDF" w:rsidRDefault="00871BDF">
            <w:pPr>
              <w:jc w:val="right"/>
              <w:rPr>
                <w:rFonts w:ascii="宋体"/>
              </w:rPr>
            </w:pPr>
          </w:p>
        </w:tc>
      </w:tr>
      <w:tr w:rsidR="00871BDF" w14:paraId="00BB08E3" w14:textId="77777777">
        <w:tc>
          <w:tcPr>
            <w:tcW w:w="0" w:type="auto"/>
            <w:gridSpan w:val="3"/>
            <w:shd w:val="clear" w:color="auto" w:fill="FFFFFF"/>
            <w:tcMar>
              <w:top w:w="40" w:type="dxa"/>
              <w:left w:w="20" w:type="dxa"/>
              <w:bottom w:w="40" w:type="dxa"/>
              <w:right w:w="20" w:type="dxa"/>
            </w:tcMar>
          </w:tcPr>
          <w:p w14:paraId="00BB08CD" w14:textId="77777777" w:rsidR="00871BDF" w:rsidRDefault="005C5088">
            <w:pPr>
              <w:textAlignment w:val="top"/>
            </w:pPr>
            <w:r>
              <w:rPr>
                <w:rFonts w:ascii="Times New Roman" w:eastAsia="宋体" w:hAnsi="Times New Roman"/>
                <w:color w:val="000000"/>
                <w:sz w:val="20"/>
                <w:szCs w:val="20"/>
              </w:rPr>
              <w:t>Total assets</w:t>
            </w:r>
          </w:p>
        </w:tc>
        <w:tc>
          <w:tcPr>
            <w:tcW w:w="0" w:type="auto"/>
            <w:shd w:val="clear" w:color="auto" w:fill="FFFFFF"/>
            <w:tcMar>
              <w:top w:w="40" w:type="dxa"/>
              <w:left w:w="20" w:type="dxa"/>
              <w:bottom w:w="40" w:type="dxa"/>
              <w:right w:w="0" w:type="dxa"/>
            </w:tcMar>
            <w:vAlign w:val="bottom"/>
          </w:tcPr>
          <w:p w14:paraId="00BB08CE"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8CF" w14:textId="77777777" w:rsidR="00871BDF" w:rsidRDefault="005C5088">
            <w:pPr>
              <w:jc w:val="right"/>
              <w:textAlignment w:val="bottom"/>
            </w:pPr>
            <w:r>
              <w:rPr>
                <w:rFonts w:ascii="Times New Roman" w:eastAsia="宋体" w:hAnsi="Times New Roman"/>
                <w:color w:val="000000"/>
                <w:sz w:val="20"/>
                <w:szCs w:val="20"/>
              </w:rPr>
              <w:t>10,717.4 </w:t>
            </w:r>
          </w:p>
        </w:tc>
        <w:tc>
          <w:tcPr>
            <w:tcW w:w="0" w:type="auto"/>
            <w:shd w:val="clear" w:color="auto" w:fill="FFFFFF"/>
            <w:tcMar>
              <w:top w:w="40" w:type="dxa"/>
              <w:left w:w="0" w:type="dxa"/>
              <w:bottom w:w="40" w:type="dxa"/>
              <w:right w:w="20" w:type="dxa"/>
            </w:tcMar>
            <w:vAlign w:val="bottom"/>
          </w:tcPr>
          <w:p w14:paraId="00BB08D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D1"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8D2"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8D3" w14:textId="77777777" w:rsidR="00871BDF" w:rsidRDefault="005C5088">
            <w:pPr>
              <w:jc w:val="right"/>
              <w:textAlignment w:val="bottom"/>
            </w:pPr>
            <w:r>
              <w:rPr>
                <w:rFonts w:ascii="Times New Roman" w:eastAsia="宋体" w:hAnsi="Times New Roman"/>
                <w:color w:val="000000"/>
                <w:sz w:val="20"/>
                <w:szCs w:val="20"/>
              </w:rPr>
              <w:t>9,449.7 </w:t>
            </w:r>
          </w:p>
        </w:tc>
        <w:tc>
          <w:tcPr>
            <w:tcW w:w="0" w:type="auto"/>
            <w:shd w:val="clear" w:color="auto" w:fill="FFFFFF"/>
            <w:tcMar>
              <w:top w:w="40" w:type="dxa"/>
              <w:left w:w="0" w:type="dxa"/>
              <w:bottom w:w="40" w:type="dxa"/>
              <w:right w:w="20" w:type="dxa"/>
            </w:tcMar>
            <w:vAlign w:val="bottom"/>
          </w:tcPr>
          <w:p w14:paraId="00BB08D4"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D5" w14:textId="77777777" w:rsidR="00871BDF" w:rsidRDefault="00871BDF">
            <w:pPr>
              <w:rPr>
                <w:rFonts w:ascii="宋体"/>
              </w:rPr>
            </w:pPr>
          </w:p>
        </w:tc>
        <w:tc>
          <w:tcPr>
            <w:tcW w:w="0" w:type="auto"/>
            <w:shd w:val="clear" w:color="auto" w:fill="auto"/>
          </w:tcPr>
          <w:p w14:paraId="00BB08D6" w14:textId="77777777" w:rsidR="00871BDF" w:rsidRDefault="00871BDF">
            <w:pPr>
              <w:rPr>
                <w:rFonts w:ascii="宋体"/>
                <w:vanish/>
              </w:rPr>
            </w:pPr>
          </w:p>
        </w:tc>
        <w:tc>
          <w:tcPr>
            <w:tcW w:w="0" w:type="auto"/>
            <w:shd w:val="clear" w:color="auto" w:fill="auto"/>
          </w:tcPr>
          <w:p w14:paraId="00BB08D7" w14:textId="77777777" w:rsidR="00871BDF" w:rsidRDefault="00871BDF">
            <w:pPr>
              <w:rPr>
                <w:rFonts w:ascii="宋体"/>
                <w:vanish/>
              </w:rPr>
            </w:pPr>
          </w:p>
        </w:tc>
        <w:tc>
          <w:tcPr>
            <w:tcW w:w="0" w:type="auto"/>
            <w:shd w:val="clear" w:color="auto" w:fill="FFFFFF"/>
            <w:tcMar>
              <w:top w:w="40" w:type="dxa"/>
              <w:left w:w="20" w:type="dxa"/>
              <w:bottom w:w="40" w:type="dxa"/>
              <w:right w:w="0" w:type="dxa"/>
            </w:tcMar>
            <w:vAlign w:val="bottom"/>
          </w:tcPr>
          <w:p w14:paraId="00BB08D8"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8D9" w14:textId="77777777" w:rsidR="00871BDF" w:rsidRDefault="005C5088">
            <w:pPr>
              <w:jc w:val="right"/>
              <w:textAlignment w:val="bottom"/>
            </w:pPr>
            <w:r>
              <w:rPr>
                <w:rFonts w:ascii="Times New Roman" w:eastAsia="宋体" w:hAnsi="Times New Roman"/>
                <w:color w:val="000000"/>
                <w:sz w:val="20"/>
                <w:szCs w:val="20"/>
              </w:rPr>
              <w:t>165.0 </w:t>
            </w:r>
          </w:p>
        </w:tc>
        <w:tc>
          <w:tcPr>
            <w:tcW w:w="0" w:type="auto"/>
            <w:shd w:val="clear" w:color="auto" w:fill="FFFFFF"/>
            <w:tcMar>
              <w:top w:w="40" w:type="dxa"/>
              <w:left w:w="0" w:type="dxa"/>
              <w:bottom w:w="40" w:type="dxa"/>
              <w:right w:w="20" w:type="dxa"/>
            </w:tcMar>
            <w:vAlign w:val="bottom"/>
          </w:tcPr>
          <w:p w14:paraId="00BB08D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DB"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8DC"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8DD" w14:textId="77777777" w:rsidR="00871BDF" w:rsidRDefault="005C5088">
            <w:pPr>
              <w:jc w:val="right"/>
              <w:textAlignment w:val="bottom"/>
            </w:pPr>
            <w:r>
              <w:rPr>
                <w:rFonts w:ascii="Times New Roman" w:eastAsia="宋体" w:hAnsi="Times New Roman"/>
                <w:color w:val="000000"/>
                <w:sz w:val="20"/>
                <w:szCs w:val="20"/>
              </w:rPr>
              <w:t>9,042.4 </w:t>
            </w:r>
          </w:p>
        </w:tc>
        <w:tc>
          <w:tcPr>
            <w:tcW w:w="0" w:type="auto"/>
            <w:shd w:val="clear" w:color="auto" w:fill="FFFFFF"/>
            <w:tcMar>
              <w:top w:w="40" w:type="dxa"/>
              <w:left w:w="0" w:type="dxa"/>
              <w:bottom w:w="40" w:type="dxa"/>
              <w:right w:w="20" w:type="dxa"/>
            </w:tcMar>
            <w:vAlign w:val="bottom"/>
          </w:tcPr>
          <w:p w14:paraId="00BB08D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8DF"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8E0"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8E1" w14:textId="77777777" w:rsidR="00871BDF" w:rsidRDefault="005C5088">
            <w:pPr>
              <w:jc w:val="right"/>
              <w:textAlignment w:val="bottom"/>
            </w:pPr>
            <w:r>
              <w:rPr>
                <w:rFonts w:ascii="Times New Roman" w:eastAsia="宋体" w:hAnsi="Times New Roman"/>
                <w:color w:val="000000"/>
                <w:sz w:val="20"/>
                <w:szCs w:val="20"/>
              </w:rPr>
              <w:t>29,374.5 </w:t>
            </w:r>
          </w:p>
        </w:tc>
        <w:tc>
          <w:tcPr>
            <w:tcW w:w="0" w:type="auto"/>
            <w:shd w:val="clear" w:color="auto" w:fill="FFFFFF"/>
            <w:tcMar>
              <w:top w:w="40" w:type="dxa"/>
              <w:left w:w="0" w:type="dxa"/>
              <w:bottom w:w="40" w:type="dxa"/>
              <w:right w:w="20" w:type="dxa"/>
            </w:tcMar>
            <w:vAlign w:val="bottom"/>
          </w:tcPr>
          <w:p w14:paraId="00BB08E2" w14:textId="77777777" w:rsidR="00871BDF" w:rsidRDefault="00871BDF">
            <w:pPr>
              <w:jc w:val="right"/>
              <w:rPr>
                <w:rFonts w:ascii="宋体"/>
              </w:rPr>
            </w:pPr>
          </w:p>
        </w:tc>
      </w:tr>
      <w:tr w:rsidR="00871BDF" w14:paraId="00BB08F0" w14:textId="77777777">
        <w:trPr>
          <w:trHeight w:val="300"/>
        </w:trPr>
        <w:tc>
          <w:tcPr>
            <w:tcW w:w="0" w:type="auto"/>
            <w:gridSpan w:val="3"/>
            <w:shd w:val="clear" w:color="auto" w:fill="D7E4BC"/>
            <w:tcMar>
              <w:top w:w="0" w:type="dxa"/>
              <w:left w:w="20" w:type="dxa"/>
              <w:bottom w:w="0" w:type="dxa"/>
              <w:right w:w="20" w:type="dxa"/>
            </w:tcMar>
          </w:tcPr>
          <w:p w14:paraId="00BB08E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E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E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E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E8" w14:textId="77777777" w:rsidR="00871BDF" w:rsidRDefault="00871BDF">
            <w:pPr>
              <w:rPr>
                <w:rFonts w:ascii="宋体"/>
              </w:rPr>
            </w:pPr>
          </w:p>
        </w:tc>
        <w:tc>
          <w:tcPr>
            <w:tcW w:w="0" w:type="auto"/>
            <w:shd w:val="clear" w:color="auto" w:fill="auto"/>
          </w:tcPr>
          <w:p w14:paraId="00BB08E9" w14:textId="77777777" w:rsidR="00871BDF" w:rsidRDefault="00871BDF">
            <w:pPr>
              <w:rPr>
                <w:rFonts w:ascii="宋体"/>
                <w:vanish/>
              </w:rPr>
            </w:pPr>
          </w:p>
        </w:tc>
        <w:tc>
          <w:tcPr>
            <w:tcW w:w="0" w:type="auto"/>
            <w:shd w:val="clear" w:color="auto" w:fill="auto"/>
          </w:tcPr>
          <w:p w14:paraId="00BB08EA" w14:textId="77777777" w:rsidR="00871BDF" w:rsidRDefault="00871BDF">
            <w:pPr>
              <w:rPr>
                <w:rFonts w:ascii="宋体"/>
                <w:vanish/>
              </w:rPr>
            </w:pPr>
          </w:p>
        </w:tc>
        <w:tc>
          <w:tcPr>
            <w:tcW w:w="0" w:type="auto"/>
            <w:gridSpan w:val="3"/>
            <w:shd w:val="clear" w:color="auto" w:fill="D7E4BC"/>
            <w:tcMar>
              <w:top w:w="0" w:type="dxa"/>
              <w:left w:w="20" w:type="dxa"/>
              <w:bottom w:w="0" w:type="dxa"/>
              <w:right w:w="20" w:type="dxa"/>
            </w:tcMar>
          </w:tcPr>
          <w:p w14:paraId="00BB08E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E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E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E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8EF" w14:textId="77777777" w:rsidR="00871BDF" w:rsidRDefault="00871BDF">
            <w:pPr>
              <w:rPr>
                <w:rFonts w:ascii="宋体"/>
              </w:rPr>
            </w:pPr>
          </w:p>
        </w:tc>
      </w:tr>
      <w:tr w:rsidR="00871BDF" w14:paraId="00BB08FD" w14:textId="77777777">
        <w:tc>
          <w:tcPr>
            <w:tcW w:w="0" w:type="auto"/>
            <w:gridSpan w:val="3"/>
            <w:shd w:val="clear" w:color="auto" w:fill="FFFFFF"/>
            <w:tcMar>
              <w:top w:w="40" w:type="dxa"/>
              <w:left w:w="20" w:type="dxa"/>
              <w:bottom w:w="40" w:type="dxa"/>
              <w:right w:w="20" w:type="dxa"/>
            </w:tcMar>
            <w:vAlign w:val="bottom"/>
          </w:tcPr>
          <w:p w14:paraId="00BB08F1" w14:textId="77777777" w:rsidR="00871BDF" w:rsidRDefault="005C5088">
            <w:pPr>
              <w:textAlignment w:val="bottom"/>
            </w:pPr>
            <w:r>
              <w:rPr>
                <w:rFonts w:ascii="Times New Roman" w:eastAsia="宋体" w:hAnsi="Times New Roman"/>
                <w:i/>
                <w:iCs/>
                <w:color w:val="000000"/>
                <w:sz w:val="20"/>
                <w:szCs w:val="20"/>
              </w:rPr>
              <w:t>Fiscal 2019</w:t>
            </w:r>
          </w:p>
        </w:tc>
        <w:tc>
          <w:tcPr>
            <w:tcW w:w="0" w:type="auto"/>
            <w:gridSpan w:val="3"/>
            <w:shd w:val="clear" w:color="auto" w:fill="FFFFFF"/>
            <w:tcMar>
              <w:top w:w="0" w:type="dxa"/>
              <w:left w:w="20" w:type="dxa"/>
              <w:bottom w:w="0" w:type="dxa"/>
              <w:right w:w="20" w:type="dxa"/>
            </w:tcMar>
          </w:tcPr>
          <w:p w14:paraId="00BB08F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8F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8F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8F5" w14:textId="77777777" w:rsidR="00871BDF" w:rsidRDefault="00871BDF">
            <w:pPr>
              <w:rPr>
                <w:rFonts w:ascii="宋体"/>
              </w:rPr>
            </w:pPr>
          </w:p>
        </w:tc>
        <w:tc>
          <w:tcPr>
            <w:tcW w:w="0" w:type="auto"/>
            <w:shd w:val="clear" w:color="auto" w:fill="auto"/>
          </w:tcPr>
          <w:p w14:paraId="00BB08F6" w14:textId="77777777" w:rsidR="00871BDF" w:rsidRDefault="00871BDF">
            <w:pPr>
              <w:rPr>
                <w:rFonts w:ascii="宋体"/>
                <w:vanish/>
              </w:rPr>
            </w:pPr>
          </w:p>
        </w:tc>
        <w:tc>
          <w:tcPr>
            <w:tcW w:w="0" w:type="auto"/>
            <w:shd w:val="clear" w:color="auto" w:fill="auto"/>
          </w:tcPr>
          <w:p w14:paraId="00BB08F7" w14:textId="77777777" w:rsidR="00871BDF" w:rsidRDefault="00871BDF">
            <w:pPr>
              <w:rPr>
                <w:rFonts w:ascii="宋体"/>
                <w:vanish/>
              </w:rPr>
            </w:pPr>
          </w:p>
        </w:tc>
        <w:tc>
          <w:tcPr>
            <w:tcW w:w="0" w:type="auto"/>
            <w:gridSpan w:val="3"/>
            <w:shd w:val="clear" w:color="auto" w:fill="FFFFFF"/>
            <w:tcMar>
              <w:top w:w="0" w:type="dxa"/>
              <w:left w:w="20" w:type="dxa"/>
              <w:bottom w:w="0" w:type="dxa"/>
              <w:right w:w="20" w:type="dxa"/>
            </w:tcMar>
          </w:tcPr>
          <w:p w14:paraId="00BB08F8"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8F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8F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8F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8FC" w14:textId="77777777" w:rsidR="00871BDF" w:rsidRDefault="00871BDF">
            <w:pPr>
              <w:rPr>
                <w:rFonts w:ascii="宋体"/>
              </w:rPr>
            </w:pPr>
          </w:p>
        </w:tc>
      </w:tr>
      <w:tr w:rsidR="00871BDF" w14:paraId="00BB0914" w14:textId="77777777">
        <w:tc>
          <w:tcPr>
            <w:tcW w:w="0" w:type="auto"/>
            <w:gridSpan w:val="3"/>
            <w:shd w:val="clear" w:color="auto" w:fill="D7E4BC"/>
            <w:tcMar>
              <w:top w:w="40" w:type="dxa"/>
              <w:left w:w="20" w:type="dxa"/>
              <w:bottom w:w="40" w:type="dxa"/>
              <w:right w:w="20" w:type="dxa"/>
            </w:tcMar>
          </w:tcPr>
          <w:p w14:paraId="00BB08FE" w14:textId="77777777" w:rsidR="00871BDF" w:rsidRDefault="005C5088">
            <w:pPr>
              <w:textAlignment w:val="top"/>
            </w:pPr>
            <w:r>
              <w:rPr>
                <w:rFonts w:ascii="Times New Roman" w:eastAsia="宋体" w:hAnsi="Times New Roman"/>
                <w:color w:val="000000"/>
                <w:sz w:val="20"/>
                <w:szCs w:val="20"/>
              </w:rPr>
              <w:t>Total net revenues</w:t>
            </w:r>
          </w:p>
        </w:tc>
        <w:tc>
          <w:tcPr>
            <w:tcW w:w="0" w:type="auto"/>
            <w:shd w:val="clear" w:color="auto" w:fill="D7E4BC"/>
            <w:tcMar>
              <w:top w:w="40" w:type="dxa"/>
              <w:left w:w="20" w:type="dxa"/>
              <w:bottom w:w="40" w:type="dxa"/>
              <w:right w:w="0" w:type="dxa"/>
            </w:tcMar>
            <w:vAlign w:val="bottom"/>
          </w:tcPr>
          <w:p w14:paraId="00BB08F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900" w14:textId="77777777" w:rsidR="00871BDF" w:rsidRDefault="005C5088">
            <w:pPr>
              <w:jc w:val="right"/>
              <w:textAlignment w:val="bottom"/>
            </w:pPr>
            <w:r>
              <w:rPr>
                <w:rFonts w:ascii="Times New Roman" w:eastAsia="宋体" w:hAnsi="Times New Roman"/>
                <w:color w:val="000000"/>
                <w:sz w:val="20"/>
                <w:szCs w:val="20"/>
              </w:rPr>
              <w:t>18,259.0 </w:t>
            </w:r>
          </w:p>
        </w:tc>
        <w:tc>
          <w:tcPr>
            <w:tcW w:w="0" w:type="auto"/>
            <w:shd w:val="clear" w:color="auto" w:fill="D7E4BC"/>
            <w:tcMar>
              <w:top w:w="40" w:type="dxa"/>
              <w:left w:w="0" w:type="dxa"/>
              <w:bottom w:w="40" w:type="dxa"/>
              <w:right w:w="20" w:type="dxa"/>
            </w:tcMar>
            <w:vAlign w:val="bottom"/>
          </w:tcPr>
          <w:p w14:paraId="00BB090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02"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903"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904" w14:textId="77777777" w:rsidR="00871BDF" w:rsidRDefault="005C5088">
            <w:pPr>
              <w:jc w:val="right"/>
              <w:textAlignment w:val="bottom"/>
            </w:pPr>
            <w:r>
              <w:rPr>
                <w:rFonts w:ascii="Times New Roman" w:eastAsia="宋体" w:hAnsi="Times New Roman"/>
                <w:color w:val="000000"/>
                <w:sz w:val="20"/>
                <w:szCs w:val="20"/>
              </w:rPr>
              <w:t>6,190.7 </w:t>
            </w:r>
          </w:p>
        </w:tc>
        <w:tc>
          <w:tcPr>
            <w:tcW w:w="0" w:type="auto"/>
            <w:shd w:val="clear" w:color="auto" w:fill="D7E4BC"/>
            <w:tcMar>
              <w:top w:w="40" w:type="dxa"/>
              <w:left w:w="0" w:type="dxa"/>
              <w:bottom w:w="40" w:type="dxa"/>
              <w:right w:w="20" w:type="dxa"/>
            </w:tcMar>
            <w:vAlign w:val="bottom"/>
          </w:tcPr>
          <w:p w14:paraId="00BB090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06" w14:textId="77777777" w:rsidR="00871BDF" w:rsidRDefault="00871BDF">
            <w:pPr>
              <w:rPr>
                <w:rFonts w:ascii="宋体"/>
              </w:rPr>
            </w:pPr>
          </w:p>
        </w:tc>
        <w:tc>
          <w:tcPr>
            <w:tcW w:w="0" w:type="auto"/>
            <w:shd w:val="clear" w:color="auto" w:fill="auto"/>
          </w:tcPr>
          <w:p w14:paraId="00BB0907" w14:textId="77777777" w:rsidR="00871BDF" w:rsidRDefault="00871BDF">
            <w:pPr>
              <w:rPr>
                <w:rFonts w:ascii="宋体"/>
                <w:vanish/>
              </w:rPr>
            </w:pPr>
          </w:p>
        </w:tc>
        <w:tc>
          <w:tcPr>
            <w:tcW w:w="0" w:type="auto"/>
            <w:shd w:val="clear" w:color="auto" w:fill="auto"/>
          </w:tcPr>
          <w:p w14:paraId="00BB0908" w14:textId="77777777" w:rsidR="00871BDF" w:rsidRDefault="00871BDF">
            <w:pPr>
              <w:rPr>
                <w:rFonts w:ascii="宋体"/>
                <w:vanish/>
              </w:rPr>
            </w:pPr>
          </w:p>
        </w:tc>
        <w:tc>
          <w:tcPr>
            <w:tcW w:w="0" w:type="auto"/>
            <w:shd w:val="clear" w:color="auto" w:fill="D7E4BC"/>
            <w:tcMar>
              <w:top w:w="40" w:type="dxa"/>
              <w:left w:w="20" w:type="dxa"/>
              <w:bottom w:w="40" w:type="dxa"/>
              <w:right w:w="0" w:type="dxa"/>
            </w:tcMar>
            <w:vAlign w:val="bottom"/>
          </w:tcPr>
          <w:p w14:paraId="00BB0909"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90A" w14:textId="77777777" w:rsidR="00871BDF" w:rsidRDefault="005C5088">
            <w:pPr>
              <w:jc w:val="right"/>
              <w:textAlignment w:val="bottom"/>
            </w:pPr>
            <w:r>
              <w:rPr>
                <w:rFonts w:ascii="Times New Roman" w:eastAsia="宋体" w:hAnsi="Times New Roman"/>
                <w:color w:val="000000"/>
                <w:sz w:val="20"/>
                <w:szCs w:val="20"/>
              </w:rPr>
              <w:t>1,992.6 </w:t>
            </w:r>
          </w:p>
        </w:tc>
        <w:tc>
          <w:tcPr>
            <w:tcW w:w="0" w:type="auto"/>
            <w:shd w:val="clear" w:color="auto" w:fill="D7E4BC"/>
            <w:tcMar>
              <w:top w:w="40" w:type="dxa"/>
              <w:left w:w="0" w:type="dxa"/>
              <w:bottom w:w="40" w:type="dxa"/>
              <w:right w:w="20" w:type="dxa"/>
            </w:tcMar>
            <w:vAlign w:val="bottom"/>
          </w:tcPr>
          <w:p w14:paraId="00BB090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0C"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90D"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90E" w14:textId="77777777" w:rsidR="00871BDF" w:rsidRDefault="005C5088">
            <w:pPr>
              <w:jc w:val="right"/>
              <w:textAlignment w:val="bottom"/>
            </w:pPr>
            <w:r>
              <w:rPr>
                <w:rFonts w:ascii="Times New Roman" w:eastAsia="宋体" w:hAnsi="Times New Roman"/>
                <w:color w:val="000000"/>
                <w:sz w:val="20"/>
                <w:szCs w:val="20"/>
              </w:rPr>
              <w:t>66.3 </w:t>
            </w:r>
          </w:p>
        </w:tc>
        <w:tc>
          <w:tcPr>
            <w:tcW w:w="0" w:type="auto"/>
            <w:shd w:val="clear" w:color="auto" w:fill="D7E4BC"/>
            <w:tcMar>
              <w:top w:w="40" w:type="dxa"/>
              <w:left w:w="0" w:type="dxa"/>
              <w:bottom w:w="40" w:type="dxa"/>
              <w:right w:w="20" w:type="dxa"/>
            </w:tcMar>
            <w:vAlign w:val="bottom"/>
          </w:tcPr>
          <w:p w14:paraId="00BB090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10"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911"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912" w14:textId="77777777" w:rsidR="00871BDF" w:rsidRDefault="005C5088">
            <w:pPr>
              <w:jc w:val="right"/>
              <w:textAlignment w:val="bottom"/>
            </w:pPr>
            <w:r>
              <w:rPr>
                <w:rFonts w:ascii="Times New Roman" w:eastAsia="宋体" w:hAnsi="Times New Roman"/>
                <w:color w:val="000000"/>
                <w:sz w:val="20"/>
                <w:szCs w:val="20"/>
              </w:rPr>
              <w:t>26,508.6 </w:t>
            </w:r>
          </w:p>
        </w:tc>
        <w:tc>
          <w:tcPr>
            <w:tcW w:w="0" w:type="auto"/>
            <w:shd w:val="clear" w:color="auto" w:fill="D7E4BC"/>
            <w:tcMar>
              <w:top w:w="40" w:type="dxa"/>
              <w:left w:w="0" w:type="dxa"/>
              <w:bottom w:w="40" w:type="dxa"/>
              <w:right w:w="20" w:type="dxa"/>
            </w:tcMar>
            <w:vAlign w:val="bottom"/>
          </w:tcPr>
          <w:p w14:paraId="00BB0913" w14:textId="77777777" w:rsidR="00871BDF" w:rsidRDefault="00871BDF">
            <w:pPr>
              <w:jc w:val="right"/>
              <w:rPr>
                <w:rFonts w:ascii="宋体"/>
              </w:rPr>
            </w:pPr>
          </w:p>
        </w:tc>
      </w:tr>
      <w:tr w:rsidR="00871BDF" w14:paraId="00BB0926" w14:textId="77777777">
        <w:tc>
          <w:tcPr>
            <w:tcW w:w="0" w:type="auto"/>
            <w:gridSpan w:val="3"/>
            <w:shd w:val="clear" w:color="auto" w:fill="FFFFFF"/>
            <w:tcMar>
              <w:top w:w="40" w:type="dxa"/>
              <w:left w:w="20" w:type="dxa"/>
              <w:bottom w:w="40" w:type="dxa"/>
              <w:right w:w="20" w:type="dxa"/>
            </w:tcMar>
          </w:tcPr>
          <w:p w14:paraId="00BB0915"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00BB0916" w14:textId="77777777" w:rsidR="00871BDF" w:rsidRDefault="005C5088">
            <w:pPr>
              <w:jc w:val="right"/>
              <w:textAlignment w:val="bottom"/>
            </w:pPr>
            <w:r>
              <w:rPr>
                <w:rFonts w:ascii="Times New Roman" w:eastAsia="宋体" w:hAnsi="Times New Roman"/>
                <w:color w:val="000000"/>
                <w:sz w:val="20"/>
                <w:szCs w:val="20"/>
              </w:rPr>
              <w:t>696.1 </w:t>
            </w:r>
          </w:p>
        </w:tc>
        <w:tc>
          <w:tcPr>
            <w:tcW w:w="0" w:type="auto"/>
            <w:shd w:val="clear" w:color="auto" w:fill="FFFFFF"/>
            <w:tcMar>
              <w:top w:w="40" w:type="dxa"/>
              <w:left w:w="0" w:type="dxa"/>
              <w:bottom w:w="40" w:type="dxa"/>
              <w:right w:w="20" w:type="dxa"/>
            </w:tcMar>
            <w:vAlign w:val="bottom"/>
          </w:tcPr>
          <w:p w14:paraId="00BB091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1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919" w14:textId="77777777" w:rsidR="00871BDF" w:rsidRDefault="005C5088">
            <w:pPr>
              <w:jc w:val="right"/>
              <w:textAlignment w:val="bottom"/>
            </w:pPr>
            <w:r>
              <w:rPr>
                <w:rFonts w:ascii="Times New Roman" w:eastAsia="宋体" w:hAnsi="Times New Roman"/>
                <w:color w:val="000000"/>
                <w:sz w:val="20"/>
                <w:szCs w:val="20"/>
              </w:rPr>
              <w:t>511.5 </w:t>
            </w:r>
          </w:p>
        </w:tc>
        <w:tc>
          <w:tcPr>
            <w:tcW w:w="0" w:type="auto"/>
            <w:shd w:val="clear" w:color="auto" w:fill="FFFFFF"/>
            <w:tcMar>
              <w:top w:w="40" w:type="dxa"/>
              <w:left w:w="0" w:type="dxa"/>
              <w:bottom w:w="40" w:type="dxa"/>
              <w:right w:w="20" w:type="dxa"/>
            </w:tcMar>
            <w:vAlign w:val="bottom"/>
          </w:tcPr>
          <w:p w14:paraId="00BB091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1B" w14:textId="77777777" w:rsidR="00871BDF" w:rsidRDefault="00871BDF">
            <w:pPr>
              <w:rPr>
                <w:rFonts w:ascii="宋体"/>
              </w:rPr>
            </w:pPr>
          </w:p>
        </w:tc>
        <w:tc>
          <w:tcPr>
            <w:tcW w:w="0" w:type="auto"/>
            <w:shd w:val="clear" w:color="auto" w:fill="auto"/>
          </w:tcPr>
          <w:p w14:paraId="00BB091C" w14:textId="77777777" w:rsidR="00871BDF" w:rsidRDefault="00871BDF">
            <w:pPr>
              <w:rPr>
                <w:rFonts w:ascii="宋体"/>
                <w:vanish/>
              </w:rPr>
            </w:pPr>
          </w:p>
        </w:tc>
        <w:tc>
          <w:tcPr>
            <w:tcW w:w="0" w:type="auto"/>
            <w:shd w:val="clear" w:color="auto" w:fill="auto"/>
          </w:tcPr>
          <w:p w14:paraId="00BB091D" w14:textId="77777777" w:rsidR="00871BDF" w:rsidRDefault="00871BDF">
            <w:pPr>
              <w:rPr>
                <w:rFonts w:ascii="宋体"/>
                <w:vanish/>
              </w:rPr>
            </w:pPr>
          </w:p>
        </w:tc>
        <w:tc>
          <w:tcPr>
            <w:tcW w:w="0" w:type="auto"/>
            <w:gridSpan w:val="2"/>
            <w:shd w:val="clear" w:color="auto" w:fill="FFFFFF"/>
            <w:tcMar>
              <w:top w:w="40" w:type="dxa"/>
              <w:left w:w="20" w:type="dxa"/>
              <w:bottom w:w="40" w:type="dxa"/>
              <w:right w:w="0" w:type="dxa"/>
            </w:tcMar>
            <w:vAlign w:val="bottom"/>
          </w:tcPr>
          <w:p w14:paraId="00BB091E" w14:textId="77777777" w:rsidR="00871BDF" w:rsidRDefault="005C5088">
            <w:pPr>
              <w:jc w:val="right"/>
              <w:textAlignment w:val="bottom"/>
            </w:pPr>
            <w:r>
              <w:rPr>
                <w:rFonts w:ascii="Times New Roman" w:eastAsia="宋体" w:hAnsi="Times New Roman"/>
                <w:color w:val="000000"/>
                <w:sz w:val="20"/>
                <w:szCs w:val="20"/>
              </w:rPr>
              <w:t>13.0 </w:t>
            </w:r>
          </w:p>
        </w:tc>
        <w:tc>
          <w:tcPr>
            <w:tcW w:w="0" w:type="auto"/>
            <w:shd w:val="clear" w:color="auto" w:fill="FFFFFF"/>
            <w:tcMar>
              <w:top w:w="40" w:type="dxa"/>
              <w:left w:w="0" w:type="dxa"/>
              <w:bottom w:w="40" w:type="dxa"/>
              <w:right w:w="20" w:type="dxa"/>
            </w:tcMar>
            <w:vAlign w:val="bottom"/>
          </w:tcPr>
          <w:p w14:paraId="00BB091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2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921" w14:textId="77777777" w:rsidR="00871BDF" w:rsidRDefault="005C5088">
            <w:pPr>
              <w:jc w:val="right"/>
              <w:textAlignment w:val="bottom"/>
            </w:pPr>
            <w:r>
              <w:rPr>
                <w:rFonts w:ascii="Times New Roman" w:eastAsia="宋体" w:hAnsi="Times New Roman"/>
                <w:color w:val="000000"/>
                <w:sz w:val="20"/>
                <w:szCs w:val="20"/>
              </w:rPr>
              <w:t>156.7 </w:t>
            </w:r>
          </w:p>
        </w:tc>
        <w:tc>
          <w:tcPr>
            <w:tcW w:w="0" w:type="auto"/>
            <w:shd w:val="clear" w:color="auto" w:fill="FFFFFF"/>
            <w:tcMar>
              <w:top w:w="40" w:type="dxa"/>
              <w:left w:w="0" w:type="dxa"/>
              <w:bottom w:w="40" w:type="dxa"/>
              <w:right w:w="20" w:type="dxa"/>
            </w:tcMar>
            <w:vAlign w:val="bottom"/>
          </w:tcPr>
          <w:p w14:paraId="00BB092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2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924" w14:textId="77777777" w:rsidR="00871BDF" w:rsidRDefault="005C5088">
            <w:pPr>
              <w:jc w:val="right"/>
              <w:textAlignment w:val="bottom"/>
            </w:pPr>
            <w:r>
              <w:rPr>
                <w:rFonts w:ascii="Times New Roman" w:eastAsia="宋体" w:hAnsi="Times New Roman"/>
                <w:color w:val="000000"/>
                <w:sz w:val="20"/>
                <w:szCs w:val="20"/>
              </w:rPr>
              <w:t>1,377.3 </w:t>
            </w:r>
          </w:p>
        </w:tc>
        <w:tc>
          <w:tcPr>
            <w:tcW w:w="0" w:type="auto"/>
            <w:shd w:val="clear" w:color="auto" w:fill="FFFFFF"/>
            <w:tcMar>
              <w:top w:w="40" w:type="dxa"/>
              <w:left w:w="0" w:type="dxa"/>
              <w:bottom w:w="40" w:type="dxa"/>
              <w:right w:w="20" w:type="dxa"/>
            </w:tcMar>
            <w:vAlign w:val="bottom"/>
          </w:tcPr>
          <w:p w14:paraId="00BB0925" w14:textId="77777777" w:rsidR="00871BDF" w:rsidRDefault="00871BDF">
            <w:pPr>
              <w:jc w:val="right"/>
              <w:rPr>
                <w:rFonts w:ascii="宋体"/>
              </w:rPr>
            </w:pPr>
          </w:p>
        </w:tc>
      </w:tr>
      <w:tr w:rsidR="00871BDF" w14:paraId="00BB0938" w14:textId="77777777">
        <w:tc>
          <w:tcPr>
            <w:tcW w:w="0" w:type="auto"/>
            <w:gridSpan w:val="3"/>
            <w:shd w:val="clear" w:color="auto" w:fill="D7E4BC"/>
            <w:tcMar>
              <w:top w:w="40" w:type="dxa"/>
              <w:left w:w="20" w:type="dxa"/>
              <w:bottom w:w="40" w:type="dxa"/>
              <w:right w:w="20" w:type="dxa"/>
            </w:tcMar>
          </w:tcPr>
          <w:p w14:paraId="00BB0927" w14:textId="77777777" w:rsidR="00871BDF" w:rsidRDefault="005C5088">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00BB0928"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B092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2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92B" w14:textId="77777777" w:rsidR="00871BDF" w:rsidRDefault="005C5088">
            <w:pPr>
              <w:jc w:val="right"/>
              <w:textAlignment w:val="bottom"/>
            </w:pPr>
            <w:r>
              <w:rPr>
                <w:rFonts w:ascii="Times New Roman" w:eastAsia="宋体" w:hAnsi="Times New Roman"/>
                <w:color w:val="000000"/>
                <w:sz w:val="20"/>
                <w:szCs w:val="20"/>
              </w:rPr>
              <w:t>102.4 </w:t>
            </w:r>
          </w:p>
        </w:tc>
        <w:tc>
          <w:tcPr>
            <w:tcW w:w="0" w:type="auto"/>
            <w:shd w:val="clear" w:color="auto" w:fill="D7E4BC"/>
            <w:tcMar>
              <w:top w:w="40" w:type="dxa"/>
              <w:left w:w="0" w:type="dxa"/>
              <w:bottom w:w="40" w:type="dxa"/>
              <w:right w:w="20" w:type="dxa"/>
            </w:tcMar>
            <w:vAlign w:val="bottom"/>
          </w:tcPr>
          <w:p w14:paraId="00BB092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2D" w14:textId="77777777" w:rsidR="00871BDF" w:rsidRDefault="00871BDF">
            <w:pPr>
              <w:rPr>
                <w:rFonts w:ascii="宋体"/>
              </w:rPr>
            </w:pPr>
          </w:p>
        </w:tc>
        <w:tc>
          <w:tcPr>
            <w:tcW w:w="0" w:type="auto"/>
            <w:shd w:val="clear" w:color="auto" w:fill="auto"/>
          </w:tcPr>
          <w:p w14:paraId="00BB092E" w14:textId="77777777" w:rsidR="00871BDF" w:rsidRDefault="00871BDF">
            <w:pPr>
              <w:rPr>
                <w:rFonts w:ascii="宋体"/>
                <w:vanish/>
              </w:rPr>
            </w:pPr>
          </w:p>
        </w:tc>
        <w:tc>
          <w:tcPr>
            <w:tcW w:w="0" w:type="auto"/>
            <w:shd w:val="clear" w:color="auto" w:fill="auto"/>
          </w:tcPr>
          <w:p w14:paraId="00BB092F" w14:textId="77777777" w:rsidR="00871BDF" w:rsidRDefault="00871BDF">
            <w:pPr>
              <w:rPr>
                <w:rFonts w:ascii="宋体"/>
                <w:vanish/>
              </w:rPr>
            </w:pPr>
          </w:p>
        </w:tc>
        <w:tc>
          <w:tcPr>
            <w:tcW w:w="0" w:type="auto"/>
            <w:gridSpan w:val="2"/>
            <w:shd w:val="clear" w:color="auto" w:fill="D7E4BC"/>
            <w:tcMar>
              <w:top w:w="40" w:type="dxa"/>
              <w:left w:w="20" w:type="dxa"/>
              <w:bottom w:w="40" w:type="dxa"/>
              <w:right w:w="0" w:type="dxa"/>
            </w:tcMar>
            <w:vAlign w:val="bottom"/>
          </w:tcPr>
          <w:p w14:paraId="00BB0930" w14:textId="77777777" w:rsidR="00871BDF" w:rsidRDefault="005C5088">
            <w:pPr>
              <w:jc w:val="right"/>
              <w:textAlignment w:val="bottom"/>
            </w:pPr>
            <w:r>
              <w:rPr>
                <w:rFonts w:ascii="Times New Roman" w:eastAsia="宋体" w:hAnsi="Times New Roman"/>
                <w:color w:val="000000"/>
                <w:sz w:val="20"/>
                <w:szCs w:val="20"/>
              </w:rPr>
              <w:t>195.6 </w:t>
            </w:r>
          </w:p>
        </w:tc>
        <w:tc>
          <w:tcPr>
            <w:tcW w:w="0" w:type="auto"/>
            <w:shd w:val="clear" w:color="auto" w:fill="D7E4BC"/>
            <w:tcMar>
              <w:top w:w="40" w:type="dxa"/>
              <w:left w:w="0" w:type="dxa"/>
              <w:bottom w:w="40" w:type="dxa"/>
              <w:right w:w="20" w:type="dxa"/>
            </w:tcMar>
            <w:vAlign w:val="bottom"/>
          </w:tcPr>
          <w:p w14:paraId="00BB093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3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933"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0BB093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3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936" w14:textId="77777777" w:rsidR="00871BDF" w:rsidRDefault="005C5088">
            <w:pPr>
              <w:jc w:val="right"/>
              <w:textAlignment w:val="bottom"/>
            </w:pPr>
            <w:r>
              <w:rPr>
                <w:rFonts w:ascii="Times New Roman" w:eastAsia="宋体" w:hAnsi="Times New Roman"/>
                <w:color w:val="000000"/>
                <w:sz w:val="20"/>
                <w:szCs w:val="20"/>
              </w:rPr>
              <w:t>298.0 </w:t>
            </w:r>
          </w:p>
        </w:tc>
        <w:tc>
          <w:tcPr>
            <w:tcW w:w="0" w:type="auto"/>
            <w:shd w:val="clear" w:color="auto" w:fill="D7E4BC"/>
            <w:tcMar>
              <w:top w:w="40" w:type="dxa"/>
              <w:left w:w="0" w:type="dxa"/>
              <w:bottom w:w="40" w:type="dxa"/>
              <w:right w:w="20" w:type="dxa"/>
            </w:tcMar>
            <w:vAlign w:val="bottom"/>
          </w:tcPr>
          <w:p w14:paraId="00BB0937" w14:textId="77777777" w:rsidR="00871BDF" w:rsidRDefault="00871BDF">
            <w:pPr>
              <w:jc w:val="right"/>
              <w:rPr>
                <w:rFonts w:ascii="宋体"/>
              </w:rPr>
            </w:pPr>
          </w:p>
        </w:tc>
      </w:tr>
      <w:tr w:rsidR="00871BDF" w14:paraId="00BB094A" w14:textId="77777777">
        <w:tc>
          <w:tcPr>
            <w:tcW w:w="0" w:type="auto"/>
            <w:gridSpan w:val="3"/>
            <w:shd w:val="clear" w:color="auto" w:fill="FFFFFF"/>
            <w:tcMar>
              <w:top w:w="40" w:type="dxa"/>
              <w:left w:w="20" w:type="dxa"/>
              <w:bottom w:w="40" w:type="dxa"/>
              <w:right w:w="20" w:type="dxa"/>
            </w:tcMar>
          </w:tcPr>
          <w:p w14:paraId="00BB0939" w14:textId="77777777" w:rsidR="00871BDF" w:rsidRDefault="005C5088">
            <w:pPr>
              <w:textAlignment w:val="top"/>
            </w:pPr>
            <w:r>
              <w:rPr>
                <w:rFonts w:ascii="Times New Roman" w:eastAsia="宋体" w:hAnsi="Times New Roman"/>
                <w:color w:val="000000"/>
                <w:sz w:val="20"/>
                <w:szCs w:val="20"/>
              </w:rPr>
              <w:t>Operating income/(loss)</w:t>
            </w:r>
          </w:p>
        </w:tc>
        <w:tc>
          <w:tcPr>
            <w:tcW w:w="0" w:type="auto"/>
            <w:gridSpan w:val="2"/>
            <w:shd w:val="clear" w:color="auto" w:fill="FFFFFF"/>
            <w:tcMar>
              <w:top w:w="40" w:type="dxa"/>
              <w:left w:w="20" w:type="dxa"/>
              <w:bottom w:w="40" w:type="dxa"/>
              <w:right w:w="0" w:type="dxa"/>
            </w:tcMar>
            <w:vAlign w:val="bottom"/>
          </w:tcPr>
          <w:p w14:paraId="00BB093A" w14:textId="77777777" w:rsidR="00871BDF" w:rsidRDefault="005C5088">
            <w:pPr>
              <w:jc w:val="right"/>
              <w:textAlignment w:val="bottom"/>
            </w:pPr>
            <w:r>
              <w:rPr>
                <w:rFonts w:ascii="Times New Roman" w:eastAsia="宋体" w:hAnsi="Times New Roman"/>
                <w:color w:val="000000"/>
                <w:sz w:val="20"/>
                <w:szCs w:val="20"/>
              </w:rPr>
              <w:t>3,782.8 </w:t>
            </w:r>
          </w:p>
        </w:tc>
        <w:tc>
          <w:tcPr>
            <w:tcW w:w="0" w:type="auto"/>
            <w:shd w:val="clear" w:color="auto" w:fill="FFFFFF"/>
            <w:tcMar>
              <w:top w:w="40" w:type="dxa"/>
              <w:left w:w="0" w:type="dxa"/>
              <w:bottom w:w="40" w:type="dxa"/>
              <w:right w:w="20" w:type="dxa"/>
            </w:tcMar>
            <w:vAlign w:val="bottom"/>
          </w:tcPr>
          <w:p w14:paraId="00BB093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3C"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93D" w14:textId="77777777" w:rsidR="00871BDF" w:rsidRDefault="005C5088">
            <w:pPr>
              <w:jc w:val="right"/>
              <w:textAlignment w:val="bottom"/>
            </w:pPr>
            <w:r>
              <w:rPr>
                <w:rFonts w:ascii="Times New Roman" w:eastAsia="宋体" w:hAnsi="Times New Roman"/>
                <w:color w:val="000000"/>
                <w:sz w:val="20"/>
                <w:szCs w:val="20"/>
              </w:rPr>
              <w:t>964.7 </w:t>
            </w:r>
          </w:p>
        </w:tc>
        <w:tc>
          <w:tcPr>
            <w:tcW w:w="0" w:type="auto"/>
            <w:shd w:val="clear" w:color="auto" w:fill="FFFFFF"/>
            <w:tcMar>
              <w:top w:w="40" w:type="dxa"/>
              <w:left w:w="0" w:type="dxa"/>
              <w:bottom w:w="40" w:type="dxa"/>
              <w:right w:w="20" w:type="dxa"/>
            </w:tcMar>
            <w:vAlign w:val="bottom"/>
          </w:tcPr>
          <w:p w14:paraId="00BB093E"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3F" w14:textId="77777777" w:rsidR="00871BDF" w:rsidRDefault="00871BDF">
            <w:pPr>
              <w:rPr>
                <w:rFonts w:ascii="宋体"/>
              </w:rPr>
            </w:pPr>
          </w:p>
        </w:tc>
        <w:tc>
          <w:tcPr>
            <w:tcW w:w="0" w:type="auto"/>
            <w:shd w:val="clear" w:color="auto" w:fill="auto"/>
          </w:tcPr>
          <w:p w14:paraId="00BB0940" w14:textId="77777777" w:rsidR="00871BDF" w:rsidRDefault="00871BDF">
            <w:pPr>
              <w:rPr>
                <w:rFonts w:ascii="宋体"/>
                <w:vanish/>
              </w:rPr>
            </w:pPr>
          </w:p>
        </w:tc>
        <w:tc>
          <w:tcPr>
            <w:tcW w:w="0" w:type="auto"/>
            <w:shd w:val="clear" w:color="auto" w:fill="auto"/>
          </w:tcPr>
          <w:p w14:paraId="00BB0941" w14:textId="77777777" w:rsidR="00871BDF" w:rsidRDefault="00871BDF">
            <w:pPr>
              <w:rPr>
                <w:rFonts w:ascii="宋体"/>
                <w:vanish/>
              </w:rPr>
            </w:pPr>
          </w:p>
        </w:tc>
        <w:tc>
          <w:tcPr>
            <w:tcW w:w="0" w:type="auto"/>
            <w:gridSpan w:val="2"/>
            <w:shd w:val="clear" w:color="auto" w:fill="FFFFFF"/>
            <w:tcMar>
              <w:top w:w="40" w:type="dxa"/>
              <w:left w:w="20" w:type="dxa"/>
              <w:bottom w:w="40" w:type="dxa"/>
              <w:right w:w="0" w:type="dxa"/>
            </w:tcMar>
            <w:vAlign w:val="bottom"/>
          </w:tcPr>
          <w:p w14:paraId="00BB0942" w14:textId="77777777" w:rsidR="00871BDF" w:rsidRDefault="005C5088">
            <w:pPr>
              <w:jc w:val="right"/>
              <w:textAlignment w:val="bottom"/>
            </w:pPr>
            <w:r>
              <w:rPr>
                <w:rFonts w:ascii="Times New Roman" w:eastAsia="宋体" w:hAnsi="Times New Roman"/>
                <w:color w:val="000000"/>
                <w:sz w:val="20"/>
                <w:szCs w:val="20"/>
              </w:rPr>
              <w:t>697.5 </w:t>
            </w:r>
          </w:p>
        </w:tc>
        <w:tc>
          <w:tcPr>
            <w:tcW w:w="0" w:type="auto"/>
            <w:shd w:val="clear" w:color="auto" w:fill="FFFFFF"/>
            <w:tcMar>
              <w:top w:w="40" w:type="dxa"/>
              <w:left w:w="0" w:type="dxa"/>
              <w:bottom w:w="40" w:type="dxa"/>
              <w:right w:w="20" w:type="dxa"/>
            </w:tcMar>
            <w:vAlign w:val="bottom"/>
          </w:tcPr>
          <w:p w14:paraId="00BB094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4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945" w14:textId="77777777" w:rsidR="00871BDF" w:rsidRDefault="005C5088">
            <w:pPr>
              <w:jc w:val="right"/>
              <w:textAlignment w:val="bottom"/>
            </w:pPr>
            <w:r>
              <w:rPr>
                <w:rFonts w:ascii="Times New Roman" w:eastAsia="宋体" w:hAnsi="Times New Roman"/>
                <w:color w:val="000000"/>
                <w:sz w:val="20"/>
                <w:szCs w:val="20"/>
              </w:rPr>
              <w:t>(1,367.1)</w:t>
            </w:r>
          </w:p>
        </w:tc>
        <w:tc>
          <w:tcPr>
            <w:tcW w:w="0" w:type="auto"/>
            <w:shd w:val="clear" w:color="auto" w:fill="FFFFFF"/>
            <w:tcMar>
              <w:top w:w="40" w:type="dxa"/>
              <w:left w:w="0" w:type="dxa"/>
              <w:bottom w:w="40" w:type="dxa"/>
              <w:right w:w="20" w:type="dxa"/>
            </w:tcMar>
            <w:vAlign w:val="bottom"/>
          </w:tcPr>
          <w:p w14:paraId="00BB094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4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948" w14:textId="77777777" w:rsidR="00871BDF" w:rsidRDefault="005C5088">
            <w:pPr>
              <w:jc w:val="right"/>
              <w:textAlignment w:val="bottom"/>
            </w:pPr>
            <w:r>
              <w:rPr>
                <w:rFonts w:ascii="Times New Roman" w:eastAsia="宋体" w:hAnsi="Times New Roman"/>
                <w:color w:val="000000"/>
                <w:sz w:val="20"/>
                <w:szCs w:val="20"/>
              </w:rPr>
              <w:t>4,077.9 </w:t>
            </w:r>
          </w:p>
        </w:tc>
        <w:tc>
          <w:tcPr>
            <w:tcW w:w="0" w:type="auto"/>
            <w:shd w:val="clear" w:color="auto" w:fill="FFFFFF"/>
            <w:tcMar>
              <w:top w:w="40" w:type="dxa"/>
              <w:left w:w="0" w:type="dxa"/>
              <w:bottom w:w="40" w:type="dxa"/>
              <w:right w:w="20" w:type="dxa"/>
            </w:tcMar>
            <w:vAlign w:val="bottom"/>
          </w:tcPr>
          <w:p w14:paraId="00BB0949" w14:textId="77777777" w:rsidR="00871BDF" w:rsidRDefault="00871BDF">
            <w:pPr>
              <w:jc w:val="right"/>
              <w:rPr>
                <w:rFonts w:ascii="宋体"/>
              </w:rPr>
            </w:pPr>
          </w:p>
        </w:tc>
      </w:tr>
      <w:tr w:rsidR="00871BDF" w14:paraId="00BB0961" w14:textId="77777777">
        <w:tc>
          <w:tcPr>
            <w:tcW w:w="0" w:type="auto"/>
            <w:gridSpan w:val="3"/>
            <w:shd w:val="clear" w:color="auto" w:fill="D7E4BC"/>
            <w:tcMar>
              <w:top w:w="40" w:type="dxa"/>
              <w:left w:w="20" w:type="dxa"/>
              <w:bottom w:w="40" w:type="dxa"/>
              <w:right w:w="20" w:type="dxa"/>
            </w:tcMar>
          </w:tcPr>
          <w:p w14:paraId="00BB094B" w14:textId="77777777" w:rsidR="00871BDF" w:rsidRDefault="005C5088">
            <w:pPr>
              <w:textAlignment w:val="top"/>
            </w:pPr>
            <w:r>
              <w:rPr>
                <w:rFonts w:ascii="Times New Roman" w:eastAsia="宋体" w:hAnsi="Times New Roman"/>
                <w:color w:val="000000"/>
                <w:sz w:val="20"/>
                <w:szCs w:val="20"/>
              </w:rPr>
              <w:t>Total assets</w:t>
            </w:r>
          </w:p>
        </w:tc>
        <w:tc>
          <w:tcPr>
            <w:tcW w:w="0" w:type="auto"/>
            <w:shd w:val="clear" w:color="auto" w:fill="D7E4BC"/>
            <w:tcMar>
              <w:top w:w="40" w:type="dxa"/>
              <w:left w:w="20" w:type="dxa"/>
              <w:bottom w:w="40" w:type="dxa"/>
              <w:right w:w="0" w:type="dxa"/>
            </w:tcMar>
            <w:vAlign w:val="bottom"/>
          </w:tcPr>
          <w:p w14:paraId="00BB094C"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94D" w14:textId="77777777" w:rsidR="00871BDF" w:rsidRDefault="005C5088">
            <w:pPr>
              <w:jc w:val="right"/>
              <w:textAlignment w:val="bottom"/>
            </w:pPr>
            <w:r>
              <w:rPr>
                <w:rFonts w:ascii="Times New Roman" w:eastAsia="宋体" w:hAnsi="Times New Roman"/>
                <w:color w:val="000000"/>
                <w:sz w:val="20"/>
                <w:szCs w:val="20"/>
              </w:rPr>
              <w:t>4,446.7 </w:t>
            </w:r>
          </w:p>
        </w:tc>
        <w:tc>
          <w:tcPr>
            <w:tcW w:w="0" w:type="auto"/>
            <w:shd w:val="clear" w:color="auto" w:fill="D7E4BC"/>
            <w:tcMar>
              <w:top w:w="40" w:type="dxa"/>
              <w:left w:w="0" w:type="dxa"/>
              <w:bottom w:w="40" w:type="dxa"/>
              <w:right w:w="20" w:type="dxa"/>
            </w:tcMar>
            <w:vAlign w:val="bottom"/>
          </w:tcPr>
          <w:p w14:paraId="00BB094E"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4F"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950"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951" w14:textId="77777777" w:rsidR="00871BDF" w:rsidRDefault="005C5088">
            <w:pPr>
              <w:jc w:val="right"/>
              <w:textAlignment w:val="bottom"/>
            </w:pPr>
            <w:r>
              <w:rPr>
                <w:rFonts w:ascii="Times New Roman" w:eastAsia="宋体" w:hAnsi="Times New Roman"/>
                <w:color w:val="000000"/>
                <w:sz w:val="20"/>
                <w:szCs w:val="20"/>
              </w:rPr>
              <w:t>6,724.6 </w:t>
            </w:r>
          </w:p>
        </w:tc>
        <w:tc>
          <w:tcPr>
            <w:tcW w:w="0" w:type="auto"/>
            <w:shd w:val="clear" w:color="auto" w:fill="D7E4BC"/>
            <w:tcMar>
              <w:top w:w="40" w:type="dxa"/>
              <w:left w:w="0" w:type="dxa"/>
              <w:bottom w:w="40" w:type="dxa"/>
              <w:right w:w="20" w:type="dxa"/>
            </w:tcMar>
            <w:vAlign w:val="bottom"/>
          </w:tcPr>
          <w:p w14:paraId="00BB0952"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53" w14:textId="77777777" w:rsidR="00871BDF" w:rsidRDefault="00871BDF">
            <w:pPr>
              <w:rPr>
                <w:rFonts w:ascii="宋体"/>
              </w:rPr>
            </w:pPr>
          </w:p>
        </w:tc>
        <w:tc>
          <w:tcPr>
            <w:tcW w:w="0" w:type="auto"/>
            <w:shd w:val="clear" w:color="auto" w:fill="auto"/>
          </w:tcPr>
          <w:p w14:paraId="00BB0954" w14:textId="77777777" w:rsidR="00871BDF" w:rsidRDefault="00871BDF">
            <w:pPr>
              <w:rPr>
                <w:rFonts w:ascii="宋体"/>
                <w:vanish/>
              </w:rPr>
            </w:pPr>
          </w:p>
        </w:tc>
        <w:tc>
          <w:tcPr>
            <w:tcW w:w="0" w:type="auto"/>
            <w:shd w:val="clear" w:color="auto" w:fill="auto"/>
          </w:tcPr>
          <w:p w14:paraId="00BB0955" w14:textId="77777777" w:rsidR="00871BDF" w:rsidRDefault="00871BDF">
            <w:pPr>
              <w:rPr>
                <w:rFonts w:ascii="宋体"/>
                <w:vanish/>
              </w:rPr>
            </w:pPr>
          </w:p>
        </w:tc>
        <w:tc>
          <w:tcPr>
            <w:tcW w:w="0" w:type="auto"/>
            <w:shd w:val="clear" w:color="auto" w:fill="D7E4BC"/>
            <w:tcMar>
              <w:top w:w="40" w:type="dxa"/>
              <w:left w:w="20" w:type="dxa"/>
              <w:bottom w:w="40" w:type="dxa"/>
              <w:right w:w="0" w:type="dxa"/>
            </w:tcMar>
            <w:vAlign w:val="bottom"/>
          </w:tcPr>
          <w:p w14:paraId="00BB0956"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957" w14:textId="77777777" w:rsidR="00871BDF" w:rsidRDefault="005C5088">
            <w:pPr>
              <w:jc w:val="right"/>
              <w:textAlignment w:val="bottom"/>
            </w:pPr>
            <w:r>
              <w:rPr>
                <w:rFonts w:ascii="Times New Roman" w:eastAsia="宋体" w:hAnsi="Times New Roman"/>
                <w:color w:val="000000"/>
                <w:sz w:val="20"/>
                <w:szCs w:val="20"/>
              </w:rPr>
              <w:t>132.2 </w:t>
            </w:r>
          </w:p>
        </w:tc>
        <w:tc>
          <w:tcPr>
            <w:tcW w:w="0" w:type="auto"/>
            <w:shd w:val="clear" w:color="auto" w:fill="D7E4BC"/>
            <w:tcMar>
              <w:top w:w="40" w:type="dxa"/>
              <w:left w:w="0" w:type="dxa"/>
              <w:bottom w:w="40" w:type="dxa"/>
              <w:right w:w="20" w:type="dxa"/>
            </w:tcMar>
            <w:vAlign w:val="bottom"/>
          </w:tcPr>
          <w:p w14:paraId="00BB095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59"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95A"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95B" w14:textId="77777777" w:rsidR="00871BDF" w:rsidRDefault="005C5088">
            <w:pPr>
              <w:jc w:val="right"/>
              <w:textAlignment w:val="bottom"/>
            </w:pPr>
            <w:r>
              <w:rPr>
                <w:rFonts w:ascii="Times New Roman" w:eastAsia="宋体" w:hAnsi="Times New Roman"/>
                <w:color w:val="000000"/>
                <w:sz w:val="20"/>
                <w:szCs w:val="20"/>
              </w:rPr>
              <w:t>7,916.1 </w:t>
            </w:r>
          </w:p>
        </w:tc>
        <w:tc>
          <w:tcPr>
            <w:tcW w:w="0" w:type="auto"/>
            <w:shd w:val="clear" w:color="auto" w:fill="D7E4BC"/>
            <w:tcMar>
              <w:top w:w="40" w:type="dxa"/>
              <w:left w:w="0" w:type="dxa"/>
              <w:bottom w:w="40" w:type="dxa"/>
              <w:right w:w="20" w:type="dxa"/>
            </w:tcMar>
            <w:vAlign w:val="bottom"/>
          </w:tcPr>
          <w:p w14:paraId="00BB095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5D"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95E"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95F" w14:textId="77777777" w:rsidR="00871BDF" w:rsidRDefault="005C5088">
            <w:pPr>
              <w:jc w:val="right"/>
              <w:textAlignment w:val="bottom"/>
            </w:pPr>
            <w:r>
              <w:rPr>
                <w:rFonts w:ascii="Times New Roman" w:eastAsia="宋体" w:hAnsi="Times New Roman"/>
                <w:color w:val="000000"/>
                <w:sz w:val="20"/>
                <w:szCs w:val="20"/>
              </w:rPr>
              <w:t>19,219.6 </w:t>
            </w:r>
          </w:p>
        </w:tc>
        <w:tc>
          <w:tcPr>
            <w:tcW w:w="0" w:type="auto"/>
            <w:shd w:val="clear" w:color="auto" w:fill="D7E4BC"/>
            <w:tcMar>
              <w:top w:w="40" w:type="dxa"/>
              <w:left w:w="0" w:type="dxa"/>
              <w:bottom w:w="40" w:type="dxa"/>
              <w:right w:w="20" w:type="dxa"/>
            </w:tcMar>
            <w:vAlign w:val="bottom"/>
          </w:tcPr>
          <w:p w14:paraId="00BB0960" w14:textId="77777777" w:rsidR="00871BDF" w:rsidRDefault="00871BDF">
            <w:pPr>
              <w:jc w:val="right"/>
              <w:rPr>
                <w:rFonts w:ascii="宋体"/>
              </w:rPr>
            </w:pPr>
          </w:p>
        </w:tc>
      </w:tr>
      <w:tr w:rsidR="00871BDF" w14:paraId="00BB096E" w14:textId="77777777">
        <w:trPr>
          <w:trHeight w:val="300"/>
        </w:trPr>
        <w:tc>
          <w:tcPr>
            <w:tcW w:w="0" w:type="auto"/>
            <w:gridSpan w:val="3"/>
            <w:shd w:val="clear" w:color="auto" w:fill="FFFFFF"/>
            <w:tcMar>
              <w:top w:w="0" w:type="dxa"/>
              <w:left w:w="20" w:type="dxa"/>
              <w:bottom w:w="0" w:type="dxa"/>
              <w:right w:w="20" w:type="dxa"/>
            </w:tcMar>
          </w:tcPr>
          <w:p w14:paraId="00BB096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96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96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96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966" w14:textId="77777777" w:rsidR="00871BDF" w:rsidRDefault="00871BDF">
            <w:pPr>
              <w:rPr>
                <w:rFonts w:ascii="宋体"/>
              </w:rPr>
            </w:pPr>
          </w:p>
        </w:tc>
        <w:tc>
          <w:tcPr>
            <w:tcW w:w="0" w:type="auto"/>
            <w:shd w:val="clear" w:color="auto" w:fill="auto"/>
          </w:tcPr>
          <w:p w14:paraId="00BB0967" w14:textId="77777777" w:rsidR="00871BDF" w:rsidRDefault="00871BDF">
            <w:pPr>
              <w:rPr>
                <w:rFonts w:ascii="宋体"/>
                <w:vanish/>
              </w:rPr>
            </w:pPr>
          </w:p>
        </w:tc>
        <w:tc>
          <w:tcPr>
            <w:tcW w:w="0" w:type="auto"/>
            <w:shd w:val="clear" w:color="auto" w:fill="auto"/>
          </w:tcPr>
          <w:p w14:paraId="00BB0968" w14:textId="77777777" w:rsidR="00871BDF" w:rsidRDefault="00871BDF">
            <w:pPr>
              <w:rPr>
                <w:rFonts w:ascii="宋体"/>
                <w:vanish/>
              </w:rPr>
            </w:pPr>
          </w:p>
        </w:tc>
        <w:tc>
          <w:tcPr>
            <w:tcW w:w="0" w:type="auto"/>
            <w:gridSpan w:val="3"/>
            <w:shd w:val="clear" w:color="auto" w:fill="FFFFFF"/>
            <w:tcMar>
              <w:top w:w="0" w:type="dxa"/>
              <w:left w:w="20" w:type="dxa"/>
              <w:bottom w:w="0" w:type="dxa"/>
              <w:right w:w="20" w:type="dxa"/>
            </w:tcMar>
          </w:tcPr>
          <w:p w14:paraId="00BB096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96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96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96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96D" w14:textId="77777777" w:rsidR="00871BDF" w:rsidRDefault="00871BDF">
            <w:pPr>
              <w:rPr>
                <w:rFonts w:ascii="宋体"/>
              </w:rPr>
            </w:pPr>
          </w:p>
        </w:tc>
      </w:tr>
      <w:tr w:rsidR="00871BDF" w14:paraId="00BB097B" w14:textId="77777777">
        <w:tc>
          <w:tcPr>
            <w:tcW w:w="0" w:type="auto"/>
            <w:gridSpan w:val="3"/>
            <w:shd w:val="clear" w:color="auto" w:fill="D7E4BC"/>
            <w:tcMar>
              <w:top w:w="40" w:type="dxa"/>
              <w:left w:w="20" w:type="dxa"/>
              <w:bottom w:w="40" w:type="dxa"/>
              <w:right w:w="20" w:type="dxa"/>
            </w:tcMar>
            <w:vAlign w:val="bottom"/>
          </w:tcPr>
          <w:p w14:paraId="00BB096F" w14:textId="77777777" w:rsidR="00871BDF" w:rsidRDefault="005C5088">
            <w:pPr>
              <w:textAlignment w:val="bottom"/>
            </w:pPr>
            <w:r>
              <w:rPr>
                <w:rFonts w:ascii="Times New Roman" w:eastAsia="宋体" w:hAnsi="Times New Roman"/>
                <w:i/>
                <w:iCs/>
                <w:color w:val="000000"/>
                <w:sz w:val="20"/>
                <w:szCs w:val="20"/>
              </w:rPr>
              <w:t>Fiscal 2018</w:t>
            </w:r>
          </w:p>
        </w:tc>
        <w:tc>
          <w:tcPr>
            <w:tcW w:w="0" w:type="auto"/>
            <w:gridSpan w:val="3"/>
            <w:shd w:val="clear" w:color="auto" w:fill="D7E4BC"/>
            <w:tcMar>
              <w:top w:w="0" w:type="dxa"/>
              <w:left w:w="20" w:type="dxa"/>
              <w:bottom w:w="0" w:type="dxa"/>
              <w:right w:w="20" w:type="dxa"/>
            </w:tcMar>
          </w:tcPr>
          <w:p w14:paraId="00BB097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97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97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973" w14:textId="77777777" w:rsidR="00871BDF" w:rsidRDefault="00871BDF">
            <w:pPr>
              <w:rPr>
                <w:rFonts w:ascii="宋体"/>
              </w:rPr>
            </w:pPr>
          </w:p>
        </w:tc>
        <w:tc>
          <w:tcPr>
            <w:tcW w:w="0" w:type="auto"/>
            <w:shd w:val="clear" w:color="auto" w:fill="auto"/>
          </w:tcPr>
          <w:p w14:paraId="00BB0974" w14:textId="77777777" w:rsidR="00871BDF" w:rsidRDefault="00871BDF">
            <w:pPr>
              <w:rPr>
                <w:rFonts w:ascii="宋体"/>
                <w:vanish/>
              </w:rPr>
            </w:pPr>
          </w:p>
        </w:tc>
        <w:tc>
          <w:tcPr>
            <w:tcW w:w="0" w:type="auto"/>
            <w:shd w:val="clear" w:color="auto" w:fill="auto"/>
          </w:tcPr>
          <w:p w14:paraId="00BB0975" w14:textId="77777777" w:rsidR="00871BDF" w:rsidRDefault="00871BDF">
            <w:pPr>
              <w:rPr>
                <w:rFonts w:ascii="宋体"/>
                <w:vanish/>
              </w:rPr>
            </w:pPr>
          </w:p>
        </w:tc>
        <w:tc>
          <w:tcPr>
            <w:tcW w:w="0" w:type="auto"/>
            <w:gridSpan w:val="3"/>
            <w:shd w:val="clear" w:color="auto" w:fill="D7E4BC"/>
            <w:tcMar>
              <w:top w:w="0" w:type="dxa"/>
              <w:left w:w="20" w:type="dxa"/>
              <w:bottom w:w="0" w:type="dxa"/>
              <w:right w:w="20" w:type="dxa"/>
            </w:tcMar>
          </w:tcPr>
          <w:p w14:paraId="00BB097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97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97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97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97A" w14:textId="77777777" w:rsidR="00871BDF" w:rsidRDefault="00871BDF">
            <w:pPr>
              <w:rPr>
                <w:rFonts w:ascii="宋体"/>
              </w:rPr>
            </w:pPr>
          </w:p>
        </w:tc>
      </w:tr>
      <w:tr w:rsidR="00871BDF" w14:paraId="00BB0992" w14:textId="77777777">
        <w:tc>
          <w:tcPr>
            <w:tcW w:w="0" w:type="auto"/>
            <w:gridSpan w:val="3"/>
            <w:shd w:val="clear" w:color="auto" w:fill="FFFFFF"/>
            <w:tcMar>
              <w:top w:w="40" w:type="dxa"/>
              <w:left w:w="20" w:type="dxa"/>
              <w:bottom w:w="40" w:type="dxa"/>
              <w:right w:w="20" w:type="dxa"/>
            </w:tcMar>
          </w:tcPr>
          <w:p w14:paraId="00BB097C" w14:textId="77777777" w:rsidR="00871BDF" w:rsidRDefault="005C5088">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00BB097D"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97E" w14:textId="77777777" w:rsidR="00871BDF" w:rsidRDefault="005C5088">
            <w:pPr>
              <w:jc w:val="right"/>
              <w:textAlignment w:val="bottom"/>
            </w:pPr>
            <w:r>
              <w:rPr>
                <w:rFonts w:ascii="Times New Roman" w:eastAsia="宋体" w:hAnsi="Times New Roman"/>
                <w:color w:val="000000"/>
                <w:sz w:val="20"/>
                <w:szCs w:val="20"/>
              </w:rPr>
              <w:t>16,748.6 </w:t>
            </w:r>
          </w:p>
        </w:tc>
        <w:tc>
          <w:tcPr>
            <w:tcW w:w="0" w:type="auto"/>
            <w:shd w:val="clear" w:color="auto" w:fill="FFFFFF"/>
            <w:tcMar>
              <w:top w:w="40" w:type="dxa"/>
              <w:left w:w="0" w:type="dxa"/>
              <w:bottom w:w="40" w:type="dxa"/>
              <w:right w:w="20" w:type="dxa"/>
            </w:tcMar>
            <w:vAlign w:val="bottom"/>
          </w:tcPr>
          <w:p w14:paraId="00BB097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80"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981"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982" w14:textId="77777777" w:rsidR="00871BDF" w:rsidRDefault="005C5088">
            <w:pPr>
              <w:jc w:val="right"/>
              <w:textAlignment w:val="bottom"/>
            </w:pPr>
            <w:r>
              <w:rPr>
                <w:rFonts w:ascii="Times New Roman" w:eastAsia="宋体" w:hAnsi="Times New Roman"/>
                <w:color w:val="000000"/>
                <w:sz w:val="20"/>
                <w:szCs w:val="20"/>
              </w:rPr>
              <w:t>5,551.2 </w:t>
            </w:r>
          </w:p>
        </w:tc>
        <w:tc>
          <w:tcPr>
            <w:tcW w:w="0" w:type="auto"/>
            <w:shd w:val="clear" w:color="auto" w:fill="FFFFFF"/>
            <w:tcMar>
              <w:top w:w="40" w:type="dxa"/>
              <w:left w:w="0" w:type="dxa"/>
              <w:bottom w:w="40" w:type="dxa"/>
              <w:right w:w="20" w:type="dxa"/>
            </w:tcMar>
            <w:vAlign w:val="bottom"/>
          </w:tcPr>
          <w:p w14:paraId="00BB098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84" w14:textId="77777777" w:rsidR="00871BDF" w:rsidRDefault="00871BDF">
            <w:pPr>
              <w:rPr>
                <w:rFonts w:ascii="宋体"/>
              </w:rPr>
            </w:pPr>
          </w:p>
        </w:tc>
        <w:tc>
          <w:tcPr>
            <w:tcW w:w="0" w:type="auto"/>
            <w:shd w:val="clear" w:color="auto" w:fill="auto"/>
          </w:tcPr>
          <w:p w14:paraId="00BB0985" w14:textId="77777777" w:rsidR="00871BDF" w:rsidRDefault="00871BDF">
            <w:pPr>
              <w:rPr>
                <w:rFonts w:ascii="宋体"/>
                <w:vanish/>
              </w:rPr>
            </w:pPr>
          </w:p>
        </w:tc>
        <w:tc>
          <w:tcPr>
            <w:tcW w:w="0" w:type="auto"/>
            <w:shd w:val="clear" w:color="auto" w:fill="auto"/>
          </w:tcPr>
          <w:p w14:paraId="00BB0986" w14:textId="77777777" w:rsidR="00871BDF" w:rsidRDefault="00871BDF">
            <w:pPr>
              <w:rPr>
                <w:rFonts w:ascii="宋体"/>
                <w:vanish/>
              </w:rPr>
            </w:pPr>
          </w:p>
        </w:tc>
        <w:tc>
          <w:tcPr>
            <w:tcW w:w="0" w:type="auto"/>
            <w:shd w:val="clear" w:color="auto" w:fill="FFFFFF"/>
            <w:tcMar>
              <w:top w:w="40" w:type="dxa"/>
              <w:left w:w="20" w:type="dxa"/>
              <w:bottom w:w="40" w:type="dxa"/>
              <w:right w:w="0" w:type="dxa"/>
            </w:tcMar>
            <w:vAlign w:val="bottom"/>
          </w:tcPr>
          <w:p w14:paraId="00BB0987"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988" w14:textId="77777777" w:rsidR="00871BDF" w:rsidRDefault="005C5088">
            <w:pPr>
              <w:jc w:val="right"/>
              <w:textAlignment w:val="bottom"/>
            </w:pPr>
            <w:r>
              <w:rPr>
                <w:rFonts w:ascii="Times New Roman" w:eastAsia="宋体" w:hAnsi="Times New Roman"/>
                <w:color w:val="000000"/>
                <w:sz w:val="20"/>
                <w:szCs w:val="20"/>
              </w:rPr>
              <w:t>2,297.3 </w:t>
            </w:r>
          </w:p>
        </w:tc>
        <w:tc>
          <w:tcPr>
            <w:tcW w:w="0" w:type="auto"/>
            <w:shd w:val="clear" w:color="auto" w:fill="FFFFFF"/>
            <w:tcMar>
              <w:top w:w="40" w:type="dxa"/>
              <w:left w:w="0" w:type="dxa"/>
              <w:bottom w:w="40" w:type="dxa"/>
              <w:right w:w="20" w:type="dxa"/>
            </w:tcMar>
            <w:vAlign w:val="bottom"/>
          </w:tcPr>
          <w:p w14:paraId="00BB098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8A"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98B"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98C" w14:textId="77777777" w:rsidR="00871BDF" w:rsidRDefault="005C5088">
            <w:pPr>
              <w:jc w:val="right"/>
              <w:textAlignment w:val="bottom"/>
            </w:pPr>
            <w:r>
              <w:rPr>
                <w:rFonts w:ascii="Times New Roman" w:eastAsia="宋体" w:hAnsi="Times New Roman"/>
                <w:color w:val="000000"/>
                <w:sz w:val="20"/>
                <w:szCs w:val="20"/>
              </w:rPr>
              <w:t>122.4 </w:t>
            </w:r>
          </w:p>
        </w:tc>
        <w:tc>
          <w:tcPr>
            <w:tcW w:w="0" w:type="auto"/>
            <w:shd w:val="clear" w:color="auto" w:fill="FFFFFF"/>
            <w:tcMar>
              <w:top w:w="40" w:type="dxa"/>
              <w:left w:w="0" w:type="dxa"/>
              <w:bottom w:w="40" w:type="dxa"/>
              <w:right w:w="20" w:type="dxa"/>
            </w:tcMar>
            <w:vAlign w:val="bottom"/>
          </w:tcPr>
          <w:p w14:paraId="00BB098D"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8E"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98F"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990" w14:textId="77777777" w:rsidR="00871BDF" w:rsidRDefault="005C5088">
            <w:pPr>
              <w:jc w:val="right"/>
              <w:textAlignment w:val="bottom"/>
            </w:pPr>
            <w:r>
              <w:rPr>
                <w:rFonts w:ascii="Times New Roman" w:eastAsia="宋体" w:hAnsi="Times New Roman"/>
                <w:color w:val="000000"/>
                <w:sz w:val="20"/>
                <w:szCs w:val="20"/>
              </w:rPr>
              <w:t>24,719.5 </w:t>
            </w:r>
          </w:p>
        </w:tc>
        <w:tc>
          <w:tcPr>
            <w:tcW w:w="0" w:type="auto"/>
            <w:shd w:val="clear" w:color="auto" w:fill="FFFFFF"/>
            <w:tcMar>
              <w:top w:w="40" w:type="dxa"/>
              <w:left w:w="0" w:type="dxa"/>
              <w:bottom w:w="40" w:type="dxa"/>
              <w:right w:w="20" w:type="dxa"/>
            </w:tcMar>
            <w:vAlign w:val="bottom"/>
          </w:tcPr>
          <w:p w14:paraId="00BB0991" w14:textId="77777777" w:rsidR="00871BDF" w:rsidRDefault="00871BDF">
            <w:pPr>
              <w:jc w:val="right"/>
              <w:rPr>
                <w:rFonts w:ascii="宋体"/>
              </w:rPr>
            </w:pPr>
          </w:p>
        </w:tc>
      </w:tr>
      <w:tr w:rsidR="00871BDF" w14:paraId="00BB09A4" w14:textId="77777777">
        <w:tc>
          <w:tcPr>
            <w:tcW w:w="0" w:type="auto"/>
            <w:gridSpan w:val="3"/>
            <w:shd w:val="clear" w:color="auto" w:fill="D7E4BC"/>
            <w:tcMar>
              <w:top w:w="40" w:type="dxa"/>
              <w:left w:w="20" w:type="dxa"/>
              <w:bottom w:w="40" w:type="dxa"/>
              <w:right w:w="20" w:type="dxa"/>
            </w:tcMar>
          </w:tcPr>
          <w:p w14:paraId="00BB0993" w14:textId="77777777" w:rsidR="00871BDF" w:rsidRDefault="005C5088">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0BB0994" w14:textId="77777777" w:rsidR="00871BDF" w:rsidRDefault="005C5088">
            <w:pPr>
              <w:jc w:val="right"/>
              <w:textAlignment w:val="bottom"/>
            </w:pPr>
            <w:r>
              <w:rPr>
                <w:rFonts w:ascii="Times New Roman" w:eastAsia="宋体" w:hAnsi="Times New Roman"/>
                <w:color w:val="000000"/>
                <w:sz w:val="20"/>
                <w:szCs w:val="20"/>
              </w:rPr>
              <w:t>641.0 </w:t>
            </w:r>
          </w:p>
        </w:tc>
        <w:tc>
          <w:tcPr>
            <w:tcW w:w="0" w:type="auto"/>
            <w:shd w:val="clear" w:color="auto" w:fill="D7E4BC"/>
            <w:tcMar>
              <w:top w:w="40" w:type="dxa"/>
              <w:left w:w="0" w:type="dxa"/>
              <w:bottom w:w="40" w:type="dxa"/>
              <w:right w:w="20" w:type="dxa"/>
            </w:tcMar>
            <w:vAlign w:val="bottom"/>
          </w:tcPr>
          <w:p w14:paraId="00BB0995"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96"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997" w14:textId="77777777" w:rsidR="00871BDF" w:rsidRDefault="005C5088">
            <w:pPr>
              <w:jc w:val="right"/>
              <w:textAlignment w:val="bottom"/>
            </w:pPr>
            <w:r>
              <w:rPr>
                <w:rFonts w:ascii="Times New Roman" w:eastAsia="宋体" w:hAnsi="Times New Roman"/>
                <w:color w:val="000000"/>
                <w:sz w:val="20"/>
                <w:szCs w:val="20"/>
              </w:rPr>
              <w:t>447.6 </w:t>
            </w:r>
          </w:p>
        </w:tc>
        <w:tc>
          <w:tcPr>
            <w:tcW w:w="0" w:type="auto"/>
            <w:shd w:val="clear" w:color="auto" w:fill="D7E4BC"/>
            <w:tcMar>
              <w:top w:w="40" w:type="dxa"/>
              <w:left w:w="0" w:type="dxa"/>
              <w:bottom w:w="40" w:type="dxa"/>
              <w:right w:w="20" w:type="dxa"/>
            </w:tcMar>
            <w:vAlign w:val="bottom"/>
          </w:tcPr>
          <w:p w14:paraId="00BB0998"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99" w14:textId="77777777" w:rsidR="00871BDF" w:rsidRDefault="00871BDF">
            <w:pPr>
              <w:rPr>
                <w:rFonts w:ascii="宋体"/>
              </w:rPr>
            </w:pPr>
          </w:p>
        </w:tc>
        <w:tc>
          <w:tcPr>
            <w:tcW w:w="0" w:type="auto"/>
            <w:shd w:val="clear" w:color="auto" w:fill="auto"/>
          </w:tcPr>
          <w:p w14:paraId="00BB099A" w14:textId="77777777" w:rsidR="00871BDF" w:rsidRDefault="00871BDF">
            <w:pPr>
              <w:rPr>
                <w:rFonts w:ascii="宋体"/>
                <w:vanish/>
              </w:rPr>
            </w:pPr>
          </w:p>
        </w:tc>
        <w:tc>
          <w:tcPr>
            <w:tcW w:w="0" w:type="auto"/>
            <w:shd w:val="clear" w:color="auto" w:fill="auto"/>
          </w:tcPr>
          <w:p w14:paraId="00BB099B" w14:textId="77777777" w:rsidR="00871BDF" w:rsidRDefault="00871BDF">
            <w:pPr>
              <w:rPr>
                <w:rFonts w:ascii="宋体"/>
                <w:vanish/>
              </w:rPr>
            </w:pPr>
          </w:p>
        </w:tc>
        <w:tc>
          <w:tcPr>
            <w:tcW w:w="0" w:type="auto"/>
            <w:gridSpan w:val="2"/>
            <w:shd w:val="clear" w:color="auto" w:fill="D7E4BC"/>
            <w:tcMar>
              <w:top w:w="40" w:type="dxa"/>
              <w:left w:w="20" w:type="dxa"/>
              <w:bottom w:w="40" w:type="dxa"/>
              <w:right w:w="0" w:type="dxa"/>
            </w:tcMar>
            <w:vAlign w:val="bottom"/>
          </w:tcPr>
          <w:p w14:paraId="00BB099C" w14:textId="77777777" w:rsidR="00871BDF" w:rsidRDefault="005C5088">
            <w:pPr>
              <w:jc w:val="right"/>
              <w:textAlignment w:val="bottom"/>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bottom"/>
          </w:tcPr>
          <w:p w14:paraId="00BB099D"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9E"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99F" w14:textId="77777777" w:rsidR="00871BDF" w:rsidRDefault="005C5088">
            <w:pPr>
              <w:jc w:val="right"/>
              <w:textAlignment w:val="bottom"/>
            </w:pPr>
            <w:r>
              <w:rPr>
                <w:rFonts w:ascii="Times New Roman" w:eastAsia="宋体" w:hAnsi="Times New Roman"/>
                <w:color w:val="000000"/>
                <w:sz w:val="20"/>
                <w:szCs w:val="20"/>
              </w:rPr>
              <w:t>157.1 </w:t>
            </w:r>
          </w:p>
        </w:tc>
        <w:tc>
          <w:tcPr>
            <w:tcW w:w="0" w:type="auto"/>
            <w:shd w:val="clear" w:color="auto" w:fill="D7E4BC"/>
            <w:tcMar>
              <w:top w:w="40" w:type="dxa"/>
              <w:left w:w="0" w:type="dxa"/>
              <w:bottom w:w="40" w:type="dxa"/>
              <w:right w:w="20" w:type="dxa"/>
            </w:tcMar>
            <w:vAlign w:val="bottom"/>
          </w:tcPr>
          <w:p w14:paraId="00BB09A0"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A1"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9A2" w14:textId="77777777" w:rsidR="00871BDF" w:rsidRDefault="005C5088">
            <w:pPr>
              <w:jc w:val="right"/>
              <w:textAlignment w:val="bottom"/>
            </w:pPr>
            <w:r>
              <w:rPr>
                <w:rFonts w:ascii="Times New Roman" w:eastAsia="宋体" w:hAnsi="Times New Roman"/>
                <w:color w:val="000000"/>
                <w:sz w:val="20"/>
                <w:szCs w:val="20"/>
              </w:rPr>
              <w:t>1,247.0 </w:t>
            </w:r>
          </w:p>
        </w:tc>
        <w:tc>
          <w:tcPr>
            <w:tcW w:w="0" w:type="auto"/>
            <w:shd w:val="clear" w:color="auto" w:fill="D7E4BC"/>
            <w:tcMar>
              <w:top w:w="40" w:type="dxa"/>
              <w:left w:w="0" w:type="dxa"/>
              <w:bottom w:w="40" w:type="dxa"/>
              <w:right w:w="20" w:type="dxa"/>
            </w:tcMar>
            <w:vAlign w:val="bottom"/>
          </w:tcPr>
          <w:p w14:paraId="00BB09A3" w14:textId="77777777" w:rsidR="00871BDF" w:rsidRDefault="00871BDF">
            <w:pPr>
              <w:jc w:val="right"/>
              <w:rPr>
                <w:rFonts w:ascii="宋体"/>
              </w:rPr>
            </w:pPr>
          </w:p>
        </w:tc>
      </w:tr>
      <w:tr w:rsidR="00871BDF" w14:paraId="00BB09B6" w14:textId="77777777">
        <w:tc>
          <w:tcPr>
            <w:tcW w:w="0" w:type="auto"/>
            <w:gridSpan w:val="3"/>
            <w:shd w:val="clear" w:color="auto" w:fill="FFFFFF"/>
            <w:tcMar>
              <w:top w:w="40" w:type="dxa"/>
              <w:left w:w="20" w:type="dxa"/>
              <w:bottom w:w="40" w:type="dxa"/>
              <w:right w:w="20" w:type="dxa"/>
            </w:tcMar>
          </w:tcPr>
          <w:p w14:paraId="00BB09A5" w14:textId="77777777" w:rsidR="00871BDF" w:rsidRDefault="005C5088">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00BB09A6"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9A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A8"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9A9" w14:textId="77777777" w:rsidR="00871BDF" w:rsidRDefault="005C5088">
            <w:pPr>
              <w:jc w:val="right"/>
              <w:textAlignment w:val="bottom"/>
            </w:pPr>
            <w:r>
              <w:rPr>
                <w:rFonts w:ascii="Times New Roman" w:eastAsia="宋体" w:hAnsi="Times New Roman"/>
                <w:color w:val="000000"/>
                <w:sz w:val="20"/>
                <w:szCs w:val="20"/>
              </w:rPr>
              <w:t>117.4 </w:t>
            </w:r>
          </w:p>
        </w:tc>
        <w:tc>
          <w:tcPr>
            <w:tcW w:w="0" w:type="auto"/>
            <w:shd w:val="clear" w:color="auto" w:fill="FFFFFF"/>
            <w:tcMar>
              <w:top w:w="40" w:type="dxa"/>
              <w:left w:w="0" w:type="dxa"/>
              <w:bottom w:w="40" w:type="dxa"/>
              <w:right w:w="20" w:type="dxa"/>
            </w:tcMar>
            <w:vAlign w:val="bottom"/>
          </w:tcPr>
          <w:p w14:paraId="00BB09A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AB" w14:textId="77777777" w:rsidR="00871BDF" w:rsidRDefault="00871BDF">
            <w:pPr>
              <w:rPr>
                <w:rFonts w:ascii="宋体"/>
              </w:rPr>
            </w:pPr>
          </w:p>
        </w:tc>
        <w:tc>
          <w:tcPr>
            <w:tcW w:w="0" w:type="auto"/>
            <w:shd w:val="clear" w:color="auto" w:fill="auto"/>
          </w:tcPr>
          <w:p w14:paraId="00BB09AC" w14:textId="77777777" w:rsidR="00871BDF" w:rsidRDefault="00871BDF">
            <w:pPr>
              <w:rPr>
                <w:rFonts w:ascii="宋体"/>
                <w:vanish/>
              </w:rPr>
            </w:pPr>
          </w:p>
        </w:tc>
        <w:tc>
          <w:tcPr>
            <w:tcW w:w="0" w:type="auto"/>
            <w:shd w:val="clear" w:color="auto" w:fill="auto"/>
          </w:tcPr>
          <w:p w14:paraId="00BB09AD" w14:textId="77777777" w:rsidR="00871BDF" w:rsidRDefault="00871BDF">
            <w:pPr>
              <w:rPr>
                <w:rFonts w:ascii="宋体"/>
                <w:vanish/>
              </w:rPr>
            </w:pPr>
          </w:p>
        </w:tc>
        <w:tc>
          <w:tcPr>
            <w:tcW w:w="0" w:type="auto"/>
            <w:gridSpan w:val="2"/>
            <w:shd w:val="clear" w:color="auto" w:fill="FFFFFF"/>
            <w:tcMar>
              <w:top w:w="40" w:type="dxa"/>
              <w:left w:w="20" w:type="dxa"/>
              <w:bottom w:w="40" w:type="dxa"/>
              <w:right w:w="0" w:type="dxa"/>
            </w:tcMar>
            <w:vAlign w:val="bottom"/>
          </w:tcPr>
          <w:p w14:paraId="00BB09AE" w14:textId="77777777" w:rsidR="00871BDF" w:rsidRDefault="005C5088">
            <w:pPr>
              <w:jc w:val="right"/>
              <w:textAlignment w:val="bottom"/>
            </w:pPr>
            <w:r>
              <w:rPr>
                <w:rFonts w:ascii="Times New Roman" w:eastAsia="宋体" w:hAnsi="Times New Roman"/>
                <w:color w:val="000000"/>
                <w:sz w:val="20"/>
                <w:szCs w:val="20"/>
              </w:rPr>
              <w:t>183.8 </w:t>
            </w:r>
          </w:p>
        </w:tc>
        <w:tc>
          <w:tcPr>
            <w:tcW w:w="0" w:type="auto"/>
            <w:shd w:val="clear" w:color="auto" w:fill="FFFFFF"/>
            <w:tcMar>
              <w:top w:w="40" w:type="dxa"/>
              <w:left w:w="0" w:type="dxa"/>
              <w:bottom w:w="40" w:type="dxa"/>
              <w:right w:w="20" w:type="dxa"/>
            </w:tcMar>
            <w:vAlign w:val="bottom"/>
          </w:tcPr>
          <w:p w14:paraId="00BB09A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B0"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9B1" w14:textId="77777777" w:rsidR="00871BDF" w:rsidRDefault="005C5088">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0BB09B2"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B3"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9B4" w14:textId="77777777" w:rsidR="00871BDF" w:rsidRDefault="005C5088">
            <w:pPr>
              <w:jc w:val="right"/>
              <w:textAlignment w:val="bottom"/>
            </w:pPr>
            <w:r>
              <w:rPr>
                <w:rFonts w:ascii="Times New Roman" w:eastAsia="宋体" w:hAnsi="Times New Roman"/>
                <w:color w:val="000000"/>
                <w:sz w:val="20"/>
                <w:szCs w:val="20"/>
              </w:rPr>
              <w:t>301.2 </w:t>
            </w:r>
          </w:p>
        </w:tc>
        <w:tc>
          <w:tcPr>
            <w:tcW w:w="0" w:type="auto"/>
            <w:shd w:val="clear" w:color="auto" w:fill="FFFFFF"/>
            <w:tcMar>
              <w:top w:w="40" w:type="dxa"/>
              <w:left w:w="0" w:type="dxa"/>
              <w:bottom w:w="40" w:type="dxa"/>
              <w:right w:w="20" w:type="dxa"/>
            </w:tcMar>
            <w:vAlign w:val="bottom"/>
          </w:tcPr>
          <w:p w14:paraId="00BB09B5" w14:textId="77777777" w:rsidR="00871BDF" w:rsidRDefault="00871BDF">
            <w:pPr>
              <w:jc w:val="right"/>
              <w:rPr>
                <w:rFonts w:ascii="宋体"/>
              </w:rPr>
            </w:pPr>
          </w:p>
        </w:tc>
      </w:tr>
      <w:tr w:rsidR="00871BDF" w14:paraId="00BB09C8" w14:textId="77777777">
        <w:tc>
          <w:tcPr>
            <w:tcW w:w="0" w:type="auto"/>
            <w:gridSpan w:val="3"/>
            <w:shd w:val="clear" w:color="auto" w:fill="D7E4BC"/>
            <w:tcMar>
              <w:top w:w="40" w:type="dxa"/>
              <w:left w:w="20" w:type="dxa"/>
              <w:bottom w:w="40" w:type="dxa"/>
              <w:right w:w="20" w:type="dxa"/>
            </w:tcMar>
          </w:tcPr>
          <w:p w14:paraId="00BB09B7" w14:textId="77777777" w:rsidR="00871BDF" w:rsidRDefault="005C5088">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00BB09B8" w14:textId="77777777" w:rsidR="00871BDF" w:rsidRDefault="005C5088">
            <w:pPr>
              <w:jc w:val="right"/>
              <w:textAlignment w:val="bottom"/>
            </w:pPr>
            <w:r>
              <w:rPr>
                <w:rFonts w:ascii="Times New Roman" w:eastAsia="宋体" w:hAnsi="Times New Roman"/>
                <w:color w:val="000000"/>
                <w:sz w:val="20"/>
                <w:szCs w:val="20"/>
              </w:rPr>
              <w:t>3,485.2 </w:t>
            </w:r>
          </w:p>
        </w:tc>
        <w:tc>
          <w:tcPr>
            <w:tcW w:w="0" w:type="auto"/>
            <w:shd w:val="clear" w:color="auto" w:fill="D7E4BC"/>
            <w:tcMar>
              <w:top w:w="40" w:type="dxa"/>
              <w:left w:w="0" w:type="dxa"/>
              <w:bottom w:w="40" w:type="dxa"/>
              <w:right w:w="20" w:type="dxa"/>
            </w:tcMar>
            <w:vAlign w:val="bottom"/>
          </w:tcPr>
          <w:p w14:paraId="00BB09B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B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9BB" w14:textId="77777777" w:rsidR="00871BDF" w:rsidRDefault="005C5088">
            <w:pPr>
              <w:jc w:val="right"/>
              <w:textAlignment w:val="bottom"/>
            </w:pPr>
            <w:r>
              <w:rPr>
                <w:rFonts w:ascii="Times New Roman" w:eastAsia="宋体" w:hAnsi="Times New Roman"/>
                <w:color w:val="000000"/>
                <w:sz w:val="20"/>
                <w:szCs w:val="20"/>
              </w:rPr>
              <w:t>872.8 </w:t>
            </w:r>
          </w:p>
        </w:tc>
        <w:tc>
          <w:tcPr>
            <w:tcW w:w="0" w:type="auto"/>
            <w:shd w:val="clear" w:color="auto" w:fill="D7E4BC"/>
            <w:tcMar>
              <w:top w:w="40" w:type="dxa"/>
              <w:left w:w="0" w:type="dxa"/>
              <w:bottom w:w="40" w:type="dxa"/>
              <w:right w:w="20" w:type="dxa"/>
            </w:tcMar>
            <w:vAlign w:val="bottom"/>
          </w:tcPr>
          <w:p w14:paraId="00BB09B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BD" w14:textId="77777777" w:rsidR="00871BDF" w:rsidRDefault="00871BDF">
            <w:pPr>
              <w:rPr>
                <w:rFonts w:ascii="宋体"/>
              </w:rPr>
            </w:pPr>
          </w:p>
        </w:tc>
        <w:tc>
          <w:tcPr>
            <w:tcW w:w="0" w:type="auto"/>
            <w:shd w:val="clear" w:color="auto" w:fill="auto"/>
          </w:tcPr>
          <w:p w14:paraId="00BB09BE" w14:textId="77777777" w:rsidR="00871BDF" w:rsidRDefault="00871BDF">
            <w:pPr>
              <w:rPr>
                <w:rFonts w:ascii="宋体"/>
                <w:vanish/>
              </w:rPr>
            </w:pPr>
          </w:p>
        </w:tc>
        <w:tc>
          <w:tcPr>
            <w:tcW w:w="0" w:type="auto"/>
            <w:shd w:val="clear" w:color="auto" w:fill="auto"/>
          </w:tcPr>
          <w:p w14:paraId="00BB09BF" w14:textId="77777777" w:rsidR="00871BDF" w:rsidRDefault="00871BDF">
            <w:pPr>
              <w:rPr>
                <w:rFonts w:ascii="宋体"/>
                <w:vanish/>
              </w:rPr>
            </w:pPr>
          </w:p>
        </w:tc>
        <w:tc>
          <w:tcPr>
            <w:tcW w:w="0" w:type="auto"/>
            <w:gridSpan w:val="2"/>
            <w:shd w:val="clear" w:color="auto" w:fill="D7E4BC"/>
            <w:tcMar>
              <w:top w:w="40" w:type="dxa"/>
              <w:left w:w="20" w:type="dxa"/>
              <w:bottom w:w="40" w:type="dxa"/>
              <w:right w:w="0" w:type="dxa"/>
            </w:tcMar>
            <w:vAlign w:val="bottom"/>
          </w:tcPr>
          <w:p w14:paraId="00BB09C0" w14:textId="77777777" w:rsidR="00871BDF" w:rsidRDefault="005C5088">
            <w:pPr>
              <w:jc w:val="right"/>
              <w:textAlignment w:val="bottom"/>
            </w:pPr>
            <w:r>
              <w:rPr>
                <w:rFonts w:ascii="Times New Roman" w:eastAsia="宋体" w:hAnsi="Times New Roman"/>
                <w:color w:val="000000"/>
                <w:sz w:val="20"/>
                <w:szCs w:val="20"/>
              </w:rPr>
              <w:t>927.1 </w:t>
            </w:r>
          </w:p>
        </w:tc>
        <w:tc>
          <w:tcPr>
            <w:tcW w:w="0" w:type="auto"/>
            <w:shd w:val="clear" w:color="auto" w:fill="D7E4BC"/>
            <w:tcMar>
              <w:top w:w="40" w:type="dxa"/>
              <w:left w:w="0" w:type="dxa"/>
              <w:bottom w:w="40" w:type="dxa"/>
              <w:right w:w="20" w:type="dxa"/>
            </w:tcMar>
            <w:vAlign w:val="bottom"/>
          </w:tcPr>
          <w:p w14:paraId="00BB09C1"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C2"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9C3" w14:textId="77777777" w:rsidR="00871BDF" w:rsidRDefault="005C5088">
            <w:pPr>
              <w:jc w:val="right"/>
              <w:textAlignment w:val="bottom"/>
            </w:pPr>
            <w:r>
              <w:rPr>
                <w:rFonts w:ascii="Times New Roman" w:eastAsia="宋体" w:hAnsi="Times New Roman"/>
                <w:color w:val="000000"/>
                <w:sz w:val="20"/>
                <w:szCs w:val="20"/>
              </w:rPr>
              <w:t>(1,401.8)</w:t>
            </w:r>
          </w:p>
        </w:tc>
        <w:tc>
          <w:tcPr>
            <w:tcW w:w="0" w:type="auto"/>
            <w:shd w:val="clear" w:color="auto" w:fill="D7E4BC"/>
            <w:tcMar>
              <w:top w:w="40" w:type="dxa"/>
              <w:left w:w="0" w:type="dxa"/>
              <w:bottom w:w="40" w:type="dxa"/>
              <w:right w:w="20" w:type="dxa"/>
            </w:tcMar>
            <w:vAlign w:val="bottom"/>
          </w:tcPr>
          <w:p w14:paraId="00BB09C4"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9C5"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9C6" w14:textId="77777777" w:rsidR="00871BDF" w:rsidRDefault="005C5088">
            <w:pPr>
              <w:jc w:val="right"/>
              <w:textAlignment w:val="bottom"/>
            </w:pPr>
            <w:r>
              <w:rPr>
                <w:rFonts w:ascii="Times New Roman" w:eastAsia="宋体" w:hAnsi="Times New Roman"/>
                <w:color w:val="000000"/>
                <w:sz w:val="20"/>
                <w:szCs w:val="20"/>
              </w:rPr>
              <w:t>3,883.3 </w:t>
            </w:r>
          </w:p>
        </w:tc>
        <w:tc>
          <w:tcPr>
            <w:tcW w:w="0" w:type="auto"/>
            <w:shd w:val="clear" w:color="auto" w:fill="D7E4BC"/>
            <w:tcMar>
              <w:top w:w="40" w:type="dxa"/>
              <w:left w:w="0" w:type="dxa"/>
              <w:bottom w:w="40" w:type="dxa"/>
              <w:right w:w="20" w:type="dxa"/>
            </w:tcMar>
            <w:vAlign w:val="bottom"/>
          </w:tcPr>
          <w:p w14:paraId="00BB09C7" w14:textId="77777777" w:rsidR="00871BDF" w:rsidRDefault="00871BDF">
            <w:pPr>
              <w:jc w:val="right"/>
              <w:rPr>
                <w:rFonts w:ascii="宋体"/>
              </w:rPr>
            </w:pPr>
          </w:p>
        </w:tc>
      </w:tr>
      <w:tr w:rsidR="00871BDF" w14:paraId="00BB09DF" w14:textId="77777777">
        <w:tc>
          <w:tcPr>
            <w:tcW w:w="0" w:type="auto"/>
            <w:gridSpan w:val="3"/>
            <w:shd w:val="clear" w:color="auto" w:fill="FFFFFF"/>
            <w:tcMar>
              <w:top w:w="40" w:type="dxa"/>
              <w:left w:w="20" w:type="dxa"/>
              <w:bottom w:w="40" w:type="dxa"/>
              <w:right w:w="20" w:type="dxa"/>
            </w:tcMar>
          </w:tcPr>
          <w:p w14:paraId="00BB09C9" w14:textId="77777777" w:rsidR="00871BDF" w:rsidRDefault="005C5088">
            <w:pPr>
              <w:textAlignment w:val="top"/>
            </w:pPr>
            <w:r>
              <w:rPr>
                <w:rFonts w:ascii="Times New Roman" w:eastAsia="宋体" w:hAnsi="Times New Roman"/>
                <w:color w:val="000000"/>
                <w:sz w:val="20"/>
                <w:szCs w:val="20"/>
              </w:rPr>
              <w:t>Total assets</w:t>
            </w:r>
          </w:p>
        </w:tc>
        <w:tc>
          <w:tcPr>
            <w:tcW w:w="0" w:type="auto"/>
            <w:shd w:val="clear" w:color="auto" w:fill="FFFFFF"/>
            <w:tcMar>
              <w:top w:w="40" w:type="dxa"/>
              <w:left w:w="20" w:type="dxa"/>
              <w:bottom w:w="40" w:type="dxa"/>
              <w:right w:w="0" w:type="dxa"/>
            </w:tcMar>
            <w:vAlign w:val="bottom"/>
          </w:tcPr>
          <w:p w14:paraId="00BB09CA"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9CB" w14:textId="77777777" w:rsidR="00871BDF" w:rsidRDefault="005C5088">
            <w:pPr>
              <w:jc w:val="right"/>
              <w:textAlignment w:val="bottom"/>
            </w:pPr>
            <w:r>
              <w:rPr>
                <w:rFonts w:ascii="Times New Roman" w:eastAsia="宋体" w:hAnsi="Times New Roman"/>
                <w:color w:val="000000"/>
                <w:sz w:val="20"/>
                <w:szCs w:val="20"/>
              </w:rPr>
              <w:t>4,473.7 </w:t>
            </w:r>
          </w:p>
        </w:tc>
        <w:tc>
          <w:tcPr>
            <w:tcW w:w="0" w:type="auto"/>
            <w:shd w:val="clear" w:color="auto" w:fill="FFFFFF"/>
            <w:tcMar>
              <w:top w:w="40" w:type="dxa"/>
              <w:left w:w="0" w:type="dxa"/>
              <w:bottom w:w="40" w:type="dxa"/>
              <w:right w:w="20" w:type="dxa"/>
            </w:tcMar>
            <w:vAlign w:val="bottom"/>
          </w:tcPr>
          <w:p w14:paraId="00BB09C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CD"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9CE"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9CF" w14:textId="77777777" w:rsidR="00871BDF" w:rsidRDefault="005C5088">
            <w:pPr>
              <w:jc w:val="right"/>
              <w:textAlignment w:val="bottom"/>
            </w:pPr>
            <w:r>
              <w:rPr>
                <w:rFonts w:ascii="Times New Roman" w:eastAsia="宋体" w:hAnsi="Times New Roman"/>
                <w:color w:val="000000"/>
                <w:sz w:val="20"/>
                <w:szCs w:val="20"/>
              </w:rPr>
              <w:t>6,361.9 </w:t>
            </w:r>
          </w:p>
        </w:tc>
        <w:tc>
          <w:tcPr>
            <w:tcW w:w="0" w:type="auto"/>
            <w:shd w:val="clear" w:color="auto" w:fill="FFFFFF"/>
            <w:tcMar>
              <w:top w:w="40" w:type="dxa"/>
              <w:left w:w="0" w:type="dxa"/>
              <w:bottom w:w="40" w:type="dxa"/>
              <w:right w:w="20" w:type="dxa"/>
            </w:tcMar>
            <w:vAlign w:val="bottom"/>
          </w:tcPr>
          <w:p w14:paraId="00BB09D0"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D1" w14:textId="77777777" w:rsidR="00871BDF" w:rsidRDefault="00871BDF">
            <w:pPr>
              <w:rPr>
                <w:rFonts w:ascii="宋体"/>
              </w:rPr>
            </w:pPr>
          </w:p>
        </w:tc>
        <w:tc>
          <w:tcPr>
            <w:tcW w:w="0" w:type="auto"/>
            <w:shd w:val="clear" w:color="auto" w:fill="auto"/>
          </w:tcPr>
          <w:p w14:paraId="00BB09D2" w14:textId="77777777" w:rsidR="00871BDF" w:rsidRDefault="00871BDF">
            <w:pPr>
              <w:rPr>
                <w:rFonts w:ascii="宋体"/>
                <w:vanish/>
              </w:rPr>
            </w:pPr>
          </w:p>
        </w:tc>
        <w:tc>
          <w:tcPr>
            <w:tcW w:w="0" w:type="auto"/>
            <w:shd w:val="clear" w:color="auto" w:fill="auto"/>
          </w:tcPr>
          <w:p w14:paraId="00BB09D3" w14:textId="77777777" w:rsidR="00871BDF" w:rsidRDefault="00871BDF">
            <w:pPr>
              <w:rPr>
                <w:rFonts w:ascii="宋体"/>
                <w:vanish/>
              </w:rPr>
            </w:pPr>
          </w:p>
        </w:tc>
        <w:tc>
          <w:tcPr>
            <w:tcW w:w="0" w:type="auto"/>
            <w:shd w:val="clear" w:color="auto" w:fill="FFFFFF"/>
            <w:tcMar>
              <w:top w:w="40" w:type="dxa"/>
              <w:left w:w="20" w:type="dxa"/>
              <w:bottom w:w="40" w:type="dxa"/>
              <w:right w:w="0" w:type="dxa"/>
            </w:tcMar>
            <w:vAlign w:val="bottom"/>
          </w:tcPr>
          <w:p w14:paraId="00BB09D4"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9D5" w14:textId="77777777" w:rsidR="00871BDF" w:rsidRDefault="005C5088">
            <w:pPr>
              <w:jc w:val="right"/>
              <w:textAlignment w:val="bottom"/>
            </w:pPr>
            <w:r>
              <w:rPr>
                <w:rFonts w:ascii="Times New Roman" w:eastAsia="宋体" w:hAnsi="Times New Roman"/>
                <w:color w:val="000000"/>
                <w:sz w:val="20"/>
                <w:szCs w:val="20"/>
              </w:rPr>
              <w:t>148.2 </w:t>
            </w:r>
          </w:p>
        </w:tc>
        <w:tc>
          <w:tcPr>
            <w:tcW w:w="0" w:type="auto"/>
            <w:shd w:val="clear" w:color="auto" w:fill="FFFFFF"/>
            <w:tcMar>
              <w:top w:w="40" w:type="dxa"/>
              <w:left w:w="0" w:type="dxa"/>
              <w:bottom w:w="40" w:type="dxa"/>
              <w:right w:w="20" w:type="dxa"/>
            </w:tcMar>
            <w:vAlign w:val="bottom"/>
          </w:tcPr>
          <w:p w14:paraId="00BB09D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D7"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9D8"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9D9" w14:textId="77777777" w:rsidR="00871BDF" w:rsidRDefault="005C5088">
            <w:pPr>
              <w:jc w:val="right"/>
              <w:textAlignment w:val="bottom"/>
            </w:pPr>
            <w:r>
              <w:rPr>
                <w:rFonts w:ascii="Times New Roman" w:eastAsia="宋体" w:hAnsi="Times New Roman"/>
                <w:color w:val="000000"/>
                <w:sz w:val="20"/>
                <w:szCs w:val="20"/>
              </w:rPr>
              <w:t>13,172.6 </w:t>
            </w:r>
          </w:p>
        </w:tc>
        <w:tc>
          <w:tcPr>
            <w:tcW w:w="0" w:type="auto"/>
            <w:shd w:val="clear" w:color="auto" w:fill="FFFFFF"/>
            <w:tcMar>
              <w:top w:w="40" w:type="dxa"/>
              <w:left w:w="0" w:type="dxa"/>
              <w:bottom w:w="40" w:type="dxa"/>
              <w:right w:w="20" w:type="dxa"/>
            </w:tcMar>
            <w:vAlign w:val="bottom"/>
          </w:tcPr>
          <w:p w14:paraId="00BB09DA"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9DB"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9DC"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9DD" w14:textId="77777777" w:rsidR="00871BDF" w:rsidRDefault="005C5088">
            <w:pPr>
              <w:jc w:val="right"/>
              <w:textAlignment w:val="bottom"/>
            </w:pPr>
            <w:r>
              <w:rPr>
                <w:rFonts w:ascii="Times New Roman" w:eastAsia="宋体" w:hAnsi="Times New Roman"/>
                <w:color w:val="000000"/>
                <w:sz w:val="20"/>
                <w:szCs w:val="20"/>
              </w:rPr>
              <w:t>24,156.4 </w:t>
            </w:r>
          </w:p>
        </w:tc>
        <w:tc>
          <w:tcPr>
            <w:tcW w:w="0" w:type="auto"/>
            <w:shd w:val="clear" w:color="auto" w:fill="FFFFFF"/>
            <w:tcMar>
              <w:top w:w="40" w:type="dxa"/>
              <w:left w:w="0" w:type="dxa"/>
              <w:bottom w:w="40" w:type="dxa"/>
              <w:right w:w="20" w:type="dxa"/>
            </w:tcMar>
            <w:vAlign w:val="bottom"/>
          </w:tcPr>
          <w:p w14:paraId="00BB09DE" w14:textId="77777777" w:rsidR="00871BDF" w:rsidRDefault="00871BDF">
            <w:pPr>
              <w:jc w:val="right"/>
              <w:rPr>
                <w:rFonts w:ascii="宋体"/>
              </w:rPr>
            </w:pPr>
          </w:p>
        </w:tc>
      </w:tr>
    </w:tbl>
    <w:p w14:paraId="00BB09E0" w14:textId="77777777" w:rsidR="00871BDF" w:rsidRDefault="00871BDF">
      <w:pPr>
        <w:spacing w:before="120"/>
      </w:pPr>
    </w:p>
    <w:p w14:paraId="00BB09E1" w14:textId="77777777" w:rsidR="00871BDF" w:rsidRDefault="005C5088">
      <w:pPr>
        <w:spacing w:before="120"/>
      </w:pPr>
      <w:r>
        <w:rPr>
          <w:rFonts w:ascii="Times New Roman" w:eastAsia="宋体" w:hAnsi="Times New Roman"/>
          <w:b/>
          <w:bCs/>
          <w:color w:val="000000"/>
          <w:sz w:val="20"/>
          <w:szCs w:val="20"/>
        </w:rPr>
        <w:t xml:space="preserve">Note 18:    Selected Quarterly Financial Information </w:t>
      </w:r>
      <w:r>
        <w:rPr>
          <w:rFonts w:ascii="Times New Roman" w:eastAsia="宋体" w:hAnsi="Times New Roman"/>
          <w:i/>
          <w:iCs/>
          <w:color w:val="000000"/>
          <w:sz w:val="20"/>
          <w:szCs w:val="20"/>
        </w:rPr>
        <w:t>(unaudited;</w:t>
      </w:r>
      <w:r>
        <w:rPr>
          <w:rFonts w:ascii="Times New Roman" w:eastAsia="宋体" w:hAnsi="Times New Roman"/>
          <w:i/>
          <w:iCs/>
          <w:color w:val="000000"/>
          <w:sz w:val="20"/>
          <w:szCs w:val="20"/>
        </w:rPr>
        <w:t xml:space="preserve"> in millions, except EPS)</w:t>
      </w:r>
    </w:p>
    <w:tbl>
      <w:tblPr>
        <w:tblW w:w="4963" w:type="pct"/>
        <w:tblCellMar>
          <w:top w:w="15" w:type="dxa"/>
          <w:left w:w="15" w:type="dxa"/>
          <w:bottom w:w="15" w:type="dxa"/>
          <w:right w:w="15" w:type="dxa"/>
        </w:tblCellMar>
        <w:tblLook w:val="04A0" w:firstRow="1" w:lastRow="0" w:firstColumn="1" w:lastColumn="0" w:noHBand="0" w:noVBand="1"/>
      </w:tblPr>
      <w:tblGrid>
        <w:gridCol w:w="40"/>
        <w:gridCol w:w="3247"/>
        <w:gridCol w:w="38"/>
        <w:gridCol w:w="120"/>
        <w:gridCol w:w="781"/>
        <w:gridCol w:w="36"/>
        <w:gridCol w:w="36"/>
        <w:gridCol w:w="36"/>
        <w:gridCol w:w="36"/>
        <w:gridCol w:w="120"/>
        <w:gridCol w:w="735"/>
        <w:gridCol w:w="36"/>
        <w:gridCol w:w="36"/>
        <w:gridCol w:w="36"/>
        <w:gridCol w:w="36"/>
        <w:gridCol w:w="120"/>
        <w:gridCol w:w="735"/>
        <w:gridCol w:w="36"/>
        <w:gridCol w:w="36"/>
        <w:gridCol w:w="36"/>
        <w:gridCol w:w="36"/>
        <w:gridCol w:w="120"/>
        <w:gridCol w:w="736"/>
        <w:gridCol w:w="36"/>
        <w:gridCol w:w="36"/>
        <w:gridCol w:w="36"/>
        <w:gridCol w:w="36"/>
        <w:gridCol w:w="120"/>
        <w:gridCol w:w="750"/>
        <w:gridCol w:w="36"/>
      </w:tblGrid>
      <w:tr w:rsidR="00871BDF" w14:paraId="00BB0A00" w14:textId="77777777">
        <w:tc>
          <w:tcPr>
            <w:tcW w:w="50" w:type="pct"/>
            <w:shd w:val="clear" w:color="auto" w:fill="auto"/>
          </w:tcPr>
          <w:p w14:paraId="00BB09E2" w14:textId="77777777" w:rsidR="00871BDF" w:rsidRDefault="00871BDF">
            <w:pPr>
              <w:rPr>
                <w:rFonts w:ascii="宋体"/>
              </w:rPr>
            </w:pPr>
          </w:p>
        </w:tc>
        <w:tc>
          <w:tcPr>
            <w:tcW w:w="1999" w:type="pct"/>
            <w:shd w:val="clear" w:color="auto" w:fill="auto"/>
          </w:tcPr>
          <w:p w14:paraId="00BB09E3" w14:textId="77777777" w:rsidR="00871BDF" w:rsidRDefault="00871BDF">
            <w:pPr>
              <w:rPr>
                <w:rFonts w:ascii="宋体"/>
              </w:rPr>
            </w:pPr>
          </w:p>
        </w:tc>
        <w:tc>
          <w:tcPr>
            <w:tcW w:w="5" w:type="pct"/>
            <w:shd w:val="clear" w:color="auto" w:fill="auto"/>
          </w:tcPr>
          <w:p w14:paraId="00BB09E4" w14:textId="77777777" w:rsidR="00871BDF" w:rsidRDefault="00871BDF">
            <w:pPr>
              <w:rPr>
                <w:rFonts w:ascii="宋体"/>
              </w:rPr>
            </w:pPr>
          </w:p>
        </w:tc>
        <w:tc>
          <w:tcPr>
            <w:tcW w:w="50" w:type="pct"/>
            <w:shd w:val="clear" w:color="auto" w:fill="auto"/>
          </w:tcPr>
          <w:p w14:paraId="00BB09E5" w14:textId="77777777" w:rsidR="00871BDF" w:rsidRDefault="00871BDF">
            <w:pPr>
              <w:rPr>
                <w:rFonts w:ascii="宋体"/>
              </w:rPr>
            </w:pPr>
          </w:p>
        </w:tc>
        <w:tc>
          <w:tcPr>
            <w:tcW w:w="504" w:type="pct"/>
            <w:shd w:val="clear" w:color="auto" w:fill="auto"/>
          </w:tcPr>
          <w:p w14:paraId="00BB09E6" w14:textId="77777777" w:rsidR="00871BDF" w:rsidRDefault="00871BDF">
            <w:pPr>
              <w:rPr>
                <w:rFonts w:ascii="宋体"/>
              </w:rPr>
            </w:pPr>
          </w:p>
        </w:tc>
        <w:tc>
          <w:tcPr>
            <w:tcW w:w="5" w:type="pct"/>
            <w:shd w:val="clear" w:color="auto" w:fill="auto"/>
          </w:tcPr>
          <w:p w14:paraId="00BB09E7" w14:textId="77777777" w:rsidR="00871BDF" w:rsidRDefault="00871BDF">
            <w:pPr>
              <w:rPr>
                <w:rFonts w:ascii="宋体"/>
              </w:rPr>
            </w:pPr>
          </w:p>
        </w:tc>
        <w:tc>
          <w:tcPr>
            <w:tcW w:w="5" w:type="pct"/>
            <w:shd w:val="clear" w:color="auto" w:fill="auto"/>
          </w:tcPr>
          <w:p w14:paraId="00BB09E8" w14:textId="77777777" w:rsidR="00871BDF" w:rsidRDefault="00871BDF">
            <w:pPr>
              <w:rPr>
                <w:rFonts w:ascii="宋体"/>
              </w:rPr>
            </w:pPr>
          </w:p>
        </w:tc>
        <w:tc>
          <w:tcPr>
            <w:tcW w:w="26" w:type="pct"/>
            <w:shd w:val="clear" w:color="auto" w:fill="auto"/>
          </w:tcPr>
          <w:p w14:paraId="00BB09E9" w14:textId="77777777" w:rsidR="00871BDF" w:rsidRDefault="00871BDF">
            <w:pPr>
              <w:rPr>
                <w:rFonts w:ascii="宋体"/>
              </w:rPr>
            </w:pPr>
          </w:p>
        </w:tc>
        <w:tc>
          <w:tcPr>
            <w:tcW w:w="5" w:type="pct"/>
            <w:shd w:val="clear" w:color="auto" w:fill="auto"/>
          </w:tcPr>
          <w:p w14:paraId="00BB09EA" w14:textId="77777777" w:rsidR="00871BDF" w:rsidRDefault="00871BDF">
            <w:pPr>
              <w:rPr>
                <w:rFonts w:ascii="宋体"/>
              </w:rPr>
            </w:pPr>
          </w:p>
        </w:tc>
        <w:tc>
          <w:tcPr>
            <w:tcW w:w="50" w:type="pct"/>
            <w:shd w:val="clear" w:color="auto" w:fill="auto"/>
          </w:tcPr>
          <w:p w14:paraId="00BB09EB" w14:textId="77777777" w:rsidR="00871BDF" w:rsidRDefault="00871BDF">
            <w:pPr>
              <w:rPr>
                <w:rFonts w:ascii="宋体"/>
              </w:rPr>
            </w:pPr>
          </w:p>
        </w:tc>
        <w:tc>
          <w:tcPr>
            <w:tcW w:w="504" w:type="pct"/>
            <w:shd w:val="clear" w:color="auto" w:fill="auto"/>
          </w:tcPr>
          <w:p w14:paraId="00BB09EC" w14:textId="77777777" w:rsidR="00871BDF" w:rsidRDefault="00871BDF">
            <w:pPr>
              <w:rPr>
                <w:rFonts w:ascii="宋体"/>
              </w:rPr>
            </w:pPr>
          </w:p>
        </w:tc>
        <w:tc>
          <w:tcPr>
            <w:tcW w:w="5" w:type="pct"/>
            <w:shd w:val="clear" w:color="auto" w:fill="auto"/>
          </w:tcPr>
          <w:p w14:paraId="00BB09ED" w14:textId="77777777" w:rsidR="00871BDF" w:rsidRDefault="00871BDF">
            <w:pPr>
              <w:rPr>
                <w:rFonts w:ascii="宋体"/>
              </w:rPr>
            </w:pPr>
          </w:p>
        </w:tc>
        <w:tc>
          <w:tcPr>
            <w:tcW w:w="5" w:type="pct"/>
            <w:shd w:val="clear" w:color="auto" w:fill="auto"/>
          </w:tcPr>
          <w:p w14:paraId="00BB09EE" w14:textId="77777777" w:rsidR="00871BDF" w:rsidRDefault="00871BDF">
            <w:pPr>
              <w:rPr>
                <w:rFonts w:ascii="宋体"/>
              </w:rPr>
            </w:pPr>
          </w:p>
        </w:tc>
        <w:tc>
          <w:tcPr>
            <w:tcW w:w="26" w:type="pct"/>
            <w:shd w:val="clear" w:color="auto" w:fill="auto"/>
          </w:tcPr>
          <w:p w14:paraId="00BB09EF" w14:textId="77777777" w:rsidR="00871BDF" w:rsidRDefault="00871BDF">
            <w:pPr>
              <w:rPr>
                <w:rFonts w:ascii="宋体"/>
              </w:rPr>
            </w:pPr>
          </w:p>
        </w:tc>
        <w:tc>
          <w:tcPr>
            <w:tcW w:w="5" w:type="pct"/>
            <w:shd w:val="clear" w:color="auto" w:fill="auto"/>
          </w:tcPr>
          <w:p w14:paraId="00BB09F0" w14:textId="77777777" w:rsidR="00871BDF" w:rsidRDefault="00871BDF">
            <w:pPr>
              <w:rPr>
                <w:rFonts w:ascii="宋体"/>
              </w:rPr>
            </w:pPr>
          </w:p>
        </w:tc>
        <w:tc>
          <w:tcPr>
            <w:tcW w:w="50" w:type="pct"/>
            <w:shd w:val="clear" w:color="auto" w:fill="auto"/>
          </w:tcPr>
          <w:p w14:paraId="00BB09F1" w14:textId="77777777" w:rsidR="00871BDF" w:rsidRDefault="00871BDF">
            <w:pPr>
              <w:rPr>
                <w:rFonts w:ascii="宋体"/>
              </w:rPr>
            </w:pPr>
          </w:p>
        </w:tc>
        <w:tc>
          <w:tcPr>
            <w:tcW w:w="504" w:type="pct"/>
            <w:shd w:val="clear" w:color="auto" w:fill="auto"/>
          </w:tcPr>
          <w:p w14:paraId="00BB09F2" w14:textId="77777777" w:rsidR="00871BDF" w:rsidRDefault="00871BDF">
            <w:pPr>
              <w:rPr>
                <w:rFonts w:ascii="宋体"/>
              </w:rPr>
            </w:pPr>
          </w:p>
        </w:tc>
        <w:tc>
          <w:tcPr>
            <w:tcW w:w="5" w:type="pct"/>
            <w:shd w:val="clear" w:color="auto" w:fill="auto"/>
          </w:tcPr>
          <w:p w14:paraId="00BB09F3" w14:textId="77777777" w:rsidR="00871BDF" w:rsidRDefault="00871BDF">
            <w:pPr>
              <w:rPr>
                <w:rFonts w:ascii="宋体"/>
              </w:rPr>
            </w:pPr>
          </w:p>
        </w:tc>
        <w:tc>
          <w:tcPr>
            <w:tcW w:w="5" w:type="pct"/>
            <w:shd w:val="clear" w:color="auto" w:fill="auto"/>
          </w:tcPr>
          <w:p w14:paraId="00BB09F4" w14:textId="77777777" w:rsidR="00871BDF" w:rsidRDefault="00871BDF">
            <w:pPr>
              <w:rPr>
                <w:rFonts w:ascii="宋体"/>
              </w:rPr>
            </w:pPr>
          </w:p>
        </w:tc>
        <w:tc>
          <w:tcPr>
            <w:tcW w:w="26" w:type="pct"/>
            <w:shd w:val="clear" w:color="auto" w:fill="auto"/>
          </w:tcPr>
          <w:p w14:paraId="00BB09F5" w14:textId="77777777" w:rsidR="00871BDF" w:rsidRDefault="00871BDF">
            <w:pPr>
              <w:rPr>
                <w:rFonts w:ascii="宋体"/>
              </w:rPr>
            </w:pPr>
          </w:p>
        </w:tc>
        <w:tc>
          <w:tcPr>
            <w:tcW w:w="5" w:type="pct"/>
            <w:shd w:val="clear" w:color="auto" w:fill="auto"/>
          </w:tcPr>
          <w:p w14:paraId="00BB09F6" w14:textId="77777777" w:rsidR="00871BDF" w:rsidRDefault="00871BDF">
            <w:pPr>
              <w:rPr>
                <w:rFonts w:ascii="宋体"/>
              </w:rPr>
            </w:pPr>
          </w:p>
        </w:tc>
        <w:tc>
          <w:tcPr>
            <w:tcW w:w="50" w:type="pct"/>
            <w:shd w:val="clear" w:color="auto" w:fill="auto"/>
          </w:tcPr>
          <w:p w14:paraId="00BB09F7" w14:textId="77777777" w:rsidR="00871BDF" w:rsidRDefault="00871BDF">
            <w:pPr>
              <w:rPr>
                <w:rFonts w:ascii="宋体"/>
              </w:rPr>
            </w:pPr>
          </w:p>
        </w:tc>
        <w:tc>
          <w:tcPr>
            <w:tcW w:w="504" w:type="pct"/>
            <w:shd w:val="clear" w:color="auto" w:fill="auto"/>
          </w:tcPr>
          <w:p w14:paraId="00BB09F8" w14:textId="77777777" w:rsidR="00871BDF" w:rsidRDefault="00871BDF">
            <w:pPr>
              <w:rPr>
                <w:rFonts w:ascii="宋体"/>
              </w:rPr>
            </w:pPr>
          </w:p>
        </w:tc>
        <w:tc>
          <w:tcPr>
            <w:tcW w:w="5" w:type="pct"/>
            <w:shd w:val="clear" w:color="auto" w:fill="auto"/>
          </w:tcPr>
          <w:p w14:paraId="00BB09F9" w14:textId="77777777" w:rsidR="00871BDF" w:rsidRDefault="00871BDF">
            <w:pPr>
              <w:rPr>
                <w:rFonts w:ascii="宋体"/>
              </w:rPr>
            </w:pPr>
          </w:p>
        </w:tc>
        <w:tc>
          <w:tcPr>
            <w:tcW w:w="5" w:type="pct"/>
            <w:shd w:val="clear" w:color="auto" w:fill="auto"/>
          </w:tcPr>
          <w:p w14:paraId="00BB09FA" w14:textId="77777777" w:rsidR="00871BDF" w:rsidRDefault="00871BDF">
            <w:pPr>
              <w:rPr>
                <w:rFonts w:ascii="宋体"/>
              </w:rPr>
            </w:pPr>
          </w:p>
        </w:tc>
        <w:tc>
          <w:tcPr>
            <w:tcW w:w="26" w:type="pct"/>
            <w:shd w:val="clear" w:color="auto" w:fill="auto"/>
          </w:tcPr>
          <w:p w14:paraId="00BB09FB" w14:textId="77777777" w:rsidR="00871BDF" w:rsidRDefault="00871BDF">
            <w:pPr>
              <w:rPr>
                <w:rFonts w:ascii="宋体"/>
              </w:rPr>
            </w:pPr>
          </w:p>
        </w:tc>
        <w:tc>
          <w:tcPr>
            <w:tcW w:w="5" w:type="pct"/>
            <w:shd w:val="clear" w:color="auto" w:fill="auto"/>
          </w:tcPr>
          <w:p w14:paraId="00BB09FC" w14:textId="77777777" w:rsidR="00871BDF" w:rsidRDefault="00871BDF">
            <w:pPr>
              <w:rPr>
                <w:rFonts w:ascii="宋体"/>
              </w:rPr>
            </w:pPr>
          </w:p>
        </w:tc>
        <w:tc>
          <w:tcPr>
            <w:tcW w:w="50" w:type="pct"/>
            <w:shd w:val="clear" w:color="auto" w:fill="auto"/>
          </w:tcPr>
          <w:p w14:paraId="00BB09FD" w14:textId="77777777" w:rsidR="00871BDF" w:rsidRDefault="00871BDF">
            <w:pPr>
              <w:rPr>
                <w:rFonts w:ascii="宋体"/>
              </w:rPr>
            </w:pPr>
          </w:p>
        </w:tc>
        <w:tc>
          <w:tcPr>
            <w:tcW w:w="504" w:type="pct"/>
            <w:shd w:val="clear" w:color="auto" w:fill="auto"/>
          </w:tcPr>
          <w:p w14:paraId="00BB09FE" w14:textId="77777777" w:rsidR="00871BDF" w:rsidRDefault="00871BDF">
            <w:pPr>
              <w:rPr>
                <w:rFonts w:ascii="宋体"/>
              </w:rPr>
            </w:pPr>
          </w:p>
        </w:tc>
        <w:tc>
          <w:tcPr>
            <w:tcW w:w="5" w:type="pct"/>
            <w:shd w:val="clear" w:color="auto" w:fill="auto"/>
          </w:tcPr>
          <w:p w14:paraId="00BB09FF" w14:textId="77777777" w:rsidR="00871BDF" w:rsidRDefault="00871BDF">
            <w:pPr>
              <w:rPr>
                <w:rFonts w:ascii="宋体"/>
              </w:rPr>
            </w:pPr>
          </w:p>
        </w:tc>
      </w:tr>
      <w:tr w:rsidR="00871BDF" w14:paraId="00BB0A10" w14:textId="77777777">
        <w:tc>
          <w:tcPr>
            <w:tcW w:w="0" w:type="auto"/>
            <w:gridSpan w:val="3"/>
            <w:shd w:val="clear" w:color="auto" w:fill="auto"/>
            <w:tcMar>
              <w:top w:w="0" w:type="dxa"/>
              <w:left w:w="20" w:type="dxa"/>
              <w:bottom w:w="0" w:type="dxa"/>
              <w:right w:w="20" w:type="dxa"/>
            </w:tcMar>
          </w:tcPr>
          <w:p w14:paraId="00BB0A01"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A02" w14:textId="77777777" w:rsidR="00871BDF" w:rsidRDefault="005C5088">
            <w:pPr>
              <w:jc w:val="center"/>
              <w:textAlignment w:val="bottom"/>
            </w:pPr>
            <w:r>
              <w:rPr>
                <w:rFonts w:ascii="Times New Roman" w:eastAsia="宋体" w:hAnsi="Times New Roman"/>
                <w:b/>
                <w:bCs/>
                <w:color w:val="FFFFFF"/>
                <w:sz w:val="16"/>
                <w:szCs w:val="16"/>
              </w:rPr>
              <w:t xml:space="preserve">First </w:t>
            </w:r>
          </w:p>
          <w:p w14:paraId="00BB0A03" w14:textId="77777777" w:rsidR="00871BDF" w:rsidRDefault="005C5088">
            <w:pPr>
              <w:jc w:val="center"/>
              <w:textAlignment w:val="bottom"/>
            </w:pPr>
            <w:r>
              <w:rPr>
                <w:rFonts w:ascii="Times New Roman" w:eastAsia="宋体" w:hAnsi="Times New Roman"/>
                <w:b/>
                <w:bCs/>
                <w:color w:val="FFFFFF"/>
                <w:sz w:val="16"/>
                <w:szCs w:val="16"/>
              </w:rPr>
              <w:t>Quarter</w:t>
            </w:r>
          </w:p>
        </w:tc>
        <w:tc>
          <w:tcPr>
            <w:tcW w:w="0" w:type="auto"/>
            <w:gridSpan w:val="3"/>
            <w:shd w:val="clear" w:color="auto" w:fill="auto"/>
            <w:tcMar>
              <w:top w:w="0" w:type="dxa"/>
              <w:left w:w="20" w:type="dxa"/>
              <w:bottom w:w="0" w:type="dxa"/>
              <w:right w:w="20" w:type="dxa"/>
            </w:tcMar>
          </w:tcPr>
          <w:p w14:paraId="00BB0A04"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A05" w14:textId="77777777" w:rsidR="00871BDF" w:rsidRDefault="005C5088">
            <w:pPr>
              <w:jc w:val="center"/>
              <w:textAlignment w:val="bottom"/>
            </w:pPr>
            <w:r>
              <w:rPr>
                <w:rFonts w:ascii="Times New Roman" w:eastAsia="宋体" w:hAnsi="Times New Roman"/>
                <w:b/>
                <w:bCs/>
                <w:color w:val="FFFFFF"/>
                <w:sz w:val="16"/>
                <w:szCs w:val="16"/>
              </w:rPr>
              <w:t>Second</w:t>
            </w:r>
          </w:p>
          <w:p w14:paraId="00BB0A06" w14:textId="77777777" w:rsidR="00871BDF" w:rsidRDefault="005C5088">
            <w:pPr>
              <w:jc w:val="center"/>
              <w:textAlignment w:val="bottom"/>
            </w:pPr>
            <w:r>
              <w:rPr>
                <w:rFonts w:ascii="Times New Roman" w:eastAsia="宋体" w:hAnsi="Times New Roman"/>
                <w:b/>
                <w:bCs/>
                <w:color w:val="FFFFFF"/>
                <w:sz w:val="16"/>
                <w:szCs w:val="16"/>
              </w:rPr>
              <w:t>Quarter</w:t>
            </w:r>
          </w:p>
        </w:tc>
        <w:tc>
          <w:tcPr>
            <w:tcW w:w="0" w:type="auto"/>
            <w:gridSpan w:val="3"/>
            <w:shd w:val="clear" w:color="auto" w:fill="auto"/>
            <w:tcMar>
              <w:top w:w="0" w:type="dxa"/>
              <w:left w:w="20" w:type="dxa"/>
              <w:bottom w:w="0" w:type="dxa"/>
              <w:right w:w="20" w:type="dxa"/>
            </w:tcMar>
          </w:tcPr>
          <w:p w14:paraId="00BB0A07"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A08" w14:textId="77777777" w:rsidR="00871BDF" w:rsidRDefault="005C5088">
            <w:pPr>
              <w:jc w:val="center"/>
              <w:textAlignment w:val="bottom"/>
            </w:pPr>
            <w:r>
              <w:rPr>
                <w:rFonts w:ascii="Times New Roman" w:eastAsia="宋体" w:hAnsi="Times New Roman"/>
                <w:b/>
                <w:bCs/>
                <w:color w:val="FFFFFF"/>
                <w:sz w:val="16"/>
                <w:szCs w:val="16"/>
              </w:rPr>
              <w:t xml:space="preserve">Third </w:t>
            </w:r>
          </w:p>
          <w:p w14:paraId="00BB0A09" w14:textId="77777777" w:rsidR="00871BDF" w:rsidRDefault="005C5088">
            <w:pPr>
              <w:jc w:val="center"/>
              <w:textAlignment w:val="bottom"/>
            </w:pPr>
            <w:r>
              <w:rPr>
                <w:rFonts w:ascii="Times New Roman" w:eastAsia="宋体" w:hAnsi="Times New Roman"/>
                <w:b/>
                <w:bCs/>
                <w:color w:val="FFFFFF"/>
                <w:sz w:val="16"/>
                <w:szCs w:val="16"/>
              </w:rPr>
              <w:t>Quarter</w:t>
            </w:r>
          </w:p>
        </w:tc>
        <w:tc>
          <w:tcPr>
            <w:tcW w:w="0" w:type="auto"/>
            <w:gridSpan w:val="3"/>
            <w:shd w:val="clear" w:color="auto" w:fill="auto"/>
            <w:tcMar>
              <w:top w:w="0" w:type="dxa"/>
              <w:left w:w="20" w:type="dxa"/>
              <w:bottom w:w="0" w:type="dxa"/>
              <w:right w:w="20" w:type="dxa"/>
            </w:tcMar>
          </w:tcPr>
          <w:p w14:paraId="00BB0A0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A0B" w14:textId="77777777" w:rsidR="00871BDF" w:rsidRDefault="005C5088">
            <w:pPr>
              <w:jc w:val="center"/>
              <w:textAlignment w:val="bottom"/>
            </w:pPr>
            <w:r>
              <w:rPr>
                <w:rFonts w:ascii="Times New Roman" w:eastAsia="宋体" w:hAnsi="Times New Roman"/>
                <w:b/>
                <w:bCs/>
                <w:color w:val="FFFFFF"/>
                <w:sz w:val="16"/>
                <w:szCs w:val="16"/>
              </w:rPr>
              <w:t>Fourth</w:t>
            </w:r>
          </w:p>
          <w:p w14:paraId="00BB0A0C" w14:textId="77777777" w:rsidR="00871BDF" w:rsidRDefault="005C5088">
            <w:pPr>
              <w:jc w:val="center"/>
              <w:textAlignment w:val="bottom"/>
            </w:pPr>
            <w:r>
              <w:rPr>
                <w:rFonts w:ascii="Times New Roman" w:eastAsia="宋体" w:hAnsi="Times New Roman"/>
                <w:b/>
                <w:bCs/>
                <w:color w:val="FFFFFF"/>
                <w:sz w:val="16"/>
                <w:szCs w:val="16"/>
              </w:rPr>
              <w:t>Quarter</w:t>
            </w:r>
          </w:p>
        </w:tc>
        <w:tc>
          <w:tcPr>
            <w:tcW w:w="0" w:type="auto"/>
            <w:gridSpan w:val="3"/>
            <w:shd w:val="clear" w:color="auto" w:fill="auto"/>
            <w:tcMar>
              <w:top w:w="0" w:type="dxa"/>
              <w:left w:w="20" w:type="dxa"/>
              <w:bottom w:w="0" w:type="dxa"/>
              <w:right w:w="20" w:type="dxa"/>
            </w:tcMar>
          </w:tcPr>
          <w:p w14:paraId="00BB0A0D"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A0E" w14:textId="77777777" w:rsidR="00871BDF" w:rsidRDefault="005C5088">
            <w:pPr>
              <w:jc w:val="center"/>
              <w:textAlignment w:val="bottom"/>
            </w:pPr>
            <w:r>
              <w:rPr>
                <w:rFonts w:ascii="Times New Roman" w:eastAsia="宋体" w:hAnsi="Times New Roman"/>
                <w:b/>
                <w:bCs/>
                <w:color w:val="FFFFFF"/>
                <w:sz w:val="16"/>
                <w:szCs w:val="16"/>
              </w:rPr>
              <w:t xml:space="preserve">Full </w:t>
            </w:r>
          </w:p>
          <w:p w14:paraId="00BB0A0F" w14:textId="77777777" w:rsidR="00871BDF" w:rsidRDefault="005C5088">
            <w:pPr>
              <w:jc w:val="center"/>
              <w:textAlignment w:val="bottom"/>
            </w:pPr>
            <w:r>
              <w:rPr>
                <w:rFonts w:ascii="Times New Roman" w:eastAsia="宋体" w:hAnsi="Times New Roman"/>
                <w:b/>
                <w:bCs/>
                <w:color w:val="FFFFFF"/>
                <w:sz w:val="16"/>
                <w:szCs w:val="16"/>
              </w:rPr>
              <w:t>Year</w:t>
            </w:r>
          </w:p>
        </w:tc>
      </w:tr>
      <w:tr w:rsidR="00871BDF" w14:paraId="00BB0A1B" w14:textId="77777777">
        <w:tc>
          <w:tcPr>
            <w:tcW w:w="0" w:type="auto"/>
            <w:gridSpan w:val="3"/>
            <w:shd w:val="clear" w:color="auto" w:fill="D7E4BC"/>
            <w:tcMar>
              <w:top w:w="40" w:type="dxa"/>
              <w:left w:w="20" w:type="dxa"/>
              <w:bottom w:w="40" w:type="dxa"/>
              <w:right w:w="20" w:type="dxa"/>
            </w:tcMar>
          </w:tcPr>
          <w:p w14:paraId="00BB0A11" w14:textId="77777777" w:rsidR="00871BDF" w:rsidRDefault="005C5088">
            <w:pPr>
              <w:textAlignment w:val="top"/>
            </w:pPr>
            <w:r>
              <w:rPr>
                <w:rFonts w:ascii="Times New Roman" w:eastAsia="宋体" w:hAnsi="Times New Roman"/>
                <w:i/>
                <w:iCs/>
                <w:color w:val="000000"/>
                <w:sz w:val="20"/>
                <w:szCs w:val="20"/>
              </w:rPr>
              <w:t>Fiscal 2020:</w:t>
            </w:r>
          </w:p>
        </w:tc>
        <w:tc>
          <w:tcPr>
            <w:tcW w:w="0" w:type="auto"/>
            <w:gridSpan w:val="3"/>
            <w:tcBorders>
              <w:top w:val="single" w:sz="8" w:space="0" w:color="000000"/>
            </w:tcBorders>
            <w:shd w:val="clear" w:color="auto" w:fill="D7E4BC"/>
            <w:tcMar>
              <w:top w:w="0" w:type="dxa"/>
              <w:left w:w="20" w:type="dxa"/>
              <w:bottom w:w="0" w:type="dxa"/>
              <w:right w:w="20" w:type="dxa"/>
            </w:tcMar>
          </w:tcPr>
          <w:p w14:paraId="00BB0A1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A13"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A1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A15"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A16"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A17"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A1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A19"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A1A" w14:textId="77777777" w:rsidR="00871BDF" w:rsidRDefault="00871BDF">
            <w:pPr>
              <w:rPr>
                <w:rFonts w:ascii="宋体"/>
              </w:rPr>
            </w:pPr>
          </w:p>
        </w:tc>
      </w:tr>
      <w:tr w:rsidR="00871BDF" w14:paraId="00BB0A30" w14:textId="77777777">
        <w:tc>
          <w:tcPr>
            <w:tcW w:w="0" w:type="auto"/>
            <w:gridSpan w:val="3"/>
            <w:shd w:val="clear" w:color="auto" w:fill="FFFFFF"/>
            <w:tcMar>
              <w:top w:w="40" w:type="dxa"/>
              <w:left w:w="20" w:type="dxa"/>
              <w:bottom w:w="40" w:type="dxa"/>
              <w:right w:w="20" w:type="dxa"/>
            </w:tcMar>
          </w:tcPr>
          <w:p w14:paraId="00BB0A1C" w14:textId="77777777" w:rsidR="00871BDF" w:rsidRDefault="005C5088">
            <w:pPr>
              <w:textAlignment w:val="top"/>
            </w:pPr>
            <w:r>
              <w:rPr>
                <w:rFonts w:ascii="Times New Roman" w:eastAsia="宋体" w:hAnsi="Times New Roman"/>
                <w:color w:val="000000"/>
                <w:sz w:val="20"/>
                <w:szCs w:val="20"/>
              </w:rPr>
              <w:t>Net revenues</w:t>
            </w:r>
          </w:p>
        </w:tc>
        <w:tc>
          <w:tcPr>
            <w:tcW w:w="0" w:type="auto"/>
            <w:shd w:val="clear" w:color="auto" w:fill="FFFFFF"/>
            <w:tcMar>
              <w:top w:w="40" w:type="dxa"/>
              <w:left w:w="20" w:type="dxa"/>
              <w:bottom w:w="40" w:type="dxa"/>
              <w:right w:w="0" w:type="dxa"/>
            </w:tcMar>
            <w:vAlign w:val="bottom"/>
          </w:tcPr>
          <w:p w14:paraId="00BB0A1D"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A1E" w14:textId="77777777" w:rsidR="00871BDF" w:rsidRDefault="005C5088">
            <w:pPr>
              <w:jc w:val="right"/>
              <w:textAlignment w:val="bottom"/>
            </w:pPr>
            <w:r>
              <w:rPr>
                <w:rFonts w:ascii="Times New Roman" w:eastAsia="宋体" w:hAnsi="Times New Roman"/>
                <w:color w:val="000000"/>
                <w:sz w:val="20"/>
                <w:szCs w:val="20"/>
              </w:rPr>
              <w:t>7,097.1 </w:t>
            </w:r>
          </w:p>
        </w:tc>
        <w:tc>
          <w:tcPr>
            <w:tcW w:w="0" w:type="auto"/>
            <w:shd w:val="clear" w:color="auto" w:fill="FFFFFF"/>
            <w:tcMar>
              <w:top w:w="40" w:type="dxa"/>
              <w:left w:w="0" w:type="dxa"/>
              <w:bottom w:w="40" w:type="dxa"/>
              <w:right w:w="20" w:type="dxa"/>
            </w:tcMar>
            <w:vAlign w:val="bottom"/>
          </w:tcPr>
          <w:p w14:paraId="00BB0A1F"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20"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A21"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A22" w14:textId="77777777" w:rsidR="00871BDF" w:rsidRDefault="005C5088">
            <w:pPr>
              <w:jc w:val="right"/>
              <w:textAlignment w:val="bottom"/>
            </w:pPr>
            <w:r>
              <w:rPr>
                <w:rFonts w:ascii="Times New Roman" w:eastAsia="宋体" w:hAnsi="Times New Roman"/>
                <w:color w:val="000000"/>
                <w:sz w:val="20"/>
                <w:szCs w:val="20"/>
              </w:rPr>
              <w:t>5,995.7 </w:t>
            </w:r>
          </w:p>
        </w:tc>
        <w:tc>
          <w:tcPr>
            <w:tcW w:w="0" w:type="auto"/>
            <w:shd w:val="clear" w:color="auto" w:fill="FFFFFF"/>
            <w:tcMar>
              <w:top w:w="40" w:type="dxa"/>
              <w:left w:w="0" w:type="dxa"/>
              <w:bottom w:w="40" w:type="dxa"/>
              <w:right w:w="20" w:type="dxa"/>
            </w:tcMar>
            <w:vAlign w:val="bottom"/>
          </w:tcPr>
          <w:p w14:paraId="00BB0A2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24"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A25"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A26" w14:textId="77777777" w:rsidR="00871BDF" w:rsidRDefault="005C5088">
            <w:pPr>
              <w:jc w:val="right"/>
              <w:textAlignment w:val="bottom"/>
            </w:pPr>
            <w:r>
              <w:rPr>
                <w:rFonts w:ascii="Times New Roman" w:eastAsia="宋体" w:hAnsi="Times New Roman"/>
                <w:color w:val="000000"/>
                <w:sz w:val="20"/>
                <w:szCs w:val="20"/>
              </w:rPr>
              <w:t>4,222.1 </w:t>
            </w:r>
          </w:p>
        </w:tc>
        <w:tc>
          <w:tcPr>
            <w:tcW w:w="0" w:type="auto"/>
            <w:shd w:val="clear" w:color="auto" w:fill="FFFFFF"/>
            <w:tcMar>
              <w:top w:w="40" w:type="dxa"/>
              <w:left w:w="0" w:type="dxa"/>
              <w:bottom w:w="40" w:type="dxa"/>
              <w:right w:w="20" w:type="dxa"/>
            </w:tcMar>
            <w:vAlign w:val="bottom"/>
          </w:tcPr>
          <w:p w14:paraId="00BB0A27"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28"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A29"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A2A" w14:textId="77777777" w:rsidR="00871BDF" w:rsidRDefault="005C5088">
            <w:pPr>
              <w:jc w:val="right"/>
              <w:textAlignment w:val="bottom"/>
            </w:pPr>
            <w:r>
              <w:rPr>
                <w:rFonts w:ascii="Times New Roman" w:eastAsia="宋体" w:hAnsi="Times New Roman"/>
                <w:color w:val="000000"/>
                <w:sz w:val="20"/>
                <w:szCs w:val="20"/>
              </w:rPr>
              <w:t>6,203.1 </w:t>
            </w:r>
          </w:p>
        </w:tc>
        <w:tc>
          <w:tcPr>
            <w:tcW w:w="0" w:type="auto"/>
            <w:shd w:val="clear" w:color="auto" w:fill="FFFFFF"/>
            <w:tcMar>
              <w:top w:w="40" w:type="dxa"/>
              <w:left w:w="0" w:type="dxa"/>
              <w:bottom w:w="40" w:type="dxa"/>
              <w:right w:w="20" w:type="dxa"/>
            </w:tcMar>
            <w:vAlign w:val="bottom"/>
          </w:tcPr>
          <w:p w14:paraId="00BB0A2B"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2C" w14:textId="77777777" w:rsidR="00871BDF" w:rsidRDefault="00871BDF">
            <w:pPr>
              <w:rPr>
                <w:rFonts w:ascii="宋体"/>
              </w:rPr>
            </w:pPr>
          </w:p>
        </w:tc>
        <w:tc>
          <w:tcPr>
            <w:tcW w:w="0" w:type="auto"/>
            <w:shd w:val="clear" w:color="auto" w:fill="FFFFFF"/>
            <w:tcMar>
              <w:top w:w="40" w:type="dxa"/>
              <w:left w:w="20" w:type="dxa"/>
              <w:bottom w:w="40" w:type="dxa"/>
              <w:right w:w="0" w:type="dxa"/>
            </w:tcMar>
            <w:vAlign w:val="bottom"/>
          </w:tcPr>
          <w:p w14:paraId="00BB0A2D"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0BB0A2E" w14:textId="77777777" w:rsidR="00871BDF" w:rsidRDefault="005C5088">
            <w:pPr>
              <w:jc w:val="right"/>
              <w:textAlignment w:val="bottom"/>
            </w:pPr>
            <w:r>
              <w:rPr>
                <w:rFonts w:ascii="Times New Roman" w:eastAsia="宋体" w:hAnsi="Times New Roman"/>
                <w:color w:val="000000"/>
                <w:sz w:val="20"/>
                <w:szCs w:val="20"/>
              </w:rPr>
              <w:t>23,518.0 </w:t>
            </w:r>
          </w:p>
        </w:tc>
        <w:tc>
          <w:tcPr>
            <w:tcW w:w="0" w:type="auto"/>
            <w:shd w:val="clear" w:color="auto" w:fill="FFFFFF"/>
            <w:tcMar>
              <w:top w:w="40" w:type="dxa"/>
              <w:left w:w="0" w:type="dxa"/>
              <w:bottom w:w="40" w:type="dxa"/>
              <w:right w:w="20" w:type="dxa"/>
            </w:tcMar>
            <w:vAlign w:val="bottom"/>
          </w:tcPr>
          <w:p w14:paraId="00BB0A2F" w14:textId="77777777" w:rsidR="00871BDF" w:rsidRDefault="00871BDF">
            <w:pPr>
              <w:jc w:val="right"/>
              <w:rPr>
                <w:rFonts w:ascii="宋体"/>
              </w:rPr>
            </w:pPr>
          </w:p>
        </w:tc>
      </w:tr>
      <w:tr w:rsidR="00871BDF" w14:paraId="00BB0A40" w14:textId="77777777">
        <w:tc>
          <w:tcPr>
            <w:tcW w:w="0" w:type="auto"/>
            <w:gridSpan w:val="3"/>
            <w:shd w:val="clear" w:color="auto" w:fill="D7E4BC"/>
            <w:tcMar>
              <w:top w:w="40" w:type="dxa"/>
              <w:left w:w="20" w:type="dxa"/>
              <w:bottom w:w="40" w:type="dxa"/>
              <w:right w:w="20" w:type="dxa"/>
            </w:tcMar>
          </w:tcPr>
          <w:p w14:paraId="00BB0A31" w14:textId="77777777" w:rsidR="00871BDF" w:rsidRDefault="005C5088">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00BB0A32" w14:textId="77777777" w:rsidR="00871BDF" w:rsidRDefault="005C5088">
            <w:pPr>
              <w:jc w:val="right"/>
              <w:textAlignment w:val="bottom"/>
            </w:pPr>
            <w:r>
              <w:rPr>
                <w:rFonts w:ascii="Times New Roman" w:eastAsia="宋体" w:hAnsi="Times New Roman"/>
                <w:color w:val="000000"/>
                <w:sz w:val="20"/>
                <w:szCs w:val="20"/>
              </w:rPr>
              <w:t>1,219.8 </w:t>
            </w:r>
          </w:p>
        </w:tc>
        <w:tc>
          <w:tcPr>
            <w:tcW w:w="0" w:type="auto"/>
            <w:shd w:val="clear" w:color="auto" w:fill="D7E4BC"/>
            <w:tcMar>
              <w:top w:w="40" w:type="dxa"/>
              <w:left w:w="0" w:type="dxa"/>
              <w:bottom w:w="40" w:type="dxa"/>
              <w:right w:w="20" w:type="dxa"/>
            </w:tcMar>
            <w:vAlign w:val="bottom"/>
          </w:tcPr>
          <w:p w14:paraId="00BB0A3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3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A35" w14:textId="77777777" w:rsidR="00871BDF" w:rsidRDefault="005C5088">
            <w:pPr>
              <w:jc w:val="right"/>
              <w:textAlignment w:val="bottom"/>
            </w:pPr>
            <w:r>
              <w:rPr>
                <w:rFonts w:ascii="Times New Roman" w:eastAsia="宋体" w:hAnsi="Times New Roman"/>
                <w:color w:val="000000"/>
                <w:sz w:val="20"/>
                <w:szCs w:val="20"/>
              </w:rPr>
              <w:t>487.4 </w:t>
            </w:r>
          </w:p>
        </w:tc>
        <w:tc>
          <w:tcPr>
            <w:tcW w:w="0" w:type="auto"/>
            <w:shd w:val="clear" w:color="auto" w:fill="D7E4BC"/>
            <w:tcMar>
              <w:top w:w="40" w:type="dxa"/>
              <w:left w:w="0" w:type="dxa"/>
              <w:bottom w:w="40" w:type="dxa"/>
              <w:right w:w="20" w:type="dxa"/>
            </w:tcMar>
            <w:vAlign w:val="bottom"/>
          </w:tcPr>
          <w:p w14:paraId="00BB0A3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3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A38" w14:textId="77777777" w:rsidR="00871BDF" w:rsidRDefault="005C5088">
            <w:pPr>
              <w:jc w:val="right"/>
              <w:textAlignment w:val="bottom"/>
            </w:pPr>
            <w:r>
              <w:rPr>
                <w:rFonts w:ascii="Times New Roman" w:eastAsia="宋体" w:hAnsi="Times New Roman"/>
                <w:color w:val="000000"/>
                <w:sz w:val="20"/>
                <w:szCs w:val="20"/>
              </w:rPr>
              <w:t>(703.9)</w:t>
            </w:r>
          </w:p>
        </w:tc>
        <w:tc>
          <w:tcPr>
            <w:tcW w:w="0" w:type="auto"/>
            <w:shd w:val="clear" w:color="auto" w:fill="D7E4BC"/>
            <w:tcMar>
              <w:top w:w="40" w:type="dxa"/>
              <w:left w:w="0" w:type="dxa"/>
              <w:bottom w:w="40" w:type="dxa"/>
              <w:right w:w="20" w:type="dxa"/>
            </w:tcMar>
            <w:vAlign w:val="bottom"/>
          </w:tcPr>
          <w:p w14:paraId="00BB0A3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3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A3B" w14:textId="77777777" w:rsidR="00871BDF" w:rsidRDefault="005C5088">
            <w:pPr>
              <w:jc w:val="right"/>
              <w:textAlignment w:val="bottom"/>
            </w:pPr>
            <w:r>
              <w:rPr>
                <w:rFonts w:ascii="Times New Roman" w:eastAsia="宋体" w:hAnsi="Times New Roman"/>
                <w:color w:val="000000"/>
                <w:sz w:val="20"/>
                <w:szCs w:val="20"/>
              </w:rPr>
              <w:t>558.3 </w:t>
            </w:r>
          </w:p>
        </w:tc>
        <w:tc>
          <w:tcPr>
            <w:tcW w:w="0" w:type="auto"/>
            <w:shd w:val="clear" w:color="auto" w:fill="D7E4BC"/>
            <w:tcMar>
              <w:top w:w="40" w:type="dxa"/>
              <w:left w:w="0" w:type="dxa"/>
              <w:bottom w:w="40" w:type="dxa"/>
              <w:right w:w="20" w:type="dxa"/>
            </w:tcMar>
            <w:vAlign w:val="bottom"/>
          </w:tcPr>
          <w:p w14:paraId="00BB0A3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3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A3E" w14:textId="77777777" w:rsidR="00871BDF" w:rsidRDefault="005C5088">
            <w:pPr>
              <w:jc w:val="right"/>
              <w:textAlignment w:val="bottom"/>
            </w:pPr>
            <w:r>
              <w:rPr>
                <w:rFonts w:ascii="Times New Roman" w:eastAsia="宋体" w:hAnsi="Times New Roman"/>
                <w:color w:val="000000"/>
                <w:sz w:val="20"/>
                <w:szCs w:val="20"/>
              </w:rPr>
              <w:t>1,561.7 </w:t>
            </w:r>
          </w:p>
        </w:tc>
        <w:tc>
          <w:tcPr>
            <w:tcW w:w="0" w:type="auto"/>
            <w:shd w:val="clear" w:color="auto" w:fill="D7E4BC"/>
            <w:tcMar>
              <w:top w:w="40" w:type="dxa"/>
              <w:left w:w="0" w:type="dxa"/>
              <w:bottom w:w="40" w:type="dxa"/>
              <w:right w:w="20" w:type="dxa"/>
            </w:tcMar>
            <w:vAlign w:val="bottom"/>
          </w:tcPr>
          <w:p w14:paraId="00BB0A3F" w14:textId="77777777" w:rsidR="00871BDF" w:rsidRDefault="00871BDF">
            <w:pPr>
              <w:jc w:val="right"/>
              <w:rPr>
                <w:rFonts w:ascii="宋体"/>
              </w:rPr>
            </w:pPr>
          </w:p>
        </w:tc>
      </w:tr>
      <w:tr w:rsidR="00871BDF" w14:paraId="00BB0A50" w14:textId="77777777">
        <w:tc>
          <w:tcPr>
            <w:tcW w:w="0" w:type="auto"/>
            <w:gridSpan w:val="3"/>
            <w:shd w:val="clear" w:color="auto" w:fill="FFFFFF"/>
            <w:tcMar>
              <w:top w:w="40" w:type="dxa"/>
              <w:left w:w="20" w:type="dxa"/>
              <w:bottom w:w="40" w:type="dxa"/>
              <w:right w:w="20" w:type="dxa"/>
            </w:tcMar>
          </w:tcPr>
          <w:p w14:paraId="00BB0A41" w14:textId="77777777" w:rsidR="00871BDF" w:rsidRDefault="005C5088">
            <w:pPr>
              <w:textAlignment w:val="top"/>
            </w:pPr>
            <w:r>
              <w:rPr>
                <w:rFonts w:ascii="Times New Roman" w:eastAsia="宋体" w:hAnsi="Times New Roman"/>
                <w:color w:val="000000"/>
                <w:sz w:val="20"/>
                <w:szCs w:val="20"/>
              </w:rPr>
              <w:t>Net earnings/(loss) attributable to Starbucks</w:t>
            </w:r>
          </w:p>
        </w:tc>
        <w:tc>
          <w:tcPr>
            <w:tcW w:w="0" w:type="auto"/>
            <w:gridSpan w:val="2"/>
            <w:shd w:val="clear" w:color="auto" w:fill="FFFFFF"/>
            <w:tcMar>
              <w:top w:w="40" w:type="dxa"/>
              <w:left w:w="20" w:type="dxa"/>
              <w:bottom w:w="40" w:type="dxa"/>
              <w:right w:w="0" w:type="dxa"/>
            </w:tcMar>
            <w:vAlign w:val="bottom"/>
          </w:tcPr>
          <w:p w14:paraId="00BB0A42" w14:textId="77777777" w:rsidR="00871BDF" w:rsidRDefault="005C5088">
            <w:pPr>
              <w:jc w:val="right"/>
              <w:textAlignment w:val="bottom"/>
            </w:pPr>
            <w:r>
              <w:rPr>
                <w:rFonts w:ascii="Times New Roman" w:eastAsia="宋体" w:hAnsi="Times New Roman"/>
                <w:color w:val="000000"/>
                <w:sz w:val="20"/>
                <w:szCs w:val="20"/>
              </w:rPr>
              <w:t>885.7 </w:t>
            </w:r>
          </w:p>
        </w:tc>
        <w:tc>
          <w:tcPr>
            <w:tcW w:w="0" w:type="auto"/>
            <w:shd w:val="clear" w:color="auto" w:fill="FFFFFF"/>
            <w:tcMar>
              <w:top w:w="40" w:type="dxa"/>
              <w:left w:w="0" w:type="dxa"/>
              <w:bottom w:w="40" w:type="dxa"/>
              <w:right w:w="20" w:type="dxa"/>
            </w:tcMar>
            <w:vAlign w:val="bottom"/>
          </w:tcPr>
          <w:p w14:paraId="00BB0A4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4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A45" w14:textId="77777777" w:rsidR="00871BDF" w:rsidRDefault="005C5088">
            <w:pPr>
              <w:jc w:val="right"/>
              <w:textAlignment w:val="bottom"/>
            </w:pPr>
            <w:r>
              <w:rPr>
                <w:rFonts w:ascii="Times New Roman" w:eastAsia="宋体" w:hAnsi="Times New Roman"/>
                <w:color w:val="000000"/>
                <w:sz w:val="20"/>
                <w:szCs w:val="20"/>
              </w:rPr>
              <w:t>328.4 </w:t>
            </w:r>
          </w:p>
        </w:tc>
        <w:tc>
          <w:tcPr>
            <w:tcW w:w="0" w:type="auto"/>
            <w:shd w:val="clear" w:color="auto" w:fill="FFFFFF"/>
            <w:tcMar>
              <w:top w:w="40" w:type="dxa"/>
              <w:left w:w="0" w:type="dxa"/>
              <w:bottom w:w="40" w:type="dxa"/>
              <w:right w:w="20" w:type="dxa"/>
            </w:tcMar>
            <w:vAlign w:val="bottom"/>
          </w:tcPr>
          <w:p w14:paraId="00BB0A4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4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A48" w14:textId="77777777" w:rsidR="00871BDF" w:rsidRDefault="005C5088">
            <w:pPr>
              <w:jc w:val="right"/>
              <w:textAlignment w:val="bottom"/>
            </w:pPr>
            <w:r>
              <w:rPr>
                <w:rFonts w:ascii="Times New Roman" w:eastAsia="宋体" w:hAnsi="Times New Roman"/>
                <w:color w:val="000000"/>
                <w:sz w:val="20"/>
                <w:szCs w:val="20"/>
              </w:rPr>
              <w:t>(678.4)</w:t>
            </w:r>
          </w:p>
        </w:tc>
        <w:tc>
          <w:tcPr>
            <w:tcW w:w="0" w:type="auto"/>
            <w:shd w:val="clear" w:color="auto" w:fill="FFFFFF"/>
            <w:tcMar>
              <w:top w:w="40" w:type="dxa"/>
              <w:left w:w="0" w:type="dxa"/>
              <w:bottom w:w="40" w:type="dxa"/>
              <w:right w:w="20" w:type="dxa"/>
            </w:tcMar>
            <w:vAlign w:val="bottom"/>
          </w:tcPr>
          <w:p w14:paraId="00BB0A4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4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A4B" w14:textId="77777777" w:rsidR="00871BDF" w:rsidRDefault="005C5088">
            <w:pPr>
              <w:jc w:val="right"/>
              <w:textAlignment w:val="bottom"/>
            </w:pPr>
            <w:r>
              <w:rPr>
                <w:rFonts w:ascii="Times New Roman" w:eastAsia="宋体" w:hAnsi="Times New Roman"/>
                <w:color w:val="000000"/>
                <w:sz w:val="20"/>
                <w:szCs w:val="20"/>
              </w:rPr>
              <w:t>392.6 </w:t>
            </w:r>
          </w:p>
        </w:tc>
        <w:tc>
          <w:tcPr>
            <w:tcW w:w="0" w:type="auto"/>
            <w:shd w:val="clear" w:color="auto" w:fill="FFFFFF"/>
            <w:tcMar>
              <w:top w:w="40" w:type="dxa"/>
              <w:left w:w="0" w:type="dxa"/>
              <w:bottom w:w="40" w:type="dxa"/>
              <w:right w:w="20" w:type="dxa"/>
            </w:tcMar>
            <w:vAlign w:val="bottom"/>
          </w:tcPr>
          <w:p w14:paraId="00BB0A4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4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A4E" w14:textId="77777777" w:rsidR="00871BDF" w:rsidRDefault="005C5088">
            <w:pPr>
              <w:jc w:val="right"/>
              <w:textAlignment w:val="bottom"/>
            </w:pPr>
            <w:r>
              <w:rPr>
                <w:rFonts w:ascii="Times New Roman" w:eastAsia="宋体" w:hAnsi="Times New Roman"/>
                <w:color w:val="000000"/>
                <w:sz w:val="20"/>
                <w:szCs w:val="20"/>
              </w:rPr>
              <w:t>928.3 </w:t>
            </w:r>
          </w:p>
        </w:tc>
        <w:tc>
          <w:tcPr>
            <w:tcW w:w="0" w:type="auto"/>
            <w:shd w:val="clear" w:color="auto" w:fill="FFFFFF"/>
            <w:tcMar>
              <w:top w:w="40" w:type="dxa"/>
              <w:left w:w="0" w:type="dxa"/>
              <w:bottom w:w="40" w:type="dxa"/>
              <w:right w:w="20" w:type="dxa"/>
            </w:tcMar>
            <w:vAlign w:val="bottom"/>
          </w:tcPr>
          <w:p w14:paraId="00BB0A4F" w14:textId="77777777" w:rsidR="00871BDF" w:rsidRDefault="00871BDF">
            <w:pPr>
              <w:jc w:val="right"/>
              <w:rPr>
                <w:rFonts w:ascii="宋体"/>
              </w:rPr>
            </w:pPr>
          </w:p>
        </w:tc>
      </w:tr>
      <w:tr w:rsidR="00871BDF" w14:paraId="00BB0A60" w14:textId="77777777">
        <w:tc>
          <w:tcPr>
            <w:tcW w:w="0" w:type="auto"/>
            <w:gridSpan w:val="3"/>
            <w:shd w:val="clear" w:color="auto" w:fill="D7E4BC"/>
            <w:tcMar>
              <w:top w:w="40" w:type="dxa"/>
              <w:left w:w="20" w:type="dxa"/>
              <w:bottom w:w="40" w:type="dxa"/>
              <w:right w:w="20" w:type="dxa"/>
            </w:tcMar>
          </w:tcPr>
          <w:p w14:paraId="00BB0A51" w14:textId="77777777" w:rsidR="00871BDF" w:rsidRDefault="005C5088">
            <w:pPr>
              <w:textAlignment w:val="top"/>
            </w:pPr>
            <w:r>
              <w:rPr>
                <w:rFonts w:ascii="Times New Roman" w:eastAsia="宋体" w:hAnsi="Times New Roman"/>
                <w:color w:val="000000"/>
                <w:sz w:val="20"/>
                <w:szCs w:val="20"/>
              </w:rPr>
              <w:t>Earnings/(loss) per share — diluted</w:t>
            </w:r>
          </w:p>
        </w:tc>
        <w:tc>
          <w:tcPr>
            <w:tcW w:w="0" w:type="auto"/>
            <w:gridSpan w:val="2"/>
            <w:shd w:val="clear" w:color="auto" w:fill="D7E4BC"/>
            <w:tcMar>
              <w:top w:w="40" w:type="dxa"/>
              <w:left w:w="20" w:type="dxa"/>
              <w:bottom w:w="40" w:type="dxa"/>
              <w:right w:w="0" w:type="dxa"/>
            </w:tcMar>
            <w:vAlign w:val="bottom"/>
          </w:tcPr>
          <w:p w14:paraId="00BB0A52" w14:textId="77777777" w:rsidR="00871BDF" w:rsidRDefault="005C5088">
            <w:pPr>
              <w:jc w:val="right"/>
              <w:textAlignment w:val="bottom"/>
            </w:pPr>
            <w:r>
              <w:rPr>
                <w:rFonts w:ascii="Times New Roman" w:eastAsia="宋体" w:hAnsi="Times New Roman"/>
                <w:color w:val="000000"/>
                <w:sz w:val="20"/>
                <w:szCs w:val="20"/>
              </w:rPr>
              <w:t>0.74 </w:t>
            </w:r>
          </w:p>
        </w:tc>
        <w:tc>
          <w:tcPr>
            <w:tcW w:w="0" w:type="auto"/>
            <w:shd w:val="clear" w:color="auto" w:fill="D7E4BC"/>
            <w:tcMar>
              <w:top w:w="40" w:type="dxa"/>
              <w:left w:w="0" w:type="dxa"/>
              <w:bottom w:w="40" w:type="dxa"/>
              <w:right w:w="20" w:type="dxa"/>
            </w:tcMar>
            <w:vAlign w:val="bottom"/>
          </w:tcPr>
          <w:p w14:paraId="00BB0A5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5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A55" w14:textId="77777777" w:rsidR="00871BDF" w:rsidRDefault="005C5088">
            <w:pPr>
              <w:jc w:val="right"/>
              <w:textAlignment w:val="bottom"/>
            </w:pPr>
            <w:r>
              <w:rPr>
                <w:rFonts w:ascii="Times New Roman" w:eastAsia="宋体" w:hAnsi="Times New Roman"/>
                <w:color w:val="000000"/>
                <w:sz w:val="20"/>
                <w:szCs w:val="20"/>
              </w:rPr>
              <w:t>0.28 </w:t>
            </w:r>
          </w:p>
        </w:tc>
        <w:tc>
          <w:tcPr>
            <w:tcW w:w="0" w:type="auto"/>
            <w:shd w:val="clear" w:color="auto" w:fill="D7E4BC"/>
            <w:tcMar>
              <w:top w:w="40" w:type="dxa"/>
              <w:left w:w="0" w:type="dxa"/>
              <w:bottom w:w="40" w:type="dxa"/>
              <w:right w:w="20" w:type="dxa"/>
            </w:tcMar>
            <w:vAlign w:val="bottom"/>
          </w:tcPr>
          <w:p w14:paraId="00BB0A5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5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A58" w14:textId="77777777" w:rsidR="00871BDF" w:rsidRDefault="005C5088">
            <w:pPr>
              <w:jc w:val="right"/>
              <w:textAlignment w:val="bottom"/>
            </w:pPr>
            <w:r>
              <w:rPr>
                <w:rFonts w:ascii="Times New Roman" w:eastAsia="宋体" w:hAnsi="Times New Roman"/>
                <w:color w:val="000000"/>
                <w:sz w:val="20"/>
                <w:szCs w:val="20"/>
              </w:rPr>
              <w:t>(0.58)</w:t>
            </w:r>
          </w:p>
        </w:tc>
        <w:tc>
          <w:tcPr>
            <w:tcW w:w="0" w:type="auto"/>
            <w:shd w:val="clear" w:color="auto" w:fill="D7E4BC"/>
            <w:tcMar>
              <w:top w:w="40" w:type="dxa"/>
              <w:left w:w="0" w:type="dxa"/>
              <w:bottom w:w="40" w:type="dxa"/>
              <w:right w:w="20" w:type="dxa"/>
            </w:tcMar>
            <w:vAlign w:val="bottom"/>
          </w:tcPr>
          <w:p w14:paraId="00BB0A5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5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A5B" w14:textId="77777777" w:rsidR="00871BDF" w:rsidRDefault="005C5088">
            <w:pPr>
              <w:jc w:val="right"/>
              <w:textAlignment w:val="bottom"/>
            </w:pPr>
            <w:r>
              <w:rPr>
                <w:rFonts w:ascii="Times New Roman" w:eastAsia="宋体" w:hAnsi="Times New Roman"/>
                <w:color w:val="000000"/>
                <w:sz w:val="20"/>
                <w:szCs w:val="20"/>
              </w:rPr>
              <w:t>0.33 </w:t>
            </w:r>
          </w:p>
        </w:tc>
        <w:tc>
          <w:tcPr>
            <w:tcW w:w="0" w:type="auto"/>
            <w:shd w:val="clear" w:color="auto" w:fill="D7E4BC"/>
            <w:tcMar>
              <w:top w:w="40" w:type="dxa"/>
              <w:left w:w="0" w:type="dxa"/>
              <w:bottom w:w="40" w:type="dxa"/>
              <w:right w:w="20" w:type="dxa"/>
            </w:tcMar>
            <w:vAlign w:val="bottom"/>
          </w:tcPr>
          <w:p w14:paraId="00BB0A5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5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A5E" w14:textId="77777777" w:rsidR="00871BDF" w:rsidRDefault="005C5088">
            <w:pPr>
              <w:jc w:val="right"/>
              <w:textAlignment w:val="bottom"/>
            </w:pPr>
            <w:r>
              <w:rPr>
                <w:rFonts w:ascii="Times New Roman" w:eastAsia="宋体" w:hAnsi="Times New Roman"/>
                <w:color w:val="000000"/>
                <w:sz w:val="20"/>
                <w:szCs w:val="20"/>
              </w:rPr>
              <w:t>0.79 </w:t>
            </w:r>
          </w:p>
        </w:tc>
        <w:tc>
          <w:tcPr>
            <w:tcW w:w="0" w:type="auto"/>
            <w:shd w:val="clear" w:color="auto" w:fill="D7E4BC"/>
            <w:tcMar>
              <w:top w:w="40" w:type="dxa"/>
              <w:left w:w="0" w:type="dxa"/>
              <w:bottom w:w="40" w:type="dxa"/>
              <w:right w:w="20" w:type="dxa"/>
            </w:tcMar>
            <w:vAlign w:val="bottom"/>
          </w:tcPr>
          <w:p w14:paraId="00BB0A5F" w14:textId="77777777" w:rsidR="00871BDF" w:rsidRDefault="00871BDF">
            <w:pPr>
              <w:jc w:val="right"/>
              <w:rPr>
                <w:rFonts w:ascii="宋体"/>
              </w:rPr>
            </w:pPr>
          </w:p>
        </w:tc>
      </w:tr>
      <w:tr w:rsidR="00871BDF" w14:paraId="00BB0A6B" w14:textId="77777777">
        <w:tc>
          <w:tcPr>
            <w:tcW w:w="0" w:type="auto"/>
            <w:gridSpan w:val="3"/>
            <w:shd w:val="clear" w:color="auto" w:fill="FFFFFF"/>
            <w:tcMar>
              <w:top w:w="40" w:type="dxa"/>
              <w:left w:w="20" w:type="dxa"/>
              <w:bottom w:w="40" w:type="dxa"/>
              <w:right w:w="20" w:type="dxa"/>
            </w:tcMar>
          </w:tcPr>
          <w:p w14:paraId="00BB0A61" w14:textId="77777777" w:rsidR="00871BDF" w:rsidRDefault="005C5088">
            <w:pPr>
              <w:textAlignment w:val="top"/>
            </w:pPr>
            <w:r>
              <w:rPr>
                <w:rFonts w:ascii="Times New Roman" w:eastAsia="宋体" w:hAnsi="Times New Roman"/>
                <w:i/>
                <w:iCs/>
                <w:color w:val="000000"/>
                <w:sz w:val="20"/>
                <w:szCs w:val="20"/>
              </w:rPr>
              <w:t>Fiscal 2019:</w:t>
            </w:r>
          </w:p>
        </w:tc>
        <w:tc>
          <w:tcPr>
            <w:tcW w:w="0" w:type="auto"/>
            <w:gridSpan w:val="3"/>
            <w:shd w:val="clear" w:color="auto" w:fill="FFFFFF"/>
            <w:tcMar>
              <w:top w:w="0" w:type="dxa"/>
              <w:left w:w="20" w:type="dxa"/>
              <w:bottom w:w="0" w:type="dxa"/>
              <w:right w:w="20" w:type="dxa"/>
            </w:tcMar>
          </w:tcPr>
          <w:p w14:paraId="00BB0A6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A6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A6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A6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A6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A6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A68"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A6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A6A" w14:textId="77777777" w:rsidR="00871BDF" w:rsidRDefault="00871BDF">
            <w:pPr>
              <w:rPr>
                <w:rFonts w:ascii="宋体"/>
              </w:rPr>
            </w:pPr>
          </w:p>
        </w:tc>
      </w:tr>
      <w:tr w:rsidR="00871BDF" w14:paraId="00BB0A80" w14:textId="77777777">
        <w:tc>
          <w:tcPr>
            <w:tcW w:w="0" w:type="auto"/>
            <w:gridSpan w:val="3"/>
            <w:shd w:val="clear" w:color="auto" w:fill="D7E4BC"/>
            <w:tcMar>
              <w:top w:w="40" w:type="dxa"/>
              <w:left w:w="20" w:type="dxa"/>
              <w:bottom w:w="40" w:type="dxa"/>
              <w:right w:w="20" w:type="dxa"/>
            </w:tcMar>
            <w:vAlign w:val="center"/>
          </w:tcPr>
          <w:p w14:paraId="00BB0A6C" w14:textId="77777777" w:rsidR="00871BDF" w:rsidRDefault="005C5088">
            <w:pPr>
              <w:textAlignment w:val="center"/>
            </w:pPr>
            <w:r>
              <w:rPr>
                <w:rFonts w:ascii="Times New Roman" w:eastAsia="宋体" w:hAnsi="Times New Roman"/>
                <w:color w:val="000000"/>
                <w:sz w:val="20"/>
                <w:szCs w:val="20"/>
              </w:rPr>
              <w:t>Net revenues</w:t>
            </w:r>
          </w:p>
        </w:tc>
        <w:tc>
          <w:tcPr>
            <w:tcW w:w="0" w:type="auto"/>
            <w:shd w:val="clear" w:color="auto" w:fill="D7E4BC"/>
            <w:tcMar>
              <w:top w:w="40" w:type="dxa"/>
              <w:left w:w="20" w:type="dxa"/>
              <w:bottom w:w="40" w:type="dxa"/>
              <w:right w:w="0" w:type="dxa"/>
            </w:tcMar>
            <w:vAlign w:val="bottom"/>
          </w:tcPr>
          <w:p w14:paraId="00BB0A6D"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A6E" w14:textId="77777777" w:rsidR="00871BDF" w:rsidRDefault="005C5088">
            <w:pPr>
              <w:jc w:val="right"/>
              <w:textAlignment w:val="bottom"/>
            </w:pPr>
            <w:r>
              <w:rPr>
                <w:rFonts w:ascii="Times New Roman" w:eastAsia="宋体" w:hAnsi="Times New Roman"/>
                <w:color w:val="000000"/>
                <w:sz w:val="20"/>
                <w:szCs w:val="20"/>
              </w:rPr>
              <w:t>6,632.7 </w:t>
            </w:r>
          </w:p>
        </w:tc>
        <w:tc>
          <w:tcPr>
            <w:tcW w:w="0" w:type="auto"/>
            <w:shd w:val="clear" w:color="auto" w:fill="D7E4BC"/>
            <w:tcMar>
              <w:top w:w="40" w:type="dxa"/>
              <w:left w:w="0" w:type="dxa"/>
              <w:bottom w:w="40" w:type="dxa"/>
              <w:right w:w="20" w:type="dxa"/>
            </w:tcMar>
            <w:vAlign w:val="bottom"/>
          </w:tcPr>
          <w:p w14:paraId="00BB0A6F"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70"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A71"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A72" w14:textId="77777777" w:rsidR="00871BDF" w:rsidRDefault="005C5088">
            <w:pPr>
              <w:jc w:val="right"/>
              <w:textAlignment w:val="bottom"/>
            </w:pPr>
            <w:r>
              <w:rPr>
                <w:rFonts w:ascii="Times New Roman" w:eastAsia="宋体" w:hAnsi="Times New Roman"/>
                <w:color w:val="000000"/>
                <w:sz w:val="20"/>
                <w:szCs w:val="20"/>
              </w:rPr>
              <w:t>6,305.9 </w:t>
            </w:r>
          </w:p>
        </w:tc>
        <w:tc>
          <w:tcPr>
            <w:tcW w:w="0" w:type="auto"/>
            <w:shd w:val="clear" w:color="auto" w:fill="D7E4BC"/>
            <w:tcMar>
              <w:top w:w="40" w:type="dxa"/>
              <w:left w:w="0" w:type="dxa"/>
              <w:bottom w:w="40" w:type="dxa"/>
              <w:right w:w="20" w:type="dxa"/>
            </w:tcMar>
            <w:vAlign w:val="bottom"/>
          </w:tcPr>
          <w:p w14:paraId="00BB0A7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74"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A75"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A76" w14:textId="77777777" w:rsidR="00871BDF" w:rsidRDefault="005C5088">
            <w:pPr>
              <w:jc w:val="right"/>
              <w:textAlignment w:val="bottom"/>
            </w:pPr>
            <w:r>
              <w:rPr>
                <w:rFonts w:ascii="Times New Roman" w:eastAsia="宋体" w:hAnsi="Times New Roman"/>
                <w:color w:val="000000"/>
                <w:sz w:val="20"/>
                <w:szCs w:val="20"/>
              </w:rPr>
              <w:t>6,823.0 </w:t>
            </w:r>
          </w:p>
        </w:tc>
        <w:tc>
          <w:tcPr>
            <w:tcW w:w="0" w:type="auto"/>
            <w:shd w:val="clear" w:color="auto" w:fill="D7E4BC"/>
            <w:tcMar>
              <w:top w:w="40" w:type="dxa"/>
              <w:left w:w="0" w:type="dxa"/>
              <w:bottom w:w="40" w:type="dxa"/>
              <w:right w:w="20" w:type="dxa"/>
            </w:tcMar>
            <w:vAlign w:val="bottom"/>
          </w:tcPr>
          <w:p w14:paraId="00BB0A77"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78"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A79"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A7A" w14:textId="77777777" w:rsidR="00871BDF" w:rsidRDefault="005C5088">
            <w:pPr>
              <w:jc w:val="right"/>
              <w:textAlignment w:val="bottom"/>
            </w:pPr>
            <w:r>
              <w:rPr>
                <w:rFonts w:ascii="Times New Roman" w:eastAsia="宋体" w:hAnsi="Times New Roman"/>
                <w:color w:val="000000"/>
                <w:sz w:val="20"/>
                <w:szCs w:val="20"/>
              </w:rPr>
              <w:t>6,747.0 </w:t>
            </w:r>
          </w:p>
        </w:tc>
        <w:tc>
          <w:tcPr>
            <w:tcW w:w="0" w:type="auto"/>
            <w:shd w:val="clear" w:color="auto" w:fill="D7E4BC"/>
            <w:tcMar>
              <w:top w:w="40" w:type="dxa"/>
              <w:left w:w="0" w:type="dxa"/>
              <w:bottom w:w="40" w:type="dxa"/>
              <w:right w:w="20" w:type="dxa"/>
            </w:tcMar>
            <w:vAlign w:val="bottom"/>
          </w:tcPr>
          <w:p w14:paraId="00BB0A7B"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7C" w14:textId="77777777" w:rsidR="00871BDF" w:rsidRDefault="00871BDF">
            <w:pPr>
              <w:rPr>
                <w:rFonts w:ascii="宋体"/>
              </w:rPr>
            </w:pPr>
          </w:p>
        </w:tc>
        <w:tc>
          <w:tcPr>
            <w:tcW w:w="0" w:type="auto"/>
            <w:shd w:val="clear" w:color="auto" w:fill="D7E4BC"/>
            <w:tcMar>
              <w:top w:w="40" w:type="dxa"/>
              <w:left w:w="20" w:type="dxa"/>
              <w:bottom w:w="40" w:type="dxa"/>
              <w:right w:w="0" w:type="dxa"/>
            </w:tcMar>
            <w:vAlign w:val="bottom"/>
          </w:tcPr>
          <w:p w14:paraId="00BB0A7D" w14:textId="77777777" w:rsidR="00871BDF" w:rsidRDefault="005C5088">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0BB0A7E" w14:textId="77777777" w:rsidR="00871BDF" w:rsidRDefault="005C5088">
            <w:pPr>
              <w:jc w:val="right"/>
              <w:textAlignment w:val="bottom"/>
            </w:pPr>
            <w:r>
              <w:rPr>
                <w:rFonts w:ascii="Times New Roman" w:eastAsia="宋体" w:hAnsi="Times New Roman"/>
                <w:color w:val="000000"/>
                <w:sz w:val="20"/>
                <w:szCs w:val="20"/>
              </w:rPr>
              <w:t>26,508.6 </w:t>
            </w:r>
          </w:p>
        </w:tc>
        <w:tc>
          <w:tcPr>
            <w:tcW w:w="0" w:type="auto"/>
            <w:shd w:val="clear" w:color="auto" w:fill="D7E4BC"/>
            <w:tcMar>
              <w:top w:w="40" w:type="dxa"/>
              <w:left w:w="0" w:type="dxa"/>
              <w:bottom w:w="40" w:type="dxa"/>
              <w:right w:w="20" w:type="dxa"/>
            </w:tcMar>
            <w:vAlign w:val="bottom"/>
          </w:tcPr>
          <w:p w14:paraId="00BB0A7F" w14:textId="77777777" w:rsidR="00871BDF" w:rsidRDefault="00871BDF">
            <w:pPr>
              <w:jc w:val="right"/>
              <w:rPr>
                <w:rFonts w:ascii="宋体"/>
              </w:rPr>
            </w:pPr>
          </w:p>
        </w:tc>
      </w:tr>
      <w:tr w:rsidR="00871BDF" w14:paraId="00BB0A90" w14:textId="77777777">
        <w:tc>
          <w:tcPr>
            <w:tcW w:w="0" w:type="auto"/>
            <w:gridSpan w:val="3"/>
            <w:shd w:val="clear" w:color="auto" w:fill="FFFFFF"/>
            <w:tcMar>
              <w:top w:w="40" w:type="dxa"/>
              <w:left w:w="20" w:type="dxa"/>
              <w:bottom w:w="40" w:type="dxa"/>
              <w:right w:w="20" w:type="dxa"/>
            </w:tcMar>
            <w:vAlign w:val="center"/>
          </w:tcPr>
          <w:p w14:paraId="00BB0A81" w14:textId="77777777" w:rsidR="00871BDF" w:rsidRDefault="005C5088">
            <w:pPr>
              <w:textAlignment w:val="center"/>
            </w:pPr>
            <w:r>
              <w:rPr>
                <w:rFonts w:ascii="Times New Roman" w:eastAsia="宋体" w:hAnsi="Times New Roman"/>
                <w:color w:val="000000"/>
                <w:sz w:val="20"/>
                <w:szCs w:val="20"/>
              </w:rPr>
              <w:t>Operating income</w:t>
            </w:r>
          </w:p>
        </w:tc>
        <w:tc>
          <w:tcPr>
            <w:tcW w:w="0" w:type="auto"/>
            <w:gridSpan w:val="2"/>
            <w:shd w:val="clear" w:color="auto" w:fill="FFFFFF"/>
            <w:tcMar>
              <w:top w:w="40" w:type="dxa"/>
              <w:left w:w="20" w:type="dxa"/>
              <w:bottom w:w="40" w:type="dxa"/>
              <w:right w:w="0" w:type="dxa"/>
            </w:tcMar>
            <w:vAlign w:val="bottom"/>
          </w:tcPr>
          <w:p w14:paraId="00BB0A82" w14:textId="77777777" w:rsidR="00871BDF" w:rsidRDefault="005C5088">
            <w:pPr>
              <w:jc w:val="right"/>
              <w:textAlignment w:val="bottom"/>
            </w:pPr>
            <w:r>
              <w:rPr>
                <w:rFonts w:ascii="Times New Roman" w:eastAsia="宋体" w:hAnsi="Times New Roman"/>
                <w:color w:val="000000"/>
                <w:sz w:val="20"/>
                <w:szCs w:val="20"/>
              </w:rPr>
              <w:t>1,015.7 </w:t>
            </w:r>
          </w:p>
        </w:tc>
        <w:tc>
          <w:tcPr>
            <w:tcW w:w="0" w:type="auto"/>
            <w:shd w:val="clear" w:color="auto" w:fill="FFFFFF"/>
            <w:tcMar>
              <w:top w:w="40" w:type="dxa"/>
              <w:left w:w="0" w:type="dxa"/>
              <w:bottom w:w="40" w:type="dxa"/>
              <w:right w:w="20" w:type="dxa"/>
            </w:tcMar>
            <w:vAlign w:val="bottom"/>
          </w:tcPr>
          <w:p w14:paraId="00BB0A8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8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A85" w14:textId="77777777" w:rsidR="00871BDF" w:rsidRDefault="005C5088">
            <w:pPr>
              <w:jc w:val="right"/>
              <w:textAlignment w:val="bottom"/>
            </w:pPr>
            <w:r>
              <w:rPr>
                <w:rFonts w:ascii="Times New Roman" w:eastAsia="宋体" w:hAnsi="Times New Roman"/>
                <w:color w:val="000000"/>
                <w:sz w:val="20"/>
                <w:szCs w:val="20"/>
              </w:rPr>
              <w:t>857.7 </w:t>
            </w:r>
          </w:p>
        </w:tc>
        <w:tc>
          <w:tcPr>
            <w:tcW w:w="0" w:type="auto"/>
            <w:shd w:val="clear" w:color="auto" w:fill="FFFFFF"/>
            <w:tcMar>
              <w:top w:w="40" w:type="dxa"/>
              <w:left w:w="0" w:type="dxa"/>
              <w:bottom w:w="40" w:type="dxa"/>
              <w:right w:w="20" w:type="dxa"/>
            </w:tcMar>
            <w:vAlign w:val="bottom"/>
          </w:tcPr>
          <w:p w14:paraId="00BB0A8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8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A88" w14:textId="77777777" w:rsidR="00871BDF" w:rsidRDefault="005C5088">
            <w:pPr>
              <w:jc w:val="right"/>
              <w:textAlignment w:val="bottom"/>
            </w:pPr>
            <w:r>
              <w:rPr>
                <w:rFonts w:ascii="Times New Roman" w:eastAsia="宋体" w:hAnsi="Times New Roman"/>
                <w:color w:val="000000"/>
                <w:sz w:val="20"/>
                <w:szCs w:val="20"/>
              </w:rPr>
              <w:t>1,121.3 </w:t>
            </w:r>
          </w:p>
        </w:tc>
        <w:tc>
          <w:tcPr>
            <w:tcW w:w="0" w:type="auto"/>
            <w:shd w:val="clear" w:color="auto" w:fill="FFFFFF"/>
            <w:tcMar>
              <w:top w:w="40" w:type="dxa"/>
              <w:left w:w="0" w:type="dxa"/>
              <w:bottom w:w="40" w:type="dxa"/>
              <w:right w:w="20" w:type="dxa"/>
            </w:tcMar>
            <w:vAlign w:val="bottom"/>
          </w:tcPr>
          <w:p w14:paraId="00BB0A8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8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A8B" w14:textId="77777777" w:rsidR="00871BDF" w:rsidRDefault="005C5088">
            <w:pPr>
              <w:jc w:val="right"/>
              <w:textAlignment w:val="bottom"/>
            </w:pPr>
            <w:r>
              <w:rPr>
                <w:rFonts w:ascii="Times New Roman" w:eastAsia="宋体" w:hAnsi="Times New Roman"/>
                <w:color w:val="000000"/>
                <w:sz w:val="20"/>
                <w:szCs w:val="20"/>
              </w:rPr>
              <w:t>1,083.3 </w:t>
            </w:r>
          </w:p>
        </w:tc>
        <w:tc>
          <w:tcPr>
            <w:tcW w:w="0" w:type="auto"/>
            <w:shd w:val="clear" w:color="auto" w:fill="FFFFFF"/>
            <w:tcMar>
              <w:top w:w="40" w:type="dxa"/>
              <w:left w:w="0" w:type="dxa"/>
              <w:bottom w:w="40" w:type="dxa"/>
              <w:right w:w="20" w:type="dxa"/>
            </w:tcMar>
            <w:vAlign w:val="bottom"/>
          </w:tcPr>
          <w:p w14:paraId="00BB0A8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8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A8E" w14:textId="77777777" w:rsidR="00871BDF" w:rsidRDefault="005C5088">
            <w:pPr>
              <w:jc w:val="right"/>
              <w:textAlignment w:val="bottom"/>
            </w:pPr>
            <w:r>
              <w:rPr>
                <w:rFonts w:ascii="Times New Roman" w:eastAsia="宋体" w:hAnsi="Times New Roman"/>
                <w:color w:val="000000"/>
                <w:sz w:val="20"/>
                <w:szCs w:val="20"/>
              </w:rPr>
              <w:t>4,077.9 </w:t>
            </w:r>
          </w:p>
        </w:tc>
        <w:tc>
          <w:tcPr>
            <w:tcW w:w="0" w:type="auto"/>
            <w:shd w:val="clear" w:color="auto" w:fill="FFFFFF"/>
            <w:tcMar>
              <w:top w:w="40" w:type="dxa"/>
              <w:left w:w="0" w:type="dxa"/>
              <w:bottom w:w="40" w:type="dxa"/>
              <w:right w:w="20" w:type="dxa"/>
            </w:tcMar>
            <w:vAlign w:val="bottom"/>
          </w:tcPr>
          <w:p w14:paraId="00BB0A8F" w14:textId="77777777" w:rsidR="00871BDF" w:rsidRDefault="00871BDF">
            <w:pPr>
              <w:jc w:val="right"/>
              <w:rPr>
                <w:rFonts w:ascii="宋体"/>
              </w:rPr>
            </w:pPr>
          </w:p>
        </w:tc>
      </w:tr>
      <w:tr w:rsidR="00871BDF" w14:paraId="00BB0AA0" w14:textId="77777777">
        <w:tc>
          <w:tcPr>
            <w:tcW w:w="0" w:type="auto"/>
            <w:gridSpan w:val="3"/>
            <w:shd w:val="clear" w:color="auto" w:fill="D7E4BC"/>
            <w:tcMar>
              <w:top w:w="40" w:type="dxa"/>
              <w:left w:w="20" w:type="dxa"/>
              <w:bottom w:w="40" w:type="dxa"/>
              <w:right w:w="20" w:type="dxa"/>
            </w:tcMar>
            <w:vAlign w:val="center"/>
          </w:tcPr>
          <w:p w14:paraId="00BB0A91" w14:textId="77777777" w:rsidR="00871BDF" w:rsidRDefault="005C5088">
            <w:pPr>
              <w:textAlignment w:val="center"/>
            </w:pPr>
            <w:r>
              <w:rPr>
                <w:rFonts w:ascii="Times New Roman" w:eastAsia="宋体" w:hAnsi="Times New Roman"/>
                <w:color w:val="000000"/>
                <w:sz w:val="20"/>
                <w:szCs w:val="20"/>
              </w:rPr>
              <w:t>Net earnings attributable to Starbucks</w:t>
            </w:r>
          </w:p>
        </w:tc>
        <w:tc>
          <w:tcPr>
            <w:tcW w:w="0" w:type="auto"/>
            <w:gridSpan w:val="2"/>
            <w:shd w:val="clear" w:color="auto" w:fill="D7E4BC"/>
            <w:tcMar>
              <w:top w:w="40" w:type="dxa"/>
              <w:left w:w="20" w:type="dxa"/>
              <w:bottom w:w="40" w:type="dxa"/>
              <w:right w:w="0" w:type="dxa"/>
            </w:tcMar>
            <w:vAlign w:val="bottom"/>
          </w:tcPr>
          <w:p w14:paraId="00BB0A92" w14:textId="77777777" w:rsidR="00871BDF" w:rsidRDefault="005C5088">
            <w:pPr>
              <w:jc w:val="right"/>
              <w:textAlignment w:val="bottom"/>
            </w:pPr>
            <w:r>
              <w:rPr>
                <w:rFonts w:ascii="Times New Roman" w:eastAsia="宋体" w:hAnsi="Times New Roman"/>
                <w:color w:val="000000"/>
                <w:sz w:val="20"/>
                <w:szCs w:val="20"/>
              </w:rPr>
              <w:t>760.6 </w:t>
            </w:r>
          </w:p>
        </w:tc>
        <w:tc>
          <w:tcPr>
            <w:tcW w:w="0" w:type="auto"/>
            <w:shd w:val="clear" w:color="auto" w:fill="D7E4BC"/>
            <w:tcMar>
              <w:top w:w="40" w:type="dxa"/>
              <w:left w:w="0" w:type="dxa"/>
              <w:bottom w:w="40" w:type="dxa"/>
              <w:right w:w="20" w:type="dxa"/>
            </w:tcMar>
            <w:vAlign w:val="bottom"/>
          </w:tcPr>
          <w:p w14:paraId="00BB0A93"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94"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A95" w14:textId="77777777" w:rsidR="00871BDF" w:rsidRDefault="005C5088">
            <w:pPr>
              <w:jc w:val="right"/>
              <w:textAlignment w:val="bottom"/>
            </w:pPr>
            <w:r>
              <w:rPr>
                <w:rFonts w:ascii="Times New Roman" w:eastAsia="宋体" w:hAnsi="Times New Roman"/>
                <w:color w:val="000000"/>
                <w:sz w:val="20"/>
                <w:szCs w:val="20"/>
              </w:rPr>
              <w:t>663.2 </w:t>
            </w:r>
          </w:p>
        </w:tc>
        <w:tc>
          <w:tcPr>
            <w:tcW w:w="0" w:type="auto"/>
            <w:shd w:val="clear" w:color="auto" w:fill="D7E4BC"/>
            <w:tcMar>
              <w:top w:w="40" w:type="dxa"/>
              <w:left w:w="0" w:type="dxa"/>
              <w:bottom w:w="40" w:type="dxa"/>
              <w:right w:w="20" w:type="dxa"/>
            </w:tcMar>
            <w:vAlign w:val="bottom"/>
          </w:tcPr>
          <w:p w14:paraId="00BB0A96"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97"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A98" w14:textId="77777777" w:rsidR="00871BDF" w:rsidRDefault="005C5088">
            <w:pPr>
              <w:jc w:val="right"/>
              <w:textAlignment w:val="bottom"/>
            </w:pPr>
            <w:r>
              <w:rPr>
                <w:rFonts w:ascii="Times New Roman" w:eastAsia="宋体" w:hAnsi="Times New Roman"/>
                <w:color w:val="000000"/>
                <w:sz w:val="20"/>
                <w:szCs w:val="20"/>
              </w:rPr>
              <w:t>1,372.8 </w:t>
            </w:r>
          </w:p>
        </w:tc>
        <w:tc>
          <w:tcPr>
            <w:tcW w:w="0" w:type="auto"/>
            <w:shd w:val="clear" w:color="auto" w:fill="D7E4BC"/>
            <w:tcMar>
              <w:top w:w="40" w:type="dxa"/>
              <w:left w:w="0" w:type="dxa"/>
              <w:bottom w:w="40" w:type="dxa"/>
              <w:right w:w="20" w:type="dxa"/>
            </w:tcMar>
            <w:vAlign w:val="bottom"/>
          </w:tcPr>
          <w:p w14:paraId="00BB0A99"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9A"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A9B" w14:textId="77777777" w:rsidR="00871BDF" w:rsidRDefault="005C5088">
            <w:pPr>
              <w:jc w:val="right"/>
              <w:textAlignment w:val="bottom"/>
            </w:pPr>
            <w:r>
              <w:rPr>
                <w:rFonts w:ascii="Times New Roman" w:eastAsia="宋体" w:hAnsi="Times New Roman"/>
                <w:color w:val="000000"/>
                <w:sz w:val="20"/>
                <w:szCs w:val="20"/>
              </w:rPr>
              <w:t>802.9 </w:t>
            </w:r>
          </w:p>
        </w:tc>
        <w:tc>
          <w:tcPr>
            <w:tcW w:w="0" w:type="auto"/>
            <w:shd w:val="clear" w:color="auto" w:fill="D7E4BC"/>
            <w:tcMar>
              <w:top w:w="40" w:type="dxa"/>
              <w:left w:w="0" w:type="dxa"/>
              <w:bottom w:w="40" w:type="dxa"/>
              <w:right w:w="20" w:type="dxa"/>
            </w:tcMar>
            <w:vAlign w:val="bottom"/>
          </w:tcPr>
          <w:p w14:paraId="00BB0A9C" w14:textId="77777777" w:rsidR="00871BDF" w:rsidRDefault="00871BDF">
            <w:pPr>
              <w:jc w:val="right"/>
              <w:rPr>
                <w:rFonts w:ascii="宋体"/>
              </w:rPr>
            </w:pPr>
          </w:p>
        </w:tc>
        <w:tc>
          <w:tcPr>
            <w:tcW w:w="0" w:type="auto"/>
            <w:gridSpan w:val="3"/>
            <w:shd w:val="clear" w:color="auto" w:fill="D7E4BC"/>
            <w:tcMar>
              <w:top w:w="0" w:type="dxa"/>
              <w:left w:w="20" w:type="dxa"/>
              <w:bottom w:w="0" w:type="dxa"/>
              <w:right w:w="20" w:type="dxa"/>
            </w:tcMar>
          </w:tcPr>
          <w:p w14:paraId="00BB0A9D" w14:textId="77777777" w:rsidR="00871BDF" w:rsidRDefault="00871BDF">
            <w:pPr>
              <w:rPr>
                <w:rFonts w:ascii="宋体"/>
              </w:rPr>
            </w:pPr>
          </w:p>
        </w:tc>
        <w:tc>
          <w:tcPr>
            <w:tcW w:w="0" w:type="auto"/>
            <w:gridSpan w:val="2"/>
            <w:shd w:val="clear" w:color="auto" w:fill="D7E4BC"/>
            <w:tcMar>
              <w:top w:w="40" w:type="dxa"/>
              <w:left w:w="20" w:type="dxa"/>
              <w:bottom w:w="40" w:type="dxa"/>
              <w:right w:w="0" w:type="dxa"/>
            </w:tcMar>
            <w:vAlign w:val="bottom"/>
          </w:tcPr>
          <w:p w14:paraId="00BB0A9E" w14:textId="77777777" w:rsidR="00871BDF" w:rsidRDefault="005C5088">
            <w:pPr>
              <w:jc w:val="right"/>
              <w:textAlignment w:val="bottom"/>
            </w:pPr>
            <w:r>
              <w:rPr>
                <w:rFonts w:ascii="Times New Roman" w:eastAsia="宋体" w:hAnsi="Times New Roman"/>
                <w:color w:val="000000"/>
                <w:sz w:val="20"/>
                <w:szCs w:val="20"/>
              </w:rPr>
              <w:t>3,599.2 </w:t>
            </w:r>
          </w:p>
        </w:tc>
        <w:tc>
          <w:tcPr>
            <w:tcW w:w="0" w:type="auto"/>
            <w:shd w:val="clear" w:color="auto" w:fill="D7E4BC"/>
            <w:tcMar>
              <w:top w:w="40" w:type="dxa"/>
              <w:left w:w="0" w:type="dxa"/>
              <w:bottom w:w="40" w:type="dxa"/>
              <w:right w:w="20" w:type="dxa"/>
            </w:tcMar>
            <w:vAlign w:val="bottom"/>
          </w:tcPr>
          <w:p w14:paraId="00BB0A9F" w14:textId="77777777" w:rsidR="00871BDF" w:rsidRDefault="00871BDF">
            <w:pPr>
              <w:jc w:val="right"/>
              <w:rPr>
                <w:rFonts w:ascii="宋体"/>
              </w:rPr>
            </w:pPr>
          </w:p>
        </w:tc>
      </w:tr>
      <w:tr w:rsidR="00871BDF" w14:paraId="00BB0AB0" w14:textId="77777777">
        <w:tc>
          <w:tcPr>
            <w:tcW w:w="0" w:type="auto"/>
            <w:gridSpan w:val="3"/>
            <w:shd w:val="clear" w:color="auto" w:fill="FFFFFF"/>
            <w:tcMar>
              <w:top w:w="40" w:type="dxa"/>
              <w:left w:w="20" w:type="dxa"/>
              <w:bottom w:w="40" w:type="dxa"/>
              <w:right w:w="20" w:type="dxa"/>
            </w:tcMar>
            <w:vAlign w:val="center"/>
          </w:tcPr>
          <w:p w14:paraId="00BB0AA1" w14:textId="77777777" w:rsidR="00871BDF" w:rsidRDefault="005C5088">
            <w:pPr>
              <w:textAlignment w:val="center"/>
            </w:pPr>
            <w:r>
              <w:rPr>
                <w:rFonts w:ascii="Times New Roman" w:eastAsia="宋体" w:hAnsi="Times New Roman"/>
                <w:color w:val="000000"/>
                <w:sz w:val="20"/>
                <w:szCs w:val="20"/>
              </w:rPr>
              <w:t>Earnings per share — diluted</w:t>
            </w:r>
          </w:p>
        </w:tc>
        <w:tc>
          <w:tcPr>
            <w:tcW w:w="0" w:type="auto"/>
            <w:gridSpan w:val="2"/>
            <w:shd w:val="clear" w:color="auto" w:fill="FFFFFF"/>
            <w:tcMar>
              <w:top w:w="40" w:type="dxa"/>
              <w:left w:w="20" w:type="dxa"/>
              <w:bottom w:w="40" w:type="dxa"/>
              <w:right w:w="0" w:type="dxa"/>
            </w:tcMar>
            <w:vAlign w:val="bottom"/>
          </w:tcPr>
          <w:p w14:paraId="00BB0AA2" w14:textId="77777777" w:rsidR="00871BDF" w:rsidRDefault="005C5088">
            <w:pPr>
              <w:jc w:val="right"/>
              <w:textAlignment w:val="bottom"/>
            </w:pPr>
            <w:r>
              <w:rPr>
                <w:rFonts w:ascii="Times New Roman" w:eastAsia="宋体" w:hAnsi="Times New Roman"/>
                <w:color w:val="000000"/>
                <w:sz w:val="20"/>
                <w:szCs w:val="20"/>
              </w:rPr>
              <w:t>0.61 </w:t>
            </w:r>
          </w:p>
        </w:tc>
        <w:tc>
          <w:tcPr>
            <w:tcW w:w="0" w:type="auto"/>
            <w:shd w:val="clear" w:color="auto" w:fill="FFFFFF"/>
            <w:tcMar>
              <w:top w:w="40" w:type="dxa"/>
              <w:left w:w="0" w:type="dxa"/>
              <w:bottom w:w="40" w:type="dxa"/>
              <w:right w:w="20" w:type="dxa"/>
            </w:tcMar>
            <w:vAlign w:val="bottom"/>
          </w:tcPr>
          <w:p w14:paraId="00BB0AA3"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A4"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AA5" w14:textId="77777777" w:rsidR="00871BDF" w:rsidRDefault="005C5088">
            <w:pPr>
              <w:jc w:val="right"/>
              <w:textAlignment w:val="bottom"/>
            </w:pPr>
            <w:r>
              <w:rPr>
                <w:rFonts w:ascii="Times New Roman" w:eastAsia="宋体" w:hAnsi="Times New Roman"/>
                <w:color w:val="000000"/>
                <w:sz w:val="20"/>
                <w:szCs w:val="20"/>
              </w:rPr>
              <w:t>0.53 </w:t>
            </w:r>
          </w:p>
        </w:tc>
        <w:tc>
          <w:tcPr>
            <w:tcW w:w="0" w:type="auto"/>
            <w:shd w:val="clear" w:color="auto" w:fill="FFFFFF"/>
            <w:tcMar>
              <w:top w:w="40" w:type="dxa"/>
              <w:left w:w="0" w:type="dxa"/>
              <w:bottom w:w="40" w:type="dxa"/>
              <w:right w:w="20" w:type="dxa"/>
            </w:tcMar>
            <w:vAlign w:val="bottom"/>
          </w:tcPr>
          <w:p w14:paraId="00BB0AA6"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A7"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AA8" w14:textId="77777777" w:rsidR="00871BDF" w:rsidRDefault="005C5088">
            <w:pPr>
              <w:jc w:val="right"/>
              <w:textAlignment w:val="bottom"/>
            </w:pPr>
            <w:r>
              <w:rPr>
                <w:rFonts w:ascii="Times New Roman" w:eastAsia="宋体" w:hAnsi="Times New Roman"/>
                <w:color w:val="000000"/>
                <w:sz w:val="20"/>
                <w:szCs w:val="20"/>
              </w:rPr>
              <w:t>1.12 </w:t>
            </w:r>
          </w:p>
        </w:tc>
        <w:tc>
          <w:tcPr>
            <w:tcW w:w="0" w:type="auto"/>
            <w:shd w:val="clear" w:color="auto" w:fill="FFFFFF"/>
            <w:tcMar>
              <w:top w:w="40" w:type="dxa"/>
              <w:left w:w="0" w:type="dxa"/>
              <w:bottom w:w="40" w:type="dxa"/>
              <w:right w:w="20" w:type="dxa"/>
            </w:tcMar>
            <w:vAlign w:val="bottom"/>
          </w:tcPr>
          <w:p w14:paraId="00BB0AA9"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AA"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AAB" w14:textId="77777777" w:rsidR="00871BDF" w:rsidRDefault="005C5088">
            <w:pPr>
              <w:jc w:val="right"/>
              <w:textAlignment w:val="bottom"/>
            </w:pPr>
            <w:r>
              <w:rPr>
                <w:rFonts w:ascii="Times New Roman" w:eastAsia="宋体" w:hAnsi="Times New Roman"/>
                <w:color w:val="000000"/>
                <w:sz w:val="20"/>
                <w:szCs w:val="20"/>
              </w:rPr>
              <w:t>0.67 </w:t>
            </w:r>
          </w:p>
        </w:tc>
        <w:tc>
          <w:tcPr>
            <w:tcW w:w="0" w:type="auto"/>
            <w:shd w:val="clear" w:color="auto" w:fill="FFFFFF"/>
            <w:tcMar>
              <w:top w:w="40" w:type="dxa"/>
              <w:left w:w="0" w:type="dxa"/>
              <w:bottom w:w="40" w:type="dxa"/>
              <w:right w:w="20" w:type="dxa"/>
            </w:tcMar>
            <w:vAlign w:val="bottom"/>
          </w:tcPr>
          <w:p w14:paraId="00BB0AAC" w14:textId="77777777" w:rsidR="00871BDF" w:rsidRDefault="00871BDF">
            <w:pPr>
              <w:jc w:val="right"/>
              <w:rPr>
                <w:rFonts w:ascii="宋体"/>
              </w:rPr>
            </w:pPr>
          </w:p>
        </w:tc>
        <w:tc>
          <w:tcPr>
            <w:tcW w:w="0" w:type="auto"/>
            <w:gridSpan w:val="3"/>
            <w:shd w:val="clear" w:color="auto" w:fill="FFFFFF"/>
            <w:tcMar>
              <w:top w:w="0" w:type="dxa"/>
              <w:left w:w="20" w:type="dxa"/>
              <w:bottom w:w="0" w:type="dxa"/>
              <w:right w:w="20" w:type="dxa"/>
            </w:tcMar>
          </w:tcPr>
          <w:p w14:paraId="00BB0AAD" w14:textId="77777777" w:rsidR="00871BDF" w:rsidRDefault="00871BDF">
            <w:pPr>
              <w:rPr>
                <w:rFonts w:ascii="宋体"/>
              </w:rPr>
            </w:pPr>
          </w:p>
        </w:tc>
        <w:tc>
          <w:tcPr>
            <w:tcW w:w="0" w:type="auto"/>
            <w:gridSpan w:val="2"/>
            <w:shd w:val="clear" w:color="auto" w:fill="FFFFFF"/>
            <w:tcMar>
              <w:top w:w="40" w:type="dxa"/>
              <w:left w:w="20" w:type="dxa"/>
              <w:bottom w:w="40" w:type="dxa"/>
              <w:right w:w="0" w:type="dxa"/>
            </w:tcMar>
            <w:vAlign w:val="bottom"/>
          </w:tcPr>
          <w:p w14:paraId="00BB0AAE" w14:textId="77777777" w:rsidR="00871BDF" w:rsidRDefault="005C5088">
            <w:pPr>
              <w:jc w:val="right"/>
              <w:textAlignment w:val="bottom"/>
            </w:pPr>
            <w:r>
              <w:rPr>
                <w:rFonts w:ascii="Times New Roman" w:eastAsia="宋体" w:hAnsi="Times New Roman"/>
                <w:color w:val="000000"/>
                <w:sz w:val="20"/>
                <w:szCs w:val="20"/>
              </w:rPr>
              <w:t>2.92 </w:t>
            </w:r>
          </w:p>
        </w:tc>
        <w:tc>
          <w:tcPr>
            <w:tcW w:w="0" w:type="auto"/>
            <w:shd w:val="clear" w:color="auto" w:fill="FFFFFF"/>
            <w:tcMar>
              <w:top w:w="40" w:type="dxa"/>
              <w:left w:w="0" w:type="dxa"/>
              <w:bottom w:w="40" w:type="dxa"/>
              <w:right w:w="20" w:type="dxa"/>
            </w:tcMar>
            <w:vAlign w:val="bottom"/>
          </w:tcPr>
          <w:p w14:paraId="00BB0AAF" w14:textId="77777777" w:rsidR="00871BDF" w:rsidRDefault="00871BDF">
            <w:pPr>
              <w:jc w:val="right"/>
              <w:rPr>
                <w:rFonts w:ascii="宋体"/>
              </w:rPr>
            </w:pPr>
          </w:p>
        </w:tc>
      </w:tr>
    </w:tbl>
    <w:p w14:paraId="00BB0AB1" w14:textId="77777777" w:rsidR="00871BDF" w:rsidRDefault="00871BDF">
      <w:pPr>
        <w:spacing w:before="120"/>
      </w:pPr>
    </w:p>
    <w:p w14:paraId="00BB0AB2" w14:textId="77777777" w:rsidR="00871BDF" w:rsidRDefault="005C5088">
      <w:pPr>
        <w:jc w:val="center"/>
      </w:pPr>
      <w:r>
        <w:rPr>
          <w:rFonts w:ascii="Times New Roman" w:eastAsia="宋体" w:hAnsi="Times New Roman"/>
          <w:color w:val="000000"/>
          <w:sz w:val="20"/>
          <w:szCs w:val="20"/>
        </w:rPr>
        <w:t>88</w:t>
      </w:r>
    </w:p>
    <w:p w14:paraId="00BB0AB3" w14:textId="77777777" w:rsidR="00871BDF" w:rsidRDefault="005C5088">
      <w:r>
        <w:pict w14:anchorId="00BB14BD">
          <v:rect id="_x0000_i1115" style="width:415.3pt;height:1.5pt" o:hralign="center" o:hrstd="t" o:hr="t" fillcolor="#a0a0a0" stroked="f"/>
        </w:pict>
      </w:r>
    </w:p>
    <w:p w14:paraId="00BB0AB4" w14:textId="77777777" w:rsidR="00871BDF" w:rsidRDefault="005C5088">
      <w:hyperlink r:id="rId232" w:anchor="i54ccc64cb5384be5a4849ef1cdef4dde_7" w:history="1">
        <w:r>
          <w:rPr>
            <w:rStyle w:val="a5"/>
            <w:rFonts w:ascii="Times New Roman" w:eastAsia="宋体" w:hAnsi="Times New Roman"/>
            <w:sz w:val="20"/>
            <w:szCs w:val="20"/>
          </w:rPr>
          <w:t>Table of Contents</w:t>
        </w:r>
      </w:hyperlink>
    </w:p>
    <w:p w14:paraId="00BB0AB5" w14:textId="77777777" w:rsidR="00871BDF" w:rsidRDefault="005C5088">
      <w:pPr>
        <w:spacing w:before="120"/>
      </w:pPr>
      <w:r>
        <w:rPr>
          <w:rFonts w:ascii="Times New Roman" w:eastAsia="宋体" w:hAnsi="Times New Roman"/>
          <w:b/>
          <w:bCs/>
          <w:color w:val="000000"/>
          <w:sz w:val="20"/>
          <w:szCs w:val="20"/>
        </w:rPr>
        <w:t xml:space="preserve">REPORT OF INDEPENDENT REGISTERED PUBLIC ACCOUNTING FIRM </w:t>
      </w:r>
    </w:p>
    <w:p w14:paraId="00BB0AB6" w14:textId="77777777" w:rsidR="00871BDF" w:rsidRDefault="005C5088">
      <w:pPr>
        <w:spacing w:before="120"/>
      </w:pPr>
      <w:r>
        <w:rPr>
          <w:rFonts w:ascii="Times New Roman" w:eastAsia="宋体" w:hAnsi="Times New Roman"/>
          <w:color w:val="000000"/>
          <w:sz w:val="20"/>
          <w:szCs w:val="20"/>
        </w:rPr>
        <w:t>To the shareholders and the Board of Directors of Starbucks Corporation</w:t>
      </w:r>
    </w:p>
    <w:p w14:paraId="00BB0AB7" w14:textId="77777777" w:rsidR="00871BDF" w:rsidRDefault="005C5088">
      <w:pPr>
        <w:spacing w:before="120"/>
      </w:pPr>
      <w:r>
        <w:rPr>
          <w:rFonts w:ascii="Times New Roman" w:eastAsia="宋体" w:hAnsi="Times New Roman"/>
          <w:b/>
          <w:bCs/>
          <w:color w:val="000000"/>
          <w:sz w:val="20"/>
          <w:szCs w:val="20"/>
        </w:rPr>
        <w:t>Opinion on the Financial Statements</w:t>
      </w:r>
    </w:p>
    <w:p w14:paraId="00BB0AB8" w14:textId="77777777" w:rsidR="00871BDF" w:rsidRDefault="005C5088">
      <w:pPr>
        <w:spacing w:before="120"/>
      </w:pPr>
      <w:r>
        <w:rPr>
          <w:rFonts w:ascii="Times New Roman" w:eastAsia="宋体" w:hAnsi="Times New Roman"/>
          <w:color w:val="000000"/>
          <w:sz w:val="20"/>
          <w:szCs w:val="20"/>
        </w:rPr>
        <w:t>We have audited the accompanying consolidated balance sheets of Starbucks Corporation and s</w:t>
      </w:r>
      <w:r>
        <w:rPr>
          <w:rFonts w:ascii="Times New Roman" w:eastAsia="宋体" w:hAnsi="Times New Roman"/>
          <w:color w:val="000000"/>
          <w:sz w:val="20"/>
          <w:szCs w:val="20"/>
        </w:rPr>
        <w:t xml:space="preserve">ubsidiaries (the “Company”) as of September 27, 2020 and September 29, 2019, the related consolidated statements of earnings, comprehensive income, equity, and cash flows, for each of the three years in the period ended September 27, 2020, and the related </w:t>
      </w:r>
      <w:r>
        <w:rPr>
          <w:rFonts w:ascii="Times New Roman" w:eastAsia="宋体" w:hAnsi="Times New Roman"/>
          <w:color w:val="000000"/>
          <w:sz w:val="20"/>
          <w:szCs w:val="20"/>
        </w:rPr>
        <w:t>notes (collectively referred to as the “financial statements”). In our opinion, the financial statements present fairly, in all material respects, the financial position of the Company as of September 27, 2020 and September 29, 2019, and the results of its</w:t>
      </w:r>
      <w:r>
        <w:rPr>
          <w:rFonts w:ascii="Times New Roman" w:eastAsia="宋体" w:hAnsi="Times New Roman"/>
          <w:color w:val="000000"/>
          <w:sz w:val="20"/>
          <w:szCs w:val="20"/>
        </w:rPr>
        <w:t xml:space="preserve"> operations and its cash flows for each of the three years in the period ended September 27, 2020, in conformity with accounting principles generally accepted in the United States of America.</w:t>
      </w:r>
    </w:p>
    <w:p w14:paraId="00BB0AB9" w14:textId="77777777" w:rsidR="00871BDF" w:rsidRDefault="005C5088">
      <w:pPr>
        <w:spacing w:before="120"/>
      </w:pPr>
      <w:r>
        <w:rPr>
          <w:rFonts w:ascii="Times New Roman" w:eastAsia="宋体" w:hAnsi="Times New Roman"/>
          <w:color w:val="000000"/>
          <w:sz w:val="20"/>
          <w:szCs w:val="20"/>
        </w:rPr>
        <w:t>We have also audited, in accordance with the standards of the Pu</w:t>
      </w:r>
      <w:r>
        <w:rPr>
          <w:rFonts w:ascii="Times New Roman" w:eastAsia="宋体" w:hAnsi="Times New Roman"/>
          <w:color w:val="000000"/>
          <w:sz w:val="20"/>
          <w:szCs w:val="20"/>
        </w:rPr>
        <w:t xml:space="preserve">blic Company Accounting Oversight Board (United States) (PCAOB), the Company's internal control over financial reporting as of September 27, 2020, based on criteria established in </w:t>
      </w:r>
      <w:r>
        <w:rPr>
          <w:rFonts w:ascii="Times New Roman" w:eastAsia="宋体" w:hAnsi="Times New Roman"/>
          <w:i/>
          <w:iCs/>
          <w:color w:val="000000"/>
          <w:sz w:val="20"/>
          <w:szCs w:val="20"/>
        </w:rPr>
        <w:t>Internal Control - Integrated Framework (2013)</w:t>
      </w:r>
      <w:r>
        <w:rPr>
          <w:rFonts w:ascii="Times New Roman" w:eastAsia="宋体" w:hAnsi="Times New Roman"/>
          <w:color w:val="000000"/>
          <w:sz w:val="20"/>
          <w:szCs w:val="20"/>
        </w:rPr>
        <w:t xml:space="preserve"> issued by the Committee of Sp</w:t>
      </w:r>
      <w:r>
        <w:rPr>
          <w:rFonts w:ascii="Times New Roman" w:eastAsia="宋体" w:hAnsi="Times New Roman"/>
          <w:color w:val="000000"/>
          <w:sz w:val="20"/>
          <w:szCs w:val="20"/>
        </w:rPr>
        <w:t>onsoring Organizations of the Treadway Commission and our report dated November 12, 2020, expressed an unqualified opinion on the Company's internal control over financial reporting.</w:t>
      </w:r>
    </w:p>
    <w:p w14:paraId="00BB0ABA" w14:textId="77777777" w:rsidR="00871BDF" w:rsidRDefault="005C5088">
      <w:pPr>
        <w:spacing w:before="120"/>
      </w:pPr>
      <w:r>
        <w:rPr>
          <w:rFonts w:ascii="Times New Roman" w:eastAsia="宋体" w:hAnsi="Times New Roman"/>
          <w:b/>
          <w:bCs/>
          <w:color w:val="000000"/>
          <w:sz w:val="20"/>
          <w:szCs w:val="20"/>
        </w:rPr>
        <w:t>Changes in Accounting Principle</w:t>
      </w:r>
    </w:p>
    <w:p w14:paraId="00BB0ABB" w14:textId="77777777" w:rsidR="00871BDF" w:rsidRDefault="005C5088">
      <w:pPr>
        <w:spacing w:before="120"/>
      </w:pPr>
      <w:r>
        <w:rPr>
          <w:rFonts w:ascii="Times New Roman" w:eastAsia="宋体" w:hAnsi="Times New Roman"/>
          <w:color w:val="000000"/>
          <w:sz w:val="20"/>
          <w:szCs w:val="20"/>
        </w:rPr>
        <w:t>As discussed in Notes 1 and 10 to the fin</w:t>
      </w:r>
      <w:r>
        <w:rPr>
          <w:rFonts w:ascii="Times New Roman" w:eastAsia="宋体" w:hAnsi="Times New Roman"/>
          <w:color w:val="000000"/>
          <w:sz w:val="20"/>
          <w:szCs w:val="20"/>
        </w:rPr>
        <w:t>ancial statements, the Company changed its method of accounting for leases effective September 30, 2019, due to adoption of Financial Accounting Standards Board (FASB) Accounting Standards Codification (ASC) No. 842, Leases. The Company adopted the new lea</w:t>
      </w:r>
      <w:r>
        <w:rPr>
          <w:rFonts w:ascii="Times New Roman" w:eastAsia="宋体" w:hAnsi="Times New Roman"/>
          <w:color w:val="000000"/>
          <w:sz w:val="20"/>
          <w:szCs w:val="20"/>
        </w:rPr>
        <w:t>se standard using the transition method provided in Accounting Standards Updated (ASU) No. 2018-11 such that prior period amounts are not adjusted and continue to be reported in accordance with ASC 840, Leases. The adoption of the new leasing standard is a</w:t>
      </w:r>
      <w:r>
        <w:rPr>
          <w:rFonts w:ascii="Times New Roman" w:eastAsia="宋体" w:hAnsi="Times New Roman"/>
          <w:color w:val="000000"/>
          <w:sz w:val="20"/>
          <w:szCs w:val="20"/>
        </w:rPr>
        <w:t>lso communicated as a critical audit matter below.</w:t>
      </w:r>
    </w:p>
    <w:p w14:paraId="00BB0ABC" w14:textId="77777777" w:rsidR="00871BDF" w:rsidRDefault="005C5088">
      <w:pPr>
        <w:spacing w:before="120"/>
      </w:pPr>
      <w:r>
        <w:rPr>
          <w:rFonts w:ascii="Times New Roman" w:eastAsia="宋体" w:hAnsi="Times New Roman"/>
          <w:b/>
          <w:bCs/>
          <w:color w:val="000000"/>
          <w:sz w:val="20"/>
          <w:szCs w:val="20"/>
        </w:rPr>
        <w:t>Basis for Opinion</w:t>
      </w:r>
    </w:p>
    <w:p w14:paraId="00BB0ABD" w14:textId="77777777" w:rsidR="00871BDF" w:rsidRDefault="005C5088">
      <w:pPr>
        <w:spacing w:before="120"/>
      </w:pPr>
      <w:r>
        <w:rPr>
          <w:rFonts w:ascii="Times New Roman" w:eastAsia="宋体" w:hAnsi="Times New Roman"/>
          <w:color w:val="000000"/>
          <w:sz w:val="20"/>
          <w:szCs w:val="20"/>
        </w:rPr>
        <w:t>These financial statements are the responsibility of the Company's management. Our responsibility is to express an opinion on the Company's financial statements based on our audits. We ar</w:t>
      </w:r>
      <w:r>
        <w:rPr>
          <w:rFonts w:ascii="Times New Roman" w:eastAsia="宋体" w:hAnsi="Times New Roman"/>
          <w:color w:val="000000"/>
          <w:sz w:val="20"/>
          <w:szCs w:val="20"/>
        </w:rPr>
        <w:t>e a public accounting firm registered with the PCAOB and are required to be independent with respect to the Company in accordance with the U.S. federal securities laws and the applicable rules and regulations of the Securities and Exchange Commission and t</w:t>
      </w:r>
      <w:r>
        <w:rPr>
          <w:rFonts w:ascii="Times New Roman" w:eastAsia="宋体" w:hAnsi="Times New Roman"/>
          <w:color w:val="000000"/>
          <w:sz w:val="20"/>
          <w:szCs w:val="20"/>
        </w:rPr>
        <w:t>he PCAOB.</w:t>
      </w:r>
    </w:p>
    <w:p w14:paraId="00BB0ABE" w14:textId="77777777" w:rsidR="00871BDF" w:rsidRDefault="005C5088">
      <w:pPr>
        <w:spacing w:before="120"/>
      </w:pPr>
      <w:r>
        <w:rPr>
          <w:rFonts w:ascii="Times New Roman" w:eastAsia="宋体" w:hAnsi="Times New Roman"/>
          <w:color w:val="000000"/>
          <w:sz w:val="20"/>
          <w:szCs w:val="20"/>
        </w:rPr>
        <w:t>We conducted our audits in accordance with the standards of the PCAOB. Those standards require that we plan and perform the audit to obtain reasonable assurance about whether the financial statements are free of material misstatement, whether due</w:t>
      </w:r>
      <w:r>
        <w:rPr>
          <w:rFonts w:ascii="Times New Roman" w:eastAsia="宋体" w:hAnsi="Times New Roman"/>
          <w:color w:val="000000"/>
          <w:sz w:val="20"/>
          <w:szCs w:val="20"/>
        </w:rPr>
        <w:t xml:space="preserve"> to error or fraud. Our audits included performing procedures to assess the risks of material misstatement of the financial statements, whether due to error or fraud, and performing procedures that respond to those risks. Such procedures included examining</w:t>
      </w:r>
      <w:r>
        <w:rPr>
          <w:rFonts w:ascii="Times New Roman" w:eastAsia="宋体" w:hAnsi="Times New Roman"/>
          <w:color w:val="000000"/>
          <w:sz w:val="20"/>
          <w:szCs w:val="20"/>
        </w:rPr>
        <w:t>, on a test basis, evidence regarding the amounts and disclosures in the financial statements. Our audits also included evaluating the accounting principles used and significant estimates made by management, as well as evaluating the overall presentation o</w:t>
      </w:r>
      <w:r>
        <w:rPr>
          <w:rFonts w:ascii="Times New Roman" w:eastAsia="宋体" w:hAnsi="Times New Roman"/>
          <w:color w:val="000000"/>
          <w:sz w:val="20"/>
          <w:szCs w:val="20"/>
        </w:rPr>
        <w:t>f the financial statements. We believe that our audits provide a reasonable basis for our opinion.</w:t>
      </w:r>
    </w:p>
    <w:p w14:paraId="00BB0ABF" w14:textId="77777777" w:rsidR="00871BDF" w:rsidRDefault="005C5088">
      <w:pPr>
        <w:spacing w:before="120"/>
      </w:pPr>
      <w:r>
        <w:rPr>
          <w:rFonts w:ascii="Times New Roman" w:eastAsia="宋体" w:hAnsi="Times New Roman"/>
          <w:b/>
          <w:bCs/>
          <w:color w:val="000000"/>
          <w:sz w:val="20"/>
          <w:szCs w:val="20"/>
        </w:rPr>
        <w:t>Critical Audit Matter</w:t>
      </w:r>
    </w:p>
    <w:p w14:paraId="00BB0AC0" w14:textId="77777777" w:rsidR="00871BDF" w:rsidRDefault="005C5088">
      <w:pPr>
        <w:spacing w:before="120"/>
      </w:pPr>
      <w:r>
        <w:rPr>
          <w:rFonts w:ascii="Times New Roman" w:eastAsia="宋体" w:hAnsi="Times New Roman"/>
          <w:color w:val="000000"/>
          <w:sz w:val="20"/>
          <w:szCs w:val="20"/>
        </w:rPr>
        <w:t>The critical audit matter communicated below is a matter arising from the current-period audit of the financial statements that was com</w:t>
      </w:r>
      <w:r>
        <w:rPr>
          <w:rFonts w:ascii="Times New Roman" w:eastAsia="宋体" w:hAnsi="Times New Roman"/>
          <w:color w:val="000000"/>
          <w:sz w:val="20"/>
          <w:szCs w:val="20"/>
        </w:rPr>
        <w:t>municated or required to be communicated to the audit committee and that (1) relates to accounts or disclosures that are material to the financial statements and (2) involved our especially challenging, subjective, or complex judgments. The communication o</w:t>
      </w:r>
      <w:r>
        <w:rPr>
          <w:rFonts w:ascii="Times New Roman" w:eastAsia="宋体" w:hAnsi="Times New Roman"/>
          <w:color w:val="000000"/>
          <w:sz w:val="20"/>
          <w:szCs w:val="20"/>
        </w:rPr>
        <w:t xml:space="preserve">f critical audit matters does not alter in any way our opinion on the financial statements, taken as a whole, and we are not, by communicating the critical audit matter below, providing a separate opinion on the critical audit matter or on the accounts or </w:t>
      </w:r>
      <w:r>
        <w:rPr>
          <w:rFonts w:ascii="Times New Roman" w:eastAsia="宋体" w:hAnsi="Times New Roman"/>
          <w:color w:val="000000"/>
          <w:sz w:val="20"/>
          <w:szCs w:val="20"/>
        </w:rPr>
        <w:t>disclosures to which it relates.</w:t>
      </w:r>
    </w:p>
    <w:p w14:paraId="00BB0AC1" w14:textId="77777777" w:rsidR="00871BDF" w:rsidRDefault="005C5088">
      <w:pPr>
        <w:spacing w:before="120"/>
      </w:pPr>
      <w:r>
        <w:rPr>
          <w:rFonts w:ascii="Times New Roman" w:eastAsia="宋体" w:hAnsi="Times New Roman"/>
          <w:b/>
          <w:bCs/>
          <w:i/>
          <w:iCs/>
          <w:color w:val="000000"/>
          <w:sz w:val="20"/>
          <w:szCs w:val="20"/>
        </w:rPr>
        <w:t>Leases — Incremental Borrowing Rate Used in Adoption of ASC 842 - Refer to Notes 1 and 10 to the financial statements</w:t>
      </w:r>
    </w:p>
    <w:p w14:paraId="00BB0AC2" w14:textId="77777777" w:rsidR="00871BDF" w:rsidRDefault="005C5088">
      <w:pPr>
        <w:spacing w:before="120"/>
      </w:pPr>
      <w:r>
        <w:rPr>
          <w:rFonts w:ascii="Times New Roman" w:eastAsia="宋体" w:hAnsi="Times New Roman"/>
          <w:i/>
          <w:iCs/>
          <w:color w:val="000000"/>
          <w:sz w:val="20"/>
          <w:szCs w:val="20"/>
        </w:rPr>
        <w:t>Critical Audit Matter Description</w:t>
      </w:r>
    </w:p>
    <w:p w14:paraId="00BB0AC3" w14:textId="77777777" w:rsidR="00871BDF" w:rsidRDefault="005C5088">
      <w:pPr>
        <w:spacing w:before="120"/>
      </w:pPr>
      <w:r>
        <w:rPr>
          <w:rFonts w:ascii="Times New Roman" w:eastAsia="宋体" w:hAnsi="Times New Roman"/>
          <w:color w:val="000000"/>
          <w:sz w:val="20"/>
          <w:szCs w:val="20"/>
        </w:rPr>
        <w:t xml:space="preserve">The Company adopted the provisions of ASC 842, Leases, as of September </w:t>
      </w:r>
      <w:r>
        <w:rPr>
          <w:rFonts w:ascii="Times New Roman" w:eastAsia="宋体" w:hAnsi="Times New Roman"/>
          <w:color w:val="000000"/>
          <w:sz w:val="20"/>
          <w:szCs w:val="20"/>
        </w:rPr>
        <w:t xml:space="preserve">30, 2019. In doing so, the Company recorded lease liabilities for the present value of its leases of $9.0 billion and corresponding right-of-use (ROU) assets of $8.4 billion. The Company has disclosed the impact of adoption in Note 1 to its 2020 financial </w:t>
      </w:r>
      <w:r>
        <w:rPr>
          <w:rFonts w:ascii="Times New Roman" w:eastAsia="宋体" w:hAnsi="Times New Roman"/>
          <w:color w:val="000000"/>
          <w:sz w:val="20"/>
          <w:szCs w:val="20"/>
        </w:rPr>
        <w:t>statements. In determining the lease liabilities and ROU assets, the Company derived market and term-specific incremental borrowing rates (IBRs) to calculate the present value of its lease payments. The determination of an IBR for each lease, requires mana</w:t>
      </w:r>
      <w:r>
        <w:rPr>
          <w:rFonts w:ascii="Times New Roman" w:eastAsia="宋体" w:hAnsi="Times New Roman"/>
          <w:color w:val="000000"/>
          <w:sz w:val="20"/>
          <w:szCs w:val="20"/>
        </w:rPr>
        <w:t>gement to consider a combination of factors, including its credit-adjusted risk-free interest rate, the risk profile and funding cost of the specific geographic market of the lease, the lease term and the effect of adjusting the rate to reflect considerati</w:t>
      </w:r>
      <w:r>
        <w:rPr>
          <w:rFonts w:ascii="Times New Roman" w:eastAsia="宋体" w:hAnsi="Times New Roman"/>
          <w:color w:val="000000"/>
          <w:sz w:val="20"/>
          <w:szCs w:val="20"/>
        </w:rPr>
        <w:t>on of collateral.</w:t>
      </w:r>
    </w:p>
    <w:p w14:paraId="00BB0AC4" w14:textId="77777777" w:rsidR="00871BDF" w:rsidRDefault="005C5088">
      <w:pPr>
        <w:jc w:val="center"/>
      </w:pPr>
      <w:r>
        <w:rPr>
          <w:rFonts w:ascii="Times New Roman" w:eastAsia="宋体" w:hAnsi="Times New Roman"/>
          <w:color w:val="000000"/>
          <w:sz w:val="20"/>
          <w:szCs w:val="20"/>
        </w:rPr>
        <w:t>89</w:t>
      </w:r>
    </w:p>
    <w:p w14:paraId="00BB0AC5" w14:textId="77777777" w:rsidR="00871BDF" w:rsidRDefault="005C5088">
      <w:r>
        <w:pict w14:anchorId="00BB14BE">
          <v:rect id="_x0000_i1116" style="width:415.3pt;height:1.5pt" o:hralign="center" o:hrstd="t" o:hr="t" fillcolor="#a0a0a0" stroked="f"/>
        </w:pict>
      </w:r>
    </w:p>
    <w:p w14:paraId="00BB0AC6" w14:textId="77777777" w:rsidR="00871BDF" w:rsidRDefault="005C5088">
      <w:hyperlink r:id="rId233" w:anchor="i54ccc64cb5384be5a4849ef1cdef4dde_7" w:history="1">
        <w:r>
          <w:rPr>
            <w:rStyle w:val="a5"/>
            <w:rFonts w:ascii="Times New Roman" w:eastAsia="宋体" w:hAnsi="Times New Roman"/>
            <w:sz w:val="20"/>
            <w:szCs w:val="20"/>
          </w:rPr>
          <w:t>Table of Contents</w:t>
        </w:r>
      </w:hyperlink>
    </w:p>
    <w:p w14:paraId="00BB0AC7" w14:textId="77777777" w:rsidR="00871BDF" w:rsidRDefault="005C5088">
      <w:pPr>
        <w:spacing w:before="120"/>
      </w:pPr>
      <w:r>
        <w:rPr>
          <w:rFonts w:ascii="Times New Roman" w:eastAsia="宋体" w:hAnsi="Times New Roman"/>
          <w:color w:val="000000"/>
          <w:sz w:val="20"/>
          <w:szCs w:val="20"/>
        </w:rPr>
        <w:t xml:space="preserve">Given the company-specific factors and judgments in the </w:t>
      </w:r>
      <w:r>
        <w:rPr>
          <w:rFonts w:ascii="Times New Roman" w:eastAsia="宋体" w:hAnsi="Times New Roman"/>
          <w:color w:val="000000"/>
          <w:sz w:val="20"/>
          <w:szCs w:val="20"/>
        </w:rPr>
        <w:t>model used by management to develop the IBRs for its leases at adoption, the auditing of the IBRs involved a high degree of auditor judgment, including the need to involve our fair value specialists.</w:t>
      </w:r>
    </w:p>
    <w:p w14:paraId="00BB0AC8" w14:textId="77777777" w:rsidR="00871BDF" w:rsidRDefault="005C5088">
      <w:pPr>
        <w:spacing w:before="120"/>
      </w:pPr>
      <w:r>
        <w:rPr>
          <w:rFonts w:ascii="Times New Roman" w:eastAsia="宋体" w:hAnsi="Times New Roman"/>
          <w:i/>
          <w:iCs/>
          <w:color w:val="000000"/>
          <w:sz w:val="20"/>
          <w:szCs w:val="20"/>
        </w:rPr>
        <w:t>How the Critical Audit Matter Was Addressed in the Audit</w:t>
      </w:r>
    </w:p>
    <w:p w14:paraId="00BB0AC9" w14:textId="77777777" w:rsidR="00871BDF" w:rsidRDefault="005C5088">
      <w:pPr>
        <w:spacing w:before="120"/>
      </w:pPr>
      <w:r>
        <w:rPr>
          <w:rFonts w:ascii="Times New Roman" w:eastAsia="宋体" w:hAnsi="Times New Roman"/>
          <w:color w:val="000000"/>
          <w:sz w:val="20"/>
          <w:szCs w:val="20"/>
        </w:rPr>
        <w:t xml:space="preserve">Our audit procedures related to the IBRs used in the adoption of ASC 842, which thereby determined the adoption disclosed in the September 27, 2020 financial statements, included the following, among others: </w:t>
      </w:r>
    </w:p>
    <w:p w14:paraId="00BB0ACA" w14:textId="77777777" w:rsidR="00871BDF" w:rsidRDefault="005C5088">
      <w:pPr>
        <w:spacing w:before="120"/>
        <w:ind w:hanging="180"/>
      </w:pPr>
      <w:r>
        <w:rPr>
          <w:rFonts w:ascii="Times New Roman" w:eastAsia="宋体" w:hAnsi="Times New Roman"/>
          <w:color w:val="000000"/>
          <w:sz w:val="20"/>
          <w:szCs w:val="20"/>
        </w:rPr>
        <w:t xml:space="preserve">•We tested the effectiveness of controls over </w:t>
      </w:r>
      <w:r>
        <w:rPr>
          <w:rFonts w:ascii="Times New Roman" w:eastAsia="宋体" w:hAnsi="Times New Roman"/>
          <w:color w:val="000000"/>
          <w:sz w:val="20"/>
          <w:szCs w:val="20"/>
        </w:rPr>
        <w:t xml:space="preserve">the determination and calculation of the IBRs. </w:t>
      </w:r>
    </w:p>
    <w:p w14:paraId="00BB0ACB" w14:textId="77777777" w:rsidR="00871BDF" w:rsidRDefault="005C5088">
      <w:pPr>
        <w:spacing w:before="120"/>
        <w:ind w:hanging="180"/>
      </w:pPr>
      <w:r>
        <w:rPr>
          <w:rFonts w:ascii="Times New Roman" w:eastAsia="宋体" w:hAnsi="Times New Roman"/>
          <w:color w:val="000000"/>
          <w:sz w:val="20"/>
          <w:szCs w:val="20"/>
        </w:rPr>
        <w:t xml:space="preserve">•With the assistance of our fair value specialists, we evaluated the methods and assumptions used by management to estimate the IBRs and tested the inputs used by management to develop the IBRs. </w:t>
      </w:r>
    </w:p>
    <w:p w14:paraId="00BB0ACC" w14:textId="77777777" w:rsidR="00871BDF" w:rsidRDefault="00871BDF">
      <w:pPr>
        <w:spacing w:before="120"/>
      </w:pPr>
    </w:p>
    <w:p w14:paraId="00BB0ACD" w14:textId="77777777" w:rsidR="00871BDF" w:rsidRDefault="005C5088">
      <w:pPr>
        <w:spacing w:before="120"/>
      </w:pPr>
      <w:r>
        <w:rPr>
          <w:rFonts w:ascii="Times New Roman" w:eastAsia="宋体" w:hAnsi="Times New Roman"/>
          <w:color w:val="000000"/>
          <w:sz w:val="20"/>
          <w:szCs w:val="20"/>
        </w:rPr>
        <w:t xml:space="preserve">/s/ Deloitte &amp; Touche LLP </w:t>
      </w:r>
    </w:p>
    <w:p w14:paraId="00BB0ACE" w14:textId="77777777" w:rsidR="00871BDF" w:rsidRDefault="005C5088">
      <w:pPr>
        <w:spacing w:before="120"/>
      </w:pPr>
      <w:r>
        <w:rPr>
          <w:rFonts w:ascii="Times New Roman" w:eastAsia="宋体" w:hAnsi="Times New Roman"/>
          <w:color w:val="000000"/>
          <w:sz w:val="20"/>
          <w:szCs w:val="20"/>
        </w:rPr>
        <w:t>Seattle, Washington  </w:t>
      </w:r>
    </w:p>
    <w:p w14:paraId="00BB0ACF" w14:textId="77777777" w:rsidR="00871BDF" w:rsidRDefault="005C5088">
      <w:pPr>
        <w:spacing w:before="120"/>
      </w:pPr>
      <w:r>
        <w:rPr>
          <w:rFonts w:ascii="Times New Roman" w:eastAsia="宋体" w:hAnsi="Times New Roman"/>
          <w:color w:val="000000"/>
          <w:sz w:val="20"/>
          <w:szCs w:val="20"/>
        </w:rPr>
        <w:t>November 12, 2020  </w:t>
      </w:r>
    </w:p>
    <w:p w14:paraId="00BB0AD0" w14:textId="77777777" w:rsidR="00871BDF" w:rsidRDefault="005C5088">
      <w:pPr>
        <w:spacing w:before="120"/>
      </w:pPr>
      <w:r>
        <w:rPr>
          <w:rFonts w:ascii="Times New Roman" w:eastAsia="宋体" w:hAnsi="Times New Roman"/>
          <w:color w:val="000000"/>
          <w:sz w:val="20"/>
          <w:szCs w:val="20"/>
        </w:rPr>
        <w:t>We have served as the Company's auditor since 1987.</w:t>
      </w:r>
    </w:p>
    <w:p w14:paraId="00BB0AD1" w14:textId="77777777" w:rsidR="00871BDF" w:rsidRDefault="00871BDF">
      <w:pPr>
        <w:spacing w:before="120"/>
      </w:pPr>
    </w:p>
    <w:p w14:paraId="00BB0AD2" w14:textId="77777777" w:rsidR="00871BDF" w:rsidRDefault="005C5088">
      <w:pPr>
        <w:jc w:val="center"/>
      </w:pPr>
      <w:r>
        <w:rPr>
          <w:rFonts w:ascii="Times New Roman" w:eastAsia="宋体" w:hAnsi="Times New Roman"/>
          <w:color w:val="000000"/>
          <w:sz w:val="20"/>
          <w:szCs w:val="20"/>
        </w:rPr>
        <w:t>90</w:t>
      </w:r>
    </w:p>
    <w:p w14:paraId="00BB0AD3" w14:textId="77777777" w:rsidR="00871BDF" w:rsidRDefault="005C5088">
      <w:r>
        <w:pict w14:anchorId="00BB14BF">
          <v:rect id="_x0000_i1117" style="width:415.3pt;height:1.5pt" o:hralign="center" o:hrstd="t" o:hr="t" fillcolor="#a0a0a0" stroked="f"/>
        </w:pict>
      </w:r>
    </w:p>
    <w:p w14:paraId="00BB0AD4" w14:textId="77777777" w:rsidR="00871BDF" w:rsidRDefault="005C5088">
      <w:hyperlink r:id="rId234" w:anchor="i54ccc64cb5384be5a4849ef1cdef4dde_7" w:history="1">
        <w:r>
          <w:rPr>
            <w:rStyle w:val="a5"/>
            <w:rFonts w:ascii="Times New Roman" w:eastAsia="宋体" w:hAnsi="Times New Roman"/>
            <w:sz w:val="20"/>
            <w:szCs w:val="20"/>
          </w:rPr>
          <w:t>Table of Contents</w:t>
        </w:r>
      </w:hyperlink>
    </w:p>
    <w:p w14:paraId="00BB0AD5" w14:textId="77777777" w:rsidR="00871BDF" w:rsidRDefault="005C5088">
      <w:pPr>
        <w:spacing w:before="120"/>
        <w:ind w:hanging="720"/>
      </w:pPr>
      <w:r>
        <w:rPr>
          <w:rFonts w:ascii="Times New Roman" w:eastAsia="宋体" w:hAnsi="Times New Roman"/>
          <w:b/>
          <w:bCs/>
          <w:color w:val="00704A"/>
          <w:sz w:val="20"/>
          <w:szCs w:val="20"/>
        </w:rPr>
        <w:t>Item 9.</w:t>
      </w:r>
      <w:r>
        <w:rPr>
          <w:rFonts w:ascii="Times New Roman" w:eastAsia="宋体" w:hAnsi="Times New Roman"/>
          <w:b/>
          <w:bCs/>
          <w:i/>
          <w:iCs/>
          <w:color w:val="00704A"/>
          <w:sz w:val="20"/>
          <w:szCs w:val="20"/>
        </w:rPr>
        <w:t>Changes in and Disagreements with Accountants on Accounting and Financial Disclosure</w:t>
      </w:r>
    </w:p>
    <w:p w14:paraId="00BB0AD6" w14:textId="77777777" w:rsidR="00871BDF" w:rsidRDefault="005C5088">
      <w:pPr>
        <w:spacing w:before="120"/>
      </w:pPr>
      <w:r>
        <w:rPr>
          <w:rFonts w:ascii="Times New Roman" w:eastAsia="宋体" w:hAnsi="Times New Roman"/>
          <w:color w:val="000000"/>
          <w:sz w:val="20"/>
          <w:szCs w:val="20"/>
        </w:rPr>
        <w:t>Not applicable.</w:t>
      </w:r>
    </w:p>
    <w:p w14:paraId="00BB0AD7" w14:textId="77777777" w:rsidR="00871BDF" w:rsidRDefault="00871BDF">
      <w:pPr>
        <w:spacing w:before="120"/>
      </w:pPr>
    </w:p>
    <w:p w14:paraId="00BB0AD8" w14:textId="77777777" w:rsidR="00871BDF" w:rsidRDefault="005C5088">
      <w:pPr>
        <w:spacing w:before="120"/>
        <w:ind w:hanging="810"/>
      </w:pPr>
      <w:r>
        <w:rPr>
          <w:rFonts w:ascii="Times New Roman" w:eastAsia="宋体" w:hAnsi="Times New Roman"/>
          <w:b/>
          <w:bCs/>
          <w:color w:val="00704A"/>
          <w:sz w:val="20"/>
          <w:szCs w:val="20"/>
        </w:rPr>
        <w:t>Item 9A.</w:t>
      </w:r>
      <w:r>
        <w:rPr>
          <w:rFonts w:ascii="Times New Roman" w:eastAsia="宋体" w:hAnsi="Times New Roman"/>
          <w:b/>
          <w:bCs/>
          <w:i/>
          <w:iCs/>
          <w:color w:val="00704A"/>
          <w:sz w:val="20"/>
          <w:szCs w:val="20"/>
        </w:rPr>
        <w:t>Controls and Procedures</w:t>
      </w:r>
    </w:p>
    <w:p w14:paraId="00BB0AD9" w14:textId="77777777" w:rsidR="00871BDF" w:rsidRDefault="005C5088">
      <w:pPr>
        <w:spacing w:before="120"/>
      </w:pPr>
      <w:r>
        <w:rPr>
          <w:rFonts w:ascii="Times New Roman" w:eastAsia="宋体" w:hAnsi="Times New Roman"/>
          <w:b/>
          <w:bCs/>
          <w:color w:val="000000"/>
          <w:sz w:val="20"/>
          <w:szCs w:val="20"/>
        </w:rPr>
        <w:t>Disclosure Controls and Procedures</w:t>
      </w:r>
    </w:p>
    <w:p w14:paraId="00BB0ADA" w14:textId="77777777" w:rsidR="00871BDF" w:rsidRDefault="005C5088">
      <w:pPr>
        <w:spacing w:before="120"/>
      </w:pPr>
      <w:r>
        <w:rPr>
          <w:rFonts w:ascii="Times New Roman" w:eastAsia="宋体" w:hAnsi="Times New Roman"/>
          <w:color w:val="000000"/>
          <w:sz w:val="20"/>
          <w:szCs w:val="20"/>
        </w:rPr>
        <w:t xml:space="preserve">We maintain disclosure </w:t>
      </w:r>
      <w:r>
        <w:rPr>
          <w:rFonts w:ascii="Times New Roman" w:eastAsia="宋体" w:hAnsi="Times New Roman"/>
          <w:color w:val="000000"/>
          <w:sz w:val="20"/>
          <w:szCs w:val="20"/>
        </w:rPr>
        <w:t>controls and procedures that are designed to ensure that material information required to be disclosed in our periodic reports filed or submitted under the Securities Exchange Act of 1934, as amended (the “Exchange Act”), is recorded, processed, summarized</w:t>
      </w:r>
      <w:r>
        <w:rPr>
          <w:rFonts w:ascii="Times New Roman" w:eastAsia="宋体" w:hAnsi="Times New Roman"/>
          <w:color w:val="000000"/>
          <w:sz w:val="20"/>
          <w:szCs w:val="20"/>
        </w:rPr>
        <w:t xml:space="preserve"> and reported within the time periods specified in the SEC’s rules and forms. Our disclosure controls and procedures are also designed to ensure that information required to be disclosed in the reports we file or submit under the Exchange Act is accumulate</w:t>
      </w:r>
      <w:r>
        <w:rPr>
          <w:rFonts w:ascii="Times New Roman" w:eastAsia="宋体" w:hAnsi="Times New Roman"/>
          <w:color w:val="000000"/>
          <w:sz w:val="20"/>
          <w:szCs w:val="20"/>
        </w:rPr>
        <w:t>d and communicated to our management, including our principal executive officer and principal financial officer, as appropriate to allow timely decisions regarding required disclosure.</w:t>
      </w:r>
    </w:p>
    <w:p w14:paraId="00BB0ADB" w14:textId="77777777" w:rsidR="00871BDF" w:rsidRDefault="005C5088">
      <w:pPr>
        <w:spacing w:before="120"/>
      </w:pPr>
      <w:r>
        <w:rPr>
          <w:rFonts w:ascii="Times New Roman" w:eastAsia="宋体" w:hAnsi="Times New Roman"/>
          <w:color w:val="000000"/>
          <w:sz w:val="20"/>
          <w:szCs w:val="20"/>
        </w:rPr>
        <w:t>During the fourth quarter of fiscal 2020, we carried out an evaluation,</w:t>
      </w:r>
      <w:r>
        <w:rPr>
          <w:rFonts w:ascii="Times New Roman" w:eastAsia="宋体" w:hAnsi="Times New Roman"/>
          <w:color w:val="000000"/>
          <w:sz w:val="20"/>
          <w:szCs w:val="20"/>
        </w:rPr>
        <w:t xml:space="preserve"> under the supervision and with the participation of our management, including our chief executive officer and our chief financial officer, of the effectiveness of the design and operation of our disclosure controls and procedures, as defined in Rules 13a-</w:t>
      </w:r>
      <w:r>
        <w:rPr>
          <w:rFonts w:ascii="Times New Roman" w:eastAsia="宋体" w:hAnsi="Times New Roman"/>
          <w:color w:val="000000"/>
          <w:sz w:val="20"/>
          <w:szCs w:val="20"/>
        </w:rPr>
        <w:t>15(e) and 15d-15(e) under the Exchange Act. Based upon that evaluation, our chief executive officer and chief financial officer concluded that our disclosure controls and procedures were effective, as of the end of the period covered by this report (Septem</w:t>
      </w:r>
      <w:r>
        <w:rPr>
          <w:rFonts w:ascii="Times New Roman" w:eastAsia="宋体" w:hAnsi="Times New Roman"/>
          <w:color w:val="000000"/>
          <w:sz w:val="20"/>
          <w:szCs w:val="20"/>
        </w:rPr>
        <w:t>ber 27, 2020).</w:t>
      </w:r>
    </w:p>
    <w:p w14:paraId="00BB0ADC" w14:textId="77777777" w:rsidR="00871BDF" w:rsidRDefault="005C5088">
      <w:pPr>
        <w:spacing w:before="120"/>
      </w:pPr>
      <w:r>
        <w:rPr>
          <w:rFonts w:ascii="Times New Roman" w:eastAsia="宋体" w:hAnsi="Times New Roman"/>
          <w:color w:val="000000"/>
          <w:sz w:val="20"/>
          <w:szCs w:val="20"/>
        </w:rPr>
        <w:t>There were no changes in our internal control over financial reporting (as defined in Rules 13a-15(f) and 15d-15(f) of the Exchange Act) during our most recently completed fiscal quarter that materially affected or are reasonably likely to m</w:t>
      </w:r>
      <w:r>
        <w:rPr>
          <w:rFonts w:ascii="Times New Roman" w:eastAsia="宋体" w:hAnsi="Times New Roman"/>
          <w:color w:val="000000"/>
          <w:sz w:val="20"/>
          <w:szCs w:val="20"/>
        </w:rPr>
        <w:t>aterially affect internal control over financial reporting.</w:t>
      </w:r>
    </w:p>
    <w:p w14:paraId="00BB0ADD" w14:textId="77777777" w:rsidR="00871BDF" w:rsidRDefault="005C5088">
      <w:pPr>
        <w:spacing w:before="120"/>
      </w:pPr>
      <w:r>
        <w:rPr>
          <w:rFonts w:ascii="Times New Roman" w:eastAsia="宋体" w:hAnsi="Times New Roman"/>
          <w:color w:val="000000"/>
          <w:sz w:val="20"/>
          <w:szCs w:val="20"/>
        </w:rPr>
        <w:t>The certifications required by Section 302 of the Sarbanes-Oxley Act of 2002 are filed as exhibits </w:t>
      </w:r>
      <w:hyperlink r:id="rId235" w:history="1">
        <w:r>
          <w:rPr>
            <w:rStyle w:val="a5"/>
            <w:rFonts w:ascii="Times New Roman" w:eastAsia="宋体" w:hAnsi="Times New Roman"/>
            <w:sz w:val="20"/>
            <w:szCs w:val="20"/>
          </w:rPr>
          <w:t>31.</w:t>
        </w:r>
      </w:hyperlink>
      <w:hyperlink r:id="rId236" w:history="1">
        <w:r>
          <w:rPr>
            <w:rStyle w:val="a5"/>
            <w:rFonts w:ascii="Times New Roman" w:eastAsia="宋体" w:hAnsi="Times New Roman"/>
            <w:sz w:val="20"/>
            <w:szCs w:val="20"/>
          </w:rPr>
          <w:t>1</w:t>
        </w:r>
      </w:hyperlink>
      <w:r>
        <w:rPr>
          <w:rFonts w:ascii="Times New Roman" w:eastAsia="宋体" w:hAnsi="Times New Roman"/>
          <w:color w:val="000000"/>
          <w:sz w:val="20"/>
          <w:szCs w:val="20"/>
        </w:rPr>
        <w:t xml:space="preserve"> and </w:t>
      </w:r>
      <w:hyperlink r:id="rId237" w:history="1">
        <w:r>
          <w:rPr>
            <w:rStyle w:val="a5"/>
            <w:rFonts w:ascii="Times New Roman" w:eastAsia="宋体" w:hAnsi="Times New Roman"/>
            <w:sz w:val="20"/>
            <w:szCs w:val="20"/>
          </w:rPr>
          <w:t>31.2</w:t>
        </w:r>
      </w:hyperlink>
      <w:r>
        <w:rPr>
          <w:rFonts w:ascii="Times New Roman" w:eastAsia="宋体" w:hAnsi="Times New Roman"/>
          <w:color w:val="000000"/>
          <w:sz w:val="20"/>
          <w:szCs w:val="20"/>
        </w:rPr>
        <w:t>, respectively, to this 10-K.</w:t>
      </w:r>
    </w:p>
    <w:p w14:paraId="00BB0ADE" w14:textId="77777777" w:rsidR="00871BDF" w:rsidRDefault="005C5088">
      <w:pPr>
        <w:spacing w:before="120"/>
      </w:pPr>
      <w:r>
        <w:rPr>
          <w:rFonts w:ascii="Times New Roman" w:eastAsia="宋体" w:hAnsi="Times New Roman"/>
          <w:b/>
          <w:bCs/>
          <w:color w:val="000000"/>
          <w:sz w:val="20"/>
          <w:szCs w:val="20"/>
        </w:rPr>
        <w:t>Report of Management on Internal Control over Financial Reporting</w:t>
      </w:r>
    </w:p>
    <w:p w14:paraId="00BB0ADF" w14:textId="77777777" w:rsidR="00871BDF" w:rsidRDefault="005C5088">
      <w:pPr>
        <w:spacing w:before="120"/>
      </w:pPr>
      <w:r>
        <w:rPr>
          <w:rFonts w:ascii="Times New Roman" w:eastAsia="宋体" w:hAnsi="Times New Roman"/>
          <w:color w:val="000000"/>
          <w:sz w:val="20"/>
          <w:szCs w:val="20"/>
        </w:rPr>
        <w:t>Our management is responsible for establishing and maintaining adequate internal control over financial reporting. Internal control over financial reporting i</w:t>
      </w:r>
      <w:r>
        <w:rPr>
          <w:rFonts w:ascii="Times New Roman" w:eastAsia="宋体" w:hAnsi="Times New Roman"/>
          <w:color w:val="000000"/>
          <w:sz w:val="20"/>
          <w:szCs w:val="20"/>
        </w:rPr>
        <w:t>s a process to provide reasonable assurance regarding the reliability of our financial reporting for external purposes in accordance with accounting principles generally accepted in the United States of America. Internal control over financial reporting in</w:t>
      </w:r>
      <w:r>
        <w:rPr>
          <w:rFonts w:ascii="Times New Roman" w:eastAsia="宋体" w:hAnsi="Times New Roman"/>
          <w:color w:val="000000"/>
          <w:sz w:val="20"/>
          <w:szCs w:val="20"/>
        </w:rPr>
        <w:t>cludes maintaining records that in reasonable detail accurately and fairly reflect our transactions; providing reasonable assurance that transactions are recorded as necessary for preparation of our financial statements; providing reasonable assurance that</w:t>
      </w:r>
      <w:r>
        <w:rPr>
          <w:rFonts w:ascii="Times New Roman" w:eastAsia="宋体" w:hAnsi="Times New Roman"/>
          <w:color w:val="000000"/>
          <w:sz w:val="20"/>
          <w:szCs w:val="20"/>
        </w:rPr>
        <w:t xml:space="preserve"> receipts and expenditures are made in accordance with management authorization; and providing reasonable assurance that unauthorized acquisition, use or disposition of company assets that could have a material effect on our financial statements would be p</w:t>
      </w:r>
      <w:r>
        <w:rPr>
          <w:rFonts w:ascii="Times New Roman" w:eastAsia="宋体" w:hAnsi="Times New Roman"/>
          <w:color w:val="000000"/>
          <w:sz w:val="20"/>
          <w:szCs w:val="20"/>
        </w:rPr>
        <w:t>revented or detected on a timely basis. Because of its inherent limitations, internal control over financial reporting is not intended to provide absolute assurance that a misstatement of our financial statements would be prevented or detected.</w:t>
      </w:r>
    </w:p>
    <w:p w14:paraId="00BB0AE0" w14:textId="77777777" w:rsidR="00871BDF" w:rsidRDefault="005C5088">
      <w:pPr>
        <w:spacing w:before="120"/>
      </w:pPr>
      <w:r>
        <w:rPr>
          <w:rFonts w:ascii="Times New Roman" w:eastAsia="宋体" w:hAnsi="Times New Roman"/>
          <w:color w:val="000000"/>
          <w:sz w:val="20"/>
          <w:szCs w:val="20"/>
        </w:rPr>
        <w:t xml:space="preserve">Management </w:t>
      </w:r>
      <w:r>
        <w:rPr>
          <w:rFonts w:ascii="Times New Roman" w:eastAsia="宋体" w:hAnsi="Times New Roman"/>
          <w:color w:val="000000"/>
          <w:sz w:val="20"/>
          <w:szCs w:val="20"/>
        </w:rPr>
        <w:t xml:space="preserve">conducted an evaluation of the effectiveness of our internal control over financial reporting based on the framework and criteria established in </w:t>
      </w:r>
      <w:r>
        <w:rPr>
          <w:rFonts w:ascii="Times New Roman" w:eastAsia="宋体" w:hAnsi="Times New Roman"/>
          <w:i/>
          <w:iCs/>
          <w:color w:val="000000"/>
          <w:sz w:val="20"/>
          <w:szCs w:val="20"/>
        </w:rPr>
        <w:t>Internal Control — Integrated Framework</w:t>
      </w:r>
      <w:r>
        <w:rPr>
          <w:rFonts w:ascii="Times New Roman" w:eastAsia="宋体" w:hAnsi="Times New Roman"/>
          <w:color w:val="000000"/>
          <w:sz w:val="20"/>
          <w:szCs w:val="20"/>
        </w:rPr>
        <w:t xml:space="preserve">, issued by the Committee of Sponsoring Organizations of the </w:t>
      </w:r>
      <w:r>
        <w:rPr>
          <w:rFonts w:ascii="Times New Roman" w:eastAsia="宋体" w:hAnsi="Times New Roman"/>
          <w:color w:val="000000"/>
          <w:sz w:val="20"/>
          <w:szCs w:val="20"/>
        </w:rPr>
        <w:t>Treadway Commission. This evaluation included review of the documentation of controls, evaluation of the design effectiveness of controls, testing of the operating effectiveness of controls and a conclusion on this evaluation. Based on this evaluation, man</w:t>
      </w:r>
      <w:r>
        <w:rPr>
          <w:rFonts w:ascii="Times New Roman" w:eastAsia="宋体" w:hAnsi="Times New Roman"/>
          <w:color w:val="000000"/>
          <w:sz w:val="20"/>
          <w:szCs w:val="20"/>
        </w:rPr>
        <w:t>agement concluded that our internal control over financial reporting was effective as of September 27, 2020.</w:t>
      </w:r>
    </w:p>
    <w:p w14:paraId="00BB0AE1" w14:textId="77777777" w:rsidR="00871BDF" w:rsidRDefault="005C5088">
      <w:pPr>
        <w:spacing w:before="120"/>
      </w:pPr>
      <w:r>
        <w:rPr>
          <w:rFonts w:ascii="Times New Roman" w:eastAsia="宋体" w:hAnsi="Times New Roman"/>
          <w:color w:val="000000"/>
          <w:sz w:val="20"/>
          <w:szCs w:val="20"/>
        </w:rPr>
        <w:t xml:space="preserve">Our internal control over financial reporting as of September 27, 2020 has been audited by Deloitte &amp; Touche LLP, an independent registered public </w:t>
      </w:r>
      <w:r>
        <w:rPr>
          <w:rFonts w:ascii="Times New Roman" w:eastAsia="宋体" w:hAnsi="Times New Roman"/>
          <w:color w:val="000000"/>
          <w:sz w:val="20"/>
          <w:szCs w:val="20"/>
        </w:rPr>
        <w:t>accounting firm, as stated in their report which is included herein.</w:t>
      </w:r>
    </w:p>
    <w:p w14:paraId="00BB0AE2" w14:textId="77777777" w:rsidR="00871BDF" w:rsidRDefault="005C5088">
      <w:pPr>
        <w:jc w:val="center"/>
      </w:pPr>
      <w:r>
        <w:rPr>
          <w:rFonts w:ascii="Times New Roman" w:eastAsia="宋体" w:hAnsi="Times New Roman"/>
          <w:color w:val="000000"/>
          <w:sz w:val="20"/>
          <w:szCs w:val="20"/>
        </w:rPr>
        <w:t>91</w:t>
      </w:r>
    </w:p>
    <w:p w14:paraId="00BB0AE3" w14:textId="77777777" w:rsidR="00871BDF" w:rsidRDefault="005C5088">
      <w:r>
        <w:pict w14:anchorId="00BB14C0">
          <v:rect id="_x0000_i1118" style="width:415.3pt;height:1.5pt" o:hralign="center" o:hrstd="t" o:hr="t" fillcolor="#a0a0a0" stroked="f"/>
        </w:pict>
      </w:r>
    </w:p>
    <w:p w14:paraId="00BB0AE4" w14:textId="77777777" w:rsidR="00871BDF" w:rsidRDefault="005C5088">
      <w:hyperlink r:id="rId238" w:anchor="i54ccc64cb5384be5a4849ef1cdef4dde_7" w:history="1">
        <w:r>
          <w:rPr>
            <w:rStyle w:val="a5"/>
            <w:rFonts w:ascii="Times New Roman" w:eastAsia="宋体" w:hAnsi="Times New Roman"/>
            <w:sz w:val="20"/>
            <w:szCs w:val="20"/>
          </w:rPr>
          <w:t>Table of Contents</w:t>
        </w:r>
      </w:hyperlink>
    </w:p>
    <w:p w14:paraId="00BB0AE5" w14:textId="77777777" w:rsidR="00871BDF" w:rsidRDefault="005C5088">
      <w:pPr>
        <w:spacing w:before="120"/>
      </w:pPr>
      <w:r>
        <w:rPr>
          <w:rFonts w:ascii="Times New Roman" w:eastAsia="宋体" w:hAnsi="Times New Roman"/>
          <w:b/>
          <w:bCs/>
          <w:color w:val="000000"/>
          <w:sz w:val="20"/>
          <w:szCs w:val="20"/>
        </w:rPr>
        <w:t>REPORT OF I</w:t>
      </w:r>
      <w:r>
        <w:rPr>
          <w:rFonts w:ascii="Times New Roman" w:eastAsia="宋体" w:hAnsi="Times New Roman"/>
          <w:b/>
          <w:bCs/>
          <w:color w:val="000000"/>
          <w:sz w:val="20"/>
          <w:szCs w:val="20"/>
        </w:rPr>
        <w:t xml:space="preserve">NDEPENDENT REGISTERED PUBLIC ACCOUNTING FIRM </w:t>
      </w:r>
    </w:p>
    <w:p w14:paraId="00BB0AE6" w14:textId="77777777" w:rsidR="00871BDF" w:rsidRDefault="005C5088">
      <w:pPr>
        <w:spacing w:before="120"/>
      </w:pPr>
      <w:r>
        <w:rPr>
          <w:rFonts w:ascii="Times New Roman" w:eastAsia="宋体" w:hAnsi="Times New Roman"/>
          <w:color w:val="000000"/>
          <w:sz w:val="20"/>
          <w:szCs w:val="20"/>
        </w:rPr>
        <w:t>To the shareholders and the Board of Directors of Starbucks Corporation</w:t>
      </w:r>
    </w:p>
    <w:p w14:paraId="00BB0AE7" w14:textId="77777777" w:rsidR="00871BDF" w:rsidRDefault="005C5088">
      <w:pPr>
        <w:spacing w:before="120"/>
      </w:pPr>
      <w:r>
        <w:rPr>
          <w:rFonts w:ascii="Times New Roman" w:eastAsia="宋体" w:hAnsi="Times New Roman"/>
          <w:b/>
          <w:bCs/>
          <w:color w:val="000000"/>
          <w:sz w:val="20"/>
          <w:szCs w:val="20"/>
        </w:rPr>
        <w:t>Opinion on Internal Control over Financial Reporting</w:t>
      </w:r>
    </w:p>
    <w:p w14:paraId="00BB0AE8" w14:textId="77777777" w:rsidR="00871BDF" w:rsidRDefault="005C5088">
      <w:pPr>
        <w:spacing w:before="120"/>
      </w:pPr>
      <w:r>
        <w:rPr>
          <w:rFonts w:ascii="Times New Roman" w:eastAsia="宋体" w:hAnsi="Times New Roman"/>
          <w:color w:val="000000"/>
          <w:sz w:val="20"/>
          <w:szCs w:val="20"/>
        </w:rPr>
        <w:t xml:space="preserve">We have audited the internal control over financial reporting of Starbucks Corporation and subsidiaries (the “Company”) as of September 27, 2020, based on criteria established in </w:t>
      </w:r>
      <w:r>
        <w:rPr>
          <w:rFonts w:ascii="Times New Roman" w:eastAsia="宋体" w:hAnsi="Times New Roman"/>
          <w:i/>
          <w:iCs/>
          <w:color w:val="000000"/>
          <w:sz w:val="20"/>
          <w:szCs w:val="20"/>
        </w:rPr>
        <w:t>Internal Control - Integrated Framework (2013)</w:t>
      </w:r>
      <w:r>
        <w:rPr>
          <w:rFonts w:ascii="Times New Roman" w:eastAsia="宋体" w:hAnsi="Times New Roman"/>
          <w:color w:val="000000"/>
          <w:sz w:val="20"/>
          <w:szCs w:val="20"/>
        </w:rPr>
        <w:t xml:space="preserve"> issued by the Committee of Spo</w:t>
      </w:r>
      <w:r>
        <w:rPr>
          <w:rFonts w:ascii="Times New Roman" w:eastAsia="宋体" w:hAnsi="Times New Roman"/>
          <w:color w:val="000000"/>
          <w:sz w:val="20"/>
          <w:szCs w:val="20"/>
        </w:rPr>
        <w:t xml:space="preserve">nsoring Organizations of the Treadway Commission (COSO). In our opinion, the Company maintained, in all material respects, effective internal control over financial reporting as of September 27, 2020, based on criteria established in </w:t>
      </w:r>
      <w:r>
        <w:rPr>
          <w:rFonts w:ascii="Times New Roman" w:eastAsia="宋体" w:hAnsi="Times New Roman"/>
          <w:i/>
          <w:iCs/>
          <w:color w:val="000000"/>
          <w:sz w:val="20"/>
          <w:szCs w:val="20"/>
        </w:rPr>
        <w:t>Internal Control - Int</w:t>
      </w:r>
      <w:r>
        <w:rPr>
          <w:rFonts w:ascii="Times New Roman" w:eastAsia="宋体" w:hAnsi="Times New Roman"/>
          <w:i/>
          <w:iCs/>
          <w:color w:val="000000"/>
          <w:sz w:val="20"/>
          <w:szCs w:val="20"/>
        </w:rPr>
        <w:t>egrated Framework (2013)</w:t>
      </w:r>
      <w:r>
        <w:rPr>
          <w:rFonts w:ascii="Times New Roman" w:eastAsia="宋体" w:hAnsi="Times New Roman"/>
          <w:color w:val="000000"/>
          <w:sz w:val="20"/>
          <w:szCs w:val="20"/>
        </w:rPr>
        <w:t xml:space="preserve"> issued by COSO.</w:t>
      </w:r>
    </w:p>
    <w:p w14:paraId="00BB0AE9" w14:textId="77777777" w:rsidR="00871BDF" w:rsidRDefault="005C5088">
      <w:pPr>
        <w:spacing w:before="120"/>
      </w:pPr>
      <w:r>
        <w:rPr>
          <w:rFonts w:ascii="Times New Roman" w:eastAsia="宋体" w:hAnsi="Times New Roman"/>
          <w:color w:val="000000"/>
          <w:sz w:val="20"/>
          <w:szCs w:val="20"/>
        </w:rPr>
        <w:t>We have also audited, in accordance with the standards of the Public Company Accounting Oversight Board (United States) (PCAOB), the consolidated financial statements as of and for the year ended September 27, 2020,</w:t>
      </w:r>
      <w:r>
        <w:rPr>
          <w:rFonts w:ascii="Times New Roman" w:eastAsia="宋体" w:hAnsi="Times New Roman"/>
          <w:color w:val="000000"/>
          <w:sz w:val="20"/>
          <w:szCs w:val="20"/>
        </w:rPr>
        <w:t xml:space="preserve"> of the Company and our report dated November 12, 2020, expressed an unqualified opinion on those financial statements and included an explanatory paragraph relating to the Company’s adoption of Financial Accounting Standards Board (FASB) Accounting Standa</w:t>
      </w:r>
      <w:r>
        <w:rPr>
          <w:rFonts w:ascii="Times New Roman" w:eastAsia="宋体" w:hAnsi="Times New Roman"/>
          <w:color w:val="000000"/>
          <w:sz w:val="20"/>
          <w:szCs w:val="20"/>
        </w:rPr>
        <w:t>rds Codification (ASC) No. 842, Leases.</w:t>
      </w:r>
    </w:p>
    <w:p w14:paraId="00BB0AEA" w14:textId="77777777" w:rsidR="00871BDF" w:rsidRDefault="005C5088">
      <w:pPr>
        <w:spacing w:before="120"/>
      </w:pPr>
      <w:r>
        <w:rPr>
          <w:rFonts w:ascii="Times New Roman" w:eastAsia="宋体" w:hAnsi="Times New Roman"/>
          <w:b/>
          <w:bCs/>
          <w:color w:val="000000"/>
          <w:sz w:val="20"/>
          <w:szCs w:val="20"/>
        </w:rPr>
        <w:t xml:space="preserve">Basis for Opinion </w:t>
      </w:r>
    </w:p>
    <w:p w14:paraId="00BB0AEB" w14:textId="77777777" w:rsidR="00871BDF" w:rsidRDefault="005C5088">
      <w:pPr>
        <w:spacing w:before="120"/>
      </w:pPr>
      <w:r>
        <w:rPr>
          <w:rFonts w:ascii="Times New Roman" w:eastAsia="宋体" w:hAnsi="Times New Roman"/>
          <w:color w:val="000000"/>
          <w:sz w:val="20"/>
          <w:szCs w:val="20"/>
        </w:rPr>
        <w:t>The Company’s management is responsible for maintaining effective internal control over financial reporting and for its assessment of the effectiveness of internal control over financial reporting,</w:t>
      </w:r>
      <w:r>
        <w:rPr>
          <w:rFonts w:ascii="Times New Roman" w:eastAsia="宋体" w:hAnsi="Times New Roman"/>
          <w:color w:val="000000"/>
          <w:sz w:val="20"/>
          <w:szCs w:val="20"/>
        </w:rPr>
        <w:t xml:space="preserve"> included in the accompanying Report of Management on Internal Control over Financial Reporting. Our responsibility is to express an opinion on the Company’s internal control over financial reporting based on our audit. We are a public accounting firm regi</w:t>
      </w:r>
      <w:r>
        <w:rPr>
          <w:rFonts w:ascii="Times New Roman" w:eastAsia="宋体" w:hAnsi="Times New Roman"/>
          <w:color w:val="000000"/>
          <w:sz w:val="20"/>
          <w:szCs w:val="20"/>
        </w:rPr>
        <w:t>stered with the PCAOB and are required to be independent with respect to the Company in accordance with the U.S. federal securities laws and the applicable rules and regulations of the Securities and Exchange Commission and the PCAOB.</w:t>
      </w:r>
    </w:p>
    <w:p w14:paraId="00BB0AEC" w14:textId="77777777" w:rsidR="00871BDF" w:rsidRDefault="005C5088">
      <w:pPr>
        <w:spacing w:before="120"/>
      </w:pPr>
      <w:r>
        <w:rPr>
          <w:rFonts w:ascii="Times New Roman" w:eastAsia="宋体" w:hAnsi="Times New Roman"/>
          <w:color w:val="000000"/>
          <w:sz w:val="20"/>
          <w:szCs w:val="20"/>
        </w:rPr>
        <w:t>We conducted our audi</w:t>
      </w:r>
      <w:r>
        <w:rPr>
          <w:rFonts w:ascii="Times New Roman" w:eastAsia="宋体" w:hAnsi="Times New Roman"/>
          <w:color w:val="000000"/>
          <w:sz w:val="20"/>
          <w:szCs w:val="20"/>
        </w:rPr>
        <w:t xml:space="preserve">t in accordance with the standards of the PCAOB. Those standards require that we plan and perform the audit to obtain reasonable assurance about whether effective internal control over financial reporting was maintained in all material respects. Our audit </w:t>
      </w:r>
      <w:r>
        <w:rPr>
          <w:rFonts w:ascii="Times New Roman" w:eastAsia="宋体" w:hAnsi="Times New Roman"/>
          <w:color w:val="000000"/>
          <w:sz w:val="20"/>
          <w:szCs w:val="20"/>
        </w:rPr>
        <w:t>included obtaining an understanding of internal control over financial reporting, assessing the risk that a material weakness exists, testing and evaluating the design and operating effectiveness of internal control based on the assessed risk, and performi</w:t>
      </w:r>
      <w:r>
        <w:rPr>
          <w:rFonts w:ascii="Times New Roman" w:eastAsia="宋体" w:hAnsi="Times New Roman"/>
          <w:color w:val="000000"/>
          <w:sz w:val="20"/>
          <w:szCs w:val="20"/>
        </w:rPr>
        <w:t>ng such other procedures as we considered necessary in the circumstances. We believe that our audit provides a reasonable basis for our opinion.</w:t>
      </w:r>
    </w:p>
    <w:p w14:paraId="00BB0AED" w14:textId="77777777" w:rsidR="00871BDF" w:rsidRDefault="005C5088">
      <w:pPr>
        <w:spacing w:before="120"/>
      </w:pPr>
      <w:r>
        <w:rPr>
          <w:rFonts w:ascii="Times New Roman" w:eastAsia="宋体" w:hAnsi="Times New Roman"/>
          <w:b/>
          <w:bCs/>
          <w:color w:val="000000"/>
          <w:sz w:val="20"/>
          <w:szCs w:val="20"/>
        </w:rPr>
        <w:t>Definition and Limitations of Internal Control over Financial Reporting</w:t>
      </w:r>
    </w:p>
    <w:p w14:paraId="00BB0AEE" w14:textId="77777777" w:rsidR="00871BDF" w:rsidRDefault="005C5088">
      <w:pPr>
        <w:spacing w:before="120"/>
      </w:pPr>
      <w:r>
        <w:rPr>
          <w:rFonts w:ascii="Times New Roman" w:eastAsia="宋体" w:hAnsi="Times New Roman"/>
          <w:color w:val="000000"/>
          <w:sz w:val="20"/>
          <w:szCs w:val="20"/>
        </w:rPr>
        <w:t>A company’s internal control over finan</w:t>
      </w:r>
      <w:r>
        <w:rPr>
          <w:rFonts w:ascii="Times New Roman" w:eastAsia="宋体" w:hAnsi="Times New Roman"/>
          <w:color w:val="000000"/>
          <w:sz w:val="20"/>
          <w:szCs w:val="20"/>
        </w:rPr>
        <w:t>cial reporting is a process designed to provide reasonable assurance regarding the reliability of financial reporting and the preparation of financial statements for external purposes in accordance with generally accepted accounting principles. A company’s</w:t>
      </w:r>
      <w:r>
        <w:rPr>
          <w:rFonts w:ascii="Times New Roman" w:eastAsia="宋体" w:hAnsi="Times New Roman"/>
          <w:color w:val="000000"/>
          <w:sz w:val="20"/>
          <w:szCs w:val="20"/>
        </w:rPr>
        <w:t xml:space="preserve"> internal control over financial reporting includes those policies and procedures that (1) pertain to the maintenance of records that, in reasonable detail, accurately and fairly reflect the transactions and dispositions of the assets of the company; (2) p</w:t>
      </w:r>
      <w:r>
        <w:rPr>
          <w:rFonts w:ascii="Times New Roman" w:eastAsia="宋体" w:hAnsi="Times New Roman"/>
          <w:color w:val="000000"/>
          <w:sz w:val="20"/>
          <w:szCs w:val="20"/>
        </w:rPr>
        <w:t>rovide reasonable assurance that transactions are recorded as necessary to permit preparation of financial statements in accordance with generally accepted accounting principles, and that receipts and expenditures of the company are being made only in acco</w:t>
      </w:r>
      <w:r>
        <w:rPr>
          <w:rFonts w:ascii="Times New Roman" w:eastAsia="宋体" w:hAnsi="Times New Roman"/>
          <w:color w:val="000000"/>
          <w:sz w:val="20"/>
          <w:szCs w:val="20"/>
        </w:rPr>
        <w:t xml:space="preserve">rdance with authorizations of management and directors of the company; and (3) provide reasonable assurance regarding prevention or timely detection of unauthorized acquisition, use, or disposition of the company’s assets that could have a material effect </w:t>
      </w:r>
      <w:r>
        <w:rPr>
          <w:rFonts w:ascii="Times New Roman" w:eastAsia="宋体" w:hAnsi="Times New Roman"/>
          <w:color w:val="000000"/>
          <w:sz w:val="20"/>
          <w:szCs w:val="20"/>
        </w:rPr>
        <w:t>on the financial statements.</w:t>
      </w:r>
    </w:p>
    <w:p w14:paraId="00BB0AEF" w14:textId="77777777" w:rsidR="00871BDF" w:rsidRDefault="005C5088">
      <w:pPr>
        <w:spacing w:before="120"/>
      </w:pPr>
      <w:r>
        <w:rPr>
          <w:rFonts w:ascii="Times New Roman" w:eastAsia="宋体" w:hAnsi="Times New Roman"/>
          <w:color w:val="000000"/>
          <w:sz w:val="20"/>
          <w:szCs w:val="20"/>
        </w:rPr>
        <w:t>Because of its inherent limitations, internal control over financial reporting may not prevent or detect misstatements. Also, projections of any evaluation of effectiveness to future periods are subject to the risk that control</w:t>
      </w:r>
      <w:r>
        <w:rPr>
          <w:rFonts w:ascii="Times New Roman" w:eastAsia="宋体" w:hAnsi="Times New Roman"/>
          <w:color w:val="000000"/>
          <w:sz w:val="20"/>
          <w:szCs w:val="20"/>
        </w:rPr>
        <w:t>s may become inadequate because of changes in conditions, or that the degree of compliance with the policies or procedures may deteriorate.</w:t>
      </w:r>
    </w:p>
    <w:p w14:paraId="00BB0AF0" w14:textId="77777777" w:rsidR="00871BDF" w:rsidRDefault="005C5088">
      <w:pPr>
        <w:spacing w:before="120"/>
      </w:pPr>
      <w:r>
        <w:rPr>
          <w:rFonts w:ascii="Times New Roman" w:eastAsia="宋体" w:hAnsi="Times New Roman"/>
          <w:color w:val="000000"/>
          <w:sz w:val="20"/>
          <w:szCs w:val="20"/>
        </w:rPr>
        <w:t xml:space="preserve">/s/ Deloitte &amp; Touche LLP </w:t>
      </w:r>
    </w:p>
    <w:p w14:paraId="00BB0AF1" w14:textId="77777777" w:rsidR="00871BDF" w:rsidRDefault="005C5088">
      <w:pPr>
        <w:spacing w:before="120"/>
      </w:pPr>
      <w:r>
        <w:rPr>
          <w:rFonts w:ascii="Times New Roman" w:eastAsia="宋体" w:hAnsi="Times New Roman"/>
          <w:color w:val="000000"/>
          <w:sz w:val="20"/>
          <w:szCs w:val="20"/>
        </w:rPr>
        <w:t>Seattle, Washington  </w:t>
      </w:r>
    </w:p>
    <w:p w14:paraId="00BB0AF2" w14:textId="77777777" w:rsidR="00871BDF" w:rsidRDefault="005C5088">
      <w:pPr>
        <w:spacing w:before="120"/>
      </w:pPr>
      <w:r>
        <w:rPr>
          <w:rFonts w:ascii="Times New Roman" w:eastAsia="宋体" w:hAnsi="Times New Roman"/>
          <w:color w:val="000000"/>
          <w:sz w:val="20"/>
          <w:szCs w:val="20"/>
        </w:rPr>
        <w:t>November 12, 2020</w:t>
      </w:r>
    </w:p>
    <w:p w14:paraId="00BB0AF3" w14:textId="77777777" w:rsidR="00871BDF" w:rsidRDefault="005C5088">
      <w:pPr>
        <w:jc w:val="center"/>
      </w:pPr>
      <w:r>
        <w:rPr>
          <w:rFonts w:ascii="Times New Roman" w:eastAsia="宋体" w:hAnsi="Times New Roman"/>
          <w:color w:val="000000"/>
          <w:sz w:val="20"/>
          <w:szCs w:val="20"/>
        </w:rPr>
        <w:t>92</w:t>
      </w:r>
    </w:p>
    <w:p w14:paraId="00BB0AF4" w14:textId="77777777" w:rsidR="00871BDF" w:rsidRDefault="005C5088">
      <w:r>
        <w:pict w14:anchorId="00BB14C1">
          <v:rect id="_x0000_i1119" style="width:415.3pt;height:1.5pt" o:hralign="center" o:hrstd="t" o:hr="t" fillcolor="#a0a0a0" stroked="f"/>
        </w:pict>
      </w:r>
    </w:p>
    <w:p w14:paraId="00BB0AF5" w14:textId="77777777" w:rsidR="00871BDF" w:rsidRDefault="005C5088">
      <w:hyperlink r:id="rId239" w:anchor="i54ccc64cb5384be5a4849ef1cdef4dde_7" w:history="1">
        <w:r>
          <w:rPr>
            <w:rStyle w:val="a5"/>
            <w:rFonts w:ascii="Times New Roman" w:eastAsia="宋体" w:hAnsi="Times New Roman"/>
            <w:sz w:val="20"/>
            <w:szCs w:val="20"/>
          </w:rPr>
          <w:t>Table of Contents</w:t>
        </w:r>
      </w:hyperlink>
    </w:p>
    <w:p w14:paraId="00BB0AF6" w14:textId="77777777" w:rsidR="00871BDF" w:rsidRDefault="005C5088">
      <w:pPr>
        <w:spacing w:before="120"/>
        <w:ind w:hanging="810"/>
      </w:pPr>
      <w:r>
        <w:rPr>
          <w:rFonts w:ascii="Times New Roman" w:eastAsia="宋体" w:hAnsi="Times New Roman"/>
          <w:b/>
          <w:bCs/>
          <w:color w:val="00704A"/>
          <w:sz w:val="20"/>
          <w:szCs w:val="20"/>
        </w:rPr>
        <w:t>Item 9B.</w:t>
      </w:r>
      <w:r>
        <w:rPr>
          <w:rFonts w:ascii="Times New Roman" w:eastAsia="宋体" w:hAnsi="Times New Roman"/>
          <w:b/>
          <w:bCs/>
          <w:i/>
          <w:iCs/>
          <w:color w:val="00704A"/>
          <w:sz w:val="20"/>
          <w:szCs w:val="20"/>
        </w:rPr>
        <w:t>Other Information</w:t>
      </w:r>
    </w:p>
    <w:p w14:paraId="00BB0AF7" w14:textId="77777777" w:rsidR="00871BDF" w:rsidRDefault="005C5088">
      <w:pPr>
        <w:spacing w:before="120"/>
      </w:pPr>
      <w:r>
        <w:rPr>
          <w:rFonts w:ascii="Times New Roman" w:eastAsia="宋体" w:hAnsi="Times New Roman"/>
          <w:color w:val="000000"/>
          <w:sz w:val="20"/>
          <w:szCs w:val="20"/>
        </w:rPr>
        <w:t>None.</w:t>
      </w:r>
    </w:p>
    <w:p w14:paraId="00BB0AF8" w14:textId="77777777" w:rsidR="00871BDF" w:rsidRDefault="005C5088">
      <w:pPr>
        <w:jc w:val="center"/>
      </w:pPr>
      <w:r>
        <w:rPr>
          <w:rFonts w:ascii="Times New Roman" w:eastAsia="宋体" w:hAnsi="Times New Roman"/>
          <w:color w:val="000000"/>
          <w:sz w:val="20"/>
          <w:szCs w:val="20"/>
        </w:rPr>
        <w:t>93</w:t>
      </w:r>
    </w:p>
    <w:p w14:paraId="00BB0AF9" w14:textId="77777777" w:rsidR="00871BDF" w:rsidRDefault="005C5088">
      <w:r>
        <w:pict w14:anchorId="00BB14C2">
          <v:rect id="_x0000_i1120" style="width:415.3pt;height:1.5pt" o:hralign="center" o:hrstd="t" o:hr="t" fillcolor="#a0a0a0" stroked="f"/>
        </w:pict>
      </w:r>
    </w:p>
    <w:p w14:paraId="00BB0AFA" w14:textId="77777777" w:rsidR="00871BDF" w:rsidRDefault="005C5088">
      <w:hyperlink r:id="rId240" w:anchor="i54ccc64cb5384be5a4849ef1cdef4dde_7" w:history="1">
        <w:r>
          <w:rPr>
            <w:rStyle w:val="a5"/>
            <w:rFonts w:ascii="Times New Roman" w:eastAsia="宋体" w:hAnsi="Times New Roman"/>
            <w:sz w:val="20"/>
            <w:szCs w:val="20"/>
          </w:rPr>
          <w:t>Table of Contents</w:t>
        </w:r>
      </w:hyperlink>
    </w:p>
    <w:p w14:paraId="00BB0AFB" w14:textId="77777777" w:rsidR="00871BDF" w:rsidRDefault="005C5088">
      <w:pPr>
        <w:spacing w:before="120"/>
        <w:jc w:val="center"/>
      </w:pPr>
      <w:r>
        <w:rPr>
          <w:rFonts w:ascii="Times New Roman" w:eastAsia="宋体" w:hAnsi="Times New Roman"/>
          <w:b/>
          <w:bCs/>
          <w:color w:val="00704A"/>
          <w:sz w:val="20"/>
          <w:szCs w:val="20"/>
        </w:rPr>
        <w:t>PART III</w:t>
      </w:r>
    </w:p>
    <w:p w14:paraId="00BB0AFC" w14:textId="77777777" w:rsidR="00871BDF" w:rsidRDefault="00871BDF"/>
    <w:p w14:paraId="00BB0AFD" w14:textId="77777777" w:rsidR="00871BDF" w:rsidRDefault="005C5088">
      <w:pPr>
        <w:spacing w:before="120"/>
        <w:ind w:hanging="810"/>
      </w:pPr>
      <w:r>
        <w:rPr>
          <w:rFonts w:ascii="Times New Roman" w:eastAsia="宋体" w:hAnsi="Times New Roman"/>
          <w:b/>
          <w:bCs/>
          <w:color w:val="00704A"/>
          <w:sz w:val="20"/>
          <w:szCs w:val="20"/>
        </w:rPr>
        <w:t>Item 10.</w:t>
      </w:r>
      <w:r>
        <w:rPr>
          <w:rFonts w:ascii="Times New Roman" w:eastAsia="宋体" w:hAnsi="Times New Roman"/>
          <w:b/>
          <w:bCs/>
          <w:i/>
          <w:iCs/>
          <w:color w:val="00704A"/>
          <w:sz w:val="20"/>
          <w:szCs w:val="20"/>
        </w:rPr>
        <w:t>Directors, Executive Officers and Corporate Governance</w:t>
      </w:r>
    </w:p>
    <w:p w14:paraId="00BB0AFE" w14:textId="77777777" w:rsidR="00871BDF" w:rsidRDefault="005C5088">
      <w:pPr>
        <w:spacing w:before="120"/>
      </w:pPr>
      <w:r>
        <w:rPr>
          <w:rFonts w:ascii="Times New Roman" w:eastAsia="宋体" w:hAnsi="Times New Roman"/>
          <w:color w:val="000000"/>
          <w:sz w:val="20"/>
          <w:szCs w:val="20"/>
        </w:rPr>
        <w:t>Information regarding our executive officers is set forth in</w:t>
      </w:r>
      <w:r>
        <w:rPr>
          <w:rFonts w:ascii="Times New Roman" w:eastAsia="宋体" w:hAnsi="Times New Roman"/>
          <w:color w:val="000000"/>
          <w:sz w:val="20"/>
          <w:szCs w:val="20"/>
        </w:rPr>
        <w:t xml:space="preserve"> Item 1 of Part 1 of this Report under the caption “Information about our Executive Officers.”</w:t>
      </w:r>
    </w:p>
    <w:p w14:paraId="00BB0AFF" w14:textId="77777777" w:rsidR="00871BDF" w:rsidRDefault="005C5088">
      <w:pPr>
        <w:spacing w:before="120"/>
      </w:pPr>
      <w:r>
        <w:rPr>
          <w:rFonts w:ascii="Times New Roman" w:eastAsia="宋体" w:hAnsi="Times New Roman"/>
          <w:color w:val="000000"/>
          <w:sz w:val="20"/>
          <w:szCs w:val="20"/>
        </w:rPr>
        <w:t>We adopted a code of ethics that applies to our chief executive officer, chief financial officer, controller and other finance leaders, which is a “code of ethic</w:t>
      </w:r>
      <w:r>
        <w:rPr>
          <w:rFonts w:ascii="Times New Roman" w:eastAsia="宋体" w:hAnsi="Times New Roman"/>
          <w:color w:val="000000"/>
          <w:sz w:val="20"/>
          <w:szCs w:val="20"/>
        </w:rPr>
        <w:t>s” as defined by applicable rules of the SEC. This code is publicly available on our website at www.starbucks.com/about-us/company-information/corporate-governance. If we make any amendments to this code other than technical, administrative or other non-su</w:t>
      </w:r>
      <w:r>
        <w:rPr>
          <w:rFonts w:ascii="Times New Roman" w:eastAsia="宋体" w:hAnsi="Times New Roman"/>
          <w:color w:val="000000"/>
          <w:sz w:val="20"/>
          <w:szCs w:val="20"/>
        </w:rPr>
        <w:t>bstantive amendments, or grant any waivers, including implicit waivers, from a provision of this code to our chief executive officer, chief operating officer, chief financial officer, chief accounting officer or controller, we will disclose the nature of t</w:t>
      </w:r>
      <w:r>
        <w:rPr>
          <w:rFonts w:ascii="Times New Roman" w:eastAsia="宋体" w:hAnsi="Times New Roman"/>
          <w:color w:val="000000"/>
          <w:sz w:val="20"/>
          <w:szCs w:val="20"/>
        </w:rPr>
        <w:t>he amendment or waiver, its effective date and to whom it applies on our website at www.starbucks.com/about-us/company-information/corporate-governance or in a report on Form 8-K filed with the SEC.</w:t>
      </w:r>
    </w:p>
    <w:p w14:paraId="00BB0B00" w14:textId="77777777" w:rsidR="00871BDF" w:rsidRDefault="005C5088">
      <w:pPr>
        <w:spacing w:before="120"/>
      </w:pPr>
      <w:r>
        <w:rPr>
          <w:rFonts w:ascii="Times New Roman" w:eastAsia="宋体" w:hAnsi="Times New Roman"/>
          <w:color w:val="000000"/>
          <w:sz w:val="20"/>
          <w:szCs w:val="20"/>
        </w:rPr>
        <w:t xml:space="preserve">The remaining information required by this item is </w:t>
      </w:r>
      <w:r>
        <w:rPr>
          <w:rFonts w:ascii="Times New Roman" w:eastAsia="宋体" w:hAnsi="Times New Roman"/>
          <w:color w:val="000000"/>
          <w:sz w:val="20"/>
          <w:szCs w:val="20"/>
        </w:rPr>
        <w:t>incorporated herein by reference to the sections entitled “Proposal 1 — Election of Directors,” “Beneficial Ownership of Common Stock,” “Corporate Governance” and “Corporate Governance — Audit and Compliance Committee” in our definitive Proxy Statement for</w:t>
      </w:r>
      <w:r>
        <w:rPr>
          <w:rFonts w:ascii="Times New Roman" w:eastAsia="宋体" w:hAnsi="Times New Roman"/>
          <w:color w:val="000000"/>
          <w:sz w:val="20"/>
          <w:szCs w:val="20"/>
        </w:rPr>
        <w:t xml:space="preserve"> the Annual Meeting of Shareholders to be held on March 17, 2021 (the “Proxy Statement”).</w:t>
      </w:r>
    </w:p>
    <w:p w14:paraId="00BB0B01" w14:textId="77777777" w:rsidR="00871BDF" w:rsidRDefault="00871BDF"/>
    <w:p w14:paraId="00BB0B02" w14:textId="77777777" w:rsidR="00871BDF" w:rsidRDefault="005C5088">
      <w:pPr>
        <w:spacing w:before="120"/>
        <w:ind w:hanging="810"/>
      </w:pPr>
      <w:r>
        <w:rPr>
          <w:rFonts w:ascii="Times New Roman" w:eastAsia="宋体" w:hAnsi="Times New Roman"/>
          <w:b/>
          <w:bCs/>
          <w:color w:val="00704A"/>
          <w:sz w:val="20"/>
          <w:szCs w:val="20"/>
        </w:rPr>
        <w:t>Item 11.</w:t>
      </w:r>
      <w:r>
        <w:rPr>
          <w:rFonts w:ascii="Times New Roman" w:eastAsia="宋体" w:hAnsi="Times New Roman"/>
          <w:b/>
          <w:bCs/>
          <w:i/>
          <w:iCs/>
          <w:color w:val="00704A"/>
          <w:sz w:val="20"/>
          <w:szCs w:val="20"/>
        </w:rPr>
        <w:t>Executive Compensation</w:t>
      </w:r>
    </w:p>
    <w:p w14:paraId="00BB0B03" w14:textId="77777777" w:rsidR="00871BDF" w:rsidRDefault="005C5088">
      <w:pPr>
        <w:spacing w:before="120"/>
      </w:pPr>
      <w:r>
        <w:rPr>
          <w:rFonts w:ascii="Times New Roman" w:eastAsia="宋体" w:hAnsi="Times New Roman"/>
          <w:color w:val="000000"/>
          <w:sz w:val="20"/>
          <w:szCs w:val="20"/>
        </w:rPr>
        <w:t>The information required by this item is incorporated by reference to the section entitled “Executive Compensation,” in the Proxy Stat</w:t>
      </w:r>
      <w:r>
        <w:rPr>
          <w:rFonts w:ascii="Times New Roman" w:eastAsia="宋体" w:hAnsi="Times New Roman"/>
          <w:color w:val="000000"/>
          <w:sz w:val="20"/>
          <w:szCs w:val="20"/>
        </w:rPr>
        <w:t>ement.</w:t>
      </w:r>
    </w:p>
    <w:p w14:paraId="00BB0B04" w14:textId="77777777" w:rsidR="00871BDF" w:rsidRDefault="00871BDF">
      <w:pPr>
        <w:spacing w:before="120"/>
      </w:pPr>
    </w:p>
    <w:p w14:paraId="00BB0B05" w14:textId="77777777" w:rsidR="00871BDF" w:rsidRDefault="005C5088">
      <w:pPr>
        <w:spacing w:before="120"/>
        <w:ind w:hanging="810"/>
      </w:pPr>
      <w:r>
        <w:rPr>
          <w:rFonts w:ascii="Times New Roman" w:eastAsia="宋体" w:hAnsi="Times New Roman"/>
          <w:b/>
          <w:bCs/>
          <w:color w:val="00704A"/>
          <w:sz w:val="20"/>
          <w:szCs w:val="20"/>
        </w:rPr>
        <w:t>Item 12.</w:t>
      </w:r>
      <w:r>
        <w:rPr>
          <w:rFonts w:ascii="Times New Roman" w:eastAsia="宋体" w:hAnsi="Times New Roman"/>
          <w:b/>
          <w:bCs/>
          <w:i/>
          <w:iCs/>
          <w:color w:val="00704A"/>
          <w:sz w:val="20"/>
          <w:szCs w:val="20"/>
        </w:rPr>
        <w:t>Security Ownership of Certain Beneficial Owners and Management and Related Shareholder Matters</w:t>
      </w:r>
    </w:p>
    <w:p w14:paraId="00BB0B06" w14:textId="77777777" w:rsidR="00871BDF" w:rsidRDefault="005C5088">
      <w:pPr>
        <w:spacing w:before="120"/>
      </w:pPr>
      <w:r>
        <w:rPr>
          <w:rFonts w:ascii="Times New Roman" w:eastAsia="宋体" w:hAnsi="Times New Roman"/>
          <w:color w:val="000000"/>
          <w:sz w:val="20"/>
          <w:szCs w:val="20"/>
        </w:rPr>
        <w:t>The information required by this item is incorporated by reference to the sections entitled “Equity Compensation Plan Information” and “Beneficia</w:t>
      </w:r>
      <w:r>
        <w:rPr>
          <w:rFonts w:ascii="Times New Roman" w:eastAsia="宋体" w:hAnsi="Times New Roman"/>
          <w:color w:val="000000"/>
          <w:sz w:val="20"/>
          <w:szCs w:val="20"/>
        </w:rPr>
        <w:t>l Ownership of Common Stock” in the Proxy Statement.</w:t>
      </w:r>
    </w:p>
    <w:p w14:paraId="00BB0B07" w14:textId="77777777" w:rsidR="00871BDF" w:rsidRDefault="00871BDF"/>
    <w:p w14:paraId="00BB0B08" w14:textId="77777777" w:rsidR="00871BDF" w:rsidRDefault="00871BDF"/>
    <w:p w14:paraId="00BB0B09" w14:textId="77777777" w:rsidR="00871BDF" w:rsidRDefault="005C5088">
      <w:pPr>
        <w:spacing w:before="120"/>
        <w:ind w:hanging="810"/>
      </w:pPr>
      <w:r>
        <w:rPr>
          <w:rFonts w:ascii="Times New Roman" w:eastAsia="宋体" w:hAnsi="Times New Roman"/>
          <w:b/>
          <w:bCs/>
          <w:color w:val="00704A"/>
          <w:sz w:val="20"/>
          <w:szCs w:val="20"/>
        </w:rPr>
        <w:t>Item 13.</w:t>
      </w:r>
      <w:r>
        <w:rPr>
          <w:rFonts w:ascii="Times New Roman" w:eastAsia="宋体" w:hAnsi="Times New Roman"/>
          <w:b/>
          <w:bCs/>
          <w:i/>
          <w:iCs/>
          <w:color w:val="00704A"/>
          <w:sz w:val="20"/>
          <w:szCs w:val="20"/>
        </w:rPr>
        <w:t>Certain Relationships, Related Transactions and Director Independence</w:t>
      </w:r>
    </w:p>
    <w:p w14:paraId="00BB0B0A" w14:textId="77777777" w:rsidR="00871BDF" w:rsidRDefault="005C5088">
      <w:pPr>
        <w:spacing w:before="120"/>
      </w:pPr>
      <w:r>
        <w:rPr>
          <w:rFonts w:ascii="Times New Roman" w:eastAsia="宋体" w:hAnsi="Times New Roman"/>
          <w:color w:val="000000"/>
          <w:sz w:val="20"/>
          <w:szCs w:val="20"/>
        </w:rPr>
        <w:t xml:space="preserve">The information required by this item is incorporated by reference to the section entitled “Certain </w:t>
      </w:r>
      <w:r>
        <w:rPr>
          <w:rFonts w:ascii="Times New Roman" w:eastAsia="宋体" w:hAnsi="Times New Roman"/>
          <w:color w:val="000000"/>
          <w:sz w:val="20"/>
          <w:szCs w:val="20"/>
        </w:rPr>
        <w:t>Relationships and Related Person Transactions” and “Corporate Governance — Affirmative Determinations Regarding Director Independence and Other Matters” in the Proxy Statement.</w:t>
      </w:r>
    </w:p>
    <w:p w14:paraId="00BB0B0B" w14:textId="77777777" w:rsidR="00871BDF" w:rsidRDefault="00871BDF"/>
    <w:p w14:paraId="00BB0B0C" w14:textId="77777777" w:rsidR="00871BDF" w:rsidRDefault="00871BDF"/>
    <w:p w14:paraId="00BB0B0D" w14:textId="77777777" w:rsidR="00871BDF" w:rsidRDefault="005C5088">
      <w:pPr>
        <w:spacing w:before="120"/>
        <w:ind w:hanging="810"/>
      </w:pPr>
      <w:r>
        <w:rPr>
          <w:rFonts w:ascii="Times New Roman" w:eastAsia="宋体" w:hAnsi="Times New Roman"/>
          <w:b/>
          <w:bCs/>
          <w:color w:val="00704A"/>
          <w:sz w:val="20"/>
          <w:szCs w:val="20"/>
        </w:rPr>
        <w:t>Item 14.</w:t>
      </w:r>
      <w:r>
        <w:rPr>
          <w:rFonts w:ascii="Times New Roman" w:eastAsia="宋体" w:hAnsi="Times New Roman"/>
          <w:b/>
          <w:bCs/>
          <w:i/>
          <w:iCs/>
          <w:color w:val="00704A"/>
          <w:sz w:val="20"/>
          <w:szCs w:val="20"/>
        </w:rPr>
        <w:t>Principal Accounting Fees and Services</w:t>
      </w:r>
    </w:p>
    <w:p w14:paraId="00BB0B0E" w14:textId="77777777" w:rsidR="00871BDF" w:rsidRDefault="005C5088">
      <w:pPr>
        <w:spacing w:before="120"/>
      </w:pPr>
      <w:r>
        <w:rPr>
          <w:rFonts w:ascii="Times New Roman" w:eastAsia="宋体" w:hAnsi="Times New Roman"/>
          <w:color w:val="000000"/>
          <w:sz w:val="20"/>
          <w:szCs w:val="20"/>
        </w:rPr>
        <w:t>The information required by th</w:t>
      </w:r>
      <w:r>
        <w:rPr>
          <w:rFonts w:ascii="Times New Roman" w:eastAsia="宋体" w:hAnsi="Times New Roman"/>
          <w:color w:val="000000"/>
          <w:sz w:val="20"/>
          <w:szCs w:val="20"/>
        </w:rPr>
        <w:t>is item is incorporated by reference to the sections entitled “Proposal 3 - Ratification of Selection of Deloitte &amp; Touche LLP as our Independent Registered Public Accounting Firm - Independent Registered Public Accounting Firm Fees” and “Proposal 3 - Rati</w:t>
      </w:r>
      <w:r>
        <w:rPr>
          <w:rFonts w:ascii="Times New Roman" w:eastAsia="宋体" w:hAnsi="Times New Roman"/>
          <w:color w:val="000000"/>
          <w:sz w:val="20"/>
          <w:szCs w:val="20"/>
        </w:rPr>
        <w:t>fication of Selection of Deloitte &amp; Touche LLP as our Independent Registered Public Accounting Firm - Policy on Audit Committee Pre-Approval of Audit and Permissible Non-Audit Services of the Independent Registered Public Accounting Firm” in the Proxy Stat</w:t>
      </w:r>
      <w:r>
        <w:rPr>
          <w:rFonts w:ascii="Times New Roman" w:eastAsia="宋体" w:hAnsi="Times New Roman"/>
          <w:color w:val="000000"/>
          <w:sz w:val="20"/>
          <w:szCs w:val="20"/>
        </w:rPr>
        <w:t>ement.</w:t>
      </w:r>
    </w:p>
    <w:p w14:paraId="00BB0B0F" w14:textId="77777777" w:rsidR="00871BDF" w:rsidRDefault="00871BDF"/>
    <w:p w14:paraId="00BB0B10" w14:textId="77777777" w:rsidR="00871BDF" w:rsidRDefault="005C5088">
      <w:pPr>
        <w:jc w:val="center"/>
      </w:pPr>
      <w:r>
        <w:rPr>
          <w:rFonts w:ascii="Times New Roman" w:eastAsia="宋体" w:hAnsi="Times New Roman"/>
          <w:color w:val="000000"/>
          <w:sz w:val="20"/>
          <w:szCs w:val="20"/>
        </w:rPr>
        <w:t>94</w:t>
      </w:r>
    </w:p>
    <w:p w14:paraId="00BB0B11" w14:textId="77777777" w:rsidR="00871BDF" w:rsidRDefault="005C5088">
      <w:r>
        <w:pict w14:anchorId="00BB14C3">
          <v:rect id="_x0000_i1121" style="width:415.3pt;height:1.5pt" o:hralign="center" o:hrstd="t" o:hr="t" fillcolor="#a0a0a0" stroked="f"/>
        </w:pict>
      </w:r>
    </w:p>
    <w:p w14:paraId="00BB0B12" w14:textId="77777777" w:rsidR="00871BDF" w:rsidRDefault="005C5088">
      <w:hyperlink r:id="rId241" w:anchor="i54ccc64cb5384be5a4849ef1cdef4dde_7" w:history="1">
        <w:r>
          <w:rPr>
            <w:rStyle w:val="a5"/>
            <w:rFonts w:ascii="Times New Roman" w:eastAsia="宋体" w:hAnsi="Times New Roman"/>
            <w:sz w:val="20"/>
            <w:szCs w:val="20"/>
          </w:rPr>
          <w:t>Table of Contents</w:t>
        </w:r>
      </w:hyperlink>
    </w:p>
    <w:p w14:paraId="00BB0B13" w14:textId="77777777" w:rsidR="00871BDF" w:rsidRDefault="005C5088">
      <w:pPr>
        <w:spacing w:before="120"/>
        <w:jc w:val="center"/>
      </w:pPr>
      <w:r>
        <w:rPr>
          <w:rFonts w:ascii="Times New Roman" w:eastAsia="宋体" w:hAnsi="Times New Roman"/>
          <w:b/>
          <w:bCs/>
          <w:color w:val="00704A"/>
          <w:sz w:val="20"/>
          <w:szCs w:val="20"/>
        </w:rPr>
        <w:t>PART IV</w:t>
      </w:r>
    </w:p>
    <w:p w14:paraId="00BB0B14" w14:textId="77777777" w:rsidR="00871BDF" w:rsidRDefault="00871BDF"/>
    <w:p w14:paraId="00BB0B15" w14:textId="77777777" w:rsidR="00871BDF" w:rsidRDefault="005C5088">
      <w:pPr>
        <w:spacing w:before="120"/>
        <w:ind w:hanging="810"/>
      </w:pPr>
      <w:r>
        <w:rPr>
          <w:rFonts w:ascii="Times New Roman" w:eastAsia="宋体" w:hAnsi="Times New Roman"/>
          <w:b/>
          <w:bCs/>
          <w:color w:val="00704A"/>
          <w:sz w:val="20"/>
          <w:szCs w:val="20"/>
        </w:rPr>
        <w:t>Item 15.</w:t>
      </w:r>
      <w:r>
        <w:rPr>
          <w:rFonts w:ascii="Times New Roman" w:eastAsia="宋体" w:hAnsi="Times New Roman"/>
          <w:b/>
          <w:bCs/>
          <w:i/>
          <w:iCs/>
          <w:color w:val="00704A"/>
          <w:sz w:val="20"/>
          <w:szCs w:val="20"/>
        </w:rPr>
        <w:t>Exhibits, Financial Statement Schedules</w:t>
      </w:r>
    </w:p>
    <w:p w14:paraId="00BB0B16" w14:textId="77777777" w:rsidR="00871BDF" w:rsidRDefault="005C5088">
      <w:pPr>
        <w:spacing w:before="120"/>
      </w:pPr>
      <w:r>
        <w:rPr>
          <w:rFonts w:ascii="Times New Roman" w:eastAsia="宋体" w:hAnsi="Times New Roman"/>
          <w:color w:val="000000"/>
          <w:sz w:val="20"/>
          <w:szCs w:val="20"/>
        </w:rPr>
        <w:t>(a) The followi</w:t>
      </w:r>
      <w:r>
        <w:rPr>
          <w:rFonts w:ascii="Times New Roman" w:eastAsia="宋体" w:hAnsi="Times New Roman"/>
          <w:color w:val="000000"/>
          <w:sz w:val="20"/>
          <w:szCs w:val="20"/>
        </w:rPr>
        <w:t>ng documents are filed as a part of this 10-K:</w:t>
      </w:r>
    </w:p>
    <w:p w14:paraId="00BB0B17" w14:textId="77777777" w:rsidR="00871BDF" w:rsidRDefault="005C5088">
      <w:pPr>
        <w:spacing w:before="120"/>
      </w:pPr>
      <w:r>
        <w:rPr>
          <w:rFonts w:ascii="Times New Roman" w:eastAsia="宋体" w:hAnsi="Times New Roman"/>
          <w:b/>
          <w:bCs/>
          <w:color w:val="000000"/>
          <w:sz w:val="20"/>
          <w:szCs w:val="20"/>
        </w:rPr>
        <w:t>1.    Financial Statements</w:t>
      </w:r>
    </w:p>
    <w:p w14:paraId="00BB0B18" w14:textId="77777777" w:rsidR="00871BDF" w:rsidRDefault="005C5088">
      <w:pPr>
        <w:spacing w:before="120"/>
      </w:pPr>
      <w:r>
        <w:rPr>
          <w:rFonts w:ascii="Times New Roman" w:eastAsia="宋体" w:hAnsi="Times New Roman"/>
          <w:color w:val="000000"/>
          <w:sz w:val="20"/>
          <w:szCs w:val="20"/>
        </w:rPr>
        <w:t>The following financial statements are included in Part II, Item 8 of this 10-K:</w:t>
      </w:r>
    </w:p>
    <w:p w14:paraId="00BB0B19" w14:textId="77777777" w:rsidR="00871BDF" w:rsidRDefault="005C5088">
      <w:pPr>
        <w:spacing w:before="120"/>
        <w:ind w:hanging="180"/>
      </w:pPr>
      <w:r>
        <w:rPr>
          <w:rFonts w:ascii="Times New Roman" w:eastAsia="宋体" w:hAnsi="Times New Roman"/>
          <w:color w:val="000000"/>
          <w:sz w:val="20"/>
          <w:szCs w:val="20"/>
        </w:rPr>
        <w:t xml:space="preserve">•Consolidated Statements of Earnings for the fiscal years ended September 27, 2020, </w:t>
      </w:r>
      <w:r>
        <w:rPr>
          <w:rFonts w:ascii="Times New Roman" w:eastAsia="宋体" w:hAnsi="Times New Roman"/>
          <w:color w:val="000000"/>
          <w:sz w:val="20"/>
          <w:szCs w:val="20"/>
        </w:rPr>
        <w:t>September 29, 2019, and September 30, 2018;</w:t>
      </w:r>
    </w:p>
    <w:p w14:paraId="00BB0B1A" w14:textId="77777777" w:rsidR="00871BDF" w:rsidRDefault="005C5088">
      <w:pPr>
        <w:spacing w:before="120"/>
        <w:ind w:hanging="180"/>
      </w:pPr>
      <w:r>
        <w:rPr>
          <w:rFonts w:ascii="Times New Roman" w:eastAsia="宋体" w:hAnsi="Times New Roman"/>
          <w:color w:val="000000"/>
          <w:sz w:val="20"/>
          <w:szCs w:val="20"/>
        </w:rPr>
        <w:t>•Consolidated Statements of Comprehensive Income for the fiscal years ended September 27, 2020, September 29, 2019, and September 30, 2018;</w:t>
      </w:r>
    </w:p>
    <w:p w14:paraId="00BB0B1B" w14:textId="77777777" w:rsidR="00871BDF" w:rsidRDefault="005C5088">
      <w:pPr>
        <w:spacing w:before="120"/>
        <w:ind w:hanging="180"/>
      </w:pPr>
      <w:r>
        <w:rPr>
          <w:rFonts w:ascii="Times New Roman" w:eastAsia="宋体" w:hAnsi="Times New Roman"/>
          <w:color w:val="000000"/>
          <w:sz w:val="20"/>
          <w:szCs w:val="20"/>
        </w:rPr>
        <w:t xml:space="preserve">•Consolidated Balance Sheets as of September 27, 2020 and September 29, </w:t>
      </w:r>
      <w:r>
        <w:rPr>
          <w:rFonts w:ascii="Times New Roman" w:eastAsia="宋体" w:hAnsi="Times New Roman"/>
          <w:color w:val="000000"/>
          <w:sz w:val="20"/>
          <w:szCs w:val="20"/>
        </w:rPr>
        <w:t>2019;</w:t>
      </w:r>
    </w:p>
    <w:p w14:paraId="00BB0B1C" w14:textId="77777777" w:rsidR="00871BDF" w:rsidRDefault="005C5088">
      <w:pPr>
        <w:spacing w:before="120"/>
        <w:ind w:hanging="180"/>
      </w:pPr>
      <w:r>
        <w:rPr>
          <w:rFonts w:ascii="Times New Roman" w:eastAsia="宋体" w:hAnsi="Times New Roman"/>
          <w:color w:val="000000"/>
          <w:sz w:val="20"/>
          <w:szCs w:val="20"/>
        </w:rPr>
        <w:t>•Consolidated Statements of Cash Flows for the fiscal years ended September 27, 2020, September 29, 2019, and September 30, 2018;</w:t>
      </w:r>
    </w:p>
    <w:p w14:paraId="00BB0B1D" w14:textId="77777777" w:rsidR="00871BDF" w:rsidRDefault="005C5088">
      <w:pPr>
        <w:spacing w:before="120"/>
        <w:ind w:hanging="180"/>
      </w:pPr>
      <w:r>
        <w:rPr>
          <w:rFonts w:ascii="Times New Roman" w:eastAsia="宋体" w:hAnsi="Times New Roman"/>
          <w:color w:val="000000"/>
          <w:sz w:val="20"/>
          <w:szCs w:val="20"/>
        </w:rPr>
        <w:t xml:space="preserve">•Consolidated Statements of Equity for the fiscal years ended September 27, 2020, September 29, 2019, and September 30, </w:t>
      </w:r>
      <w:r>
        <w:rPr>
          <w:rFonts w:ascii="Times New Roman" w:eastAsia="宋体" w:hAnsi="Times New Roman"/>
          <w:color w:val="000000"/>
          <w:sz w:val="20"/>
          <w:szCs w:val="20"/>
        </w:rPr>
        <w:t>2018;</w:t>
      </w:r>
    </w:p>
    <w:p w14:paraId="00BB0B1E" w14:textId="77777777" w:rsidR="00871BDF" w:rsidRDefault="005C5088">
      <w:pPr>
        <w:spacing w:before="120"/>
        <w:ind w:hanging="180"/>
      </w:pPr>
      <w:r>
        <w:rPr>
          <w:rFonts w:ascii="Times New Roman" w:eastAsia="宋体" w:hAnsi="Times New Roman"/>
          <w:color w:val="000000"/>
          <w:sz w:val="20"/>
          <w:szCs w:val="20"/>
        </w:rPr>
        <w:t>•Notes to Consolidated Financial Statements; and</w:t>
      </w:r>
    </w:p>
    <w:p w14:paraId="00BB0B1F" w14:textId="77777777" w:rsidR="00871BDF" w:rsidRDefault="005C5088">
      <w:pPr>
        <w:spacing w:before="120"/>
        <w:ind w:hanging="180"/>
      </w:pPr>
      <w:r>
        <w:rPr>
          <w:rFonts w:ascii="Times New Roman" w:eastAsia="宋体" w:hAnsi="Times New Roman"/>
          <w:color w:val="000000"/>
          <w:sz w:val="20"/>
          <w:szCs w:val="20"/>
        </w:rPr>
        <w:t>•Reports of Independent Registered Public Accounting Firm</w:t>
      </w:r>
    </w:p>
    <w:p w14:paraId="00BB0B20" w14:textId="77777777" w:rsidR="00871BDF" w:rsidRDefault="005C5088">
      <w:pPr>
        <w:spacing w:before="120"/>
      </w:pPr>
      <w:r>
        <w:rPr>
          <w:rFonts w:ascii="Times New Roman" w:eastAsia="宋体" w:hAnsi="Times New Roman"/>
          <w:b/>
          <w:bCs/>
          <w:color w:val="000000"/>
          <w:sz w:val="20"/>
          <w:szCs w:val="20"/>
        </w:rPr>
        <w:t>2.    Financial Statement Schedules</w:t>
      </w:r>
    </w:p>
    <w:p w14:paraId="00BB0B21" w14:textId="77777777" w:rsidR="00871BDF" w:rsidRDefault="005C5088">
      <w:pPr>
        <w:spacing w:before="120"/>
      </w:pPr>
      <w:r>
        <w:rPr>
          <w:rFonts w:ascii="Times New Roman" w:eastAsia="宋体" w:hAnsi="Times New Roman"/>
          <w:color w:val="000000"/>
          <w:sz w:val="20"/>
          <w:szCs w:val="20"/>
        </w:rPr>
        <w:t xml:space="preserve">Financial statement schedules are omitted because they are not required or are not applicable, or the </w:t>
      </w:r>
      <w:r>
        <w:rPr>
          <w:rFonts w:ascii="Times New Roman" w:eastAsia="宋体" w:hAnsi="Times New Roman"/>
          <w:color w:val="000000"/>
          <w:sz w:val="20"/>
          <w:szCs w:val="20"/>
        </w:rPr>
        <w:t>required information is provided in the consolidated financial statements or notes described in Item 15(a)(1) above.</w:t>
      </w:r>
    </w:p>
    <w:p w14:paraId="00BB0B22" w14:textId="77777777" w:rsidR="00871BDF" w:rsidRDefault="005C5088">
      <w:pPr>
        <w:jc w:val="center"/>
      </w:pPr>
      <w:r>
        <w:rPr>
          <w:rFonts w:ascii="Times New Roman" w:eastAsia="宋体" w:hAnsi="Times New Roman"/>
          <w:color w:val="000000"/>
          <w:sz w:val="20"/>
          <w:szCs w:val="20"/>
        </w:rPr>
        <w:t>95</w:t>
      </w:r>
    </w:p>
    <w:p w14:paraId="00BB0B23" w14:textId="77777777" w:rsidR="00871BDF" w:rsidRDefault="005C5088">
      <w:r>
        <w:pict w14:anchorId="00BB14C4">
          <v:rect id="_x0000_i1122" style="width:415.3pt;height:1.5pt" o:hralign="center" o:hrstd="t" o:hr="t" fillcolor="#a0a0a0" stroked="f"/>
        </w:pict>
      </w:r>
    </w:p>
    <w:p w14:paraId="00BB0B24" w14:textId="77777777" w:rsidR="00871BDF" w:rsidRDefault="005C5088">
      <w:hyperlink r:id="rId242" w:anchor="i54ccc64cb5384be5a4849ef1cdef4dde_7" w:history="1">
        <w:r>
          <w:rPr>
            <w:rStyle w:val="a5"/>
            <w:rFonts w:ascii="Times New Roman" w:eastAsia="宋体" w:hAnsi="Times New Roman"/>
            <w:sz w:val="20"/>
            <w:szCs w:val="20"/>
          </w:rPr>
          <w:t>Table of Contents</w:t>
        </w:r>
      </w:hyperlink>
    </w:p>
    <w:p w14:paraId="00BB0B25" w14:textId="77777777" w:rsidR="00871BDF" w:rsidRDefault="005C5088">
      <w:pPr>
        <w:spacing w:before="120"/>
      </w:pPr>
      <w:r>
        <w:rPr>
          <w:rFonts w:ascii="Times New Roman" w:eastAsia="宋体" w:hAnsi="Times New Roman"/>
          <w:b/>
          <w:bCs/>
          <w:color w:val="000000"/>
          <w:sz w:val="20"/>
          <w:szCs w:val="20"/>
        </w:rPr>
        <w:t>3.    Exhibits</w:t>
      </w:r>
    </w:p>
    <w:p w14:paraId="00BB0B26" w14:textId="77777777" w:rsidR="00871BDF" w:rsidRDefault="00871BDF">
      <w:pPr>
        <w:jc w:val="center"/>
      </w:pPr>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59"/>
        <w:gridCol w:w="36"/>
        <w:gridCol w:w="36"/>
        <w:gridCol w:w="36"/>
        <w:gridCol w:w="36"/>
        <w:gridCol w:w="40"/>
        <w:gridCol w:w="2468"/>
        <w:gridCol w:w="38"/>
        <w:gridCol w:w="36"/>
        <w:gridCol w:w="36"/>
        <w:gridCol w:w="36"/>
        <w:gridCol w:w="64"/>
        <w:gridCol w:w="740"/>
        <w:gridCol w:w="37"/>
        <w:gridCol w:w="37"/>
        <w:gridCol w:w="37"/>
        <w:gridCol w:w="37"/>
        <w:gridCol w:w="91"/>
        <w:gridCol w:w="907"/>
        <w:gridCol w:w="37"/>
        <w:gridCol w:w="36"/>
        <w:gridCol w:w="36"/>
        <w:gridCol w:w="36"/>
        <w:gridCol w:w="85"/>
        <w:gridCol w:w="859"/>
        <w:gridCol w:w="39"/>
        <w:gridCol w:w="36"/>
        <w:gridCol w:w="36"/>
        <w:gridCol w:w="36"/>
        <w:gridCol w:w="55"/>
        <w:gridCol w:w="685"/>
        <w:gridCol w:w="36"/>
        <w:gridCol w:w="36"/>
        <w:gridCol w:w="36"/>
        <w:gridCol w:w="36"/>
        <w:gridCol w:w="74"/>
        <w:gridCol w:w="599"/>
        <w:gridCol w:w="36"/>
      </w:tblGrid>
      <w:tr w:rsidR="00871BDF" w14:paraId="00BB0B4E" w14:textId="77777777">
        <w:trPr>
          <w:jc w:val="center"/>
        </w:trPr>
        <w:tc>
          <w:tcPr>
            <w:tcW w:w="50" w:type="pct"/>
            <w:shd w:val="clear" w:color="auto" w:fill="auto"/>
          </w:tcPr>
          <w:p w14:paraId="00BB0B27" w14:textId="77777777" w:rsidR="00871BDF" w:rsidRDefault="00871BDF">
            <w:pPr>
              <w:rPr>
                <w:rFonts w:ascii="宋体"/>
              </w:rPr>
            </w:pPr>
          </w:p>
        </w:tc>
        <w:tc>
          <w:tcPr>
            <w:tcW w:w="436" w:type="pct"/>
            <w:shd w:val="clear" w:color="auto" w:fill="auto"/>
          </w:tcPr>
          <w:p w14:paraId="00BB0B28" w14:textId="77777777" w:rsidR="00871BDF" w:rsidRDefault="00871BDF">
            <w:pPr>
              <w:rPr>
                <w:rFonts w:ascii="宋体"/>
              </w:rPr>
            </w:pPr>
          </w:p>
        </w:tc>
        <w:tc>
          <w:tcPr>
            <w:tcW w:w="5" w:type="pct"/>
            <w:shd w:val="clear" w:color="auto" w:fill="auto"/>
          </w:tcPr>
          <w:p w14:paraId="00BB0B29" w14:textId="77777777" w:rsidR="00871BDF" w:rsidRDefault="00871BDF">
            <w:pPr>
              <w:rPr>
                <w:rFonts w:ascii="宋体"/>
              </w:rPr>
            </w:pPr>
          </w:p>
        </w:tc>
        <w:tc>
          <w:tcPr>
            <w:tcW w:w="5" w:type="pct"/>
            <w:shd w:val="clear" w:color="auto" w:fill="auto"/>
          </w:tcPr>
          <w:p w14:paraId="00BB0B2A" w14:textId="77777777" w:rsidR="00871BDF" w:rsidRDefault="00871BDF">
            <w:pPr>
              <w:rPr>
                <w:rFonts w:ascii="宋体"/>
              </w:rPr>
            </w:pPr>
          </w:p>
        </w:tc>
        <w:tc>
          <w:tcPr>
            <w:tcW w:w="26" w:type="pct"/>
            <w:shd w:val="clear" w:color="auto" w:fill="auto"/>
          </w:tcPr>
          <w:p w14:paraId="00BB0B2B" w14:textId="77777777" w:rsidR="00871BDF" w:rsidRDefault="00871BDF">
            <w:pPr>
              <w:rPr>
                <w:rFonts w:ascii="宋体"/>
              </w:rPr>
            </w:pPr>
          </w:p>
        </w:tc>
        <w:tc>
          <w:tcPr>
            <w:tcW w:w="5" w:type="pct"/>
            <w:shd w:val="clear" w:color="auto" w:fill="auto"/>
          </w:tcPr>
          <w:p w14:paraId="00BB0B2C" w14:textId="77777777" w:rsidR="00871BDF" w:rsidRDefault="00871BDF">
            <w:pPr>
              <w:rPr>
                <w:rFonts w:ascii="宋体"/>
              </w:rPr>
            </w:pPr>
          </w:p>
        </w:tc>
        <w:tc>
          <w:tcPr>
            <w:tcW w:w="50" w:type="pct"/>
            <w:shd w:val="clear" w:color="auto" w:fill="auto"/>
          </w:tcPr>
          <w:p w14:paraId="00BB0B2D" w14:textId="77777777" w:rsidR="00871BDF" w:rsidRDefault="00871BDF">
            <w:pPr>
              <w:rPr>
                <w:rFonts w:ascii="宋体"/>
              </w:rPr>
            </w:pPr>
          </w:p>
        </w:tc>
        <w:tc>
          <w:tcPr>
            <w:tcW w:w="1530" w:type="pct"/>
            <w:shd w:val="clear" w:color="auto" w:fill="auto"/>
          </w:tcPr>
          <w:p w14:paraId="00BB0B2E" w14:textId="77777777" w:rsidR="00871BDF" w:rsidRDefault="00871BDF">
            <w:pPr>
              <w:rPr>
                <w:rFonts w:ascii="宋体"/>
              </w:rPr>
            </w:pPr>
          </w:p>
        </w:tc>
        <w:tc>
          <w:tcPr>
            <w:tcW w:w="5" w:type="pct"/>
            <w:shd w:val="clear" w:color="auto" w:fill="auto"/>
          </w:tcPr>
          <w:p w14:paraId="00BB0B2F" w14:textId="77777777" w:rsidR="00871BDF" w:rsidRDefault="00871BDF">
            <w:pPr>
              <w:rPr>
                <w:rFonts w:ascii="宋体"/>
              </w:rPr>
            </w:pPr>
          </w:p>
        </w:tc>
        <w:tc>
          <w:tcPr>
            <w:tcW w:w="5" w:type="pct"/>
            <w:shd w:val="clear" w:color="auto" w:fill="auto"/>
          </w:tcPr>
          <w:p w14:paraId="00BB0B30" w14:textId="77777777" w:rsidR="00871BDF" w:rsidRDefault="00871BDF">
            <w:pPr>
              <w:rPr>
                <w:rFonts w:ascii="宋体"/>
              </w:rPr>
            </w:pPr>
          </w:p>
        </w:tc>
        <w:tc>
          <w:tcPr>
            <w:tcW w:w="26" w:type="pct"/>
            <w:shd w:val="clear" w:color="auto" w:fill="auto"/>
          </w:tcPr>
          <w:p w14:paraId="00BB0B31" w14:textId="77777777" w:rsidR="00871BDF" w:rsidRDefault="00871BDF">
            <w:pPr>
              <w:rPr>
                <w:rFonts w:ascii="宋体"/>
              </w:rPr>
            </w:pPr>
          </w:p>
        </w:tc>
        <w:tc>
          <w:tcPr>
            <w:tcW w:w="5" w:type="pct"/>
            <w:shd w:val="clear" w:color="auto" w:fill="auto"/>
          </w:tcPr>
          <w:p w14:paraId="00BB0B32" w14:textId="77777777" w:rsidR="00871BDF" w:rsidRDefault="00871BDF">
            <w:pPr>
              <w:rPr>
                <w:rFonts w:ascii="宋体"/>
              </w:rPr>
            </w:pPr>
          </w:p>
        </w:tc>
        <w:tc>
          <w:tcPr>
            <w:tcW w:w="50" w:type="pct"/>
            <w:shd w:val="clear" w:color="auto" w:fill="auto"/>
          </w:tcPr>
          <w:p w14:paraId="00BB0B33" w14:textId="77777777" w:rsidR="00871BDF" w:rsidRDefault="00871BDF">
            <w:pPr>
              <w:rPr>
                <w:rFonts w:ascii="宋体"/>
              </w:rPr>
            </w:pPr>
          </w:p>
        </w:tc>
        <w:tc>
          <w:tcPr>
            <w:tcW w:w="503" w:type="pct"/>
            <w:shd w:val="clear" w:color="auto" w:fill="auto"/>
          </w:tcPr>
          <w:p w14:paraId="00BB0B34" w14:textId="77777777" w:rsidR="00871BDF" w:rsidRDefault="00871BDF">
            <w:pPr>
              <w:rPr>
                <w:rFonts w:ascii="宋体"/>
              </w:rPr>
            </w:pPr>
          </w:p>
        </w:tc>
        <w:tc>
          <w:tcPr>
            <w:tcW w:w="5" w:type="pct"/>
            <w:shd w:val="clear" w:color="auto" w:fill="auto"/>
          </w:tcPr>
          <w:p w14:paraId="00BB0B35" w14:textId="77777777" w:rsidR="00871BDF" w:rsidRDefault="00871BDF">
            <w:pPr>
              <w:rPr>
                <w:rFonts w:ascii="宋体"/>
              </w:rPr>
            </w:pPr>
          </w:p>
        </w:tc>
        <w:tc>
          <w:tcPr>
            <w:tcW w:w="5" w:type="pct"/>
            <w:shd w:val="clear" w:color="auto" w:fill="auto"/>
          </w:tcPr>
          <w:p w14:paraId="00BB0B36" w14:textId="77777777" w:rsidR="00871BDF" w:rsidRDefault="00871BDF">
            <w:pPr>
              <w:rPr>
                <w:rFonts w:ascii="宋体"/>
              </w:rPr>
            </w:pPr>
          </w:p>
        </w:tc>
        <w:tc>
          <w:tcPr>
            <w:tcW w:w="26" w:type="pct"/>
            <w:shd w:val="clear" w:color="auto" w:fill="auto"/>
          </w:tcPr>
          <w:p w14:paraId="00BB0B37" w14:textId="77777777" w:rsidR="00871BDF" w:rsidRDefault="00871BDF">
            <w:pPr>
              <w:rPr>
                <w:rFonts w:ascii="宋体"/>
              </w:rPr>
            </w:pPr>
          </w:p>
        </w:tc>
        <w:tc>
          <w:tcPr>
            <w:tcW w:w="5" w:type="pct"/>
            <w:shd w:val="clear" w:color="auto" w:fill="auto"/>
          </w:tcPr>
          <w:p w14:paraId="00BB0B38" w14:textId="77777777" w:rsidR="00871BDF" w:rsidRDefault="00871BDF">
            <w:pPr>
              <w:rPr>
                <w:rFonts w:ascii="宋体"/>
              </w:rPr>
            </w:pPr>
          </w:p>
        </w:tc>
        <w:tc>
          <w:tcPr>
            <w:tcW w:w="50" w:type="pct"/>
            <w:shd w:val="clear" w:color="auto" w:fill="auto"/>
          </w:tcPr>
          <w:p w14:paraId="00BB0B39" w14:textId="77777777" w:rsidR="00871BDF" w:rsidRDefault="00871BDF">
            <w:pPr>
              <w:rPr>
                <w:rFonts w:ascii="宋体"/>
              </w:rPr>
            </w:pPr>
          </w:p>
        </w:tc>
        <w:tc>
          <w:tcPr>
            <w:tcW w:w="503" w:type="pct"/>
            <w:shd w:val="clear" w:color="auto" w:fill="auto"/>
          </w:tcPr>
          <w:p w14:paraId="00BB0B3A" w14:textId="77777777" w:rsidR="00871BDF" w:rsidRDefault="00871BDF">
            <w:pPr>
              <w:rPr>
                <w:rFonts w:ascii="宋体"/>
              </w:rPr>
            </w:pPr>
          </w:p>
        </w:tc>
        <w:tc>
          <w:tcPr>
            <w:tcW w:w="5" w:type="pct"/>
            <w:shd w:val="clear" w:color="auto" w:fill="auto"/>
          </w:tcPr>
          <w:p w14:paraId="00BB0B3B" w14:textId="77777777" w:rsidR="00871BDF" w:rsidRDefault="00871BDF">
            <w:pPr>
              <w:rPr>
                <w:rFonts w:ascii="宋体"/>
              </w:rPr>
            </w:pPr>
          </w:p>
        </w:tc>
        <w:tc>
          <w:tcPr>
            <w:tcW w:w="5" w:type="pct"/>
            <w:shd w:val="clear" w:color="auto" w:fill="auto"/>
          </w:tcPr>
          <w:p w14:paraId="00BB0B3C" w14:textId="77777777" w:rsidR="00871BDF" w:rsidRDefault="00871BDF">
            <w:pPr>
              <w:rPr>
                <w:rFonts w:ascii="宋体"/>
              </w:rPr>
            </w:pPr>
          </w:p>
        </w:tc>
        <w:tc>
          <w:tcPr>
            <w:tcW w:w="26" w:type="pct"/>
            <w:shd w:val="clear" w:color="auto" w:fill="auto"/>
          </w:tcPr>
          <w:p w14:paraId="00BB0B3D" w14:textId="77777777" w:rsidR="00871BDF" w:rsidRDefault="00871BDF">
            <w:pPr>
              <w:rPr>
                <w:rFonts w:ascii="宋体"/>
              </w:rPr>
            </w:pPr>
          </w:p>
        </w:tc>
        <w:tc>
          <w:tcPr>
            <w:tcW w:w="5" w:type="pct"/>
            <w:shd w:val="clear" w:color="auto" w:fill="auto"/>
          </w:tcPr>
          <w:p w14:paraId="00BB0B3E" w14:textId="77777777" w:rsidR="00871BDF" w:rsidRDefault="00871BDF">
            <w:pPr>
              <w:rPr>
                <w:rFonts w:ascii="宋体"/>
              </w:rPr>
            </w:pPr>
          </w:p>
        </w:tc>
        <w:tc>
          <w:tcPr>
            <w:tcW w:w="50" w:type="pct"/>
            <w:shd w:val="clear" w:color="auto" w:fill="auto"/>
          </w:tcPr>
          <w:p w14:paraId="00BB0B3F" w14:textId="77777777" w:rsidR="00871BDF" w:rsidRDefault="00871BDF">
            <w:pPr>
              <w:rPr>
                <w:rFonts w:ascii="宋体"/>
              </w:rPr>
            </w:pPr>
          </w:p>
        </w:tc>
        <w:tc>
          <w:tcPr>
            <w:tcW w:w="510" w:type="pct"/>
            <w:shd w:val="clear" w:color="auto" w:fill="auto"/>
          </w:tcPr>
          <w:p w14:paraId="00BB0B40" w14:textId="77777777" w:rsidR="00871BDF" w:rsidRDefault="00871BDF">
            <w:pPr>
              <w:rPr>
                <w:rFonts w:ascii="宋体"/>
              </w:rPr>
            </w:pPr>
          </w:p>
        </w:tc>
        <w:tc>
          <w:tcPr>
            <w:tcW w:w="5" w:type="pct"/>
            <w:shd w:val="clear" w:color="auto" w:fill="auto"/>
          </w:tcPr>
          <w:p w14:paraId="00BB0B41" w14:textId="77777777" w:rsidR="00871BDF" w:rsidRDefault="00871BDF">
            <w:pPr>
              <w:rPr>
                <w:rFonts w:ascii="宋体"/>
              </w:rPr>
            </w:pPr>
          </w:p>
        </w:tc>
        <w:tc>
          <w:tcPr>
            <w:tcW w:w="5" w:type="pct"/>
            <w:shd w:val="clear" w:color="auto" w:fill="auto"/>
          </w:tcPr>
          <w:p w14:paraId="00BB0B42" w14:textId="77777777" w:rsidR="00871BDF" w:rsidRDefault="00871BDF">
            <w:pPr>
              <w:rPr>
                <w:rFonts w:ascii="宋体"/>
              </w:rPr>
            </w:pPr>
          </w:p>
        </w:tc>
        <w:tc>
          <w:tcPr>
            <w:tcW w:w="26" w:type="pct"/>
            <w:shd w:val="clear" w:color="auto" w:fill="auto"/>
          </w:tcPr>
          <w:p w14:paraId="00BB0B43" w14:textId="77777777" w:rsidR="00871BDF" w:rsidRDefault="00871BDF">
            <w:pPr>
              <w:rPr>
                <w:rFonts w:ascii="宋体"/>
              </w:rPr>
            </w:pPr>
          </w:p>
        </w:tc>
        <w:tc>
          <w:tcPr>
            <w:tcW w:w="5" w:type="pct"/>
            <w:shd w:val="clear" w:color="auto" w:fill="auto"/>
          </w:tcPr>
          <w:p w14:paraId="00BB0B44" w14:textId="77777777" w:rsidR="00871BDF" w:rsidRDefault="00871BDF">
            <w:pPr>
              <w:rPr>
                <w:rFonts w:ascii="宋体"/>
              </w:rPr>
            </w:pPr>
          </w:p>
        </w:tc>
        <w:tc>
          <w:tcPr>
            <w:tcW w:w="50" w:type="pct"/>
            <w:shd w:val="clear" w:color="auto" w:fill="auto"/>
          </w:tcPr>
          <w:p w14:paraId="00BB0B45" w14:textId="77777777" w:rsidR="00871BDF" w:rsidRDefault="00871BDF">
            <w:pPr>
              <w:rPr>
                <w:rFonts w:ascii="宋体"/>
              </w:rPr>
            </w:pPr>
          </w:p>
        </w:tc>
        <w:tc>
          <w:tcPr>
            <w:tcW w:w="503" w:type="pct"/>
            <w:shd w:val="clear" w:color="auto" w:fill="auto"/>
          </w:tcPr>
          <w:p w14:paraId="00BB0B46" w14:textId="77777777" w:rsidR="00871BDF" w:rsidRDefault="00871BDF">
            <w:pPr>
              <w:rPr>
                <w:rFonts w:ascii="宋体"/>
              </w:rPr>
            </w:pPr>
          </w:p>
        </w:tc>
        <w:tc>
          <w:tcPr>
            <w:tcW w:w="5" w:type="pct"/>
            <w:shd w:val="clear" w:color="auto" w:fill="auto"/>
          </w:tcPr>
          <w:p w14:paraId="00BB0B47" w14:textId="77777777" w:rsidR="00871BDF" w:rsidRDefault="00871BDF">
            <w:pPr>
              <w:rPr>
                <w:rFonts w:ascii="宋体"/>
              </w:rPr>
            </w:pPr>
          </w:p>
        </w:tc>
        <w:tc>
          <w:tcPr>
            <w:tcW w:w="5" w:type="pct"/>
            <w:shd w:val="clear" w:color="auto" w:fill="auto"/>
          </w:tcPr>
          <w:p w14:paraId="00BB0B48" w14:textId="77777777" w:rsidR="00871BDF" w:rsidRDefault="00871BDF">
            <w:pPr>
              <w:rPr>
                <w:rFonts w:ascii="宋体"/>
              </w:rPr>
            </w:pPr>
          </w:p>
        </w:tc>
        <w:tc>
          <w:tcPr>
            <w:tcW w:w="26" w:type="pct"/>
            <w:shd w:val="clear" w:color="auto" w:fill="auto"/>
          </w:tcPr>
          <w:p w14:paraId="00BB0B49" w14:textId="77777777" w:rsidR="00871BDF" w:rsidRDefault="00871BDF">
            <w:pPr>
              <w:rPr>
                <w:rFonts w:ascii="宋体"/>
              </w:rPr>
            </w:pPr>
          </w:p>
        </w:tc>
        <w:tc>
          <w:tcPr>
            <w:tcW w:w="5" w:type="pct"/>
            <w:shd w:val="clear" w:color="auto" w:fill="auto"/>
          </w:tcPr>
          <w:p w14:paraId="00BB0B4A" w14:textId="77777777" w:rsidR="00871BDF" w:rsidRDefault="00871BDF">
            <w:pPr>
              <w:rPr>
                <w:rFonts w:ascii="宋体"/>
              </w:rPr>
            </w:pPr>
          </w:p>
        </w:tc>
        <w:tc>
          <w:tcPr>
            <w:tcW w:w="50" w:type="pct"/>
            <w:shd w:val="clear" w:color="auto" w:fill="auto"/>
          </w:tcPr>
          <w:p w14:paraId="00BB0B4B" w14:textId="77777777" w:rsidR="00871BDF" w:rsidRDefault="00871BDF">
            <w:pPr>
              <w:rPr>
                <w:rFonts w:ascii="宋体"/>
              </w:rPr>
            </w:pPr>
          </w:p>
        </w:tc>
        <w:tc>
          <w:tcPr>
            <w:tcW w:w="407" w:type="pct"/>
            <w:shd w:val="clear" w:color="auto" w:fill="auto"/>
          </w:tcPr>
          <w:p w14:paraId="00BB0B4C" w14:textId="77777777" w:rsidR="00871BDF" w:rsidRDefault="00871BDF">
            <w:pPr>
              <w:rPr>
                <w:rFonts w:ascii="宋体"/>
              </w:rPr>
            </w:pPr>
          </w:p>
        </w:tc>
        <w:tc>
          <w:tcPr>
            <w:tcW w:w="5" w:type="pct"/>
            <w:shd w:val="clear" w:color="auto" w:fill="auto"/>
          </w:tcPr>
          <w:p w14:paraId="00BB0B4D" w14:textId="77777777" w:rsidR="00871BDF" w:rsidRDefault="00871BDF">
            <w:pPr>
              <w:rPr>
                <w:rFonts w:ascii="宋体"/>
              </w:rPr>
            </w:pPr>
          </w:p>
        </w:tc>
      </w:tr>
      <w:tr w:rsidR="00871BDF" w14:paraId="00BB0B56" w14:textId="77777777">
        <w:trPr>
          <w:jc w:val="center"/>
        </w:trPr>
        <w:tc>
          <w:tcPr>
            <w:tcW w:w="0" w:type="auto"/>
            <w:gridSpan w:val="3"/>
            <w:shd w:val="clear" w:color="auto" w:fill="auto"/>
            <w:tcMar>
              <w:top w:w="40" w:type="dxa"/>
              <w:left w:w="20" w:type="dxa"/>
              <w:bottom w:w="40" w:type="dxa"/>
              <w:right w:w="20" w:type="dxa"/>
            </w:tcMar>
            <w:vAlign w:val="bottom"/>
          </w:tcPr>
          <w:p w14:paraId="00BB0B4F" w14:textId="77777777" w:rsidR="00871BDF" w:rsidRDefault="005C5088">
            <w:pPr>
              <w:jc w:val="cente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B0B50"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0B51"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B0B52" w14:textId="77777777" w:rsidR="00871BDF" w:rsidRDefault="00871BDF">
            <w:pPr>
              <w:rPr>
                <w:rFonts w:ascii="宋体"/>
              </w:rPr>
            </w:pPr>
          </w:p>
        </w:tc>
        <w:tc>
          <w:tcPr>
            <w:tcW w:w="0" w:type="auto"/>
            <w:gridSpan w:val="21"/>
            <w:shd w:val="clear" w:color="auto" w:fill="00704A"/>
            <w:tcMar>
              <w:top w:w="40" w:type="dxa"/>
              <w:left w:w="20" w:type="dxa"/>
              <w:bottom w:w="40" w:type="dxa"/>
              <w:right w:w="20" w:type="dxa"/>
            </w:tcMar>
            <w:vAlign w:val="bottom"/>
          </w:tcPr>
          <w:p w14:paraId="00BB0B53" w14:textId="77777777" w:rsidR="00871BDF" w:rsidRDefault="005C5088">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tcPr>
          <w:p w14:paraId="00BB0B54"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0B55"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871BDF" w14:paraId="00BB0B67" w14:textId="77777777">
        <w:trPr>
          <w:jc w:val="center"/>
        </w:trPr>
        <w:tc>
          <w:tcPr>
            <w:tcW w:w="0" w:type="auto"/>
            <w:gridSpan w:val="3"/>
            <w:shd w:val="clear" w:color="auto" w:fill="00704A"/>
            <w:tcMar>
              <w:top w:w="40" w:type="dxa"/>
              <w:left w:w="20" w:type="dxa"/>
              <w:bottom w:w="40" w:type="dxa"/>
              <w:right w:w="20" w:type="dxa"/>
            </w:tcMar>
            <w:vAlign w:val="bottom"/>
          </w:tcPr>
          <w:p w14:paraId="00BB0B57" w14:textId="77777777" w:rsidR="00871BDF" w:rsidRDefault="005C5088">
            <w:pPr>
              <w:jc w:val="center"/>
              <w:textAlignment w:val="bottom"/>
            </w:pPr>
            <w:r>
              <w:rPr>
                <w:rFonts w:ascii="Times New Roman" w:eastAsia="宋体" w:hAnsi="Times New Roman"/>
                <w:b/>
                <w:bCs/>
                <w:color w:val="FFFFFF"/>
                <w:sz w:val="16"/>
                <w:szCs w:val="16"/>
              </w:rPr>
              <w:t>Exhibit</w:t>
            </w:r>
          </w:p>
          <w:p w14:paraId="00BB0B58"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tcPr>
          <w:p w14:paraId="00BB0B59"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B5A" w14:textId="77777777" w:rsidR="00871BDF" w:rsidRDefault="005C5088">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tcPr>
          <w:p w14:paraId="00BB0B5B"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B5C" w14:textId="77777777" w:rsidR="00871BDF" w:rsidRDefault="005C5088">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tcPr>
          <w:p w14:paraId="00BB0B5D"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B5E" w14:textId="77777777" w:rsidR="00871BDF" w:rsidRDefault="005C5088">
            <w:pPr>
              <w:jc w:val="center"/>
              <w:textAlignment w:val="bottom"/>
            </w:pPr>
            <w:r>
              <w:rPr>
                <w:rFonts w:ascii="Times New Roman" w:eastAsia="宋体" w:hAnsi="Times New Roman"/>
                <w:b/>
                <w:bCs/>
                <w:color w:val="FFFFFF"/>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tcPr>
          <w:p w14:paraId="00BB0B5F"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B60" w14:textId="77777777" w:rsidR="00871BDF" w:rsidRDefault="005C5088">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auto"/>
            <w:tcMar>
              <w:top w:w="0" w:type="dxa"/>
              <w:left w:w="20" w:type="dxa"/>
              <w:bottom w:w="0" w:type="dxa"/>
              <w:right w:w="20" w:type="dxa"/>
            </w:tcMar>
          </w:tcPr>
          <w:p w14:paraId="00BB0B61"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B62" w14:textId="77777777" w:rsidR="00871BDF" w:rsidRDefault="005C5088">
            <w:pPr>
              <w:jc w:val="center"/>
              <w:textAlignment w:val="bottom"/>
            </w:pPr>
            <w:r>
              <w:rPr>
                <w:rFonts w:ascii="Times New Roman" w:eastAsia="宋体" w:hAnsi="Times New Roman"/>
                <w:b/>
                <w:bCs/>
                <w:color w:val="FFFFFF"/>
                <w:sz w:val="16"/>
                <w:szCs w:val="16"/>
              </w:rPr>
              <w:t>Exhibit</w:t>
            </w:r>
          </w:p>
          <w:p w14:paraId="00BB0B63"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tcPr>
          <w:p w14:paraId="00BB0B64"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B65" w14:textId="77777777" w:rsidR="00871BDF" w:rsidRDefault="005C5088">
            <w:pPr>
              <w:jc w:val="center"/>
              <w:textAlignment w:val="bottom"/>
            </w:pPr>
            <w:r>
              <w:rPr>
                <w:rFonts w:ascii="Times New Roman" w:eastAsia="宋体" w:hAnsi="Times New Roman"/>
                <w:b/>
                <w:bCs/>
                <w:color w:val="FFFFFF"/>
                <w:sz w:val="16"/>
                <w:szCs w:val="16"/>
              </w:rPr>
              <w:t>Filed</w:t>
            </w:r>
          </w:p>
          <w:p w14:paraId="00BB0B66" w14:textId="77777777" w:rsidR="00871BDF" w:rsidRDefault="005C5088">
            <w:pPr>
              <w:jc w:val="center"/>
              <w:textAlignment w:val="bottom"/>
            </w:pPr>
            <w:r>
              <w:rPr>
                <w:rFonts w:ascii="Times New Roman" w:eastAsia="宋体" w:hAnsi="Times New Roman"/>
                <w:b/>
                <w:bCs/>
                <w:color w:val="FFFFFF"/>
                <w:sz w:val="16"/>
                <w:szCs w:val="16"/>
              </w:rPr>
              <w:t>Herewith</w:t>
            </w:r>
          </w:p>
        </w:tc>
      </w:tr>
      <w:tr w:rsidR="00871BDF" w14:paraId="00BB0B75"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tcPr>
          <w:p w14:paraId="00BB0B68" w14:textId="77777777" w:rsidR="00871BDF" w:rsidRDefault="005C5088">
            <w:pPr>
              <w:jc w:val="center"/>
              <w:textAlignment w:val="top"/>
            </w:pPr>
            <w:hyperlink r:id="rId243" w:history="1">
              <w:r>
                <w:rPr>
                  <w:rStyle w:val="a5"/>
                  <w:rFonts w:ascii="Times New Roman" w:eastAsia="宋体" w:hAnsi="Times New Roman"/>
                  <w:sz w:val="20"/>
                  <w:szCs w:val="20"/>
                </w:rPr>
                <w:t>2.1</w:t>
              </w:r>
            </w:hyperlink>
          </w:p>
        </w:tc>
        <w:tc>
          <w:tcPr>
            <w:tcW w:w="0" w:type="auto"/>
            <w:gridSpan w:val="3"/>
            <w:shd w:val="clear" w:color="auto" w:fill="D7E4BC"/>
            <w:tcMar>
              <w:top w:w="0" w:type="dxa"/>
              <w:left w:w="20" w:type="dxa"/>
              <w:bottom w:w="0" w:type="dxa"/>
              <w:right w:w="20" w:type="dxa"/>
            </w:tcMar>
          </w:tcPr>
          <w:p w14:paraId="00BB0B69"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B0B6A" w14:textId="77777777" w:rsidR="00871BDF" w:rsidRDefault="005C5088">
            <w:pPr>
              <w:textAlignment w:val="top"/>
            </w:pPr>
            <w:hyperlink r:id="rId244" w:history="1">
              <w:r>
                <w:rPr>
                  <w:rStyle w:val="a5"/>
                  <w:rFonts w:ascii="Times New Roman" w:eastAsia="宋体" w:hAnsi="Times New Roman"/>
                  <w:sz w:val="20"/>
                  <w:szCs w:val="20"/>
                </w:rPr>
                <w:t>Transaction Agreement, dated as of May 6, 2018 by and between Starbucks Corporation and Nestlé S.A.</w:t>
              </w:r>
            </w:hyperlink>
            <w:r>
              <w:rPr>
                <w:rFonts w:ascii="Times New Roman" w:eastAsia="宋体" w:hAnsi="Times New Roman"/>
                <w:color w:val="000000"/>
                <w:sz w:val="20"/>
                <w:szCs w:val="20"/>
              </w:rPr>
              <w:t xml:space="preserve"> </w:t>
            </w:r>
          </w:p>
        </w:tc>
        <w:tc>
          <w:tcPr>
            <w:tcW w:w="0" w:type="auto"/>
            <w:gridSpan w:val="3"/>
            <w:shd w:val="clear" w:color="auto" w:fill="D7E4BC"/>
            <w:tcMar>
              <w:top w:w="0" w:type="dxa"/>
              <w:left w:w="20" w:type="dxa"/>
              <w:bottom w:w="0" w:type="dxa"/>
              <w:right w:w="20" w:type="dxa"/>
            </w:tcMar>
          </w:tcPr>
          <w:p w14:paraId="00BB0B6B"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B0B6C"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B6D"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B0B6E"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B6F"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B0B70" w14:textId="77777777" w:rsidR="00871BDF" w:rsidRDefault="005C5088">
            <w:pPr>
              <w:jc w:val="center"/>
              <w:textAlignment w:val="top"/>
            </w:pPr>
            <w:r>
              <w:rPr>
                <w:rFonts w:ascii="Times New Roman" w:eastAsia="宋体" w:hAnsi="Times New Roman"/>
                <w:color w:val="000000"/>
                <w:sz w:val="20"/>
                <w:szCs w:val="20"/>
              </w:rPr>
              <w:t>5/7/2018</w:t>
            </w:r>
          </w:p>
        </w:tc>
        <w:tc>
          <w:tcPr>
            <w:tcW w:w="0" w:type="auto"/>
            <w:gridSpan w:val="3"/>
            <w:shd w:val="clear" w:color="auto" w:fill="D7E4BC"/>
            <w:tcMar>
              <w:top w:w="0" w:type="dxa"/>
              <w:left w:w="20" w:type="dxa"/>
              <w:bottom w:w="0" w:type="dxa"/>
              <w:right w:w="20" w:type="dxa"/>
            </w:tcMar>
          </w:tcPr>
          <w:p w14:paraId="00BB0B71"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B0B72" w14:textId="77777777" w:rsidR="00871BDF" w:rsidRDefault="005C5088">
            <w:pPr>
              <w:jc w:val="center"/>
              <w:textAlignment w:val="top"/>
            </w:pPr>
            <w:r>
              <w:rPr>
                <w:rFonts w:ascii="Times New Roman" w:eastAsia="宋体" w:hAnsi="Times New Roman"/>
                <w:color w:val="000000"/>
                <w:sz w:val="20"/>
                <w:szCs w:val="20"/>
              </w:rPr>
              <w:t>2.1</w:t>
            </w:r>
          </w:p>
        </w:tc>
        <w:tc>
          <w:tcPr>
            <w:tcW w:w="0" w:type="auto"/>
            <w:gridSpan w:val="3"/>
            <w:shd w:val="clear" w:color="auto" w:fill="D7E4BC"/>
            <w:tcMar>
              <w:top w:w="0" w:type="dxa"/>
              <w:left w:w="20" w:type="dxa"/>
              <w:bottom w:w="0" w:type="dxa"/>
              <w:right w:w="20" w:type="dxa"/>
            </w:tcMar>
          </w:tcPr>
          <w:p w14:paraId="00BB0B73"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B74" w14:textId="77777777" w:rsidR="00871BDF" w:rsidRDefault="00871BDF">
            <w:pPr>
              <w:rPr>
                <w:rFonts w:ascii="宋体"/>
              </w:rPr>
            </w:pPr>
          </w:p>
        </w:tc>
      </w:tr>
      <w:tr w:rsidR="00871BDF" w14:paraId="00BB0B83" w14:textId="77777777">
        <w:trPr>
          <w:jc w:val="center"/>
        </w:trPr>
        <w:tc>
          <w:tcPr>
            <w:tcW w:w="0" w:type="auto"/>
            <w:gridSpan w:val="3"/>
            <w:shd w:val="clear" w:color="auto" w:fill="FFFFFF"/>
            <w:tcMar>
              <w:top w:w="40" w:type="dxa"/>
              <w:left w:w="20" w:type="dxa"/>
              <w:bottom w:w="40" w:type="dxa"/>
              <w:right w:w="20" w:type="dxa"/>
            </w:tcMar>
          </w:tcPr>
          <w:p w14:paraId="00BB0B76" w14:textId="77777777" w:rsidR="00871BDF" w:rsidRDefault="005C5088">
            <w:pPr>
              <w:jc w:val="center"/>
              <w:textAlignment w:val="top"/>
            </w:pPr>
            <w:hyperlink r:id="rId245" w:history="1">
              <w:r>
                <w:rPr>
                  <w:rStyle w:val="a5"/>
                  <w:rFonts w:ascii="Times New Roman" w:eastAsia="宋体" w:hAnsi="Times New Roman"/>
                  <w:sz w:val="20"/>
                  <w:szCs w:val="20"/>
                </w:rPr>
                <w:t>3.1</w:t>
              </w:r>
            </w:hyperlink>
          </w:p>
        </w:tc>
        <w:tc>
          <w:tcPr>
            <w:tcW w:w="0" w:type="auto"/>
            <w:gridSpan w:val="3"/>
            <w:shd w:val="clear" w:color="auto" w:fill="FFFFFF"/>
            <w:tcMar>
              <w:top w:w="0" w:type="dxa"/>
              <w:left w:w="20" w:type="dxa"/>
              <w:bottom w:w="0" w:type="dxa"/>
              <w:right w:w="20" w:type="dxa"/>
            </w:tcMar>
          </w:tcPr>
          <w:p w14:paraId="00BB0B7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78" w14:textId="77777777" w:rsidR="00871BDF" w:rsidRDefault="005C5088">
            <w:pPr>
              <w:textAlignment w:val="top"/>
            </w:pPr>
            <w:hyperlink r:id="rId246" w:history="1">
              <w:r>
                <w:rPr>
                  <w:rStyle w:val="a5"/>
                  <w:rFonts w:ascii="Times New Roman" w:eastAsia="宋体" w:hAnsi="Times New Roman"/>
                  <w:sz w:val="20"/>
                  <w:szCs w:val="20"/>
                </w:rPr>
                <w:t>Restated Articles of Incorporation of Starbucks Corporation</w:t>
              </w:r>
            </w:hyperlink>
          </w:p>
        </w:tc>
        <w:tc>
          <w:tcPr>
            <w:tcW w:w="0" w:type="auto"/>
            <w:gridSpan w:val="3"/>
            <w:shd w:val="clear" w:color="auto" w:fill="FFFFFF"/>
            <w:tcMar>
              <w:top w:w="0" w:type="dxa"/>
              <w:left w:w="20" w:type="dxa"/>
              <w:bottom w:w="0" w:type="dxa"/>
              <w:right w:w="20" w:type="dxa"/>
            </w:tcMar>
          </w:tcPr>
          <w:p w14:paraId="00BB0B7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7A" w14:textId="77777777" w:rsidR="00871BDF" w:rsidRDefault="005C5088">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tcPr>
          <w:p w14:paraId="00BB0B7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7C"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B7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7E" w14:textId="77777777" w:rsidR="00871BDF" w:rsidRDefault="005C5088">
            <w:pPr>
              <w:jc w:val="center"/>
              <w:textAlignment w:val="top"/>
            </w:pPr>
            <w:r>
              <w:rPr>
                <w:rFonts w:ascii="Times New Roman" w:eastAsia="宋体" w:hAnsi="Times New Roman"/>
                <w:color w:val="000000"/>
                <w:sz w:val="20"/>
                <w:szCs w:val="20"/>
              </w:rPr>
              <w:t>4/28/2015</w:t>
            </w:r>
          </w:p>
        </w:tc>
        <w:tc>
          <w:tcPr>
            <w:tcW w:w="0" w:type="auto"/>
            <w:gridSpan w:val="3"/>
            <w:shd w:val="clear" w:color="auto" w:fill="FFFFFF"/>
            <w:tcMar>
              <w:top w:w="0" w:type="dxa"/>
              <w:left w:w="20" w:type="dxa"/>
              <w:bottom w:w="0" w:type="dxa"/>
              <w:right w:w="20" w:type="dxa"/>
            </w:tcMar>
          </w:tcPr>
          <w:p w14:paraId="00BB0B7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80" w14:textId="77777777" w:rsidR="00871BDF" w:rsidRDefault="005C5088">
            <w:pPr>
              <w:jc w:val="center"/>
              <w:textAlignment w:val="top"/>
            </w:pPr>
            <w:r>
              <w:rPr>
                <w:rFonts w:ascii="Times New Roman" w:eastAsia="宋体" w:hAnsi="Times New Roman"/>
                <w:color w:val="000000"/>
                <w:sz w:val="20"/>
                <w:szCs w:val="20"/>
              </w:rPr>
              <w:t>3.1</w:t>
            </w:r>
          </w:p>
        </w:tc>
        <w:tc>
          <w:tcPr>
            <w:tcW w:w="0" w:type="auto"/>
            <w:gridSpan w:val="3"/>
            <w:shd w:val="clear" w:color="auto" w:fill="FFFFFF"/>
            <w:tcMar>
              <w:top w:w="0" w:type="dxa"/>
              <w:left w:w="20" w:type="dxa"/>
              <w:bottom w:w="0" w:type="dxa"/>
              <w:right w:w="20" w:type="dxa"/>
            </w:tcMar>
          </w:tcPr>
          <w:p w14:paraId="00BB0B8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B82" w14:textId="77777777" w:rsidR="00871BDF" w:rsidRDefault="00871BDF">
            <w:pPr>
              <w:rPr>
                <w:rFonts w:ascii="宋体"/>
              </w:rPr>
            </w:pPr>
          </w:p>
        </w:tc>
      </w:tr>
      <w:tr w:rsidR="00871BDF" w14:paraId="00BB0B91" w14:textId="77777777">
        <w:trPr>
          <w:jc w:val="center"/>
        </w:trPr>
        <w:tc>
          <w:tcPr>
            <w:tcW w:w="0" w:type="auto"/>
            <w:gridSpan w:val="3"/>
            <w:shd w:val="clear" w:color="auto" w:fill="D7E4BC"/>
            <w:tcMar>
              <w:top w:w="40" w:type="dxa"/>
              <w:left w:w="20" w:type="dxa"/>
              <w:bottom w:w="40" w:type="dxa"/>
              <w:right w:w="20" w:type="dxa"/>
            </w:tcMar>
          </w:tcPr>
          <w:p w14:paraId="00BB0B84" w14:textId="77777777" w:rsidR="00871BDF" w:rsidRDefault="005C5088">
            <w:pPr>
              <w:jc w:val="center"/>
              <w:textAlignment w:val="top"/>
            </w:pPr>
            <w:hyperlink r:id="rId247" w:history="1">
              <w:r>
                <w:rPr>
                  <w:rStyle w:val="a5"/>
                  <w:rFonts w:ascii="Times New Roman" w:eastAsia="宋体" w:hAnsi="Times New Roman"/>
                  <w:sz w:val="20"/>
                  <w:szCs w:val="20"/>
                </w:rPr>
                <w:t>3.2</w:t>
              </w:r>
            </w:hyperlink>
          </w:p>
        </w:tc>
        <w:tc>
          <w:tcPr>
            <w:tcW w:w="0" w:type="auto"/>
            <w:gridSpan w:val="3"/>
            <w:shd w:val="clear" w:color="auto" w:fill="D7E4BC"/>
            <w:tcMar>
              <w:top w:w="0" w:type="dxa"/>
              <w:left w:w="20" w:type="dxa"/>
              <w:bottom w:w="0" w:type="dxa"/>
              <w:right w:w="20" w:type="dxa"/>
            </w:tcMar>
          </w:tcPr>
          <w:p w14:paraId="00BB0B8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86" w14:textId="77777777" w:rsidR="00871BDF" w:rsidRDefault="005C5088">
            <w:pPr>
              <w:textAlignment w:val="top"/>
            </w:pPr>
            <w:hyperlink r:id="rId248" w:history="1">
              <w:r>
                <w:rPr>
                  <w:rStyle w:val="a5"/>
                  <w:rFonts w:ascii="Times New Roman" w:eastAsia="宋体" w:hAnsi="Times New Roman"/>
                  <w:sz w:val="20"/>
                  <w:szCs w:val="20"/>
                </w:rPr>
                <w:t>Amended and Restated Bylaws of Starbucks Corporation (As amended a</w:t>
              </w:r>
              <w:r>
                <w:rPr>
                  <w:rStyle w:val="a5"/>
                  <w:rFonts w:ascii="Times New Roman" w:eastAsia="宋体" w:hAnsi="Times New Roman"/>
                  <w:sz w:val="20"/>
                  <w:szCs w:val="20"/>
                </w:rPr>
                <w:t xml:space="preserve">nd restated through June 1, 2018) </w:t>
              </w:r>
            </w:hyperlink>
          </w:p>
        </w:tc>
        <w:tc>
          <w:tcPr>
            <w:tcW w:w="0" w:type="auto"/>
            <w:gridSpan w:val="3"/>
            <w:shd w:val="clear" w:color="auto" w:fill="D7E4BC"/>
            <w:tcMar>
              <w:top w:w="0" w:type="dxa"/>
              <w:left w:w="20" w:type="dxa"/>
              <w:bottom w:w="0" w:type="dxa"/>
              <w:right w:w="20" w:type="dxa"/>
            </w:tcMar>
          </w:tcPr>
          <w:p w14:paraId="00BB0B8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88"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B8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8A"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B8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8C" w14:textId="77777777" w:rsidR="00871BDF" w:rsidRDefault="005C5088">
            <w:pPr>
              <w:jc w:val="center"/>
              <w:textAlignment w:val="top"/>
            </w:pPr>
            <w:r>
              <w:rPr>
                <w:rFonts w:ascii="Times New Roman" w:eastAsia="宋体" w:hAnsi="Times New Roman"/>
                <w:color w:val="000000"/>
                <w:sz w:val="20"/>
                <w:szCs w:val="20"/>
              </w:rPr>
              <w:t>6/5/2018</w:t>
            </w:r>
          </w:p>
        </w:tc>
        <w:tc>
          <w:tcPr>
            <w:tcW w:w="0" w:type="auto"/>
            <w:gridSpan w:val="3"/>
            <w:shd w:val="clear" w:color="auto" w:fill="D7E4BC"/>
            <w:tcMar>
              <w:top w:w="0" w:type="dxa"/>
              <w:left w:w="20" w:type="dxa"/>
              <w:bottom w:w="0" w:type="dxa"/>
              <w:right w:w="20" w:type="dxa"/>
            </w:tcMar>
          </w:tcPr>
          <w:p w14:paraId="00BB0B8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8E" w14:textId="77777777" w:rsidR="00871BDF" w:rsidRDefault="005C5088">
            <w:pPr>
              <w:jc w:val="center"/>
              <w:textAlignment w:val="top"/>
            </w:pPr>
            <w:r>
              <w:rPr>
                <w:rFonts w:ascii="Times New Roman" w:eastAsia="宋体" w:hAnsi="Times New Roman"/>
                <w:color w:val="000000"/>
                <w:sz w:val="20"/>
                <w:szCs w:val="20"/>
              </w:rPr>
              <w:t>3.1</w:t>
            </w:r>
          </w:p>
        </w:tc>
        <w:tc>
          <w:tcPr>
            <w:tcW w:w="0" w:type="auto"/>
            <w:gridSpan w:val="3"/>
            <w:shd w:val="clear" w:color="auto" w:fill="D7E4BC"/>
            <w:tcMar>
              <w:top w:w="0" w:type="dxa"/>
              <w:left w:w="20" w:type="dxa"/>
              <w:bottom w:w="0" w:type="dxa"/>
              <w:right w:w="20" w:type="dxa"/>
            </w:tcMar>
          </w:tcPr>
          <w:p w14:paraId="00BB0B8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B90" w14:textId="77777777" w:rsidR="00871BDF" w:rsidRDefault="00871BDF">
            <w:pPr>
              <w:rPr>
                <w:rFonts w:ascii="宋体"/>
              </w:rPr>
            </w:pPr>
          </w:p>
        </w:tc>
      </w:tr>
      <w:tr w:rsidR="00871BDF" w14:paraId="00BB0BA1" w14:textId="77777777">
        <w:trPr>
          <w:jc w:val="center"/>
        </w:trPr>
        <w:tc>
          <w:tcPr>
            <w:tcW w:w="0" w:type="auto"/>
            <w:gridSpan w:val="3"/>
            <w:shd w:val="clear" w:color="auto" w:fill="FFFFFF"/>
            <w:tcMar>
              <w:top w:w="40" w:type="dxa"/>
              <w:left w:w="20" w:type="dxa"/>
              <w:bottom w:w="40" w:type="dxa"/>
              <w:right w:w="20" w:type="dxa"/>
            </w:tcMar>
          </w:tcPr>
          <w:p w14:paraId="00BB0B92" w14:textId="77777777" w:rsidR="00871BDF" w:rsidRDefault="005C5088">
            <w:pPr>
              <w:jc w:val="center"/>
              <w:textAlignment w:val="top"/>
            </w:pPr>
            <w:hyperlink r:id="rId249" w:history="1">
              <w:r>
                <w:rPr>
                  <w:rStyle w:val="a5"/>
                  <w:rFonts w:ascii="Times New Roman" w:eastAsia="宋体" w:hAnsi="Times New Roman"/>
                  <w:sz w:val="20"/>
                  <w:szCs w:val="20"/>
                </w:rPr>
                <w:t>4.1</w:t>
              </w:r>
            </w:hyperlink>
          </w:p>
        </w:tc>
        <w:tc>
          <w:tcPr>
            <w:tcW w:w="0" w:type="auto"/>
            <w:gridSpan w:val="3"/>
            <w:shd w:val="clear" w:color="auto" w:fill="FFFFFF"/>
            <w:tcMar>
              <w:top w:w="0" w:type="dxa"/>
              <w:left w:w="20" w:type="dxa"/>
              <w:bottom w:w="0" w:type="dxa"/>
              <w:right w:w="20" w:type="dxa"/>
            </w:tcMar>
          </w:tcPr>
          <w:p w14:paraId="00BB0B9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94" w14:textId="77777777" w:rsidR="00871BDF" w:rsidRDefault="005C5088">
            <w:pPr>
              <w:textAlignment w:val="top"/>
            </w:pPr>
            <w:hyperlink r:id="rId250" w:history="1">
              <w:r>
                <w:rPr>
                  <w:rStyle w:val="a5"/>
                  <w:rFonts w:ascii="Times New Roman" w:eastAsia="宋体" w:hAnsi="Times New Roman"/>
                  <w:sz w:val="20"/>
                  <w:szCs w:val="20"/>
                </w:rPr>
                <w:t>Indenture, dated as of September 15, 2016, by and between Starbuck</w:t>
              </w:r>
              <w:r>
                <w:rPr>
                  <w:rStyle w:val="a5"/>
                  <w:rFonts w:ascii="Times New Roman" w:eastAsia="宋体" w:hAnsi="Times New Roman"/>
                  <w:sz w:val="20"/>
                  <w:szCs w:val="20"/>
                </w:rPr>
                <w:t>s Corporation and U.S. Bank National Association, as trustee</w:t>
              </w:r>
            </w:hyperlink>
          </w:p>
        </w:tc>
        <w:tc>
          <w:tcPr>
            <w:tcW w:w="0" w:type="auto"/>
            <w:gridSpan w:val="3"/>
            <w:shd w:val="clear" w:color="auto" w:fill="FFFFFF"/>
            <w:tcMar>
              <w:top w:w="0" w:type="dxa"/>
              <w:left w:w="20" w:type="dxa"/>
              <w:bottom w:w="0" w:type="dxa"/>
              <w:right w:w="20" w:type="dxa"/>
            </w:tcMar>
          </w:tcPr>
          <w:p w14:paraId="00BB0B9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96" w14:textId="77777777" w:rsidR="00871BDF" w:rsidRDefault="005C5088">
            <w:pPr>
              <w:jc w:val="center"/>
              <w:textAlignment w:val="top"/>
            </w:pPr>
            <w:r>
              <w:rPr>
                <w:rFonts w:ascii="Times New Roman" w:eastAsia="宋体" w:hAnsi="Times New Roman"/>
                <w:color w:val="000000"/>
                <w:sz w:val="20"/>
                <w:szCs w:val="20"/>
              </w:rPr>
              <w:t>S-3ASR</w:t>
            </w:r>
          </w:p>
        </w:tc>
        <w:tc>
          <w:tcPr>
            <w:tcW w:w="0" w:type="auto"/>
            <w:gridSpan w:val="3"/>
            <w:shd w:val="clear" w:color="auto" w:fill="FFFFFF"/>
            <w:tcMar>
              <w:top w:w="0" w:type="dxa"/>
              <w:left w:w="20" w:type="dxa"/>
              <w:bottom w:w="0" w:type="dxa"/>
              <w:right w:w="20" w:type="dxa"/>
            </w:tcMar>
          </w:tcPr>
          <w:p w14:paraId="00BB0B9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98" w14:textId="77777777" w:rsidR="00871BDF" w:rsidRDefault="005C5088">
            <w:pPr>
              <w:jc w:val="center"/>
              <w:textAlignment w:val="top"/>
            </w:pPr>
            <w:r>
              <w:rPr>
                <w:rFonts w:ascii="Times New Roman" w:eastAsia="宋体" w:hAnsi="Times New Roman"/>
                <w:color w:val="000000"/>
                <w:sz w:val="20"/>
                <w:szCs w:val="20"/>
              </w:rPr>
              <w:t>333-213645</w:t>
            </w:r>
          </w:p>
          <w:p w14:paraId="00BB0B99" w14:textId="77777777" w:rsidR="00871BDF" w:rsidRDefault="00871BDF">
            <w:pPr>
              <w:jc w:val="center"/>
              <w:textAlignment w:val="top"/>
            </w:pPr>
          </w:p>
        </w:tc>
        <w:tc>
          <w:tcPr>
            <w:tcW w:w="0" w:type="auto"/>
            <w:gridSpan w:val="3"/>
            <w:shd w:val="clear" w:color="auto" w:fill="FFFFFF"/>
            <w:tcMar>
              <w:top w:w="0" w:type="dxa"/>
              <w:left w:w="20" w:type="dxa"/>
              <w:bottom w:w="0" w:type="dxa"/>
              <w:right w:w="20" w:type="dxa"/>
            </w:tcMar>
          </w:tcPr>
          <w:p w14:paraId="00BB0B9A"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9B" w14:textId="77777777" w:rsidR="00871BDF" w:rsidRDefault="005C5088">
            <w:pPr>
              <w:jc w:val="center"/>
              <w:textAlignment w:val="top"/>
            </w:pPr>
            <w:r>
              <w:rPr>
                <w:rFonts w:ascii="Times New Roman" w:eastAsia="宋体" w:hAnsi="Times New Roman"/>
                <w:color w:val="000000"/>
                <w:sz w:val="20"/>
                <w:szCs w:val="20"/>
              </w:rPr>
              <w:t>9/15/2016</w:t>
            </w:r>
          </w:p>
          <w:p w14:paraId="00BB0B9C" w14:textId="77777777" w:rsidR="00871BDF" w:rsidRDefault="00871BDF">
            <w:pPr>
              <w:jc w:val="center"/>
              <w:textAlignment w:val="top"/>
            </w:pPr>
          </w:p>
        </w:tc>
        <w:tc>
          <w:tcPr>
            <w:tcW w:w="0" w:type="auto"/>
            <w:gridSpan w:val="3"/>
            <w:shd w:val="clear" w:color="auto" w:fill="FFFFFF"/>
            <w:tcMar>
              <w:top w:w="0" w:type="dxa"/>
              <w:left w:w="20" w:type="dxa"/>
              <w:bottom w:w="0" w:type="dxa"/>
              <w:right w:w="20" w:type="dxa"/>
            </w:tcMar>
          </w:tcPr>
          <w:p w14:paraId="00BB0B9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9E" w14:textId="77777777" w:rsidR="00871BDF" w:rsidRDefault="005C5088">
            <w:pPr>
              <w:jc w:val="center"/>
              <w:textAlignment w:val="top"/>
            </w:pPr>
            <w:r>
              <w:rPr>
                <w:rFonts w:ascii="Times New Roman" w:eastAsia="宋体" w:hAnsi="Times New Roman"/>
                <w:color w:val="000000"/>
                <w:sz w:val="20"/>
                <w:szCs w:val="20"/>
              </w:rPr>
              <w:t>4.1</w:t>
            </w:r>
          </w:p>
        </w:tc>
        <w:tc>
          <w:tcPr>
            <w:tcW w:w="0" w:type="auto"/>
            <w:gridSpan w:val="3"/>
            <w:shd w:val="clear" w:color="auto" w:fill="FFFFFF"/>
            <w:tcMar>
              <w:top w:w="0" w:type="dxa"/>
              <w:left w:w="20" w:type="dxa"/>
              <w:bottom w:w="0" w:type="dxa"/>
              <w:right w:w="20" w:type="dxa"/>
            </w:tcMar>
          </w:tcPr>
          <w:p w14:paraId="00BB0B9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BA0" w14:textId="77777777" w:rsidR="00871BDF" w:rsidRDefault="00871BDF">
            <w:pPr>
              <w:rPr>
                <w:rFonts w:ascii="宋体"/>
              </w:rPr>
            </w:pPr>
          </w:p>
        </w:tc>
      </w:tr>
      <w:tr w:rsidR="00871BDF" w14:paraId="00BB0BAF" w14:textId="77777777">
        <w:trPr>
          <w:jc w:val="center"/>
        </w:trPr>
        <w:tc>
          <w:tcPr>
            <w:tcW w:w="0" w:type="auto"/>
            <w:gridSpan w:val="3"/>
            <w:shd w:val="clear" w:color="auto" w:fill="D7E4BC"/>
            <w:tcMar>
              <w:top w:w="40" w:type="dxa"/>
              <w:left w:w="20" w:type="dxa"/>
              <w:bottom w:w="40" w:type="dxa"/>
              <w:right w:w="20" w:type="dxa"/>
            </w:tcMar>
          </w:tcPr>
          <w:p w14:paraId="00BB0BA2" w14:textId="77777777" w:rsidR="00871BDF" w:rsidRDefault="005C5088">
            <w:pPr>
              <w:jc w:val="center"/>
              <w:textAlignment w:val="top"/>
            </w:pPr>
            <w:hyperlink r:id="rId251" w:history="1">
              <w:r>
                <w:rPr>
                  <w:rStyle w:val="a5"/>
                  <w:rFonts w:ascii="Times New Roman" w:eastAsia="宋体" w:hAnsi="Times New Roman"/>
                  <w:sz w:val="20"/>
                  <w:szCs w:val="20"/>
                </w:rPr>
                <w:t>4.2</w:t>
              </w:r>
            </w:hyperlink>
          </w:p>
        </w:tc>
        <w:tc>
          <w:tcPr>
            <w:tcW w:w="0" w:type="auto"/>
            <w:gridSpan w:val="3"/>
            <w:shd w:val="clear" w:color="auto" w:fill="D7E4BC"/>
            <w:tcMar>
              <w:top w:w="0" w:type="dxa"/>
              <w:left w:w="20" w:type="dxa"/>
              <w:bottom w:w="0" w:type="dxa"/>
              <w:right w:w="20" w:type="dxa"/>
            </w:tcMar>
          </w:tcPr>
          <w:p w14:paraId="00BB0BA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A4" w14:textId="77777777" w:rsidR="00871BDF" w:rsidRDefault="005C5088">
            <w:pPr>
              <w:textAlignment w:val="top"/>
            </w:pPr>
            <w:hyperlink r:id="rId252" w:history="1">
              <w:r>
                <w:rPr>
                  <w:rStyle w:val="a5"/>
                  <w:rFonts w:ascii="Times New Roman" w:eastAsia="宋体" w:hAnsi="Times New Roman"/>
                  <w:sz w:val="20"/>
                  <w:szCs w:val="20"/>
                </w:rPr>
                <w:t>First Supplemental Indenture, dated March 17, 2017, by and between Starbucks Corporation and U.S. Bank National Association, as trustee, transfer agent and regis</w:t>
              </w:r>
              <w:r>
                <w:rPr>
                  <w:rStyle w:val="a5"/>
                  <w:rFonts w:ascii="Times New Roman" w:eastAsia="宋体" w:hAnsi="Times New Roman"/>
                  <w:sz w:val="20"/>
                  <w:szCs w:val="20"/>
                </w:rPr>
                <w:t>trar, and Elavon Financial Services, DAC, UK Branch, as paying agent (0.372% Senior Notes due 2024)</w:t>
              </w:r>
            </w:hyperlink>
          </w:p>
        </w:tc>
        <w:tc>
          <w:tcPr>
            <w:tcW w:w="0" w:type="auto"/>
            <w:gridSpan w:val="3"/>
            <w:shd w:val="clear" w:color="auto" w:fill="D7E4BC"/>
            <w:tcMar>
              <w:top w:w="0" w:type="dxa"/>
              <w:left w:w="20" w:type="dxa"/>
              <w:bottom w:w="0" w:type="dxa"/>
              <w:right w:w="20" w:type="dxa"/>
            </w:tcMar>
          </w:tcPr>
          <w:p w14:paraId="00BB0BA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A6"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BA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A8"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BA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AA" w14:textId="77777777" w:rsidR="00871BDF" w:rsidRDefault="005C5088">
            <w:pPr>
              <w:jc w:val="center"/>
              <w:textAlignment w:val="top"/>
            </w:pPr>
            <w:r>
              <w:rPr>
                <w:rFonts w:ascii="Times New Roman" w:eastAsia="宋体" w:hAnsi="Times New Roman"/>
                <w:color w:val="000000"/>
                <w:sz w:val="20"/>
                <w:szCs w:val="20"/>
              </w:rPr>
              <w:t>3/20/2017</w:t>
            </w:r>
          </w:p>
        </w:tc>
        <w:tc>
          <w:tcPr>
            <w:tcW w:w="0" w:type="auto"/>
            <w:gridSpan w:val="3"/>
            <w:shd w:val="clear" w:color="auto" w:fill="D7E4BC"/>
            <w:tcMar>
              <w:top w:w="0" w:type="dxa"/>
              <w:left w:w="20" w:type="dxa"/>
              <w:bottom w:w="0" w:type="dxa"/>
              <w:right w:w="20" w:type="dxa"/>
            </w:tcMar>
          </w:tcPr>
          <w:p w14:paraId="00BB0BA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AC" w14:textId="77777777" w:rsidR="00871BDF" w:rsidRDefault="005C5088">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tcPr>
          <w:p w14:paraId="00BB0BA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BAE" w14:textId="77777777" w:rsidR="00871BDF" w:rsidRDefault="00871BDF">
            <w:pPr>
              <w:rPr>
                <w:rFonts w:ascii="宋体"/>
              </w:rPr>
            </w:pPr>
          </w:p>
        </w:tc>
      </w:tr>
      <w:tr w:rsidR="00871BDF" w14:paraId="00BB0BBD" w14:textId="77777777">
        <w:trPr>
          <w:jc w:val="center"/>
        </w:trPr>
        <w:tc>
          <w:tcPr>
            <w:tcW w:w="0" w:type="auto"/>
            <w:gridSpan w:val="3"/>
            <w:shd w:val="clear" w:color="auto" w:fill="FFFFFF"/>
            <w:tcMar>
              <w:top w:w="40" w:type="dxa"/>
              <w:left w:w="20" w:type="dxa"/>
              <w:bottom w:w="40" w:type="dxa"/>
              <w:right w:w="20" w:type="dxa"/>
            </w:tcMar>
          </w:tcPr>
          <w:p w14:paraId="00BB0BB0" w14:textId="77777777" w:rsidR="00871BDF" w:rsidRDefault="005C5088">
            <w:pPr>
              <w:jc w:val="center"/>
              <w:textAlignment w:val="top"/>
            </w:pPr>
            <w:hyperlink r:id="rId253" w:history="1">
              <w:r>
                <w:rPr>
                  <w:rStyle w:val="a5"/>
                  <w:rFonts w:ascii="Times New Roman" w:eastAsia="宋体" w:hAnsi="Times New Roman"/>
                  <w:sz w:val="20"/>
                  <w:szCs w:val="20"/>
                </w:rPr>
                <w:t>4.3</w:t>
              </w:r>
            </w:hyperlink>
          </w:p>
        </w:tc>
        <w:tc>
          <w:tcPr>
            <w:tcW w:w="0" w:type="auto"/>
            <w:gridSpan w:val="3"/>
            <w:shd w:val="clear" w:color="auto" w:fill="FFFFFF"/>
            <w:tcMar>
              <w:top w:w="0" w:type="dxa"/>
              <w:left w:w="20" w:type="dxa"/>
              <w:bottom w:w="0" w:type="dxa"/>
              <w:right w:w="20" w:type="dxa"/>
            </w:tcMar>
          </w:tcPr>
          <w:p w14:paraId="00BB0BB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B2" w14:textId="77777777" w:rsidR="00871BDF" w:rsidRDefault="005C5088">
            <w:pPr>
              <w:textAlignment w:val="top"/>
            </w:pPr>
            <w:hyperlink r:id="rId254" w:history="1">
              <w:r>
                <w:rPr>
                  <w:rStyle w:val="a5"/>
                  <w:rFonts w:ascii="Times New Roman" w:eastAsia="宋体" w:hAnsi="Times New Roman"/>
                  <w:sz w:val="20"/>
                  <w:szCs w:val="20"/>
                </w:rPr>
                <w:t>Form of 0.372% Senior Note due March 15, 2024</w:t>
              </w:r>
            </w:hyperlink>
          </w:p>
        </w:tc>
        <w:tc>
          <w:tcPr>
            <w:tcW w:w="0" w:type="auto"/>
            <w:gridSpan w:val="3"/>
            <w:shd w:val="clear" w:color="auto" w:fill="FFFFFF"/>
            <w:tcMar>
              <w:top w:w="0" w:type="dxa"/>
              <w:left w:w="20" w:type="dxa"/>
              <w:bottom w:w="0" w:type="dxa"/>
              <w:right w:w="20" w:type="dxa"/>
            </w:tcMar>
          </w:tcPr>
          <w:p w14:paraId="00BB0BB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B4"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BB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B6"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BB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B8" w14:textId="77777777" w:rsidR="00871BDF" w:rsidRDefault="005C5088">
            <w:pPr>
              <w:jc w:val="center"/>
              <w:textAlignment w:val="top"/>
            </w:pPr>
            <w:r>
              <w:rPr>
                <w:rFonts w:ascii="Times New Roman" w:eastAsia="宋体" w:hAnsi="Times New Roman"/>
                <w:color w:val="000000"/>
                <w:sz w:val="20"/>
                <w:szCs w:val="20"/>
              </w:rPr>
              <w:t>3/20/2017</w:t>
            </w:r>
          </w:p>
        </w:tc>
        <w:tc>
          <w:tcPr>
            <w:tcW w:w="0" w:type="auto"/>
            <w:gridSpan w:val="3"/>
            <w:shd w:val="clear" w:color="auto" w:fill="FFFFFF"/>
            <w:tcMar>
              <w:top w:w="0" w:type="dxa"/>
              <w:left w:w="20" w:type="dxa"/>
              <w:bottom w:w="0" w:type="dxa"/>
              <w:right w:w="20" w:type="dxa"/>
            </w:tcMar>
          </w:tcPr>
          <w:p w14:paraId="00BB0BB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BA" w14:textId="77777777" w:rsidR="00871BDF" w:rsidRDefault="005C5088">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tcPr>
          <w:p w14:paraId="00BB0BB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BBC" w14:textId="77777777" w:rsidR="00871BDF" w:rsidRDefault="00871BDF">
            <w:pPr>
              <w:rPr>
                <w:rFonts w:ascii="宋体"/>
              </w:rPr>
            </w:pPr>
          </w:p>
        </w:tc>
      </w:tr>
      <w:tr w:rsidR="00871BDF" w14:paraId="00BB0BCB" w14:textId="77777777">
        <w:trPr>
          <w:jc w:val="center"/>
        </w:trPr>
        <w:tc>
          <w:tcPr>
            <w:tcW w:w="0" w:type="auto"/>
            <w:gridSpan w:val="3"/>
            <w:shd w:val="clear" w:color="auto" w:fill="D7E4BC"/>
            <w:tcMar>
              <w:top w:w="40" w:type="dxa"/>
              <w:left w:w="20" w:type="dxa"/>
              <w:bottom w:w="40" w:type="dxa"/>
              <w:right w:w="20" w:type="dxa"/>
            </w:tcMar>
          </w:tcPr>
          <w:p w14:paraId="00BB0BBE" w14:textId="77777777" w:rsidR="00871BDF" w:rsidRDefault="005C5088">
            <w:pPr>
              <w:jc w:val="center"/>
              <w:textAlignment w:val="top"/>
            </w:pPr>
            <w:hyperlink r:id="rId255" w:history="1">
              <w:r>
                <w:rPr>
                  <w:rStyle w:val="a5"/>
                  <w:rFonts w:ascii="Times New Roman" w:eastAsia="宋体" w:hAnsi="Times New Roman"/>
                  <w:sz w:val="20"/>
                  <w:szCs w:val="20"/>
                </w:rPr>
                <w:t>4.4</w:t>
              </w:r>
            </w:hyperlink>
          </w:p>
        </w:tc>
        <w:tc>
          <w:tcPr>
            <w:tcW w:w="0" w:type="auto"/>
            <w:gridSpan w:val="3"/>
            <w:shd w:val="clear" w:color="auto" w:fill="D7E4BC"/>
            <w:tcMar>
              <w:top w:w="0" w:type="dxa"/>
              <w:left w:w="20" w:type="dxa"/>
              <w:bottom w:w="0" w:type="dxa"/>
              <w:right w:w="20" w:type="dxa"/>
            </w:tcMar>
          </w:tcPr>
          <w:p w14:paraId="00BB0BB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C0" w14:textId="77777777" w:rsidR="00871BDF" w:rsidRDefault="005C5088">
            <w:pPr>
              <w:textAlignment w:val="top"/>
            </w:pPr>
            <w:hyperlink r:id="rId256" w:history="1">
              <w:r>
                <w:rPr>
                  <w:rStyle w:val="a5"/>
                  <w:rFonts w:ascii="Times New Roman" w:eastAsia="宋体" w:hAnsi="Times New Roman"/>
                  <w:sz w:val="20"/>
                  <w:szCs w:val="20"/>
                </w:rPr>
                <w:t>Second Supplemental Indenture, dated as of November 22, 2017, by a</w:t>
              </w:r>
              <w:r>
                <w:rPr>
                  <w:rStyle w:val="a5"/>
                  <w:rFonts w:ascii="Times New Roman" w:eastAsia="宋体" w:hAnsi="Times New Roman"/>
                  <w:sz w:val="20"/>
                  <w:szCs w:val="20"/>
                </w:rPr>
                <w:t>nd between Starbucks Corporation and U.S. Bank National Association, as trustee (2.200% Senior Notes due 2020 and 3.750% Senior Notes due 2047)</w:t>
              </w:r>
            </w:hyperlink>
          </w:p>
        </w:tc>
        <w:tc>
          <w:tcPr>
            <w:tcW w:w="0" w:type="auto"/>
            <w:gridSpan w:val="3"/>
            <w:shd w:val="clear" w:color="auto" w:fill="D7E4BC"/>
            <w:tcMar>
              <w:top w:w="0" w:type="dxa"/>
              <w:left w:w="20" w:type="dxa"/>
              <w:bottom w:w="0" w:type="dxa"/>
              <w:right w:w="20" w:type="dxa"/>
            </w:tcMar>
          </w:tcPr>
          <w:p w14:paraId="00BB0BC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C2"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BC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C4"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BC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C6" w14:textId="77777777" w:rsidR="00871BDF" w:rsidRDefault="005C5088">
            <w:pPr>
              <w:jc w:val="center"/>
              <w:textAlignment w:val="top"/>
            </w:pPr>
            <w:r>
              <w:rPr>
                <w:rFonts w:ascii="Times New Roman" w:eastAsia="宋体" w:hAnsi="Times New Roman"/>
                <w:color w:val="000000"/>
                <w:sz w:val="20"/>
                <w:szCs w:val="20"/>
              </w:rPr>
              <w:t>11/22/2017</w:t>
            </w:r>
          </w:p>
        </w:tc>
        <w:tc>
          <w:tcPr>
            <w:tcW w:w="0" w:type="auto"/>
            <w:gridSpan w:val="3"/>
            <w:shd w:val="clear" w:color="auto" w:fill="D7E4BC"/>
            <w:tcMar>
              <w:top w:w="0" w:type="dxa"/>
              <w:left w:w="20" w:type="dxa"/>
              <w:bottom w:w="0" w:type="dxa"/>
              <w:right w:w="20" w:type="dxa"/>
            </w:tcMar>
          </w:tcPr>
          <w:p w14:paraId="00BB0BC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C8" w14:textId="77777777" w:rsidR="00871BDF" w:rsidRDefault="005C5088">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tcPr>
          <w:p w14:paraId="00BB0BC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BCA" w14:textId="77777777" w:rsidR="00871BDF" w:rsidRDefault="00871BDF">
            <w:pPr>
              <w:rPr>
                <w:rFonts w:ascii="宋体"/>
              </w:rPr>
            </w:pPr>
          </w:p>
        </w:tc>
      </w:tr>
      <w:tr w:rsidR="00871BDF" w14:paraId="00BB0BD9" w14:textId="77777777">
        <w:trPr>
          <w:jc w:val="center"/>
        </w:trPr>
        <w:tc>
          <w:tcPr>
            <w:tcW w:w="0" w:type="auto"/>
            <w:gridSpan w:val="3"/>
            <w:shd w:val="clear" w:color="auto" w:fill="FFFFFF"/>
            <w:tcMar>
              <w:top w:w="40" w:type="dxa"/>
              <w:left w:w="20" w:type="dxa"/>
              <w:bottom w:w="40" w:type="dxa"/>
              <w:right w:w="20" w:type="dxa"/>
            </w:tcMar>
          </w:tcPr>
          <w:p w14:paraId="00BB0BCC" w14:textId="77777777" w:rsidR="00871BDF" w:rsidRDefault="005C5088">
            <w:pPr>
              <w:jc w:val="center"/>
              <w:textAlignment w:val="top"/>
            </w:pPr>
            <w:hyperlink r:id="rId257" w:history="1">
              <w:r>
                <w:rPr>
                  <w:rStyle w:val="a5"/>
                  <w:rFonts w:ascii="Times New Roman" w:eastAsia="宋体" w:hAnsi="Times New Roman"/>
                  <w:sz w:val="20"/>
                  <w:szCs w:val="20"/>
                </w:rPr>
                <w:t>4.5</w:t>
              </w:r>
            </w:hyperlink>
          </w:p>
        </w:tc>
        <w:tc>
          <w:tcPr>
            <w:tcW w:w="0" w:type="auto"/>
            <w:gridSpan w:val="3"/>
            <w:shd w:val="clear" w:color="auto" w:fill="FFFFFF"/>
            <w:tcMar>
              <w:top w:w="0" w:type="dxa"/>
              <w:left w:w="20" w:type="dxa"/>
              <w:bottom w:w="0" w:type="dxa"/>
              <w:right w:w="20" w:type="dxa"/>
            </w:tcMar>
          </w:tcPr>
          <w:p w14:paraId="00BB0BC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CE" w14:textId="77777777" w:rsidR="00871BDF" w:rsidRDefault="005C5088">
            <w:pPr>
              <w:textAlignment w:val="top"/>
            </w:pPr>
            <w:hyperlink r:id="rId258" w:history="1">
              <w:r>
                <w:rPr>
                  <w:rStyle w:val="a5"/>
                  <w:rFonts w:ascii="Times New Roman" w:eastAsia="宋体" w:hAnsi="Times New Roman"/>
                  <w:sz w:val="20"/>
                  <w:szCs w:val="20"/>
                </w:rPr>
                <w:t>Form of 2.200% Senior Notes due November 22, 2020 (included in Exhibit 4.2)</w:t>
              </w:r>
            </w:hyperlink>
          </w:p>
        </w:tc>
        <w:tc>
          <w:tcPr>
            <w:tcW w:w="0" w:type="auto"/>
            <w:gridSpan w:val="3"/>
            <w:shd w:val="clear" w:color="auto" w:fill="FFFFFF"/>
            <w:tcMar>
              <w:top w:w="0" w:type="dxa"/>
              <w:left w:w="20" w:type="dxa"/>
              <w:bottom w:w="0" w:type="dxa"/>
              <w:right w:w="20" w:type="dxa"/>
            </w:tcMar>
          </w:tcPr>
          <w:p w14:paraId="00BB0BC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D0"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BD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D2"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BD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D4" w14:textId="77777777" w:rsidR="00871BDF" w:rsidRDefault="005C5088">
            <w:pPr>
              <w:jc w:val="center"/>
              <w:textAlignment w:val="top"/>
            </w:pPr>
            <w:r>
              <w:rPr>
                <w:rFonts w:ascii="Times New Roman" w:eastAsia="宋体" w:hAnsi="Times New Roman"/>
                <w:color w:val="000000"/>
                <w:sz w:val="20"/>
                <w:szCs w:val="20"/>
              </w:rPr>
              <w:t>11/22/2017</w:t>
            </w:r>
          </w:p>
        </w:tc>
        <w:tc>
          <w:tcPr>
            <w:tcW w:w="0" w:type="auto"/>
            <w:gridSpan w:val="3"/>
            <w:shd w:val="clear" w:color="auto" w:fill="FFFFFF"/>
            <w:tcMar>
              <w:top w:w="0" w:type="dxa"/>
              <w:left w:w="20" w:type="dxa"/>
              <w:bottom w:w="0" w:type="dxa"/>
              <w:right w:w="20" w:type="dxa"/>
            </w:tcMar>
          </w:tcPr>
          <w:p w14:paraId="00BB0BD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D6" w14:textId="77777777" w:rsidR="00871BDF" w:rsidRDefault="005C5088">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tcPr>
          <w:p w14:paraId="00BB0BD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BD8" w14:textId="77777777" w:rsidR="00871BDF" w:rsidRDefault="00871BDF">
            <w:pPr>
              <w:rPr>
                <w:rFonts w:ascii="宋体"/>
              </w:rPr>
            </w:pPr>
          </w:p>
        </w:tc>
      </w:tr>
      <w:tr w:rsidR="00871BDF" w14:paraId="00BB0BE7" w14:textId="77777777">
        <w:trPr>
          <w:jc w:val="center"/>
        </w:trPr>
        <w:tc>
          <w:tcPr>
            <w:tcW w:w="0" w:type="auto"/>
            <w:gridSpan w:val="3"/>
            <w:shd w:val="clear" w:color="auto" w:fill="D7E4BC"/>
            <w:tcMar>
              <w:top w:w="40" w:type="dxa"/>
              <w:left w:w="20" w:type="dxa"/>
              <w:bottom w:w="40" w:type="dxa"/>
              <w:right w:w="20" w:type="dxa"/>
            </w:tcMar>
          </w:tcPr>
          <w:p w14:paraId="00BB0BDA" w14:textId="77777777" w:rsidR="00871BDF" w:rsidRDefault="005C5088">
            <w:pPr>
              <w:jc w:val="center"/>
              <w:textAlignment w:val="top"/>
            </w:pPr>
            <w:hyperlink r:id="rId259" w:history="1">
              <w:r>
                <w:rPr>
                  <w:rStyle w:val="a5"/>
                  <w:rFonts w:ascii="Times New Roman" w:eastAsia="宋体" w:hAnsi="Times New Roman"/>
                  <w:sz w:val="20"/>
                  <w:szCs w:val="20"/>
                </w:rPr>
                <w:t>4.6</w:t>
              </w:r>
            </w:hyperlink>
          </w:p>
        </w:tc>
        <w:tc>
          <w:tcPr>
            <w:tcW w:w="0" w:type="auto"/>
            <w:gridSpan w:val="3"/>
            <w:shd w:val="clear" w:color="auto" w:fill="D7E4BC"/>
            <w:tcMar>
              <w:top w:w="0" w:type="dxa"/>
              <w:left w:w="20" w:type="dxa"/>
              <w:bottom w:w="0" w:type="dxa"/>
              <w:right w:w="20" w:type="dxa"/>
            </w:tcMar>
          </w:tcPr>
          <w:p w14:paraId="00BB0BD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DC" w14:textId="77777777" w:rsidR="00871BDF" w:rsidRDefault="005C5088">
            <w:pPr>
              <w:textAlignment w:val="top"/>
            </w:pPr>
            <w:hyperlink r:id="rId260" w:history="1">
              <w:r>
                <w:rPr>
                  <w:rStyle w:val="a5"/>
                  <w:rFonts w:ascii="Times New Roman" w:eastAsia="宋体" w:hAnsi="Times New Roman"/>
                  <w:sz w:val="20"/>
                  <w:szCs w:val="20"/>
                </w:rPr>
                <w:t>Form of 3.750% Senior Notes due December 1, 2047 (included in Exhi</w:t>
              </w:r>
              <w:r>
                <w:rPr>
                  <w:rStyle w:val="a5"/>
                  <w:rFonts w:ascii="Times New Roman" w:eastAsia="宋体" w:hAnsi="Times New Roman"/>
                  <w:sz w:val="20"/>
                  <w:szCs w:val="20"/>
                </w:rPr>
                <w:t xml:space="preserve">bit 4.2) </w:t>
              </w:r>
            </w:hyperlink>
          </w:p>
        </w:tc>
        <w:tc>
          <w:tcPr>
            <w:tcW w:w="0" w:type="auto"/>
            <w:gridSpan w:val="3"/>
            <w:shd w:val="clear" w:color="auto" w:fill="D7E4BC"/>
            <w:tcMar>
              <w:top w:w="0" w:type="dxa"/>
              <w:left w:w="20" w:type="dxa"/>
              <w:bottom w:w="0" w:type="dxa"/>
              <w:right w:w="20" w:type="dxa"/>
            </w:tcMar>
          </w:tcPr>
          <w:p w14:paraId="00BB0BD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DE"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BD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E0"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BE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E2" w14:textId="77777777" w:rsidR="00871BDF" w:rsidRDefault="005C5088">
            <w:pPr>
              <w:jc w:val="center"/>
              <w:textAlignment w:val="top"/>
            </w:pPr>
            <w:r>
              <w:rPr>
                <w:rFonts w:ascii="Times New Roman" w:eastAsia="宋体" w:hAnsi="Times New Roman"/>
                <w:color w:val="000000"/>
                <w:sz w:val="20"/>
                <w:szCs w:val="20"/>
              </w:rPr>
              <w:t>11/22/2017</w:t>
            </w:r>
          </w:p>
        </w:tc>
        <w:tc>
          <w:tcPr>
            <w:tcW w:w="0" w:type="auto"/>
            <w:gridSpan w:val="3"/>
            <w:shd w:val="clear" w:color="auto" w:fill="D7E4BC"/>
            <w:tcMar>
              <w:top w:w="0" w:type="dxa"/>
              <w:left w:w="20" w:type="dxa"/>
              <w:bottom w:w="0" w:type="dxa"/>
              <w:right w:w="20" w:type="dxa"/>
            </w:tcMar>
          </w:tcPr>
          <w:p w14:paraId="00BB0BE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E4" w14:textId="77777777" w:rsidR="00871BDF" w:rsidRDefault="005C5088">
            <w:pPr>
              <w:jc w:val="center"/>
              <w:textAlignment w:val="top"/>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tcPr>
          <w:p w14:paraId="00BB0BE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BE6" w14:textId="77777777" w:rsidR="00871BDF" w:rsidRDefault="00871BDF">
            <w:pPr>
              <w:rPr>
                <w:rFonts w:ascii="宋体"/>
              </w:rPr>
            </w:pPr>
          </w:p>
        </w:tc>
      </w:tr>
      <w:tr w:rsidR="00871BDF" w14:paraId="00BB0BF5" w14:textId="77777777">
        <w:trPr>
          <w:jc w:val="center"/>
        </w:trPr>
        <w:tc>
          <w:tcPr>
            <w:tcW w:w="0" w:type="auto"/>
            <w:gridSpan w:val="3"/>
            <w:shd w:val="clear" w:color="auto" w:fill="FFFFFF"/>
            <w:tcMar>
              <w:top w:w="40" w:type="dxa"/>
              <w:left w:w="20" w:type="dxa"/>
              <w:bottom w:w="40" w:type="dxa"/>
              <w:right w:w="20" w:type="dxa"/>
            </w:tcMar>
          </w:tcPr>
          <w:p w14:paraId="00BB0BE8" w14:textId="77777777" w:rsidR="00871BDF" w:rsidRDefault="005C5088">
            <w:pPr>
              <w:jc w:val="center"/>
              <w:textAlignment w:val="top"/>
            </w:pPr>
            <w:hyperlink r:id="rId261" w:history="1">
              <w:r>
                <w:rPr>
                  <w:rStyle w:val="a5"/>
                  <w:rFonts w:ascii="Times New Roman" w:eastAsia="宋体" w:hAnsi="Times New Roman"/>
                  <w:sz w:val="20"/>
                  <w:szCs w:val="20"/>
                </w:rPr>
                <w:t>4.7</w:t>
              </w:r>
            </w:hyperlink>
          </w:p>
        </w:tc>
        <w:tc>
          <w:tcPr>
            <w:tcW w:w="0" w:type="auto"/>
            <w:gridSpan w:val="3"/>
            <w:shd w:val="clear" w:color="auto" w:fill="FFFFFF"/>
            <w:tcMar>
              <w:top w:w="0" w:type="dxa"/>
              <w:left w:w="20" w:type="dxa"/>
              <w:bottom w:w="0" w:type="dxa"/>
              <w:right w:w="20" w:type="dxa"/>
            </w:tcMar>
          </w:tcPr>
          <w:p w14:paraId="00BB0BE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EA" w14:textId="77777777" w:rsidR="00871BDF" w:rsidRDefault="005C5088">
            <w:pPr>
              <w:textAlignment w:val="top"/>
            </w:pPr>
            <w:hyperlink r:id="rId262" w:history="1">
              <w:r>
                <w:rPr>
                  <w:rStyle w:val="a5"/>
                  <w:rFonts w:ascii="Times New Roman" w:eastAsia="宋体" w:hAnsi="Times New Roman"/>
                  <w:sz w:val="20"/>
                  <w:szCs w:val="20"/>
                </w:rPr>
                <w:t>Third Supplemental Indenture, dated as of February 28, 2018, by and between Starbucks Corporation and U.S. Bank National Association, as trustee (3.100% Senior N</w:t>
              </w:r>
              <w:r>
                <w:rPr>
                  <w:rStyle w:val="a5"/>
                  <w:rFonts w:ascii="Times New Roman" w:eastAsia="宋体" w:hAnsi="Times New Roman"/>
                  <w:sz w:val="20"/>
                  <w:szCs w:val="20"/>
                </w:rPr>
                <w:t>otes due 2023 and 3.500% Senior Notes due 2028)</w:t>
              </w:r>
            </w:hyperlink>
          </w:p>
        </w:tc>
        <w:tc>
          <w:tcPr>
            <w:tcW w:w="0" w:type="auto"/>
            <w:gridSpan w:val="3"/>
            <w:shd w:val="clear" w:color="auto" w:fill="FFFFFF"/>
            <w:tcMar>
              <w:top w:w="0" w:type="dxa"/>
              <w:left w:w="20" w:type="dxa"/>
              <w:bottom w:w="0" w:type="dxa"/>
              <w:right w:w="20" w:type="dxa"/>
            </w:tcMar>
          </w:tcPr>
          <w:p w14:paraId="00BB0BE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EC"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BE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EE"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BE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F0" w14:textId="77777777" w:rsidR="00871BDF" w:rsidRDefault="005C5088">
            <w:pPr>
              <w:jc w:val="center"/>
              <w:textAlignment w:val="top"/>
            </w:pPr>
            <w:r>
              <w:rPr>
                <w:rFonts w:ascii="Times New Roman" w:eastAsia="宋体" w:hAnsi="Times New Roman"/>
                <w:color w:val="000000"/>
                <w:sz w:val="20"/>
                <w:szCs w:val="20"/>
              </w:rPr>
              <w:t>2/28/2018</w:t>
            </w:r>
          </w:p>
        </w:tc>
        <w:tc>
          <w:tcPr>
            <w:tcW w:w="0" w:type="auto"/>
            <w:gridSpan w:val="3"/>
            <w:shd w:val="clear" w:color="auto" w:fill="FFFFFF"/>
            <w:tcMar>
              <w:top w:w="0" w:type="dxa"/>
              <w:left w:w="20" w:type="dxa"/>
              <w:bottom w:w="0" w:type="dxa"/>
              <w:right w:w="20" w:type="dxa"/>
            </w:tcMar>
          </w:tcPr>
          <w:p w14:paraId="00BB0BF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BF2" w14:textId="77777777" w:rsidR="00871BDF" w:rsidRDefault="005C5088">
            <w:pPr>
              <w:jc w:val="center"/>
              <w:textAlignment w:val="top"/>
            </w:pPr>
            <w:r>
              <w:rPr>
                <w:rFonts w:ascii="Times New Roman" w:eastAsia="宋体" w:hAnsi="Times New Roman"/>
                <w:color w:val="000000"/>
                <w:sz w:val="20"/>
                <w:szCs w:val="20"/>
              </w:rPr>
              <w:t>4.2</w:t>
            </w:r>
          </w:p>
        </w:tc>
        <w:tc>
          <w:tcPr>
            <w:tcW w:w="0" w:type="auto"/>
            <w:gridSpan w:val="3"/>
            <w:shd w:val="clear" w:color="auto" w:fill="FFFFFF"/>
            <w:tcMar>
              <w:top w:w="0" w:type="dxa"/>
              <w:left w:w="20" w:type="dxa"/>
              <w:bottom w:w="0" w:type="dxa"/>
              <w:right w:w="20" w:type="dxa"/>
            </w:tcMar>
          </w:tcPr>
          <w:p w14:paraId="00BB0BF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BF4" w14:textId="77777777" w:rsidR="00871BDF" w:rsidRDefault="00871BDF">
            <w:pPr>
              <w:rPr>
                <w:rFonts w:ascii="宋体"/>
              </w:rPr>
            </w:pPr>
          </w:p>
        </w:tc>
      </w:tr>
      <w:tr w:rsidR="00871BDF" w14:paraId="00BB0C03" w14:textId="77777777">
        <w:trPr>
          <w:jc w:val="center"/>
        </w:trPr>
        <w:tc>
          <w:tcPr>
            <w:tcW w:w="0" w:type="auto"/>
            <w:gridSpan w:val="3"/>
            <w:shd w:val="clear" w:color="auto" w:fill="D7E4BC"/>
            <w:tcMar>
              <w:top w:w="40" w:type="dxa"/>
              <w:left w:w="20" w:type="dxa"/>
              <w:bottom w:w="40" w:type="dxa"/>
              <w:right w:w="20" w:type="dxa"/>
            </w:tcMar>
          </w:tcPr>
          <w:p w14:paraId="00BB0BF6" w14:textId="77777777" w:rsidR="00871BDF" w:rsidRDefault="005C5088">
            <w:pPr>
              <w:jc w:val="center"/>
              <w:textAlignment w:val="top"/>
            </w:pPr>
            <w:hyperlink r:id="rId263" w:history="1">
              <w:r>
                <w:rPr>
                  <w:rStyle w:val="a5"/>
                  <w:rFonts w:ascii="Times New Roman" w:eastAsia="宋体" w:hAnsi="Times New Roman"/>
                  <w:sz w:val="20"/>
                  <w:szCs w:val="20"/>
                </w:rPr>
                <w:t>4.8</w:t>
              </w:r>
            </w:hyperlink>
          </w:p>
        </w:tc>
        <w:tc>
          <w:tcPr>
            <w:tcW w:w="0" w:type="auto"/>
            <w:gridSpan w:val="3"/>
            <w:shd w:val="clear" w:color="auto" w:fill="D7E4BC"/>
            <w:tcMar>
              <w:top w:w="0" w:type="dxa"/>
              <w:left w:w="20" w:type="dxa"/>
              <w:bottom w:w="0" w:type="dxa"/>
              <w:right w:w="20" w:type="dxa"/>
            </w:tcMar>
          </w:tcPr>
          <w:p w14:paraId="00BB0BF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F8" w14:textId="77777777" w:rsidR="00871BDF" w:rsidRDefault="005C5088">
            <w:pPr>
              <w:textAlignment w:val="top"/>
            </w:pPr>
            <w:hyperlink r:id="rId264" w:history="1">
              <w:r>
                <w:rPr>
                  <w:rStyle w:val="a5"/>
                  <w:rFonts w:ascii="Times New Roman" w:eastAsia="宋体" w:hAnsi="Times New Roman"/>
                  <w:sz w:val="20"/>
                  <w:szCs w:val="20"/>
                </w:rPr>
                <w:t>Form of 3.100% Senior Notes due March 1, 2023</w:t>
              </w:r>
            </w:hyperlink>
          </w:p>
        </w:tc>
        <w:tc>
          <w:tcPr>
            <w:tcW w:w="0" w:type="auto"/>
            <w:gridSpan w:val="3"/>
            <w:shd w:val="clear" w:color="auto" w:fill="D7E4BC"/>
            <w:tcMar>
              <w:top w:w="0" w:type="dxa"/>
              <w:left w:w="20" w:type="dxa"/>
              <w:bottom w:w="0" w:type="dxa"/>
              <w:right w:w="20" w:type="dxa"/>
            </w:tcMar>
          </w:tcPr>
          <w:p w14:paraId="00BB0BF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FA"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BF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FC"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BF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BFE" w14:textId="77777777" w:rsidR="00871BDF" w:rsidRDefault="005C5088">
            <w:pPr>
              <w:jc w:val="center"/>
              <w:textAlignment w:val="top"/>
            </w:pPr>
            <w:r>
              <w:rPr>
                <w:rFonts w:ascii="Times New Roman" w:eastAsia="宋体" w:hAnsi="Times New Roman"/>
                <w:color w:val="000000"/>
                <w:sz w:val="20"/>
                <w:szCs w:val="20"/>
              </w:rPr>
              <w:t>2/28/2018</w:t>
            </w:r>
          </w:p>
        </w:tc>
        <w:tc>
          <w:tcPr>
            <w:tcW w:w="0" w:type="auto"/>
            <w:gridSpan w:val="3"/>
            <w:shd w:val="clear" w:color="auto" w:fill="D7E4BC"/>
            <w:tcMar>
              <w:top w:w="0" w:type="dxa"/>
              <w:left w:w="20" w:type="dxa"/>
              <w:bottom w:w="0" w:type="dxa"/>
              <w:right w:w="20" w:type="dxa"/>
            </w:tcMar>
          </w:tcPr>
          <w:p w14:paraId="00BB0BF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00" w14:textId="77777777" w:rsidR="00871BDF" w:rsidRDefault="005C5088">
            <w:pPr>
              <w:jc w:val="center"/>
              <w:textAlignment w:val="top"/>
            </w:pPr>
            <w:r>
              <w:rPr>
                <w:rFonts w:ascii="Times New Roman" w:eastAsia="宋体" w:hAnsi="Times New Roman"/>
                <w:color w:val="000000"/>
                <w:sz w:val="20"/>
                <w:szCs w:val="20"/>
              </w:rPr>
              <w:t>4.3</w:t>
            </w:r>
          </w:p>
        </w:tc>
        <w:tc>
          <w:tcPr>
            <w:tcW w:w="0" w:type="auto"/>
            <w:gridSpan w:val="3"/>
            <w:shd w:val="clear" w:color="auto" w:fill="D7E4BC"/>
            <w:tcMar>
              <w:top w:w="0" w:type="dxa"/>
              <w:left w:w="20" w:type="dxa"/>
              <w:bottom w:w="0" w:type="dxa"/>
              <w:right w:w="20" w:type="dxa"/>
            </w:tcMar>
          </w:tcPr>
          <w:p w14:paraId="00BB0C0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C02" w14:textId="77777777" w:rsidR="00871BDF" w:rsidRDefault="00871BDF">
            <w:pPr>
              <w:rPr>
                <w:rFonts w:ascii="宋体"/>
              </w:rPr>
            </w:pPr>
          </w:p>
        </w:tc>
      </w:tr>
      <w:tr w:rsidR="00871BDF" w14:paraId="00BB0C11" w14:textId="77777777">
        <w:trPr>
          <w:jc w:val="center"/>
        </w:trPr>
        <w:tc>
          <w:tcPr>
            <w:tcW w:w="0" w:type="auto"/>
            <w:gridSpan w:val="3"/>
            <w:shd w:val="clear" w:color="auto" w:fill="FFFFFF"/>
            <w:tcMar>
              <w:top w:w="40" w:type="dxa"/>
              <w:left w:w="20" w:type="dxa"/>
              <w:bottom w:w="40" w:type="dxa"/>
              <w:right w:w="20" w:type="dxa"/>
            </w:tcMar>
          </w:tcPr>
          <w:p w14:paraId="00BB0C04" w14:textId="77777777" w:rsidR="00871BDF" w:rsidRDefault="005C5088">
            <w:pPr>
              <w:jc w:val="center"/>
              <w:textAlignment w:val="top"/>
            </w:pPr>
            <w:hyperlink r:id="rId265" w:history="1">
              <w:r>
                <w:rPr>
                  <w:rStyle w:val="a5"/>
                  <w:rFonts w:ascii="Times New Roman" w:eastAsia="宋体" w:hAnsi="Times New Roman"/>
                  <w:sz w:val="20"/>
                  <w:szCs w:val="20"/>
                </w:rPr>
                <w:t>4.9</w:t>
              </w:r>
            </w:hyperlink>
          </w:p>
        </w:tc>
        <w:tc>
          <w:tcPr>
            <w:tcW w:w="0" w:type="auto"/>
            <w:gridSpan w:val="3"/>
            <w:shd w:val="clear" w:color="auto" w:fill="FFFFFF"/>
            <w:tcMar>
              <w:top w:w="0" w:type="dxa"/>
              <w:left w:w="20" w:type="dxa"/>
              <w:bottom w:w="0" w:type="dxa"/>
              <w:right w:w="20" w:type="dxa"/>
            </w:tcMar>
          </w:tcPr>
          <w:p w14:paraId="00BB0C0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B0C06" w14:textId="77777777" w:rsidR="00871BDF" w:rsidRDefault="005C5088">
            <w:pPr>
              <w:textAlignment w:val="bottom"/>
            </w:pPr>
            <w:hyperlink r:id="rId266" w:history="1">
              <w:r>
                <w:rPr>
                  <w:rStyle w:val="a5"/>
                  <w:rFonts w:ascii="Times New Roman" w:eastAsia="宋体" w:hAnsi="Times New Roman"/>
                  <w:sz w:val="20"/>
                  <w:szCs w:val="20"/>
                </w:rPr>
                <w:t>Form of 3.500% Senior Notes due March 1, 2028</w:t>
              </w:r>
            </w:hyperlink>
          </w:p>
        </w:tc>
        <w:tc>
          <w:tcPr>
            <w:tcW w:w="0" w:type="auto"/>
            <w:gridSpan w:val="3"/>
            <w:shd w:val="clear" w:color="auto" w:fill="FFFFFF"/>
            <w:tcMar>
              <w:top w:w="0" w:type="dxa"/>
              <w:left w:w="20" w:type="dxa"/>
              <w:bottom w:w="0" w:type="dxa"/>
              <w:right w:w="20" w:type="dxa"/>
            </w:tcMar>
          </w:tcPr>
          <w:p w14:paraId="00BB0C0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08"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C0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0A"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C0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0C" w14:textId="77777777" w:rsidR="00871BDF" w:rsidRDefault="005C5088">
            <w:pPr>
              <w:jc w:val="center"/>
              <w:textAlignment w:val="top"/>
            </w:pPr>
            <w:r>
              <w:rPr>
                <w:rFonts w:ascii="Times New Roman" w:eastAsia="宋体" w:hAnsi="Times New Roman"/>
                <w:color w:val="000000"/>
                <w:sz w:val="20"/>
                <w:szCs w:val="20"/>
              </w:rPr>
              <w:t>2/28/2018</w:t>
            </w:r>
          </w:p>
        </w:tc>
        <w:tc>
          <w:tcPr>
            <w:tcW w:w="0" w:type="auto"/>
            <w:gridSpan w:val="3"/>
            <w:shd w:val="clear" w:color="auto" w:fill="FFFFFF"/>
            <w:tcMar>
              <w:top w:w="0" w:type="dxa"/>
              <w:left w:w="20" w:type="dxa"/>
              <w:bottom w:w="0" w:type="dxa"/>
              <w:right w:w="20" w:type="dxa"/>
            </w:tcMar>
          </w:tcPr>
          <w:p w14:paraId="00BB0C0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0E" w14:textId="77777777" w:rsidR="00871BDF" w:rsidRDefault="005C5088">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tcPr>
          <w:p w14:paraId="00BB0C0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10" w14:textId="77777777" w:rsidR="00871BDF" w:rsidRDefault="00871BDF">
            <w:pPr>
              <w:rPr>
                <w:rFonts w:ascii="宋体"/>
              </w:rPr>
            </w:pPr>
          </w:p>
        </w:tc>
      </w:tr>
      <w:tr w:rsidR="00871BDF" w14:paraId="00BB0C1F" w14:textId="77777777">
        <w:trPr>
          <w:jc w:val="center"/>
        </w:trPr>
        <w:tc>
          <w:tcPr>
            <w:tcW w:w="0" w:type="auto"/>
            <w:gridSpan w:val="3"/>
            <w:shd w:val="clear" w:color="auto" w:fill="D7E4BC"/>
            <w:tcMar>
              <w:top w:w="40" w:type="dxa"/>
              <w:left w:w="20" w:type="dxa"/>
              <w:bottom w:w="40" w:type="dxa"/>
              <w:right w:w="20" w:type="dxa"/>
            </w:tcMar>
          </w:tcPr>
          <w:p w14:paraId="00BB0C12" w14:textId="77777777" w:rsidR="00871BDF" w:rsidRDefault="005C5088">
            <w:pPr>
              <w:jc w:val="center"/>
              <w:textAlignment w:val="top"/>
            </w:pPr>
            <w:hyperlink r:id="rId267" w:history="1">
              <w:r>
                <w:rPr>
                  <w:rStyle w:val="a5"/>
                  <w:rFonts w:ascii="Times New Roman" w:eastAsia="宋体" w:hAnsi="Times New Roman"/>
                  <w:sz w:val="20"/>
                  <w:szCs w:val="20"/>
                </w:rPr>
                <w:t>4.10</w:t>
              </w:r>
            </w:hyperlink>
          </w:p>
        </w:tc>
        <w:tc>
          <w:tcPr>
            <w:tcW w:w="0" w:type="auto"/>
            <w:gridSpan w:val="3"/>
            <w:shd w:val="clear" w:color="auto" w:fill="D7E4BC"/>
            <w:tcMar>
              <w:top w:w="0" w:type="dxa"/>
              <w:left w:w="20" w:type="dxa"/>
              <w:bottom w:w="0" w:type="dxa"/>
              <w:right w:w="20" w:type="dxa"/>
            </w:tcMar>
          </w:tcPr>
          <w:p w14:paraId="00BB0C1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14" w14:textId="77777777" w:rsidR="00871BDF" w:rsidRDefault="005C5088">
            <w:pPr>
              <w:textAlignment w:val="top"/>
            </w:pPr>
            <w:hyperlink r:id="rId268" w:history="1">
              <w:r>
                <w:rPr>
                  <w:rStyle w:val="a5"/>
                  <w:rFonts w:ascii="Times New Roman" w:eastAsia="宋体" w:hAnsi="Times New Roman"/>
                  <w:sz w:val="20"/>
                  <w:szCs w:val="20"/>
                </w:rPr>
                <w:t>Fourth Supplemental Indenture, dated as of August 10, 2018, by and between Starbucks Corporation and U.S. Bank National Association, as trustee (3.800% Senior No</w:t>
              </w:r>
              <w:r>
                <w:rPr>
                  <w:rStyle w:val="a5"/>
                  <w:rFonts w:ascii="Times New Roman" w:eastAsia="宋体" w:hAnsi="Times New Roman"/>
                  <w:sz w:val="20"/>
                  <w:szCs w:val="20"/>
                </w:rPr>
                <w:t>tes due 2025, 4.000% Senior Notes due 2028 and 4.500% Senior Notes due 2048)</w:t>
              </w:r>
            </w:hyperlink>
          </w:p>
        </w:tc>
        <w:tc>
          <w:tcPr>
            <w:tcW w:w="0" w:type="auto"/>
            <w:gridSpan w:val="3"/>
            <w:shd w:val="clear" w:color="auto" w:fill="D7E4BC"/>
            <w:tcMar>
              <w:top w:w="0" w:type="dxa"/>
              <w:left w:w="20" w:type="dxa"/>
              <w:bottom w:w="0" w:type="dxa"/>
              <w:right w:w="20" w:type="dxa"/>
            </w:tcMar>
          </w:tcPr>
          <w:p w14:paraId="00BB0C1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16"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C1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18"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C1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1A" w14:textId="77777777" w:rsidR="00871BDF" w:rsidRDefault="005C5088">
            <w:pPr>
              <w:jc w:val="center"/>
              <w:textAlignment w:val="top"/>
            </w:pPr>
            <w:r>
              <w:rPr>
                <w:rFonts w:ascii="Times New Roman" w:eastAsia="宋体" w:hAnsi="Times New Roman"/>
                <w:color w:val="000000"/>
                <w:sz w:val="20"/>
                <w:szCs w:val="20"/>
              </w:rPr>
              <w:t>8/10/2018</w:t>
            </w:r>
          </w:p>
        </w:tc>
        <w:tc>
          <w:tcPr>
            <w:tcW w:w="0" w:type="auto"/>
            <w:gridSpan w:val="3"/>
            <w:shd w:val="clear" w:color="auto" w:fill="D7E4BC"/>
            <w:tcMar>
              <w:top w:w="0" w:type="dxa"/>
              <w:left w:w="20" w:type="dxa"/>
              <w:bottom w:w="0" w:type="dxa"/>
              <w:right w:w="20" w:type="dxa"/>
            </w:tcMar>
          </w:tcPr>
          <w:p w14:paraId="00BB0C1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1C" w14:textId="77777777" w:rsidR="00871BDF" w:rsidRDefault="005C5088">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tcPr>
          <w:p w14:paraId="00BB0C1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C1E" w14:textId="77777777" w:rsidR="00871BDF" w:rsidRDefault="00871BDF">
            <w:pPr>
              <w:rPr>
                <w:rFonts w:ascii="宋体"/>
              </w:rPr>
            </w:pPr>
          </w:p>
        </w:tc>
      </w:tr>
      <w:tr w:rsidR="00871BDF" w14:paraId="00BB0C2D" w14:textId="77777777">
        <w:trPr>
          <w:jc w:val="center"/>
        </w:trPr>
        <w:tc>
          <w:tcPr>
            <w:tcW w:w="0" w:type="auto"/>
            <w:gridSpan w:val="3"/>
            <w:shd w:val="clear" w:color="auto" w:fill="FFFFFF"/>
            <w:tcMar>
              <w:top w:w="40" w:type="dxa"/>
              <w:left w:w="20" w:type="dxa"/>
              <w:bottom w:w="40" w:type="dxa"/>
              <w:right w:w="20" w:type="dxa"/>
            </w:tcMar>
          </w:tcPr>
          <w:p w14:paraId="00BB0C20" w14:textId="77777777" w:rsidR="00871BDF" w:rsidRDefault="005C5088">
            <w:pPr>
              <w:jc w:val="center"/>
              <w:textAlignment w:val="top"/>
            </w:pPr>
            <w:hyperlink r:id="rId269" w:history="1">
              <w:r>
                <w:rPr>
                  <w:rStyle w:val="a5"/>
                  <w:rFonts w:ascii="Times New Roman" w:eastAsia="宋体" w:hAnsi="Times New Roman"/>
                  <w:sz w:val="20"/>
                  <w:szCs w:val="20"/>
                </w:rPr>
                <w:t>4.11</w:t>
              </w:r>
            </w:hyperlink>
          </w:p>
        </w:tc>
        <w:tc>
          <w:tcPr>
            <w:tcW w:w="0" w:type="auto"/>
            <w:gridSpan w:val="3"/>
            <w:shd w:val="clear" w:color="auto" w:fill="FFFFFF"/>
            <w:tcMar>
              <w:top w:w="0" w:type="dxa"/>
              <w:left w:w="20" w:type="dxa"/>
              <w:bottom w:w="0" w:type="dxa"/>
              <w:right w:w="20" w:type="dxa"/>
            </w:tcMar>
          </w:tcPr>
          <w:p w14:paraId="00BB0C2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22" w14:textId="77777777" w:rsidR="00871BDF" w:rsidRDefault="005C5088">
            <w:pPr>
              <w:textAlignment w:val="top"/>
            </w:pPr>
            <w:hyperlink r:id="rId270" w:history="1">
              <w:r>
                <w:rPr>
                  <w:rStyle w:val="a5"/>
                  <w:rFonts w:ascii="Times New Roman" w:eastAsia="宋体" w:hAnsi="Times New Roman"/>
                  <w:sz w:val="20"/>
                  <w:szCs w:val="20"/>
                </w:rPr>
                <w:t>Form of 3.800% Senior Notes due August 15, 2025</w:t>
              </w:r>
            </w:hyperlink>
          </w:p>
        </w:tc>
        <w:tc>
          <w:tcPr>
            <w:tcW w:w="0" w:type="auto"/>
            <w:gridSpan w:val="3"/>
            <w:shd w:val="clear" w:color="auto" w:fill="FFFFFF"/>
            <w:tcMar>
              <w:top w:w="0" w:type="dxa"/>
              <w:left w:w="20" w:type="dxa"/>
              <w:bottom w:w="0" w:type="dxa"/>
              <w:right w:w="20" w:type="dxa"/>
            </w:tcMar>
          </w:tcPr>
          <w:p w14:paraId="00BB0C2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24"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C2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26"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C2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28" w14:textId="77777777" w:rsidR="00871BDF" w:rsidRDefault="005C5088">
            <w:pPr>
              <w:jc w:val="center"/>
              <w:textAlignment w:val="top"/>
            </w:pPr>
            <w:r>
              <w:rPr>
                <w:rFonts w:ascii="Times New Roman" w:eastAsia="宋体" w:hAnsi="Times New Roman"/>
                <w:color w:val="000000"/>
                <w:sz w:val="20"/>
                <w:szCs w:val="20"/>
              </w:rPr>
              <w:t>8/10/2018</w:t>
            </w:r>
          </w:p>
        </w:tc>
        <w:tc>
          <w:tcPr>
            <w:tcW w:w="0" w:type="auto"/>
            <w:gridSpan w:val="3"/>
            <w:shd w:val="clear" w:color="auto" w:fill="FFFFFF"/>
            <w:tcMar>
              <w:top w:w="0" w:type="dxa"/>
              <w:left w:w="20" w:type="dxa"/>
              <w:bottom w:w="0" w:type="dxa"/>
              <w:right w:w="20" w:type="dxa"/>
            </w:tcMar>
          </w:tcPr>
          <w:p w14:paraId="00BB0C2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2A" w14:textId="77777777" w:rsidR="00871BDF" w:rsidRDefault="005C5088">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tcPr>
          <w:p w14:paraId="00BB0C2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2C" w14:textId="77777777" w:rsidR="00871BDF" w:rsidRDefault="00871BDF">
            <w:pPr>
              <w:rPr>
                <w:rFonts w:ascii="宋体"/>
              </w:rPr>
            </w:pPr>
          </w:p>
        </w:tc>
      </w:tr>
    </w:tbl>
    <w:p w14:paraId="00BB0C2E" w14:textId="77777777" w:rsidR="00871BDF" w:rsidRDefault="005C5088">
      <w:pPr>
        <w:jc w:val="center"/>
      </w:pPr>
      <w:r>
        <w:rPr>
          <w:rFonts w:ascii="Times New Roman" w:eastAsia="宋体" w:hAnsi="Times New Roman"/>
          <w:color w:val="000000"/>
          <w:sz w:val="20"/>
          <w:szCs w:val="20"/>
        </w:rPr>
        <w:t>96</w:t>
      </w:r>
    </w:p>
    <w:p w14:paraId="00BB0C2F" w14:textId="77777777" w:rsidR="00871BDF" w:rsidRDefault="005C5088">
      <w:r>
        <w:pict w14:anchorId="00BB14C5">
          <v:rect id="_x0000_i1123" style="width:415.3pt;height:1.5pt" o:hralign="center" o:hrstd="t" o:hr="t" fillcolor="#a0a0a0" stroked="f"/>
        </w:pict>
      </w:r>
    </w:p>
    <w:p w14:paraId="00BB0C30" w14:textId="77777777" w:rsidR="00871BDF" w:rsidRDefault="005C5088">
      <w:hyperlink r:id="rId271" w:anchor="i54ccc64cb5384be5a4849ef1cdef4dde_7" w:history="1">
        <w:r>
          <w:rPr>
            <w:rStyle w:val="a5"/>
            <w:rFonts w:ascii="Times New Roman" w:eastAsia="宋体" w:hAnsi="Times New Roman"/>
            <w:sz w:val="20"/>
            <w:szCs w:val="20"/>
          </w:rPr>
          <w:t>Table of 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74"/>
        <w:gridCol w:w="36"/>
        <w:gridCol w:w="36"/>
        <w:gridCol w:w="36"/>
        <w:gridCol w:w="36"/>
        <w:gridCol w:w="40"/>
        <w:gridCol w:w="2489"/>
        <w:gridCol w:w="38"/>
        <w:gridCol w:w="36"/>
        <w:gridCol w:w="36"/>
        <w:gridCol w:w="36"/>
        <w:gridCol w:w="64"/>
        <w:gridCol w:w="759"/>
        <w:gridCol w:w="37"/>
        <w:gridCol w:w="37"/>
        <w:gridCol w:w="37"/>
        <w:gridCol w:w="37"/>
        <w:gridCol w:w="91"/>
        <w:gridCol w:w="907"/>
        <w:gridCol w:w="37"/>
        <w:gridCol w:w="36"/>
        <w:gridCol w:w="36"/>
        <w:gridCol w:w="36"/>
        <w:gridCol w:w="76"/>
        <w:gridCol w:w="770"/>
        <w:gridCol w:w="37"/>
        <w:gridCol w:w="36"/>
        <w:gridCol w:w="36"/>
        <w:gridCol w:w="36"/>
        <w:gridCol w:w="55"/>
        <w:gridCol w:w="730"/>
        <w:gridCol w:w="36"/>
        <w:gridCol w:w="36"/>
        <w:gridCol w:w="36"/>
        <w:gridCol w:w="36"/>
        <w:gridCol w:w="74"/>
        <w:gridCol w:w="599"/>
        <w:gridCol w:w="36"/>
      </w:tblGrid>
      <w:tr w:rsidR="00871BDF" w14:paraId="00BB0C58" w14:textId="77777777">
        <w:trPr>
          <w:jc w:val="center"/>
        </w:trPr>
        <w:tc>
          <w:tcPr>
            <w:tcW w:w="50" w:type="pct"/>
            <w:shd w:val="clear" w:color="auto" w:fill="auto"/>
          </w:tcPr>
          <w:p w14:paraId="00BB0C31" w14:textId="77777777" w:rsidR="00871BDF" w:rsidRDefault="00871BDF">
            <w:pPr>
              <w:rPr>
                <w:rFonts w:ascii="宋体"/>
              </w:rPr>
            </w:pPr>
          </w:p>
        </w:tc>
        <w:tc>
          <w:tcPr>
            <w:tcW w:w="436" w:type="pct"/>
            <w:shd w:val="clear" w:color="auto" w:fill="auto"/>
          </w:tcPr>
          <w:p w14:paraId="00BB0C32" w14:textId="77777777" w:rsidR="00871BDF" w:rsidRDefault="00871BDF">
            <w:pPr>
              <w:rPr>
                <w:rFonts w:ascii="宋体"/>
              </w:rPr>
            </w:pPr>
          </w:p>
        </w:tc>
        <w:tc>
          <w:tcPr>
            <w:tcW w:w="5" w:type="pct"/>
            <w:shd w:val="clear" w:color="auto" w:fill="auto"/>
          </w:tcPr>
          <w:p w14:paraId="00BB0C33" w14:textId="77777777" w:rsidR="00871BDF" w:rsidRDefault="00871BDF">
            <w:pPr>
              <w:rPr>
                <w:rFonts w:ascii="宋体"/>
              </w:rPr>
            </w:pPr>
          </w:p>
        </w:tc>
        <w:tc>
          <w:tcPr>
            <w:tcW w:w="5" w:type="pct"/>
            <w:shd w:val="clear" w:color="auto" w:fill="auto"/>
          </w:tcPr>
          <w:p w14:paraId="00BB0C34" w14:textId="77777777" w:rsidR="00871BDF" w:rsidRDefault="00871BDF">
            <w:pPr>
              <w:rPr>
                <w:rFonts w:ascii="宋体"/>
              </w:rPr>
            </w:pPr>
          </w:p>
        </w:tc>
        <w:tc>
          <w:tcPr>
            <w:tcW w:w="26" w:type="pct"/>
            <w:shd w:val="clear" w:color="auto" w:fill="auto"/>
          </w:tcPr>
          <w:p w14:paraId="00BB0C35" w14:textId="77777777" w:rsidR="00871BDF" w:rsidRDefault="00871BDF">
            <w:pPr>
              <w:rPr>
                <w:rFonts w:ascii="宋体"/>
              </w:rPr>
            </w:pPr>
          </w:p>
        </w:tc>
        <w:tc>
          <w:tcPr>
            <w:tcW w:w="5" w:type="pct"/>
            <w:shd w:val="clear" w:color="auto" w:fill="auto"/>
          </w:tcPr>
          <w:p w14:paraId="00BB0C36" w14:textId="77777777" w:rsidR="00871BDF" w:rsidRDefault="00871BDF">
            <w:pPr>
              <w:rPr>
                <w:rFonts w:ascii="宋体"/>
              </w:rPr>
            </w:pPr>
          </w:p>
        </w:tc>
        <w:tc>
          <w:tcPr>
            <w:tcW w:w="50" w:type="pct"/>
            <w:shd w:val="clear" w:color="auto" w:fill="auto"/>
          </w:tcPr>
          <w:p w14:paraId="00BB0C37" w14:textId="77777777" w:rsidR="00871BDF" w:rsidRDefault="00871BDF">
            <w:pPr>
              <w:rPr>
                <w:rFonts w:ascii="宋体"/>
              </w:rPr>
            </w:pPr>
          </w:p>
        </w:tc>
        <w:tc>
          <w:tcPr>
            <w:tcW w:w="1530" w:type="pct"/>
            <w:shd w:val="clear" w:color="auto" w:fill="auto"/>
          </w:tcPr>
          <w:p w14:paraId="00BB0C38" w14:textId="77777777" w:rsidR="00871BDF" w:rsidRDefault="00871BDF">
            <w:pPr>
              <w:rPr>
                <w:rFonts w:ascii="宋体"/>
              </w:rPr>
            </w:pPr>
          </w:p>
        </w:tc>
        <w:tc>
          <w:tcPr>
            <w:tcW w:w="5" w:type="pct"/>
            <w:shd w:val="clear" w:color="auto" w:fill="auto"/>
          </w:tcPr>
          <w:p w14:paraId="00BB0C39" w14:textId="77777777" w:rsidR="00871BDF" w:rsidRDefault="00871BDF">
            <w:pPr>
              <w:rPr>
                <w:rFonts w:ascii="宋体"/>
              </w:rPr>
            </w:pPr>
          </w:p>
        </w:tc>
        <w:tc>
          <w:tcPr>
            <w:tcW w:w="5" w:type="pct"/>
            <w:shd w:val="clear" w:color="auto" w:fill="auto"/>
          </w:tcPr>
          <w:p w14:paraId="00BB0C3A" w14:textId="77777777" w:rsidR="00871BDF" w:rsidRDefault="00871BDF">
            <w:pPr>
              <w:rPr>
                <w:rFonts w:ascii="宋体"/>
              </w:rPr>
            </w:pPr>
          </w:p>
        </w:tc>
        <w:tc>
          <w:tcPr>
            <w:tcW w:w="26" w:type="pct"/>
            <w:shd w:val="clear" w:color="auto" w:fill="auto"/>
          </w:tcPr>
          <w:p w14:paraId="00BB0C3B" w14:textId="77777777" w:rsidR="00871BDF" w:rsidRDefault="00871BDF">
            <w:pPr>
              <w:rPr>
                <w:rFonts w:ascii="宋体"/>
              </w:rPr>
            </w:pPr>
          </w:p>
        </w:tc>
        <w:tc>
          <w:tcPr>
            <w:tcW w:w="5" w:type="pct"/>
            <w:shd w:val="clear" w:color="auto" w:fill="auto"/>
          </w:tcPr>
          <w:p w14:paraId="00BB0C3C" w14:textId="77777777" w:rsidR="00871BDF" w:rsidRDefault="00871BDF">
            <w:pPr>
              <w:rPr>
                <w:rFonts w:ascii="宋体"/>
              </w:rPr>
            </w:pPr>
          </w:p>
        </w:tc>
        <w:tc>
          <w:tcPr>
            <w:tcW w:w="50" w:type="pct"/>
            <w:shd w:val="clear" w:color="auto" w:fill="auto"/>
          </w:tcPr>
          <w:p w14:paraId="00BB0C3D" w14:textId="77777777" w:rsidR="00871BDF" w:rsidRDefault="00871BDF">
            <w:pPr>
              <w:rPr>
                <w:rFonts w:ascii="宋体"/>
              </w:rPr>
            </w:pPr>
          </w:p>
        </w:tc>
        <w:tc>
          <w:tcPr>
            <w:tcW w:w="503" w:type="pct"/>
            <w:shd w:val="clear" w:color="auto" w:fill="auto"/>
          </w:tcPr>
          <w:p w14:paraId="00BB0C3E" w14:textId="77777777" w:rsidR="00871BDF" w:rsidRDefault="00871BDF">
            <w:pPr>
              <w:rPr>
                <w:rFonts w:ascii="宋体"/>
              </w:rPr>
            </w:pPr>
          </w:p>
        </w:tc>
        <w:tc>
          <w:tcPr>
            <w:tcW w:w="5" w:type="pct"/>
            <w:shd w:val="clear" w:color="auto" w:fill="auto"/>
          </w:tcPr>
          <w:p w14:paraId="00BB0C3F" w14:textId="77777777" w:rsidR="00871BDF" w:rsidRDefault="00871BDF">
            <w:pPr>
              <w:rPr>
                <w:rFonts w:ascii="宋体"/>
              </w:rPr>
            </w:pPr>
          </w:p>
        </w:tc>
        <w:tc>
          <w:tcPr>
            <w:tcW w:w="5" w:type="pct"/>
            <w:shd w:val="clear" w:color="auto" w:fill="auto"/>
          </w:tcPr>
          <w:p w14:paraId="00BB0C40" w14:textId="77777777" w:rsidR="00871BDF" w:rsidRDefault="00871BDF">
            <w:pPr>
              <w:rPr>
                <w:rFonts w:ascii="宋体"/>
              </w:rPr>
            </w:pPr>
          </w:p>
        </w:tc>
        <w:tc>
          <w:tcPr>
            <w:tcW w:w="26" w:type="pct"/>
            <w:shd w:val="clear" w:color="auto" w:fill="auto"/>
          </w:tcPr>
          <w:p w14:paraId="00BB0C41" w14:textId="77777777" w:rsidR="00871BDF" w:rsidRDefault="00871BDF">
            <w:pPr>
              <w:rPr>
                <w:rFonts w:ascii="宋体"/>
              </w:rPr>
            </w:pPr>
          </w:p>
        </w:tc>
        <w:tc>
          <w:tcPr>
            <w:tcW w:w="5" w:type="pct"/>
            <w:shd w:val="clear" w:color="auto" w:fill="auto"/>
          </w:tcPr>
          <w:p w14:paraId="00BB0C42" w14:textId="77777777" w:rsidR="00871BDF" w:rsidRDefault="00871BDF">
            <w:pPr>
              <w:rPr>
                <w:rFonts w:ascii="宋体"/>
              </w:rPr>
            </w:pPr>
          </w:p>
        </w:tc>
        <w:tc>
          <w:tcPr>
            <w:tcW w:w="50" w:type="pct"/>
            <w:shd w:val="clear" w:color="auto" w:fill="auto"/>
          </w:tcPr>
          <w:p w14:paraId="00BB0C43" w14:textId="77777777" w:rsidR="00871BDF" w:rsidRDefault="00871BDF">
            <w:pPr>
              <w:rPr>
                <w:rFonts w:ascii="宋体"/>
              </w:rPr>
            </w:pPr>
          </w:p>
        </w:tc>
        <w:tc>
          <w:tcPr>
            <w:tcW w:w="503" w:type="pct"/>
            <w:shd w:val="clear" w:color="auto" w:fill="auto"/>
          </w:tcPr>
          <w:p w14:paraId="00BB0C44" w14:textId="77777777" w:rsidR="00871BDF" w:rsidRDefault="00871BDF">
            <w:pPr>
              <w:rPr>
                <w:rFonts w:ascii="宋体"/>
              </w:rPr>
            </w:pPr>
          </w:p>
        </w:tc>
        <w:tc>
          <w:tcPr>
            <w:tcW w:w="5" w:type="pct"/>
            <w:shd w:val="clear" w:color="auto" w:fill="auto"/>
          </w:tcPr>
          <w:p w14:paraId="00BB0C45" w14:textId="77777777" w:rsidR="00871BDF" w:rsidRDefault="00871BDF">
            <w:pPr>
              <w:rPr>
                <w:rFonts w:ascii="宋体"/>
              </w:rPr>
            </w:pPr>
          </w:p>
        </w:tc>
        <w:tc>
          <w:tcPr>
            <w:tcW w:w="5" w:type="pct"/>
            <w:shd w:val="clear" w:color="auto" w:fill="auto"/>
          </w:tcPr>
          <w:p w14:paraId="00BB0C46" w14:textId="77777777" w:rsidR="00871BDF" w:rsidRDefault="00871BDF">
            <w:pPr>
              <w:rPr>
                <w:rFonts w:ascii="宋体"/>
              </w:rPr>
            </w:pPr>
          </w:p>
        </w:tc>
        <w:tc>
          <w:tcPr>
            <w:tcW w:w="26" w:type="pct"/>
            <w:shd w:val="clear" w:color="auto" w:fill="auto"/>
          </w:tcPr>
          <w:p w14:paraId="00BB0C47" w14:textId="77777777" w:rsidR="00871BDF" w:rsidRDefault="00871BDF">
            <w:pPr>
              <w:rPr>
                <w:rFonts w:ascii="宋体"/>
              </w:rPr>
            </w:pPr>
          </w:p>
        </w:tc>
        <w:tc>
          <w:tcPr>
            <w:tcW w:w="5" w:type="pct"/>
            <w:shd w:val="clear" w:color="auto" w:fill="auto"/>
          </w:tcPr>
          <w:p w14:paraId="00BB0C48" w14:textId="77777777" w:rsidR="00871BDF" w:rsidRDefault="00871BDF">
            <w:pPr>
              <w:rPr>
                <w:rFonts w:ascii="宋体"/>
              </w:rPr>
            </w:pPr>
          </w:p>
        </w:tc>
        <w:tc>
          <w:tcPr>
            <w:tcW w:w="50" w:type="pct"/>
            <w:shd w:val="clear" w:color="auto" w:fill="auto"/>
          </w:tcPr>
          <w:p w14:paraId="00BB0C49" w14:textId="77777777" w:rsidR="00871BDF" w:rsidRDefault="00871BDF">
            <w:pPr>
              <w:rPr>
                <w:rFonts w:ascii="宋体"/>
              </w:rPr>
            </w:pPr>
          </w:p>
        </w:tc>
        <w:tc>
          <w:tcPr>
            <w:tcW w:w="510" w:type="pct"/>
            <w:shd w:val="clear" w:color="auto" w:fill="auto"/>
          </w:tcPr>
          <w:p w14:paraId="00BB0C4A" w14:textId="77777777" w:rsidR="00871BDF" w:rsidRDefault="00871BDF">
            <w:pPr>
              <w:rPr>
                <w:rFonts w:ascii="宋体"/>
              </w:rPr>
            </w:pPr>
          </w:p>
        </w:tc>
        <w:tc>
          <w:tcPr>
            <w:tcW w:w="5" w:type="pct"/>
            <w:shd w:val="clear" w:color="auto" w:fill="auto"/>
          </w:tcPr>
          <w:p w14:paraId="00BB0C4B" w14:textId="77777777" w:rsidR="00871BDF" w:rsidRDefault="00871BDF">
            <w:pPr>
              <w:rPr>
                <w:rFonts w:ascii="宋体"/>
              </w:rPr>
            </w:pPr>
          </w:p>
        </w:tc>
        <w:tc>
          <w:tcPr>
            <w:tcW w:w="5" w:type="pct"/>
            <w:shd w:val="clear" w:color="auto" w:fill="auto"/>
          </w:tcPr>
          <w:p w14:paraId="00BB0C4C" w14:textId="77777777" w:rsidR="00871BDF" w:rsidRDefault="00871BDF">
            <w:pPr>
              <w:rPr>
                <w:rFonts w:ascii="宋体"/>
              </w:rPr>
            </w:pPr>
          </w:p>
        </w:tc>
        <w:tc>
          <w:tcPr>
            <w:tcW w:w="26" w:type="pct"/>
            <w:shd w:val="clear" w:color="auto" w:fill="auto"/>
          </w:tcPr>
          <w:p w14:paraId="00BB0C4D" w14:textId="77777777" w:rsidR="00871BDF" w:rsidRDefault="00871BDF">
            <w:pPr>
              <w:rPr>
                <w:rFonts w:ascii="宋体"/>
              </w:rPr>
            </w:pPr>
          </w:p>
        </w:tc>
        <w:tc>
          <w:tcPr>
            <w:tcW w:w="5" w:type="pct"/>
            <w:shd w:val="clear" w:color="auto" w:fill="auto"/>
          </w:tcPr>
          <w:p w14:paraId="00BB0C4E" w14:textId="77777777" w:rsidR="00871BDF" w:rsidRDefault="00871BDF">
            <w:pPr>
              <w:rPr>
                <w:rFonts w:ascii="宋体"/>
              </w:rPr>
            </w:pPr>
          </w:p>
        </w:tc>
        <w:tc>
          <w:tcPr>
            <w:tcW w:w="50" w:type="pct"/>
            <w:shd w:val="clear" w:color="auto" w:fill="auto"/>
          </w:tcPr>
          <w:p w14:paraId="00BB0C4F" w14:textId="77777777" w:rsidR="00871BDF" w:rsidRDefault="00871BDF">
            <w:pPr>
              <w:rPr>
                <w:rFonts w:ascii="宋体"/>
              </w:rPr>
            </w:pPr>
          </w:p>
        </w:tc>
        <w:tc>
          <w:tcPr>
            <w:tcW w:w="503" w:type="pct"/>
            <w:shd w:val="clear" w:color="auto" w:fill="auto"/>
          </w:tcPr>
          <w:p w14:paraId="00BB0C50" w14:textId="77777777" w:rsidR="00871BDF" w:rsidRDefault="00871BDF">
            <w:pPr>
              <w:rPr>
                <w:rFonts w:ascii="宋体"/>
              </w:rPr>
            </w:pPr>
          </w:p>
        </w:tc>
        <w:tc>
          <w:tcPr>
            <w:tcW w:w="5" w:type="pct"/>
            <w:shd w:val="clear" w:color="auto" w:fill="auto"/>
          </w:tcPr>
          <w:p w14:paraId="00BB0C51" w14:textId="77777777" w:rsidR="00871BDF" w:rsidRDefault="00871BDF">
            <w:pPr>
              <w:rPr>
                <w:rFonts w:ascii="宋体"/>
              </w:rPr>
            </w:pPr>
          </w:p>
        </w:tc>
        <w:tc>
          <w:tcPr>
            <w:tcW w:w="5" w:type="pct"/>
            <w:shd w:val="clear" w:color="auto" w:fill="auto"/>
          </w:tcPr>
          <w:p w14:paraId="00BB0C52" w14:textId="77777777" w:rsidR="00871BDF" w:rsidRDefault="00871BDF">
            <w:pPr>
              <w:rPr>
                <w:rFonts w:ascii="宋体"/>
              </w:rPr>
            </w:pPr>
          </w:p>
        </w:tc>
        <w:tc>
          <w:tcPr>
            <w:tcW w:w="26" w:type="pct"/>
            <w:shd w:val="clear" w:color="auto" w:fill="auto"/>
          </w:tcPr>
          <w:p w14:paraId="00BB0C53" w14:textId="77777777" w:rsidR="00871BDF" w:rsidRDefault="00871BDF">
            <w:pPr>
              <w:rPr>
                <w:rFonts w:ascii="宋体"/>
              </w:rPr>
            </w:pPr>
          </w:p>
        </w:tc>
        <w:tc>
          <w:tcPr>
            <w:tcW w:w="5" w:type="pct"/>
            <w:shd w:val="clear" w:color="auto" w:fill="auto"/>
          </w:tcPr>
          <w:p w14:paraId="00BB0C54" w14:textId="77777777" w:rsidR="00871BDF" w:rsidRDefault="00871BDF">
            <w:pPr>
              <w:rPr>
                <w:rFonts w:ascii="宋体"/>
              </w:rPr>
            </w:pPr>
          </w:p>
        </w:tc>
        <w:tc>
          <w:tcPr>
            <w:tcW w:w="50" w:type="pct"/>
            <w:shd w:val="clear" w:color="auto" w:fill="auto"/>
          </w:tcPr>
          <w:p w14:paraId="00BB0C55" w14:textId="77777777" w:rsidR="00871BDF" w:rsidRDefault="00871BDF">
            <w:pPr>
              <w:rPr>
                <w:rFonts w:ascii="宋体"/>
              </w:rPr>
            </w:pPr>
          </w:p>
        </w:tc>
        <w:tc>
          <w:tcPr>
            <w:tcW w:w="407" w:type="pct"/>
            <w:shd w:val="clear" w:color="auto" w:fill="auto"/>
          </w:tcPr>
          <w:p w14:paraId="00BB0C56" w14:textId="77777777" w:rsidR="00871BDF" w:rsidRDefault="00871BDF">
            <w:pPr>
              <w:rPr>
                <w:rFonts w:ascii="宋体"/>
              </w:rPr>
            </w:pPr>
          </w:p>
        </w:tc>
        <w:tc>
          <w:tcPr>
            <w:tcW w:w="5" w:type="pct"/>
            <w:shd w:val="clear" w:color="auto" w:fill="auto"/>
          </w:tcPr>
          <w:p w14:paraId="00BB0C57" w14:textId="77777777" w:rsidR="00871BDF" w:rsidRDefault="00871BDF">
            <w:pPr>
              <w:rPr>
                <w:rFonts w:ascii="宋体"/>
              </w:rPr>
            </w:pPr>
          </w:p>
        </w:tc>
      </w:tr>
      <w:tr w:rsidR="00871BDF" w14:paraId="00BB0C66" w14:textId="77777777">
        <w:trPr>
          <w:trHeight w:val="160"/>
          <w:jc w:val="center"/>
        </w:trPr>
        <w:tc>
          <w:tcPr>
            <w:tcW w:w="0" w:type="auto"/>
            <w:gridSpan w:val="3"/>
            <w:shd w:val="clear" w:color="auto" w:fill="FFFFFF"/>
            <w:tcMar>
              <w:top w:w="0" w:type="dxa"/>
              <w:left w:w="20" w:type="dxa"/>
              <w:bottom w:w="0" w:type="dxa"/>
              <w:right w:w="20" w:type="dxa"/>
            </w:tcMar>
          </w:tcPr>
          <w:p w14:paraId="00BB0C5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5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5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5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5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5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5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6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6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6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6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6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65" w14:textId="77777777" w:rsidR="00871BDF" w:rsidRDefault="00871BDF">
            <w:pPr>
              <w:rPr>
                <w:rFonts w:ascii="宋体"/>
              </w:rPr>
            </w:pPr>
          </w:p>
        </w:tc>
      </w:tr>
      <w:tr w:rsidR="00871BDF" w14:paraId="00BB0C6E" w14:textId="77777777">
        <w:trPr>
          <w:jc w:val="center"/>
        </w:trPr>
        <w:tc>
          <w:tcPr>
            <w:tcW w:w="0" w:type="auto"/>
            <w:gridSpan w:val="3"/>
            <w:shd w:val="clear" w:color="auto" w:fill="auto"/>
            <w:tcMar>
              <w:top w:w="40" w:type="dxa"/>
              <w:left w:w="20" w:type="dxa"/>
              <w:bottom w:w="40" w:type="dxa"/>
              <w:right w:w="20" w:type="dxa"/>
            </w:tcMar>
            <w:vAlign w:val="bottom"/>
          </w:tcPr>
          <w:p w14:paraId="00BB0C67" w14:textId="77777777" w:rsidR="00871BDF" w:rsidRDefault="005C5088">
            <w:pPr>
              <w:jc w:val="cente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B0C68"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0C69"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B0C6A" w14:textId="77777777" w:rsidR="00871BDF" w:rsidRDefault="00871BDF">
            <w:pPr>
              <w:rPr>
                <w:rFonts w:ascii="宋体"/>
              </w:rPr>
            </w:pPr>
          </w:p>
        </w:tc>
        <w:tc>
          <w:tcPr>
            <w:tcW w:w="0" w:type="auto"/>
            <w:gridSpan w:val="21"/>
            <w:shd w:val="clear" w:color="auto" w:fill="00704A"/>
            <w:tcMar>
              <w:top w:w="40" w:type="dxa"/>
              <w:left w:w="20" w:type="dxa"/>
              <w:bottom w:w="40" w:type="dxa"/>
              <w:right w:w="20" w:type="dxa"/>
            </w:tcMar>
            <w:vAlign w:val="bottom"/>
          </w:tcPr>
          <w:p w14:paraId="00BB0C6B" w14:textId="77777777" w:rsidR="00871BDF" w:rsidRDefault="005C5088">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tcPr>
          <w:p w14:paraId="00BB0C6C"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0C6D"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871BDF" w14:paraId="00BB0C7F" w14:textId="77777777">
        <w:trPr>
          <w:jc w:val="center"/>
        </w:trPr>
        <w:tc>
          <w:tcPr>
            <w:tcW w:w="0" w:type="auto"/>
            <w:gridSpan w:val="3"/>
            <w:shd w:val="clear" w:color="auto" w:fill="00704A"/>
            <w:tcMar>
              <w:top w:w="40" w:type="dxa"/>
              <w:left w:w="20" w:type="dxa"/>
              <w:bottom w:w="40" w:type="dxa"/>
              <w:right w:w="20" w:type="dxa"/>
            </w:tcMar>
            <w:vAlign w:val="bottom"/>
          </w:tcPr>
          <w:p w14:paraId="00BB0C6F" w14:textId="77777777" w:rsidR="00871BDF" w:rsidRDefault="005C5088">
            <w:pPr>
              <w:jc w:val="center"/>
              <w:textAlignment w:val="bottom"/>
            </w:pPr>
            <w:r>
              <w:rPr>
                <w:rFonts w:ascii="Times New Roman" w:eastAsia="宋体" w:hAnsi="Times New Roman"/>
                <w:b/>
                <w:bCs/>
                <w:color w:val="FFFFFF"/>
                <w:sz w:val="16"/>
                <w:szCs w:val="16"/>
              </w:rPr>
              <w:t>Exhibit</w:t>
            </w:r>
          </w:p>
          <w:p w14:paraId="00BB0C70"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tcPr>
          <w:p w14:paraId="00BB0C71"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C72" w14:textId="77777777" w:rsidR="00871BDF" w:rsidRDefault="005C5088">
            <w:pPr>
              <w:jc w:val="center"/>
              <w:textAlignment w:val="bottom"/>
            </w:pPr>
            <w:r>
              <w:rPr>
                <w:rFonts w:ascii="Times New Roman" w:eastAsia="宋体" w:hAnsi="Times New Roman"/>
                <w:b/>
                <w:bCs/>
                <w:color w:val="FFFFFF"/>
                <w:sz w:val="16"/>
                <w:szCs w:val="16"/>
              </w:rPr>
              <w:t xml:space="preserve">Exhibit </w:t>
            </w:r>
            <w:r>
              <w:rPr>
                <w:rFonts w:ascii="Times New Roman" w:eastAsia="宋体" w:hAnsi="Times New Roman"/>
                <w:b/>
                <w:bCs/>
                <w:color w:val="FFFFFF"/>
                <w:sz w:val="16"/>
                <w:szCs w:val="16"/>
              </w:rPr>
              <w:t>Description</w:t>
            </w:r>
          </w:p>
        </w:tc>
        <w:tc>
          <w:tcPr>
            <w:tcW w:w="0" w:type="auto"/>
            <w:gridSpan w:val="3"/>
            <w:shd w:val="clear" w:color="auto" w:fill="auto"/>
            <w:tcMar>
              <w:top w:w="0" w:type="dxa"/>
              <w:left w:w="20" w:type="dxa"/>
              <w:bottom w:w="0" w:type="dxa"/>
              <w:right w:w="20" w:type="dxa"/>
            </w:tcMar>
          </w:tcPr>
          <w:p w14:paraId="00BB0C73"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C74" w14:textId="77777777" w:rsidR="00871BDF" w:rsidRDefault="005C5088">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tcPr>
          <w:p w14:paraId="00BB0C75"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C76" w14:textId="77777777" w:rsidR="00871BDF" w:rsidRDefault="005C5088">
            <w:pPr>
              <w:jc w:val="center"/>
              <w:textAlignment w:val="bottom"/>
            </w:pPr>
            <w:r>
              <w:rPr>
                <w:rFonts w:ascii="Times New Roman" w:eastAsia="宋体" w:hAnsi="Times New Roman"/>
                <w:b/>
                <w:bCs/>
                <w:color w:val="FFFFFF"/>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tcPr>
          <w:p w14:paraId="00BB0C77"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C78" w14:textId="77777777" w:rsidR="00871BDF" w:rsidRDefault="005C5088">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auto"/>
            <w:tcMar>
              <w:top w:w="0" w:type="dxa"/>
              <w:left w:w="20" w:type="dxa"/>
              <w:bottom w:w="0" w:type="dxa"/>
              <w:right w:w="20" w:type="dxa"/>
            </w:tcMar>
          </w:tcPr>
          <w:p w14:paraId="00BB0C79"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C7A" w14:textId="77777777" w:rsidR="00871BDF" w:rsidRDefault="005C5088">
            <w:pPr>
              <w:jc w:val="center"/>
              <w:textAlignment w:val="bottom"/>
            </w:pPr>
            <w:r>
              <w:rPr>
                <w:rFonts w:ascii="Times New Roman" w:eastAsia="宋体" w:hAnsi="Times New Roman"/>
                <w:b/>
                <w:bCs/>
                <w:color w:val="FFFFFF"/>
                <w:sz w:val="16"/>
                <w:szCs w:val="16"/>
              </w:rPr>
              <w:t>Exhibit</w:t>
            </w:r>
          </w:p>
          <w:p w14:paraId="00BB0C7B"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tcPr>
          <w:p w14:paraId="00BB0C7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C7D" w14:textId="77777777" w:rsidR="00871BDF" w:rsidRDefault="005C5088">
            <w:pPr>
              <w:jc w:val="center"/>
              <w:textAlignment w:val="bottom"/>
            </w:pPr>
            <w:r>
              <w:rPr>
                <w:rFonts w:ascii="Times New Roman" w:eastAsia="宋体" w:hAnsi="Times New Roman"/>
                <w:b/>
                <w:bCs/>
                <w:color w:val="FFFFFF"/>
                <w:sz w:val="16"/>
                <w:szCs w:val="16"/>
              </w:rPr>
              <w:t>Filed</w:t>
            </w:r>
          </w:p>
          <w:p w14:paraId="00BB0C7E" w14:textId="77777777" w:rsidR="00871BDF" w:rsidRDefault="005C5088">
            <w:pPr>
              <w:jc w:val="center"/>
              <w:textAlignment w:val="bottom"/>
            </w:pPr>
            <w:r>
              <w:rPr>
                <w:rFonts w:ascii="Times New Roman" w:eastAsia="宋体" w:hAnsi="Times New Roman"/>
                <w:b/>
                <w:bCs/>
                <w:color w:val="FFFFFF"/>
                <w:sz w:val="16"/>
                <w:szCs w:val="16"/>
              </w:rPr>
              <w:t>Herewith</w:t>
            </w:r>
          </w:p>
        </w:tc>
      </w:tr>
      <w:tr w:rsidR="00871BDF" w14:paraId="00BB0C8D"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tcPr>
          <w:p w14:paraId="00BB0C80" w14:textId="77777777" w:rsidR="00871BDF" w:rsidRDefault="005C5088">
            <w:pPr>
              <w:jc w:val="center"/>
              <w:textAlignment w:val="top"/>
            </w:pPr>
            <w:hyperlink r:id="rId272" w:history="1">
              <w:r>
                <w:rPr>
                  <w:rStyle w:val="a5"/>
                  <w:rFonts w:ascii="Times New Roman" w:eastAsia="宋体" w:hAnsi="Times New Roman"/>
                  <w:sz w:val="20"/>
                  <w:szCs w:val="20"/>
                </w:rPr>
                <w:t>4.12</w:t>
              </w:r>
            </w:hyperlink>
          </w:p>
        </w:tc>
        <w:tc>
          <w:tcPr>
            <w:tcW w:w="0" w:type="auto"/>
            <w:gridSpan w:val="3"/>
            <w:shd w:val="clear" w:color="auto" w:fill="FFFFFF"/>
            <w:tcMar>
              <w:top w:w="0" w:type="dxa"/>
              <w:left w:w="20" w:type="dxa"/>
              <w:bottom w:w="0" w:type="dxa"/>
              <w:right w:w="20" w:type="dxa"/>
            </w:tcMar>
          </w:tcPr>
          <w:p w14:paraId="00BB0C81" w14:textId="77777777" w:rsidR="00871BDF" w:rsidRDefault="00871BD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00BB0C82" w14:textId="77777777" w:rsidR="00871BDF" w:rsidRDefault="005C5088">
            <w:pPr>
              <w:textAlignment w:val="top"/>
            </w:pPr>
            <w:hyperlink r:id="rId273" w:history="1">
              <w:r>
                <w:rPr>
                  <w:rStyle w:val="a5"/>
                  <w:rFonts w:ascii="Times New Roman" w:eastAsia="宋体" w:hAnsi="Times New Roman"/>
                  <w:sz w:val="20"/>
                  <w:szCs w:val="20"/>
                </w:rPr>
                <w:t xml:space="preserve">Form of 4.000% Senior Notes </w:t>
              </w:r>
              <w:r>
                <w:rPr>
                  <w:rStyle w:val="a5"/>
                  <w:rFonts w:ascii="Times New Roman" w:eastAsia="宋体" w:hAnsi="Times New Roman"/>
                  <w:sz w:val="20"/>
                  <w:szCs w:val="20"/>
                </w:rPr>
                <w:t>due November 15, 2028</w:t>
              </w:r>
            </w:hyperlink>
          </w:p>
        </w:tc>
        <w:tc>
          <w:tcPr>
            <w:tcW w:w="0" w:type="auto"/>
            <w:gridSpan w:val="3"/>
            <w:shd w:val="clear" w:color="auto" w:fill="FFFFFF"/>
            <w:tcMar>
              <w:top w:w="0" w:type="dxa"/>
              <w:left w:w="20" w:type="dxa"/>
              <w:bottom w:w="0" w:type="dxa"/>
              <w:right w:w="20" w:type="dxa"/>
            </w:tcMar>
          </w:tcPr>
          <w:p w14:paraId="00BB0C8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84"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C8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86"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C8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88" w14:textId="77777777" w:rsidR="00871BDF" w:rsidRDefault="005C5088">
            <w:pPr>
              <w:jc w:val="center"/>
              <w:textAlignment w:val="top"/>
            </w:pPr>
            <w:r>
              <w:rPr>
                <w:rFonts w:ascii="Times New Roman" w:eastAsia="宋体" w:hAnsi="Times New Roman"/>
                <w:color w:val="000000"/>
                <w:sz w:val="20"/>
                <w:szCs w:val="20"/>
              </w:rPr>
              <w:t>8/10/2018</w:t>
            </w:r>
          </w:p>
        </w:tc>
        <w:tc>
          <w:tcPr>
            <w:tcW w:w="0" w:type="auto"/>
            <w:gridSpan w:val="3"/>
            <w:shd w:val="clear" w:color="auto" w:fill="FFFFFF"/>
            <w:tcMar>
              <w:top w:w="0" w:type="dxa"/>
              <w:left w:w="20" w:type="dxa"/>
              <w:bottom w:w="0" w:type="dxa"/>
              <w:right w:w="20" w:type="dxa"/>
            </w:tcMar>
          </w:tcPr>
          <w:p w14:paraId="00BB0C8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8A" w14:textId="77777777" w:rsidR="00871BDF" w:rsidRDefault="005C5088">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tcPr>
          <w:p w14:paraId="00BB0C8B" w14:textId="77777777" w:rsidR="00871BDF" w:rsidRDefault="00871B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0BB0C8C" w14:textId="77777777" w:rsidR="00871BDF" w:rsidRDefault="00871BDF">
            <w:pPr>
              <w:rPr>
                <w:rFonts w:ascii="宋体"/>
              </w:rPr>
            </w:pPr>
          </w:p>
        </w:tc>
      </w:tr>
      <w:tr w:rsidR="00871BDF" w14:paraId="00BB0C9B" w14:textId="77777777">
        <w:trPr>
          <w:jc w:val="center"/>
        </w:trPr>
        <w:tc>
          <w:tcPr>
            <w:tcW w:w="0" w:type="auto"/>
            <w:gridSpan w:val="3"/>
            <w:shd w:val="clear" w:color="auto" w:fill="D7E4BC"/>
            <w:tcMar>
              <w:top w:w="40" w:type="dxa"/>
              <w:left w:w="20" w:type="dxa"/>
              <w:bottom w:w="40" w:type="dxa"/>
              <w:right w:w="20" w:type="dxa"/>
            </w:tcMar>
          </w:tcPr>
          <w:p w14:paraId="00BB0C8E" w14:textId="77777777" w:rsidR="00871BDF" w:rsidRDefault="005C5088">
            <w:pPr>
              <w:jc w:val="center"/>
              <w:textAlignment w:val="top"/>
            </w:pPr>
            <w:hyperlink r:id="rId274" w:history="1">
              <w:r>
                <w:rPr>
                  <w:rStyle w:val="a5"/>
                  <w:rFonts w:ascii="Times New Roman" w:eastAsia="宋体" w:hAnsi="Times New Roman"/>
                  <w:sz w:val="20"/>
                  <w:szCs w:val="20"/>
                </w:rPr>
                <w:t>4.13</w:t>
              </w:r>
            </w:hyperlink>
          </w:p>
        </w:tc>
        <w:tc>
          <w:tcPr>
            <w:tcW w:w="0" w:type="auto"/>
            <w:gridSpan w:val="3"/>
            <w:shd w:val="clear" w:color="auto" w:fill="D7E4BC"/>
            <w:tcMar>
              <w:top w:w="0" w:type="dxa"/>
              <w:left w:w="20" w:type="dxa"/>
              <w:bottom w:w="0" w:type="dxa"/>
              <w:right w:w="20" w:type="dxa"/>
            </w:tcMar>
          </w:tcPr>
          <w:p w14:paraId="00BB0C8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B0C90" w14:textId="77777777" w:rsidR="00871BDF" w:rsidRDefault="005C5088">
            <w:pPr>
              <w:textAlignment w:val="bottom"/>
            </w:pPr>
            <w:hyperlink r:id="rId275" w:history="1">
              <w:r>
                <w:rPr>
                  <w:rStyle w:val="a5"/>
                  <w:rFonts w:ascii="Times New Roman" w:eastAsia="宋体" w:hAnsi="Times New Roman"/>
                  <w:sz w:val="20"/>
                  <w:szCs w:val="20"/>
                </w:rPr>
                <w:t>Form of 4.500% Senior Notes due November 15,</w:t>
              </w:r>
              <w:r>
                <w:rPr>
                  <w:rStyle w:val="a5"/>
                  <w:rFonts w:ascii="Times New Roman" w:eastAsia="宋体" w:hAnsi="Times New Roman"/>
                  <w:sz w:val="20"/>
                  <w:szCs w:val="20"/>
                </w:rPr>
                <w:t xml:space="preserve"> 2048</w:t>
              </w:r>
            </w:hyperlink>
          </w:p>
        </w:tc>
        <w:tc>
          <w:tcPr>
            <w:tcW w:w="0" w:type="auto"/>
            <w:gridSpan w:val="3"/>
            <w:shd w:val="clear" w:color="auto" w:fill="D7E4BC"/>
            <w:tcMar>
              <w:top w:w="0" w:type="dxa"/>
              <w:left w:w="20" w:type="dxa"/>
              <w:bottom w:w="0" w:type="dxa"/>
              <w:right w:w="20" w:type="dxa"/>
            </w:tcMar>
          </w:tcPr>
          <w:p w14:paraId="00BB0C9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92"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C9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94"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C9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96" w14:textId="77777777" w:rsidR="00871BDF" w:rsidRDefault="005C5088">
            <w:pPr>
              <w:jc w:val="center"/>
              <w:textAlignment w:val="top"/>
            </w:pPr>
            <w:r>
              <w:rPr>
                <w:rFonts w:ascii="Times New Roman" w:eastAsia="宋体" w:hAnsi="Times New Roman"/>
                <w:color w:val="000000"/>
                <w:sz w:val="20"/>
                <w:szCs w:val="20"/>
              </w:rPr>
              <w:t>8/10/2018</w:t>
            </w:r>
          </w:p>
        </w:tc>
        <w:tc>
          <w:tcPr>
            <w:tcW w:w="0" w:type="auto"/>
            <w:gridSpan w:val="3"/>
            <w:shd w:val="clear" w:color="auto" w:fill="D7E4BC"/>
            <w:tcMar>
              <w:top w:w="0" w:type="dxa"/>
              <w:left w:w="20" w:type="dxa"/>
              <w:bottom w:w="0" w:type="dxa"/>
              <w:right w:w="20" w:type="dxa"/>
            </w:tcMar>
          </w:tcPr>
          <w:p w14:paraId="00BB0C9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98" w14:textId="77777777" w:rsidR="00871BDF" w:rsidRDefault="005C5088">
            <w:pPr>
              <w:jc w:val="center"/>
              <w:textAlignment w:val="top"/>
            </w:pPr>
            <w:r>
              <w:rPr>
                <w:rFonts w:ascii="Times New Roman" w:eastAsia="宋体" w:hAnsi="Times New Roman"/>
                <w:color w:val="000000"/>
                <w:sz w:val="20"/>
                <w:szCs w:val="20"/>
              </w:rPr>
              <w:t>4.5</w:t>
            </w:r>
          </w:p>
        </w:tc>
        <w:tc>
          <w:tcPr>
            <w:tcW w:w="0" w:type="auto"/>
            <w:gridSpan w:val="3"/>
            <w:shd w:val="clear" w:color="auto" w:fill="D7E4BC"/>
            <w:tcMar>
              <w:top w:w="0" w:type="dxa"/>
              <w:left w:w="20" w:type="dxa"/>
              <w:bottom w:w="0" w:type="dxa"/>
              <w:right w:w="20" w:type="dxa"/>
            </w:tcMar>
          </w:tcPr>
          <w:p w14:paraId="00BB0C9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C9A" w14:textId="77777777" w:rsidR="00871BDF" w:rsidRDefault="00871BDF">
            <w:pPr>
              <w:rPr>
                <w:rFonts w:ascii="宋体"/>
              </w:rPr>
            </w:pPr>
          </w:p>
        </w:tc>
      </w:tr>
      <w:tr w:rsidR="00871BDF" w14:paraId="00BB0CA9" w14:textId="77777777">
        <w:trPr>
          <w:jc w:val="center"/>
        </w:trPr>
        <w:tc>
          <w:tcPr>
            <w:tcW w:w="0" w:type="auto"/>
            <w:gridSpan w:val="3"/>
            <w:shd w:val="clear" w:color="auto" w:fill="FFFFFF"/>
            <w:tcMar>
              <w:top w:w="40" w:type="dxa"/>
              <w:left w:w="20" w:type="dxa"/>
              <w:bottom w:w="40" w:type="dxa"/>
              <w:right w:w="20" w:type="dxa"/>
            </w:tcMar>
          </w:tcPr>
          <w:p w14:paraId="00BB0C9C" w14:textId="77777777" w:rsidR="00871BDF" w:rsidRDefault="005C5088">
            <w:pPr>
              <w:jc w:val="center"/>
              <w:textAlignment w:val="top"/>
            </w:pPr>
            <w:hyperlink r:id="rId276" w:history="1">
              <w:r>
                <w:rPr>
                  <w:rStyle w:val="a5"/>
                  <w:rFonts w:ascii="Times New Roman" w:eastAsia="宋体" w:hAnsi="Times New Roman"/>
                  <w:sz w:val="20"/>
                  <w:szCs w:val="20"/>
                </w:rPr>
                <w:t>4.14</w:t>
              </w:r>
            </w:hyperlink>
          </w:p>
        </w:tc>
        <w:tc>
          <w:tcPr>
            <w:tcW w:w="0" w:type="auto"/>
            <w:gridSpan w:val="3"/>
            <w:shd w:val="clear" w:color="auto" w:fill="FFFFFF"/>
            <w:tcMar>
              <w:top w:w="0" w:type="dxa"/>
              <w:left w:w="20" w:type="dxa"/>
              <w:bottom w:w="0" w:type="dxa"/>
              <w:right w:w="20" w:type="dxa"/>
            </w:tcMar>
          </w:tcPr>
          <w:p w14:paraId="00BB0C9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9E" w14:textId="77777777" w:rsidR="00871BDF" w:rsidRDefault="005C5088">
            <w:pPr>
              <w:textAlignment w:val="top"/>
            </w:pPr>
            <w:hyperlink r:id="rId277" w:history="1">
              <w:r>
                <w:rPr>
                  <w:rStyle w:val="a5"/>
                  <w:rFonts w:ascii="Times New Roman" w:eastAsia="宋体" w:hAnsi="Times New Roman"/>
                  <w:sz w:val="20"/>
                  <w:szCs w:val="20"/>
                </w:rPr>
                <w:t>Fifth Supplemental In</w:t>
              </w:r>
              <w:r>
                <w:rPr>
                  <w:rStyle w:val="a5"/>
                  <w:rFonts w:ascii="Times New Roman" w:eastAsia="宋体" w:hAnsi="Times New Roman"/>
                  <w:sz w:val="20"/>
                  <w:szCs w:val="20"/>
                </w:rPr>
                <w:t>denture, dated as of May 13, 2019, by and between Starbucks Corporation and U.S. Bank National Association, as trustee (3.550% Senior Notes due 2029 and 4.450% Senior Notes due 2049)</w:t>
              </w:r>
            </w:hyperlink>
          </w:p>
        </w:tc>
        <w:tc>
          <w:tcPr>
            <w:tcW w:w="0" w:type="auto"/>
            <w:gridSpan w:val="3"/>
            <w:shd w:val="clear" w:color="auto" w:fill="FFFFFF"/>
            <w:tcMar>
              <w:top w:w="0" w:type="dxa"/>
              <w:left w:w="20" w:type="dxa"/>
              <w:bottom w:w="0" w:type="dxa"/>
              <w:right w:w="20" w:type="dxa"/>
            </w:tcMar>
          </w:tcPr>
          <w:p w14:paraId="00BB0C9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A0"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CA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A2"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CA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A4" w14:textId="77777777" w:rsidR="00871BDF" w:rsidRDefault="005C5088">
            <w:pPr>
              <w:jc w:val="center"/>
              <w:textAlignment w:val="top"/>
            </w:pPr>
            <w:r>
              <w:rPr>
                <w:rFonts w:ascii="Times New Roman" w:eastAsia="宋体" w:hAnsi="Times New Roman"/>
                <w:color w:val="000000"/>
                <w:sz w:val="20"/>
                <w:szCs w:val="20"/>
              </w:rPr>
              <w:t>5/13/2019</w:t>
            </w:r>
          </w:p>
        </w:tc>
        <w:tc>
          <w:tcPr>
            <w:tcW w:w="0" w:type="auto"/>
            <w:gridSpan w:val="3"/>
            <w:shd w:val="clear" w:color="auto" w:fill="FFFFFF"/>
            <w:tcMar>
              <w:top w:w="0" w:type="dxa"/>
              <w:left w:w="20" w:type="dxa"/>
              <w:bottom w:w="0" w:type="dxa"/>
              <w:right w:w="20" w:type="dxa"/>
            </w:tcMar>
          </w:tcPr>
          <w:p w14:paraId="00BB0CA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A6" w14:textId="77777777" w:rsidR="00871BDF" w:rsidRDefault="005C5088">
            <w:pPr>
              <w:jc w:val="center"/>
              <w:textAlignment w:val="top"/>
            </w:pPr>
            <w:r>
              <w:rPr>
                <w:rFonts w:ascii="Times New Roman" w:eastAsia="宋体" w:hAnsi="Times New Roman"/>
                <w:color w:val="000000"/>
                <w:sz w:val="20"/>
                <w:szCs w:val="20"/>
              </w:rPr>
              <w:t>4.2</w:t>
            </w:r>
          </w:p>
        </w:tc>
        <w:tc>
          <w:tcPr>
            <w:tcW w:w="0" w:type="auto"/>
            <w:gridSpan w:val="3"/>
            <w:shd w:val="clear" w:color="auto" w:fill="FFFFFF"/>
            <w:tcMar>
              <w:top w:w="0" w:type="dxa"/>
              <w:left w:w="20" w:type="dxa"/>
              <w:bottom w:w="0" w:type="dxa"/>
              <w:right w:w="20" w:type="dxa"/>
            </w:tcMar>
          </w:tcPr>
          <w:p w14:paraId="00BB0CA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A8" w14:textId="77777777" w:rsidR="00871BDF" w:rsidRDefault="00871BDF">
            <w:pPr>
              <w:rPr>
                <w:rFonts w:ascii="宋体"/>
              </w:rPr>
            </w:pPr>
          </w:p>
        </w:tc>
      </w:tr>
      <w:tr w:rsidR="00871BDF" w14:paraId="00BB0CB7" w14:textId="77777777">
        <w:trPr>
          <w:jc w:val="center"/>
        </w:trPr>
        <w:tc>
          <w:tcPr>
            <w:tcW w:w="0" w:type="auto"/>
            <w:gridSpan w:val="3"/>
            <w:shd w:val="clear" w:color="auto" w:fill="D7E4BC"/>
            <w:tcMar>
              <w:top w:w="40" w:type="dxa"/>
              <w:left w:w="20" w:type="dxa"/>
              <w:bottom w:w="40" w:type="dxa"/>
              <w:right w:w="20" w:type="dxa"/>
            </w:tcMar>
          </w:tcPr>
          <w:p w14:paraId="00BB0CAA" w14:textId="77777777" w:rsidR="00871BDF" w:rsidRDefault="005C5088">
            <w:pPr>
              <w:jc w:val="center"/>
              <w:textAlignment w:val="top"/>
            </w:pPr>
            <w:hyperlink r:id="rId278" w:history="1">
              <w:r>
                <w:rPr>
                  <w:rStyle w:val="a5"/>
                  <w:rFonts w:ascii="Times New Roman" w:eastAsia="宋体" w:hAnsi="Times New Roman"/>
                  <w:sz w:val="20"/>
                  <w:szCs w:val="20"/>
                </w:rPr>
                <w:t>4.15</w:t>
              </w:r>
            </w:hyperlink>
          </w:p>
        </w:tc>
        <w:tc>
          <w:tcPr>
            <w:tcW w:w="0" w:type="auto"/>
            <w:gridSpan w:val="3"/>
            <w:shd w:val="clear" w:color="auto" w:fill="D7E4BC"/>
            <w:tcMar>
              <w:top w:w="0" w:type="dxa"/>
              <w:left w:w="20" w:type="dxa"/>
              <w:bottom w:w="0" w:type="dxa"/>
              <w:right w:w="20" w:type="dxa"/>
            </w:tcMar>
          </w:tcPr>
          <w:p w14:paraId="00BB0CA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AC" w14:textId="77777777" w:rsidR="00871BDF" w:rsidRDefault="005C5088">
            <w:pPr>
              <w:textAlignment w:val="top"/>
            </w:pPr>
            <w:hyperlink r:id="rId279" w:history="1">
              <w:r>
                <w:rPr>
                  <w:rStyle w:val="a5"/>
                  <w:rFonts w:ascii="Times New Roman" w:eastAsia="宋体" w:hAnsi="Times New Roman"/>
                  <w:sz w:val="20"/>
                  <w:szCs w:val="20"/>
                </w:rPr>
                <w:t>Form on 3.550% Senior Notes due August 15, 2029 (included in Exhi</w:t>
              </w:r>
              <w:r>
                <w:rPr>
                  <w:rStyle w:val="a5"/>
                  <w:rFonts w:ascii="Times New Roman" w:eastAsia="宋体" w:hAnsi="Times New Roman"/>
                  <w:sz w:val="20"/>
                  <w:szCs w:val="20"/>
                </w:rPr>
                <w:t>bit 4.2)</w:t>
              </w:r>
            </w:hyperlink>
          </w:p>
        </w:tc>
        <w:tc>
          <w:tcPr>
            <w:tcW w:w="0" w:type="auto"/>
            <w:gridSpan w:val="3"/>
            <w:shd w:val="clear" w:color="auto" w:fill="D7E4BC"/>
            <w:tcMar>
              <w:top w:w="0" w:type="dxa"/>
              <w:left w:w="20" w:type="dxa"/>
              <w:bottom w:w="0" w:type="dxa"/>
              <w:right w:w="20" w:type="dxa"/>
            </w:tcMar>
          </w:tcPr>
          <w:p w14:paraId="00BB0CA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AE"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CA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B0"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CB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B2" w14:textId="77777777" w:rsidR="00871BDF" w:rsidRDefault="005C5088">
            <w:pPr>
              <w:jc w:val="center"/>
              <w:textAlignment w:val="top"/>
            </w:pPr>
            <w:r>
              <w:rPr>
                <w:rFonts w:ascii="Times New Roman" w:eastAsia="宋体" w:hAnsi="Times New Roman"/>
                <w:color w:val="000000"/>
                <w:sz w:val="20"/>
                <w:szCs w:val="20"/>
              </w:rPr>
              <w:t>5/13/2019</w:t>
            </w:r>
          </w:p>
        </w:tc>
        <w:tc>
          <w:tcPr>
            <w:tcW w:w="0" w:type="auto"/>
            <w:gridSpan w:val="3"/>
            <w:shd w:val="clear" w:color="auto" w:fill="D7E4BC"/>
            <w:tcMar>
              <w:top w:w="0" w:type="dxa"/>
              <w:left w:w="20" w:type="dxa"/>
              <w:bottom w:w="0" w:type="dxa"/>
              <w:right w:w="20" w:type="dxa"/>
            </w:tcMar>
          </w:tcPr>
          <w:p w14:paraId="00BB0CB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B4" w14:textId="77777777" w:rsidR="00871BDF" w:rsidRDefault="005C5088">
            <w:pPr>
              <w:jc w:val="center"/>
              <w:textAlignment w:val="top"/>
            </w:pPr>
            <w:r>
              <w:rPr>
                <w:rFonts w:ascii="Times New Roman" w:eastAsia="宋体" w:hAnsi="Times New Roman"/>
                <w:color w:val="000000"/>
                <w:sz w:val="20"/>
                <w:szCs w:val="20"/>
              </w:rPr>
              <w:t>4.3</w:t>
            </w:r>
          </w:p>
        </w:tc>
        <w:tc>
          <w:tcPr>
            <w:tcW w:w="0" w:type="auto"/>
            <w:gridSpan w:val="3"/>
            <w:shd w:val="clear" w:color="auto" w:fill="D7E4BC"/>
            <w:tcMar>
              <w:top w:w="0" w:type="dxa"/>
              <w:left w:w="20" w:type="dxa"/>
              <w:bottom w:w="0" w:type="dxa"/>
              <w:right w:w="20" w:type="dxa"/>
            </w:tcMar>
          </w:tcPr>
          <w:p w14:paraId="00BB0CB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CB6" w14:textId="77777777" w:rsidR="00871BDF" w:rsidRDefault="00871BDF">
            <w:pPr>
              <w:rPr>
                <w:rFonts w:ascii="宋体"/>
              </w:rPr>
            </w:pPr>
          </w:p>
        </w:tc>
      </w:tr>
      <w:tr w:rsidR="00871BDF" w14:paraId="00BB0CC5" w14:textId="77777777">
        <w:trPr>
          <w:jc w:val="center"/>
        </w:trPr>
        <w:tc>
          <w:tcPr>
            <w:tcW w:w="0" w:type="auto"/>
            <w:gridSpan w:val="3"/>
            <w:shd w:val="clear" w:color="auto" w:fill="FFFFFF"/>
            <w:tcMar>
              <w:top w:w="40" w:type="dxa"/>
              <w:left w:w="20" w:type="dxa"/>
              <w:bottom w:w="40" w:type="dxa"/>
              <w:right w:w="20" w:type="dxa"/>
            </w:tcMar>
          </w:tcPr>
          <w:p w14:paraId="00BB0CB8" w14:textId="77777777" w:rsidR="00871BDF" w:rsidRDefault="005C5088">
            <w:pPr>
              <w:jc w:val="center"/>
              <w:textAlignment w:val="top"/>
            </w:pPr>
            <w:hyperlink r:id="rId280" w:history="1">
              <w:r>
                <w:rPr>
                  <w:rStyle w:val="a5"/>
                  <w:rFonts w:ascii="Times New Roman" w:eastAsia="宋体" w:hAnsi="Times New Roman"/>
                  <w:sz w:val="20"/>
                  <w:szCs w:val="20"/>
                </w:rPr>
                <w:t>4.16</w:t>
              </w:r>
            </w:hyperlink>
          </w:p>
        </w:tc>
        <w:tc>
          <w:tcPr>
            <w:tcW w:w="0" w:type="auto"/>
            <w:gridSpan w:val="3"/>
            <w:shd w:val="clear" w:color="auto" w:fill="FFFFFF"/>
            <w:tcMar>
              <w:top w:w="0" w:type="dxa"/>
              <w:left w:w="20" w:type="dxa"/>
              <w:bottom w:w="0" w:type="dxa"/>
              <w:right w:w="20" w:type="dxa"/>
            </w:tcMar>
          </w:tcPr>
          <w:p w14:paraId="00BB0CB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BA" w14:textId="77777777" w:rsidR="00871BDF" w:rsidRDefault="005C5088">
            <w:pPr>
              <w:textAlignment w:val="top"/>
            </w:pPr>
            <w:hyperlink r:id="rId281" w:history="1">
              <w:r>
                <w:rPr>
                  <w:rStyle w:val="a5"/>
                  <w:rFonts w:ascii="Times New Roman" w:eastAsia="宋体" w:hAnsi="Times New Roman"/>
                  <w:sz w:val="20"/>
                  <w:szCs w:val="20"/>
                </w:rPr>
                <w:t>Form on 4.450% Senior Notes due August 15, 2049 (included</w:t>
              </w:r>
              <w:r>
                <w:rPr>
                  <w:rStyle w:val="a5"/>
                  <w:rFonts w:ascii="Times New Roman" w:eastAsia="宋体" w:hAnsi="Times New Roman"/>
                  <w:sz w:val="20"/>
                  <w:szCs w:val="20"/>
                </w:rPr>
                <w:t xml:space="preserve"> in Exhibit 4.2)</w:t>
              </w:r>
            </w:hyperlink>
          </w:p>
        </w:tc>
        <w:tc>
          <w:tcPr>
            <w:tcW w:w="0" w:type="auto"/>
            <w:gridSpan w:val="3"/>
            <w:shd w:val="clear" w:color="auto" w:fill="FFFFFF"/>
            <w:tcMar>
              <w:top w:w="0" w:type="dxa"/>
              <w:left w:w="20" w:type="dxa"/>
              <w:bottom w:w="0" w:type="dxa"/>
              <w:right w:w="20" w:type="dxa"/>
            </w:tcMar>
          </w:tcPr>
          <w:p w14:paraId="00BB0CB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BC"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CB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BE"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CB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C0" w14:textId="77777777" w:rsidR="00871BDF" w:rsidRDefault="005C5088">
            <w:pPr>
              <w:jc w:val="center"/>
              <w:textAlignment w:val="top"/>
            </w:pPr>
            <w:r>
              <w:rPr>
                <w:rFonts w:ascii="Times New Roman" w:eastAsia="宋体" w:hAnsi="Times New Roman"/>
                <w:color w:val="000000"/>
                <w:sz w:val="20"/>
                <w:szCs w:val="20"/>
              </w:rPr>
              <w:t>5/13/2019</w:t>
            </w:r>
          </w:p>
        </w:tc>
        <w:tc>
          <w:tcPr>
            <w:tcW w:w="0" w:type="auto"/>
            <w:gridSpan w:val="3"/>
            <w:shd w:val="clear" w:color="auto" w:fill="FFFFFF"/>
            <w:tcMar>
              <w:top w:w="0" w:type="dxa"/>
              <w:left w:w="20" w:type="dxa"/>
              <w:bottom w:w="0" w:type="dxa"/>
              <w:right w:w="20" w:type="dxa"/>
            </w:tcMar>
          </w:tcPr>
          <w:p w14:paraId="00BB0CC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C2" w14:textId="77777777" w:rsidR="00871BDF" w:rsidRDefault="005C5088">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tcPr>
          <w:p w14:paraId="00BB0CC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C4" w14:textId="77777777" w:rsidR="00871BDF" w:rsidRDefault="00871BDF">
            <w:pPr>
              <w:rPr>
                <w:rFonts w:ascii="宋体"/>
              </w:rPr>
            </w:pPr>
          </w:p>
        </w:tc>
      </w:tr>
      <w:tr w:rsidR="00871BDF" w14:paraId="00BB0CD3" w14:textId="77777777">
        <w:trPr>
          <w:jc w:val="center"/>
        </w:trPr>
        <w:tc>
          <w:tcPr>
            <w:tcW w:w="0" w:type="auto"/>
            <w:gridSpan w:val="3"/>
            <w:shd w:val="clear" w:color="auto" w:fill="D7E4BC"/>
            <w:tcMar>
              <w:top w:w="40" w:type="dxa"/>
              <w:left w:w="20" w:type="dxa"/>
              <w:bottom w:w="40" w:type="dxa"/>
              <w:right w:w="20" w:type="dxa"/>
            </w:tcMar>
          </w:tcPr>
          <w:p w14:paraId="00BB0CC6" w14:textId="77777777" w:rsidR="00871BDF" w:rsidRDefault="005C5088">
            <w:pPr>
              <w:jc w:val="center"/>
              <w:textAlignment w:val="top"/>
            </w:pPr>
            <w:hyperlink r:id="rId282" w:history="1">
              <w:r>
                <w:rPr>
                  <w:rStyle w:val="a5"/>
                  <w:rFonts w:ascii="Times New Roman" w:eastAsia="宋体" w:hAnsi="Times New Roman"/>
                  <w:sz w:val="20"/>
                  <w:szCs w:val="20"/>
                </w:rPr>
                <w:t>4.17</w:t>
              </w:r>
            </w:hyperlink>
          </w:p>
        </w:tc>
        <w:tc>
          <w:tcPr>
            <w:tcW w:w="0" w:type="auto"/>
            <w:gridSpan w:val="3"/>
            <w:shd w:val="clear" w:color="auto" w:fill="D7E4BC"/>
            <w:tcMar>
              <w:top w:w="0" w:type="dxa"/>
              <w:left w:w="20" w:type="dxa"/>
              <w:bottom w:w="0" w:type="dxa"/>
              <w:right w:w="20" w:type="dxa"/>
            </w:tcMar>
          </w:tcPr>
          <w:p w14:paraId="00BB0CC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C8" w14:textId="77777777" w:rsidR="00871BDF" w:rsidRDefault="005C5088">
            <w:pPr>
              <w:textAlignment w:val="top"/>
            </w:pPr>
            <w:hyperlink r:id="rId283" w:history="1">
              <w:r>
                <w:rPr>
                  <w:rStyle w:val="a5"/>
                  <w:rFonts w:ascii="Times New Roman" w:eastAsia="宋体" w:hAnsi="Times New Roman"/>
                  <w:sz w:val="20"/>
                  <w:szCs w:val="20"/>
                </w:rPr>
                <w:t>Sixth Supplem</w:t>
              </w:r>
              <w:r>
                <w:rPr>
                  <w:rStyle w:val="a5"/>
                  <w:rFonts w:ascii="Times New Roman" w:eastAsia="宋体" w:hAnsi="Times New Roman"/>
                  <w:sz w:val="20"/>
                  <w:szCs w:val="20"/>
                </w:rPr>
                <w:t>ental Indenture, dated as of March 12, 2020, by and between Starbucks Corporation and U.S. Bank National Association, as trustee (2.000% Senior Notes due 2027, 2.250% Senior Notes due 2030 and 3.350% Senior Notes due 2050)</w:t>
              </w:r>
            </w:hyperlink>
          </w:p>
        </w:tc>
        <w:tc>
          <w:tcPr>
            <w:tcW w:w="0" w:type="auto"/>
            <w:gridSpan w:val="3"/>
            <w:shd w:val="clear" w:color="auto" w:fill="D7E4BC"/>
            <w:tcMar>
              <w:top w:w="0" w:type="dxa"/>
              <w:left w:w="20" w:type="dxa"/>
              <w:bottom w:w="0" w:type="dxa"/>
              <w:right w:w="20" w:type="dxa"/>
            </w:tcMar>
          </w:tcPr>
          <w:p w14:paraId="00BB0CC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CA"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CC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CC"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CC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CE" w14:textId="77777777" w:rsidR="00871BDF" w:rsidRDefault="005C5088">
            <w:pPr>
              <w:jc w:val="center"/>
              <w:textAlignment w:val="top"/>
            </w:pPr>
            <w:r>
              <w:rPr>
                <w:rFonts w:ascii="Times New Roman" w:eastAsia="宋体" w:hAnsi="Times New Roman"/>
                <w:color w:val="000000"/>
                <w:sz w:val="20"/>
                <w:szCs w:val="20"/>
              </w:rPr>
              <w:t>3/12/2020</w:t>
            </w:r>
          </w:p>
        </w:tc>
        <w:tc>
          <w:tcPr>
            <w:tcW w:w="0" w:type="auto"/>
            <w:gridSpan w:val="3"/>
            <w:shd w:val="clear" w:color="auto" w:fill="D7E4BC"/>
            <w:tcMar>
              <w:top w:w="0" w:type="dxa"/>
              <w:left w:w="20" w:type="dxa"/>
              <w:bottom w:w="0" w:type="dxa"/>
              <w:right w:w="20" w:type="dxa"/>
            </w:tcMar>
          </w:tcPr>
          <w:p w14:paraId="00BB0CC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D0" w14:textId="77777777" w:rsidR="00871BDF" w:rsidRDefault="005C5088">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tcPr>
          <w:p w14:paraId="00BB0CD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CD2" w14:textId="77777777" w:rsidR="00871BDF" w:rsidRDefault="00871BDF">
            <w:pPr>
              <w:rPr>
                <w:rFonts w:ascii="宋体"/>
              </w:rPr>
            </w:pPr>
          </w:p>
        </w:tc>
      </w:tr>
      <w:tr w:rsidR="00871BDF" w14:paraId="00BB0CE1" w14:textId="77777777">
        <w:trPr>
          <w:jc w:val="center"/>
        </w:trPr>
        <w:tc>
          <w:tcPr>
            <w:tcW w:w="0" w:type="auto"/>
            <w:gridSpan w:val="3"/>
            <w:shd w:val="clear" w:color="auto" w:fill="FFFFFF"/>
            <w:tcMar>
              <w:top w:w="40" w:type="dxa"/>
              <w:left w:w="20" w:type="dxa"/>
              <w:bottom w:w="40" w:type="dxa"/>
              <w:right w:w="20" w:type="dxa"/>
            </w:tcMar>
          </w:tcPr>
          <w:p w14:paraId="00BB0CD4" w14:textId="77777777" w:rsidR="00871BDF" w:rsidRDefault="005C5088">
            <w:pPr>
              <w:jc w:val="center"/>
              <w:textAlignment w:val="top"/>
            </w:pPr>
            <w:hyperlink r:id="rId284" w:history="1">
              <w:r>
                <w:rPr>
                  <w:rStyle w:val="a5"/>
                  <w:rFonts w:ascii="Times New Roman" w:eastAsia="宋体" w:hAnsi="Times New Roman"/>
                  <w:sz w:val="20"/>
                  <w:szCs w:val="20"/>
                </w:rPr>
                <w:t>4.18</w:t>
              </w:r>
            </w:hyperlink>
          </w:p>
        </w:tc>
        <w:tc>
          <w:tcPr>
            <w:tcW w:w="0" w:type="auto"/>
            <w:gridSpan w:val="3"/>
            <w:shd w:val="clear" w:color="auto" w:fill="FFFFFF"/>
            <w:tcMar>
              <w:top w:w="0" w:type="dxa"/>
              <w:left w:w="20" w:type="dxa"/>
              <w:bottom w:w="0" w:type="dxa"/>
              <w:right w:w="20" w:type="dxa"/>
            </w:tcMar>
          </w:tcPr>
          <w:p w14:paraId="00BB0CD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D6" w14:textId="77777777" w:rsidR="00871BDF" w:rsidRDefault="005C5088">
            <w:pPr>
              <w:textAlignment w:val="top"/>
            </w:pPr>
            <w:hyperlink r:id="rId285" w:history="1">
              <w:r>
                <w:rPr>
                  <w:rStyle w:val="a5"/>
                  <w:rFonts w:ascii="Times New Roman" w:eastAsia="宋体" w:hAnsi="Times New Roman"/>
                  <w:sz w:val="20"/>
                  <w:szCs w:val="20"/>
                </w:rPr>
                <w:t>Form of 2.000% Senior Notes due March 12, 2027 (</w:t>
              </w:r>
              <w:r>
                <w:rPr>
                  <w:rStyle w:val="a5"/>
                  <w:rFonts w:ascii="Times New Roman" w:eastAsia="宋体" w:hAnsi="Times New Roman"/>
                  <w:sz w:val="20"/>
                  <w:szCs w:val="20"/>
                </w:rPr>
                <w:t>included in Exhibit 4.2)</w:t>
              </w:r>
            </w:hyperlink>
          </w:p>
        </w:tc>
        <w:tc>
          <w:tcPr>
            <w:tcW w:w="0" w:type="auto"/>
            <w:gridSpan w:val="3"/>
            <w:shd w:val="clear" w:color="auto" w:fill="FFFFFF"/>
            <w:tcMar>
              <w:top w:w="0" w:type="dxa"/>
              <w:left w:w="20" w:type="dxa"/>
              <w:bottom w:w="0" w:type="dxa"/>
              <w:right w:w="20" w:type="dxa"/>
            </w:tcMar>
          </w:tcPr>
          <w:p w14:paraId="00BB0CD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D8"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CD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DA"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CD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DC" w14:textId="77777777" w:rsidR="00871BDF" w:rsidRDefault="005C5088">
            <w:pPr>
              <w:jc w:val="center"/>
              <w:textAlignment w:val="top"/>
            </w:pPr>
            <w:r>
              <w:rPr>
                <w:rFonts w:ascii="Times New Roman" w:eastAsia="宋体" w:hAnsi="Times New Roman"/>
                <w:color w:val="000000"/>
                <w:sz w:val="20"/>
                <w:szCs w:val="20"/>
              </w:rPr>
              <w:t>3/12/2020</w:t>
            </w:r>
          </w:p>
        </w:tc>
        <w:tc>
          <w:tcPr>
            <w:tcW w:w="0" w:type="auto"/>
            <w:gridSpan w:val="3"/>
            <w:shd w:val="clear" w:color="auto" w:fill="FFFFFF"/>
            <w:tcMar>
              <w:top w:w="0" w:type="dxa"/>
              <w:left w:w="20" w:type="dxa"/>
              <w:bottom w:w="0" w:type="dxa"/>
              <w:right w:w="20" w:type="dxa"/>
            </w:tcMar>
          </w:tcPr>
          <w:p w14:paraId="00BB0CD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DE" w14:textId="77777777" w:rsidR="00871BDF" w:rsidRDefault="005C5088">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tcPr>
          <w:p w14:paraId="00BB0CD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E0" w14:textId="77777777" w:rsidR="00871BDF" w:rsidRDefault="00871BDF">
            <w:pPr>
              <w:rPr>
                <w:rFonts w:ascii="宋体"/>
              </w:rPr>
            </w:pPr>
          </w:p>
        </w:tc>
      </w:tr>
      <w:tr w:rsidR="00871BDF" w14:paraId="00BB0CEF" w14:textId="77777777">
        <w:trPr>
          <w:jc w:val="center"/>
        </w:trPr>
        <w:tc>
          <w:tcPr>
            <w:tcW w:w="0" w:type="auto"/>
            <w:gridSpan w:val="3"/>
            <w:shd w:val="clear" w:color="auto" w:fill="D7E4BC"/>
            <w:tcMar>
              <w:top w:w="40" w:type="dxa"/>
              <w:left w:w="20" w:type="dxa"/>
              <w:bottom w:w="40" w:type="dxa"/>
              <w:right w:w="20" w:type="dxa"/>
            </w:tcMar>
          </w:tcPr>
          <w:p w14:paraId="00BB0CE2" w14:textId="77777777" w:rsidR="00871BDF" w:rsidRDefault="005C5088">
            <w:pPr>
              <w:jc w:val="center"/>
              <w:textAlignment w:val="top"/>
            </w:pPr>
            <w:hyperlink r:id="rId286" w:history="1">
              <w:r>
                <w:rPr>
                  <w:rStyle w:val="a5"/>
                  <w:rFonts w:ascii="Times New Roman" w:eastAsia="宋体" w:hAnsi="Times New Roman"/>
                  <w:sz w:val="20"/>
                  <w:szCs w:val="20"/>
                </w:rPr>
                <w:t>4.19</w:t>
              </w:r>
            </w:hyperlink>
          </w:p>
        </w:tc>
        <w:tc>
          <w:tcPr>
            <w:tcW w:w="0" w:type="auto"/>
            <w:gridSpan w:val="3"/>
            <w:shd w:val="clear" w:color="auto" w:fill="D7E4BC"/>
            <w:tcMar>
              <w:top w:w="0" w:type="dxa"/>
              <w:left w:w="20" w:type="dxa"/>
              <w:bottom w:w="0" w:type="dxa"/>
              <w:right w:w="20" w:type="dxa"/>
            </w:tcMar>
          </w:tcPr>
          <w:p w14:paraId="00BB0CE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E4" w14:textId="77777777" w:rsidR="00871BDF" w:rsidRDefault="005C5088">
            <w:pPr>
              <w:textAlignment w:val="top"/>
            </w:pPr>
            <w:hyperlink r:id="rId287" w:history="1">
              <w:r>
                <w:rPr>
                  <w:rStyle w:val="a5"/>
                  <w:rFonts w:ascii="Times New Roman" w:eastAsia="宋体" w:hAnsi="Times New Roman"/>
                  <w:sz w:val="20"/>
                  <w:szCs w:val="20"/>
                </w:rPr>
                <w:t>Form of 2.250% Senior Notes due March 12, 2030 (included in Exhib</w:t>
              </w:r>
              <w:r>
                <w:rPr>
                  <w:rStyle w:val="a5"/>
                  <w:rFonts w:ascii="Times New Roman" w:eastAsia="宋体" w:hAnsi="Times New Roman"/>
                  <w:sz w:val="20"/>
                  <w:szCs w:val="20"/>
                </w:rPr>
                <w:t>it 4.2)</w:t>
              </w:r>
            </w:hyperlink>
          </w:p>
        </w:tc>
        <w:tc>
          <w:tcPr>
            <w:tcW w:w="0" w:type="auto"/>
            <w:gridSpan w:val="3"/>
            <w:shd w:val="clear" w:color="auto" w:fill="D7E4BC"/>
            <w:tcMar>
              <w:top w:w="0" w:type="dxa"/>
              <w:left w:w="20" w:type="dxa"/>
              <w:bottom w:w="0" w:type="dxa"/>
              <w:right w:w="20" w:type="dxa"/>
            </w:tcMar>
          </w:tcPr>
          <w:p w14:paraId="00BB0CE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E6"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CE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E8"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CE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EA" w14:textId="77777777" w:rsidR="00871BDF" w:rsidRDefault="005C5088">
            <w:pPr>
              <w:jc w:val="center"/>
              <w:textAlignment w:val="top"/>
            </w:pPr>
            <w:r>
              <w:rPr>
                <w:rFonts w:ascii="Times New Roman" w:eastAsia="宋体" w:hAnsi="Times New Roman"/>
                <w:color w:val="000000"/>
                <w:sz w:val="20"/>
                <w:szCs w:val="20"/>
              </w:rPr>
              <w:t>3/12/2020</w:t>
            </w:r>
          </w:p>
        </w:tc>
        <w:tc>
          <w:tcPr>
            <w:tcW w:w="0" w:type="auto"/>
            <w:gridSpan w:val="3"/>
            <w:shd w:val="clear" w:color="auto" w:fill="D7E4BC"/>
            <w:tcMar>
              <w:top w:w="0" w:type="dxa"/>
              <w:left w:w="20" w:type="dxa"/>
              <w:bottom w:w="0" w:type="dxa"/>
              <w:right w:w="20" w:type="dxa"/>
            </w:tcMar>
          </w:tcPr>
          <w:p w14:paraId="00BB0CE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CEC" w14:textId="77777777" w:rsidR="00871BDF" w:rsidRDefault="005C5088">
            <w:pPr>
              <w:jc w:val="center"/>
              <w:textAlignment w:val="top"/>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tcPr>
          <w:p w14:paraId="00BB0CE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CEE" w14:textId="77777777" w:rsidR="00871BDF" w:rsidRDefault="00871BDF">
            <w:pPr>
              <w:rPr>
                <w:rFonts w:ascii="宋体"/>
              </w:rPr>
            </w:pPr>
          </w:p>
        </w:tc>
      </w:tr>
      <w:tr w:rsidR="00871BDF" w14:paraId="00BB0CFD" w14:textId="77777777">
        <w:trPr>
          <w:jc w:val="center"/>
        </w:trPr>
        <w:tc>
          <w:tcPr>
            <w:tcW w:w="0" w:type="auto"/>
            <w:gridSpan w:val="3"/>
            <w:shd w:val="clear" w:color="auto" w:fill="FFFFFF"/>
            <w:tcMar>
              <w:top w:w="40" w:type="dxa"/>
              <w:left w:w="20" w:type="dxa"/>
              <w:bottom w:w="40" w:type="dxa"/>
              <w:right w:w="20" w:type="dxa"/>
            </w:tcMar>
          </w:tcPr>
          <w:p w14:paraId="00BB0CF0" w14:textId="77777777" w:rsidR="00871BDF" w:rsidRDefault="005C5088">
            <w:pPr>
              <w:jc w:val="center"/>
              <w:textAlignment w:val="top"/>
            </w:pPr>
            <w:hyperlink r:id="rId288" w:history="1">
              <w:r>
                <w:rPr>
                  <w:rStyle w:val="a5"/>
                  <w:rFonts w:ascii="Times New Roman" w:eastAsia="宋体" w:hAnsi="Times New Roman"/>
                  <w:sz w:val="20"/>
                  <w:szCs w:val="20"/>
                </w:rPr>
                <w:t>4.20</w:t>
              </w:r>
            </w:hyperlink>
          </w:p>
        </w:tc>
        <w:tc>
          <w:tcPr>
            <w:tcW w:w="0" w:type="auto"/>
            <w:gridSpan w:val="3"/>
            <w:shd w:val="clear" w:color="auto" w:fill="FFFFFF"/>
            <w:tcMar>
              <w:top w:w="0" w:type="dxa"/>
              <w:left w:w="20" w:type="dxa"/>
              <w:bottom w:w="0" w:type="dxa"/>
              <w:right w:w="20" w:type="dxa"/>
            </w:tcMar>
          </w:tcPr>
          <w:p w14:paraId="00BB0CF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F2" w14:textId="77777777" w:rsidR="00871BDF" w:rsidRDefault="005C5088">
            <w:pPr>
              <w:textAlignment w:val="top"/>
            </w:pPr>
            <w:hyperlink r:id="rId289" w:history="1">
              <w:r>
                <w:rPr>
                  <w:rStyle w:val="a5"/>
                  <w:rFonts w:ascii="Times New Roman" w:eastAsia="宋体" w:hAnsi="Times New Roman"/>
                  <w:sz w:val="20"/>
                  <w:szCs w:val="20"/>
                </w:rPr>
                <w:t>Form of 3.350% Senior Notes due March 12, 2050 (included in Exhib</w:t>
              </w:r>
              <w:r>
                <w:rPr>
                  <w:rStyle w:val="a5"/>
                  <w:rFonts w:ascii="Times New Roman" w:eastAsia="宋体" w:hAnsi="Times New Roman"/>
                  <w:sz w:val="20"/>
                  <w:szCs w:val="20"/>
                </w:rPr>
                <w:t>it 4.2)</w:t>
              </w:r>
            </w:hyperlink>
          </w:p>
        </w:tc>
        <w:tc>
          <w:tcPr>
            <w:tcW w:w="0" w:type="auto"/>
            <w:gridSpan w:val="3"/>
            <w:shd w:val="clear" w:color="auto" w:fill="FFFFFF"/>
            <w:tcMar>
              <w:top w:w="0" w:type="dxa"/>
              <w:left w:w="20" w:type="dxa"/>
              <w:bottom w:w="0" w:type="dxa"/>
              <w:right w:w="20" w:type="dxa"/>
            </w:tcMar>
          </w:tcPr>
          <w:p w14:paraId="00BB0CF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F4"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CF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F6"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CF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F8" w14:textId="77777777" w:rsidR="00871BDF" w:rsidRDefault="005C5088">
            <w:pPr>
              <w:jc w:val="center"/>
              <w:textAlignment w:val="top"/>
            </w:pPr>
            <w:r>
              <w:rPr>
                <w:rFonts w:ascii="Times New Roman" w:eastAsia="宋体" w:hAnsi="Times New Roman"/>
                <w:color w:val="000000"/>
                <w:sz w:val="20"/>
                <w:szCs w:val="20"/>
              </w:rPr>
              <w:t>3/12/2020</w:t>
            </w:r>
          </w:p>
        </w:tc>
        <w:tc>
          <w:tcPr>
            <w:tcW w:w="0" w:type="auto"/>
            <w:gridSpan w:val="3"/>
            <w:shd w:val="clear" w:color="auto" w:fill="FFFFFF"/>
            <w:tcMar>
              <w:top w:w="0" w:type="dxa"/>
              <w:left w:w="20" w:type="dxa"/>
              <w:bottom w:w="0" w:type="dxa"/>
              <w:right w:w="20" w:type="dxa"/>
            </w:tcMar>
          </w:tcPr>
          <w:p w14:paraId="00BB0CF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CFA" w14:textId="77777777" w:rsidR="00871BDF" w:rsidRDefault="005C5088">
            <w:pPr>
              <w:jc w:val="center"/>
              <w:textAlignment w:val="top"/>
            </w:pPr>
            <w:r>
              <w:rPr>
                <w:rFonts w:ascii="Times New Roman" w:eastAsia="宋体" w:hAnsi="Times New Roman"/>
                <w:color w:val="000000"/>
                <w:sz w:val="20"/>
                <w:szCs w:val="20"/>
              </w:rPr>
              <w:t>4.5</w:t>
            </w:r>
          </w:p>
        </w:tc>
        <w:tc>
          <w:tcPr>
            <w:tcW w:w="0" w:type="auto"/>
            <w:gridSpan w:val="3"/>
            <w:shd w:val="clear" w:color="auto" w:fill="FFFFFF"/>
            <w:tcMar>
              <w:top w:w="0" w:type="dxa"/>
              <w:left w:w="20" w:type="dxa"/>
              <w:bottom w:w="0" w:type="dxa"/>
              <w:right w:w="20" w:type="dxa"/>
            </w:tcMar>
          </w:tcPr>
          <w:p w14:paraId="00BB0CF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CFC" w14:textId="77777777" w:rsidR="00871BDF" w:rsidRDefault="00871BDF">
            <w:pPr>
              <w:rPr>
                <w:rFonts w:ascii="宋体"/>
              </w:rPr>
            </w:pPr>
          </w:p>
        </w:tc>
      </w:tr>
      <w:tr w:rsidR="00871BDF" w14:paraId="00BB0D0B" w14:textId="77777777">
        <w:trPr>
          <w:jc w:val="center"/>
        </w:trPr>
        <w:tc>
          <w:tcPr>
            <w:tcW w:w="0" w:type="auto"/>
            <w:gridSpan w:val="3"/>
            <w:shd w:val="clear" w:color="auto" w:fill="D7E4BC"/>
            <w:tcMar>
              <w:top w:w="40" w:type="dxa"/>
              <w:left w:w="20" w:type="dxa"/>
              <w:bottom w:w="40" w:type="dxa"/>
              <w:right w:w="20" w:type="dxa"/>
            </w:tcMar>
          </w:tcPr>
          <w:p w14:paraId="00BB0CFE" w14:textId="77777777" w:rsidR="00871BDF" w:rsidRDefault="005C5088">
            <w:pPr>
              <w:jc w:val="center"/>
              <w:textAlignment w:val="top"/>
            </w:pPr>
            <w:hyperlink r:id="rId290" w:history="1">
              <w:r>
                <w:rPr>
                  <w:rStyle w:val="a5"/>
                  <w:rFonts w:ascii="Times New Roman" w:eastAsia="宋体" w:hAnsi="Times New Roman"/>
                  <w:sz w:val="20"/>
                  <w:szCs w:val="20"/>
                </w:rPr>
                <w:t>4.21</w:t>
              </w:r>
            </w:hyperlink>
          </w:p>
        </w:tc>
        <w:tc>
          <w:tcPr>
            <w:tcW w:w="0" w:type="auto"/>
            <w:gridSpan w:val="3"/>
            <w:shd w:val="clear" w:color="auto" w:fill="D7E4BC"/>
            <w:tcMar>
              <w:top w:w="0" w:type="dxa"/>
              <w:left w:w="20" w:type="dxa"/>
              <w:bottom w:w="0" w:type="dxa"/>
              <w:right w:w="20" w:type="dxa"/>
            </w:tcMar>
          </w:tcPr>
          <w:p w14:paraId="00BB0CF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00" w14:textId="77777777" w:rsidR="00871BDF" w:rsidRDefault="005C5088">
            <w:pPr>
              <w:textAlignment w:val="top"/>
            </w:pPr>
            <w:hyperlink r:id="rId291" w:history="1">
              <w:r>
                <w:rPr>
                  <w:rStyle w:val="a5"/>
                  <w:rFonts w:ascii="Times New Roman" w:eastAsia="宋体" w:hAnsi="Times New Roman"/>
                  <w:sz w:val="20"/>
                  <w:szCs w:val="20"/>
                </w:rPr>
                <w:t>Seventh Supplemental Indenture, dated as of May 7, 2020, by and between Starbucks Corporation and U.S. Bank National Association, as trustee (1.300% Senior Notes</w:t>
              </w:r>
              <w:r>
                <w:rPr>
                  <w:rStyle w:val="a5"/>
                  <w:rFonts w:ascii="Times New Roman" w:eastAsia="宋体" w:hAnsi="Times New Roman"/>
                  <w:sz w:val="20"/>
                  <w:szCs w:val="20"/>
                </w:rPr>
                <w:t xml:space="preserve"> due 2022, 2.550% Senior Notes due 2030 and 3.500% Senior Notes due 2050)</w:t>
              </w:r>
            </w:hyperlink>
          </w:p>
        </w:tc>
        <w:tc>
          <w:tcPr>
            <w:tcW w:w="0" w:type="auto"/>
            <w:gridSpan w:val="3"/>
            <w:shd w:val="clear" w:color="auto" w:fill="D7E4BC"/>
            <w:tcMar>
              <w:top w:w="0" w:type="dxa"/>
              <w:left w:w="20" w:type="dxa"/>
              <w:bottom w:w="0" w:type="dxa"/>
              <w:right w:w="20" w:type="dxa"/>
            </w:tcMar>
          </w:tcPr>
          <w:p w14:paraId="00BB0D0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02"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D0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04"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D0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06" w14:textId="77777777" w:rsidR="00871BDF" w:rsidRDefault="005C5088">
            <w:pPr>
              <w:jc w:val="center"/>
              <w:textAlignment w:val="top"/>
            </w:pPr>
            <w:r>
              <w:rPr>
                <w:rFonts w:ascii="Times New Roman" w:eastAsia="宋体" w:hAnsi="Times New Roman"/>
                <w:color w:val="000000"/>
                <w:sz w:val="20"/>
                <w:szCs w:val="20"/>
              </w:rPr>
              <w:t>5/7/2020</w:t>
            </w:r>
          </w:p>
        </w:tc>
        <w:tc>
          <w:tcPr>
            <w:tcW w:w="0" w:type="auto"/>
            <w:gridSpan w:val="3"/>
            <w:shd w:val="clear" w:color="auto" w:fill="D7E4BC"/>
            <w:tcMar>
              <w:top w:w="0" w:type="dxa"/>
              <w:left w:w="20" w:type="dxa"/>
              <w:bottom w:w="0" w:type="dxa"/>
              <w:right w:w="20" w:type="dxa"/>
            </w:tcMar>
          </w:tcPr>
          <w:p w14:paraId="00BB0D0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08" w14:textId="77777777" w:rsidR="00871BDF" w:rsidRDefault="005C5088">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tcPr>
          <w:p w14:paraId="00BB0D0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D0A" w14:textId="77777777" w:rsidR="00871BDF" w:rsidRDefault="00871BDF">
            <w:pPr>
              <w:rPr>
                <w:rFonts w:ascii="宋体"/>
              </w:rPr>
            </w:pPr>
          </w:p>
        </w:tc>
      </w:tr>
      <w:tr w:rsidR="00871BDF" w14:paraId="00BB0D19" w14:textId="77777777">
        <w:trPr>
          <w:jc w:val="center"/>
        </w:trPr>
        <w:tc>
          <w:tcPr>
            <w:tcW w:w="0" w:type="auto"/>
            <w:gridSpan w:val="3"/>
            <w:shd w:val="clear" w:color="auto" w:fill="FFFFFF"/>
            <w:tcMar>
              <w:top w:w="40" w:type="dxa"/>
              <w:left w:w="20" w:type="dxa"/>
              <w:bottom w:w="40" w:type="dxa"/>
              <w:right w:w="20" w:type="dxa"/>
            </w:tcMar>
          </w:tcPr>
          <w:p w14:paraId="00BB0D0C" w14:textId="77777777" w:rsidR="00871BDF" w:rsidRDefault="005C5088">
            <w:pPr>
              <w:jc w:val="center"/>
              <w:textAlignment w:val="top"/>
            </w:pPr>
            <w:hyperlink r:id="rId292" w:history="1">
              <w:r>
                <w:rPr>
                  <w:rStyle w:val="a5"/>
                  <w:rFonts w:ascii="Times New Roman" w:eastAsia="宋体" w:hAnsi="Times New Roman"/>
                  <w:sz w:val="20"/>
                  <w:szCs w:val="20"/>
                </w:rPr>
                <w:t>4.22</w:t>
              </w:r>
            </w:hyperlink>
          </w:p>
        </w:tc>
        <w:tc>
          <w:tcPr>
            <w:tcW w:w="0" w:type="auto"/>
            <w:gridSpan w:val="3"/>
            <w:shd w:val="clear" w:color="auto" w:fill="FFFFFF"/>
            <w:tcMar>
              <w:top w:w="0" w:type="dxa"/>
              <w:left w:w="20" w:type="dxa"/>
              <w:bottom w:w="0" w:type="dxa"/>
              <w:right w:w="20" w:type="dxa"/>
            </w:tcMar>
          </w:tcPr>
          <w:p w14:paraId="00BB0D0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0E" w14:textId="77777777" w:rsidR="00871BDF" w:rsidRDefault="005C5088">
            <w:pPr>
              <w:textAlignment w:val="top"/>
            </w:pPr>
            <w:hyperlink r:id="rId293" w:history="1">
              <w:r>
                <w:rPr>
                  <w:rStyle w:val="a5"/>
                  <w:rFonts w:ascii="Times New Roman" w:eastAsia="宋体" w:hAnsi="Times New Roman"/>
                  <w:sz w:val="20"/>
                  <w:szCs w:val="20"/>
                </w:rPr>
                <w:t xml:space="preserve">Form of 1.300% Senior Notes due May 7, 2022 (included in Exhibit </w:t>
              </w:r>
              <w:r>
                <w:rPr>
                  <w:rStyle w:val="a5"/>
                  <w:rFonts w:ascii="Times New Roman" w:eastAsia="宋体" w:hAnsi="Times New Roman"/>
                  <w:sz w:val="20"/>
                  <w:szCs w:val="20"/>
                </w:rPr>
                <w:t>4.2)</w:t>
              </w:r>
            </w:hyperlink>
          </w:p>
        </w:tc>
        <w:tc>
          <w:tcPr>
            <w:tcW w:w="0" w:type="auto"/>
            <w:gridSpan w:val="3"/>
            <w:shd w:val="clear" w:color="auto" w:fill="FFFFFF"/>
            <w:tcMar>
              <w:top w:w="0" w:type="dxa"/>
              <w:left w:w="20" w:type="dxa"/>
              <w:bottom w:w="0" w:type="dxa"/>
              <w:right w:w="20" w:type="dxa"/>
            </w:tcMar>
          </w:tcPr>
          <w:p w14:paraId="00BB0D0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10"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D1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12"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D1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14" w14:textId="77777777" w:rsidR="00871BDF" w:rsidRDefault="005C5088">
            <w:pPr>
              <w:jc w:val="center"/>
              <w:textAlignment w:val="top"/>
            </w:pPr>
            <w:r>
              <w:rPr>
                <w:rFonts w:ascii="Times New Roman" w:eastAsia="宋体" w:hAnsi="Times New Roman"/>
                <w:color w:val="000000"/>
                <w:sz w:val="20"/>
                <w:szCs w:val="20"/>
              </w:rPr>
              <w:t>5/7/2020</w:t>
            </w:r>
          </w:p>
        </w:tc>
        <w:tc>
          <w:tcPr>
            <w:tcW w:w="0" w:type="auto"/>
            <w:gridSpan w:val="3"/>
            <w:shd w:val="clear" w:color="auto" w:fill="FFFFFF"/>
            <w:tcMar>
              <w:top w:w="0" w:type="dxa"/>
              <w:left w:w="20" w:type="dxa"/>
              <w:bottom w:w="0" w:type="dxa"/>
              <w:right w:w="20" w:type="dxa"/>
            </w:tcMar>
          </w:tcPr>
          <w:p w14:paraId="00BB0D1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16" w14:textId="77777777" w:rsidR="00871BDF" w:rsidRDefault="005C5088">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tcPr>
          <w:p w14:paraId="00BB0D1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18" w14:textId="77777777" w:rsidR="00871BDF" w:rsidRDefault="00871BDF">
            <w:pPr>
              <w:rPr>
                <w:rFonts w:ascii="宋体"/>
              </w:rPr>
            </w:pPr>
          </w:p>
        </w:tc>
      </w:tr>
      <w:tr w:rsidR="00871BDF" w14:paraId="00BB0D27" w14:textId="77777777">
        <w:trPr>
          <w:jc w:val="center"/>
        </w:trPr>
        <w:tc>
          <w:tcPr>
            <w:tcW w:w="0" w:type="auto"/>
            <w:gridSpan w:val="3"/>
            <w:shd w:val="clear" w:color="auto" w:fill="D7E4BC"/>
            <w:tcMar>
              <w:top w:w="40" w:type="dxa"/>
              <w:left w:w="20" w:type="dxa"/>
              <w:bottom w:w="40" w:type="dxa"/>
              <w:right w:w="20" w:type="dxa"/>
            </w:tcMar>
          </w:tcPr>
          <w:p w14:paraId="00BB0D1A" w14:textId="77777777" w:rsidR="00871BDF" w:rsidRDefault="005C5088">
            <w:pPr>
              <w:jc w:val="center"/>
              <w:textAlignment w:val="top"/>
            </w:pPr>
            <w:hyperlink r:id="rId294" w:history="1">
              <w:r>
                <w:rPr>
                  <w:rStyle w:val="a5"/>
                  <w:rFonts w:ascii="Times New Roman" w:eastAsia="宋体" w:hAnsi="Times New Roman"/>
                  <w:sz w:val="20"/>
                  <w:szCs w:val="20"/>
                </w:rPr>
                <w:t>4.23</w:t>
              </w:r>
            </w:hyperlink>
          </w:p>
        </w:tc>
        <w:tc>
          <w:tcPr>
            <w:tcW w:w="0" w:type="auto"/>
            <w:gridSpan w:val="3"/>
            <w:shd w:val="clear" w:color="auto" w:fill="D7E4BC"/>
            <w:tcMar>
              <w:top w:w="0" w:type="dxa"/>
              <w:left w:w="20" w:type="dxa"/>
              <w:bottom w:w="0" w:type="dxa"/>
              <w:right w:w="20" w:type="dxa"/>
            </w:tcMar>
          </w:tcPr>
          <w:p w14:paraId="00BB0D1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1C" w14:textId="77777777" w:rsidR="00871BDF" w:rsidRDefault="005C5088">
            <w:pPr>
              <w:textAlignment w:val="top"/>
            </w:pPr>
            <w:hyperlink r:id="rId295" w:history="1">
              <w:r>
                <w:rPr>
                  <w:rStyle w:val="a5"/>
                  <w:rFonts w:ascii="Times New Roman" w:eastAsia="宋体" w:hAnsi="Times New Roman"/>
                  <w:sz w:val="20"/>
                  <w:szCs w:val="20"/>
                </w:rPr>
                <w:t>Form of 2.550% Senior Notes due November 15, 2030 (included in Ex</w:t>
              </w:r>
              <w:r>
                <w:rPr>
                  <w:rStyle w:val="a5"/>
                  <w:rFonts w:ascii="Times New Roman" w:eastAsia="宋体" w:hAnsi="Times New Roman"/>
                  <w:sz w:val="20"/>
                  <w:szCs w:val="20"/>
                </w:rPr>
                <w:t>hibit 4.2)</w:t>
              </w:r>
            </w:hyperlink>
          </w:p>
        </w:tc>
        <w:tc>
          <w:tcPr>
            <w:tcW w:w="0" w:type="auto"/>
            <w:gridSpan w:val="3"/>
            <w:shd w:val="clear" w:color="auto" w:fill="D7E4BC"/>
            <w:tcMar>
              <w:top w:w="0" w:type="dxa"/>
              <w:left w:w="20" w:type="dxa"/>
              <w:bottom w:w="0" w:type="dxa"/>
              <w:right w:w="20" w:type="dxa"/>
            </w:tcMar>
          </w:tcPr>
          <w:p w14:paraId="00BB0D1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1E"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D1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20"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D2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22" w14:textId="77777777" w:rsidR="00871BDF" w:rsidRDefault="005C5088">
            <w:pPr>
              <w:jc w:val="center"/>
              <w:textAlignment w:val="top"/>
            </w:pPr>
            <w:r>
              <w:rPr>
                <w:rFonts w:ascii="Times New Roman" w:eastAsia="宋体" w:hAnsi="Times New Roman"/>
                <w:color w:val="000000"/>
                <w:sz w:val="20"/>
                <w:szCs w:val="20"/>
              </w:rPr>
              <w:t>5/7/2020</w:t>
            </w:r>
          </w:p>
        </w:tc>
        <w:tc>
          <w:tcPr>
            <w:tcW w:w="0" w:type="auto"/>
            <w:gridSpan w:val="3"/>
            <w:shd w:val="clear" w:color="auto" w:fill="D7E4BC"/>
            <w:tcMar>
              <w:top w:w="0" w:type="dxa"/>
              <w:left w:w="20" w:type="dxa"/>
              <w:bottom w:w="0" w:type="dxa"/>
              <w:right w:w="20" w:type="dxa"/>
            </w:tcMar>
          </w:tcPr>
          <w:p w14:paraId="00BB0D2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24" w14:textId="77777777" w:rsidR="00871BDF" w:rsidRDefault="005C5088">
            <w:pPr>
              <w:jc w:val="center"/>
              <w:textAlignment w:val="top"/>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tcPr>
          <w:p w14:paraId="00BB0D2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D26" w14:textId="77777777" w:rsidR="00871BDF" w:rsidRDefault="00871BDF">
            <w:pPr>
              <w:rPr>
                <w:rFonts w:ascii="宋体"/>
              </w:rPr>
            </w:pPr>
          </w:p>
        </w:tc>
      </w:tr>
      <w:tr w:rsidR="00871BDF" w14:paraId="00BB0D35" w14:textId="77777777">
        <w:trPr>
          <w:jc w:val="center"/>
        </w:trPr>
        <w:tc>
          <w:tcPr>
            <w:tcW w:w="0" w:type="auto"/>
            <w:gridSpan w:val="3"/>
            <w:shd w:val="clear" w:color="auto" w:fill="FFFFFF"/>
            <w:tcMar>
              <w:top w:w="40" w:type="dxa"/>
              <w:left w:w="20" w:type="dxa"/>
              <w:bottom w:w="40" w:type="dxa"/>
              <w:right w:w="20" w:type="dxa"/>
            </w:tcMar>
          </w:tcPr>
          <w:p w14:paraId="00BB0D28" w14:textId="77777777" w:rsidR="00871BDF" w:rsidRDefault="005C5088">
            <w:pPr>
              <w:jc w:val="center"/>
              <w:textAlignment w:val="top"/>
            </w:pPr>
            <w:hyperlink r:id="rId296" w:history="1">
              <w:r>
                <w:rPr>
                  <w:rStyle w:val="a5"/>
                  <w:rFonts w:ascii="Times New Roman" w:eastAsia="宋体" w:hAnsi="Times New Roman"/>
                  <w:sz w:val="20"/>
                  <w:szCs w:val="20"/>
                </w:rPr>
                <w:t>4.24</w:t>
              </w:r>
            </w:hyperlink>
          </w:p>
        </w:tc>
        <w:tc>
          <w:tcPr>
            <w:tcW w:w="0" w:type="auto"/>
            <w:gridSpan w:val="3"/>
            <w:shd w:val="clear" w:color="auto" w:fill="FFFFFF"/>
            <w:tcMar>
              <w:top w:w="0" w:type="dxa"/>
              <w:left w:w="20" w:type="dxa"/>
              <w:bottom w:w="0" w:type="dxa"/>
              <w:right w:w="20" w:type="dxa"/>
            </w:tcMar>
          </w:tcPr>
          <w:p w14:paraId="00BB0D2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2A" w14:textId="77777777" w:rsidR="00871BDF" w:rsidRDefault="005C5088">
            <w:pPr>
              <w:textAlignment w:val="top"/>
            </w:pPr>
            <w:hyperlink r:id="rId297" w:history="1">
              <w:r>
                <w:rPr>
                  <w:rStyle w:val="a5"/>
                  <w:rFonts w:ascii="Times New Roman" w:eastAsia="宋体" w:hAnsi="Times New Roman"/>
                  <w:sz w:val="20"/>
                  <w:szCs w:val="20"/>
                </w:rPr>
                <w:t>Form of 3.500% Senio</w:t>
              </w:r>
              <w:r>
                <w:rPr>
                  <w:rStyle w:val="a5"/>
                  <w:rFonts w:ascii="Times New Roman" w:eastAsia="宋体" w:hAnsi="Times New Roman"/>
                  <w:sz w:val="20"/>
                  <w:szCs w:val="20"/>
                </w:rPr>
                <w:t>r Notes due November 15, 2050 (included in Exhibit 4.2)</w:t>
              </w:r>
            </w:hyperlink>
          </w:p>
        </w:tc>
        <w:tc>
          <w:tcPr>
            <w:tcW w:w="0" w:type="auto"/>
            <w:gridSpan w:val="3"/>
            <w:shd w:val="clear" w:color="auto" w:fill="FFFFFF"/>
            <w:tcMar>
              <w:top w:w="0" w:type="dxa"/>
              <w:left w:w="20" w:type="dxa"/>
              <w:bottom w:w="0" w:type="dxa"/>
              <w:right w:w="20" w:type="dxa"/>
            </w:tcMar>
          </w:tcPr>
          <w:p w14:paraId="00BB0D2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2C"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D2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2E"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D2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30" w14:textId="77777777" w:rsidR="00871BDF" w:rsidRDefault="005C5088">
            <w:pPr>
              <w:jc w:val="center"/>
              <w:textAlignment w:val="top"/>
            </w:pPr>
            <w:r>
              <w:rPr>
                <w:rFonts w:ascii="Times New Roman" w:eastAsia="宋体" w:hAnsi="Times New Roman"/>
                <w:color w:val="000000"/>
                <w:sz w:val="20"/>
                <w:szCs w:val="20"/>
              </w:rPr>
              <w:t>5/7/2020</w:t>
            </w:r>
          </w:p>
        </w:tc>
        <w:tc>
          <w:tcPr>
            <w:tcW w:w="0" w:type="auto"/>
            <w:gridSpan w:val="3"/>
            <w:shd w:val="clear" w:color="auto" w:fill="FFFFFF"/>
            <w:tcMar>
              <w:top w:w="0" w:type="dxa"/>
              <w:left w:w="20" w:type="dxa"/>
              <w:bottom w:w="0" w:type="dxa"/>
              <w:right w:w="20" w:type="dxa"/>
            </w:tcMar>
          </w:tcPr>
          <w:p w14:paraId="00BB0D3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32" w14:textId="77777777" w:rsidR="00871BDF" w:rsidRDefault="005C5088">
            <w:pPr>
              <w:jc w:val="center"/>
              <w:textAlignment w:val="top"/>
            </w:pPr>
            <w:r>
              <w:rPr>
                <w:rFonts w:ascii="Times New Roman" w:eastAsia="宋体" w:hAnsi="Times New Roman"/>
                <w:color w:val="000000"/>
                <w:sz w:val="20"/>
                <w:szCs w:val="20"/>
              </w:rPr>
              <w:t>4.5</w:t>
            </w:r>
          </w:p>
        </w:tc>
        <w:tc>
          <w:tcPr>
            <w:tcW w:w="0" w:type="auto"/>
            <w:gridSpan w:val="3"/>
            <w:shd w:val="clear" w:color="auto" w:fill="FFFFFF"/>
            <w:tcMar>
              <w:top w:w="0" w:type="dxa"/>
              <w:left w:w="20" w:type="dxa"/>
              <w:bottom w:w="0" w:type="dxa"/>
              <w:right w:w="20" w:type="dxa"/>
            </w:tcMar>
          </w:tcPr>
          <w:p w14:paraId="00BB0D3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34" w14:textId="77777777" w:rsidR="00871BDF" w:rsidRDefault="00871BDF">
            <w:pPr>
              <w:rPr>
                <w:rFonts w:ascii="宋体"/>
              </w:rPr>
            </w:pPr>
          </w:p>
        </w:tc>
      </w:tr>
      <w:tr w:rsidR="00871BDF" w14:paraId="00BB0D44" w14:textId="77777777">
        <w:trPr>
          <w:jc w:val="center"/>
        </w:trPr>
        <w:tc>
          <w:tcPr>
            <w:tcW w:w="0" w:type="auto"/>
            <w:gridSpan w:val="3"/>
            <w:shd w:val="clear" w:color="auto" w:fill="D7E4BC"/>
            <w:tcMar>
              <w:top w:w="40" w:type="dxa"/>
              <w:left w:w="20" w:type="dxa"/>
              <w:bottom w:w="40" w:type="dxa"/>
              <w:right w:w="20" w:type="dxa"/>
            </w:tcMar>
          </w:tcPr>
          <w:p w14:paraId="00BB0D36" w14:textId="77777777" w:rsidR="00871BDF" w:rsidRDefault="005C5088">
            <w:pPr>
              <w:jc w:val="center"/>
              <w:textAlignment w:val="top"/>
            </w:pPr>
            <w:hyperlink r:id="rId298" w:history="1">
              <w:r>
                <w:rPr>
                  <w:rStyle w:val="a5"/>
                  <w:rFonts w:ascii="Times New Roman" w:eastAsia="宋体" w:hAnsi="Times New Roman"/>
                  <w:sz w:val="20"/>
                  <w:szCs w:val="20"/>
                </w:rPr>
                <w:t>4.</w:t>
              </w:r>
            </w:hyperlink>
            <w:hyperlink r:id="rId299" w:history="1">
              <w:r>
                <w:rPr>
                  <w:rStyle w:val="a5"/>
                  <w:rFonts w:ascii="Times New Roman" w:eastAsia="宋体" w:hAnsi="Times New Roman"/>
                  <w:sz w:val="20"/>
                  <w:szCs w:val="20"/>
                </w:rPr>
                <w:t>25</w:t>
              </w:r>
            </w:hyperlink>
          </w:p>
        </w:tc>
        <w:tc>
          <w:tcPr>
            <w:tcW w:w="0" w:type="auto"/>
            <w:gridSpan w:val="3"/>
            <w:shd w:val="clear" w:color="auto" w:fill="D7E4BC"/>
            <w:tcMar>
              <w:top w:w="0" w:type="dxa"/>
              <w:left w:w="20" w:type="dxa"/>
              <w:bottom w:w="0" w:type="dxa"/>
              <w:right w:w="20" w:type="dxa"/>
            </w:tcMar>
          </w:tcPr>
          <w:p w14:paraId="00BB0D3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38" w14:textId="77777777" w:rsidR="00871BDF" w:rsidRDefault="005C5088">
            <w:pPr>
              <w:textAlignment w:val="top"/>
            </w:pPr>
            <w:hyperlink r:id="rId300" w:history="1">
              <w:r>
                <w:rPr>
                  <w:rStyle w:val="a5"/>
                  <w:rFonts w:ascii="Times New Roman" w:eastAsia="宋体" w:hAnsi="Times New Roman"/>
                  <w:sz w:val="20"/>
                  <w:szCs w:val="20"/>
                </w:rPr>
                <w:t>Indenture, dated as of August 23, 2007, by and between Starbucks Corporation and Deutsche Bank Trust Company Americas, as trustee</w:t>
              </w:r>
            </w:hyperlink>
          </w:p>
          <w:p w14:paraId="00BB0D39" w14:textId="77777777" w:rsidR="00871BDF" w:rsidRDefault="00871BDF">
            <w:pPr>
              <w:textAlignment w:val="top"/>
            </w:pPr>
          </w:p>
        </w:tc>
        <w:tc>
          <w:tcPr>
            <w:tcW w:w="0" w:type="auto"/>
            <w:gridSpan w:val="3"/>
            <w:shd w:val="clear" w:color="auto" w:fill="D7E4BC"/>
            <w:tcMar>
              <w:top w:w="0" w:type="dxa"/>
              <w:left w:w="20" w:type="dxa"/>
              <w:bottom w:w="0" w:type="dxa"/>
              <w:right w:w="20" w:type="dxa"/>
            </w:tcMar>
          </w:tcPr>
          <w:p w14:paraId="00BB0D3A"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3B" w14:textId="77777777" w:rsidR="00871BDF" w:rsidRDefault="005C5088">
            <w:pPr>
              <w:jc w:val="center"/>
              <w:textAlignment w:val="top"/>
            </w:pPr>
            <w:r>
              <w:rPr>
                <w:rFonts w:ascii="Times New Roman" w:eastAsia="宋体" w:hAnsi="Times New Roman"/>
                <w:color w:val="000000"/>
                <w:sz w:val="20"/>
                <w:szCs w:val="20"/>
              </w:rPr>
              <w:t>S-3ASR</w:t>
            </w:r>
          </w:p>
        </w:tc>
        <w:tc>
          <w:tcPr>
            <w:tcW w:w="0" w:type="auto"/>
            <w:gridSpan w:val="3"/>
            <w:shd w:val="clear" w:color="auto" w:fill="D7E4BC"/>
            <w:tcMar>
              <w:top w:w="0" w:type="dxa"/>
              <w:left w:w="20" w:type="dxa"/>
              <w:bottom w:w="0" w:type="dxa"/>
              <w:right w:w="20" w:type="dxa"/>
            </w:tcMar>
          </w:tcPr>
          <w:p w14:paraId="00BB0D3C"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3D" w14:textId="77777777" w:rsidR="00871BDF" w:rsidRDefault="005C5088">
            <w:pPr>
              <w:jc w:val="center"/>
              <w:textAlignment w:val="top"/>
            </w:pPr>
            <w:r>
              <w:rPr>
                <w:rFonts w:ascii="Times New Roman" w:eastAsia="宋体" w:hAnsi="Times New Roman"/>
                <w:color w:val="000000"/>
                <w:sz w:val="20"/>
                <w:szCs w:val="20"/>
              </w:rPr>
              <w:t>333-190955</w:t>
            </w:r>
          </w:p>
        </w:tc>
        <w:tc>
          <w:tcPr>
            <w:tcW w:w="0" w:type="auto"/>
            <w:gridSpan w:val="3"/>
            <w:shd w:val="clear" w:color="auto" w:fill="D7E4BC"/>
            <w:tcMar>
              <w:top w:w="0" w:type="dxa"/>
              <w:left w:w="20" w:type="dxa"/>
              <w:bottom w:w="0" w:type="dxa"/>
              <w:right w:w="20" w:type="dxa"/>
            </w:tcMar>
          </w:tcPr>
          <w:p w14:paraId="00BB0D3E"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3F" w14:textId="77777777" w:rsidR="00871BDF" w:rsidRDefault="005C5088">
            <w:pPr>
              <w:jc w:val="center"/>
              <w:textAlignment w:val="top"/>
            </w:pPr>
            <w:r>
              <w:rPr>
                <w:rFonts w:ascii="Times New Roman" w:eastAsia="宋体" w:hAnsi="Times New Roman"/>
                <w:color w:val="000000"/>
                <w:sz w:val="20"/>
                <w:szCs w:val="20"/>
              </w:rPr>
              <w:t>9/3/2013</w:t>
            </w:r>
          </w:p>
        </w:tc>
        <w:tc>
          <w:tcPr>
            <w:tcW w:w="0" w:type="auto"/>
            <w:gridSpan w:val="3"/>
            <w:shd w:val="clear" w:color="auto" w:fill="D7E4BC"/>
            <w:tcMar>
              <w:top w:w="0" w:type="dxa"/>
              <w:left w:w="20" w:type="dxa"/>
              <w:bottom w:w="0" w:type="dxa"/>
              <w:right w:w="20" w:type="dxa"/>
            </w:tcMar>
          </w:tcPr>
          <w:p w14:paraId="00BB0D40"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41" w14:textId="77777777" w:rsidR="00871BDF" w:rsidRDefault="005C5088">
            <w:pPr>
              <w:jc w:val="center"/>
              <w:textAlignment w:val="top"/>
            </w:pPr>
            <w:r>
              <w:rPr>
                <w:rFonts w:ascii="Times New Roman" w:eastAsia="宋体" w:hAnsi="Times New Roman"/>
                <w:color w:val="000000"/>
                <w:sz w:val="20"/>
                <w:szCs w:val="20"/>
              </w:rPr>
              <w:t>4.1</w:t>
            </w:r>
          </w:p>
        </w:tc>
        <w:tc>
          <w:tcPr>
            <w:tcW w:w="0" w:type="auto"/>
            <w:gridSpan w:val="3"/>
            <w:shd w:val="clear" w:color="auto" w:fill="D7E4BC"/>
            <w:tcMar>
              <w:top w:w="0" w:type="dxa"/>
              <w:left w:w="20" w:type="dxa"/>
              <w:bottom w:w="0" w:type="dxa"/>
              <w:right w:w="20" w:type="dxa"/>
            </w:tcMar>
          </w:tcPr>
          <w:p w14:paraId="00BB0D4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D43" w14:textId="77777777" w:rsidR="00871BDF" w:rsidRDefault="00871BDF">
            <w:pPr>
              <w:rPr>
                <w:rFonts w:ascii="宋体"/>
              </w:rPr>
            </w:pPr>
          </w:p>
        </w:tc>
      </w:tr>
      <w:tr w:rsidR="00871BDF" w14:paraId="00BB0D52" w14:textId="77777777">
        <w:trPr>
          <w:trHeight w:val="120"/>
          <w:jc w:val="center"/>
        </w:trPr>
        <w:tc>
          <w:tcPr>
            <w:tcW w:w="0" w:type="auto"/>
            <w:gridSpan w:val="3"/>
            <w:shd w:val="clear" w:color="auto" w:fill="FFFFFF"/>
            <w:tcMar>
              <w:top w:w="0" w:type="dxa"/>
              <w:left w:w="20" w:type="dxa"/>
              <w:bottom w:w="0" w:type="dxa"/>
              <w:right w:w="20" w:type="dxa"/>
            </w:tcMar>
          </w:tcPr>
          <w:p w14:paraId="00BB0D4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4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4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48"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4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4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4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4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4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4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4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5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51" w14:textId="77777777" w:rsidR="00871BDF" w:rsidRDefault="00871BDF">
            <w:pPr>
              <w:rPr>
                <w:rFonts w:ascii="宋体"/>
              </w:rPr>
            </w:pPr>
          </w:p>
        </w:tc>
      </w:tr>
    </w:tbl>
    <w:p w14:paraId="00BB0D53" w14:textId="77777777" w:rsidR="00871BDF" w:rsidRDefault="005C5088">
      <w:pPr>
        <w:jc w:val="center"/>
      </w:pPr>
      <w:r>
        <w:rPr>
          <w:rFonts w:ascii="Times New Roman" w:eastAsia="宋体" w:hAnsi="Times New Roman"/>
          <w:color w:val="000000"/>
          <w:sz w:val="20"/>
          <w:szCs w:val="20"/>
        </w:rPr>
        <w:t>97</w:t>
      </w:r>
    </w:p>
    <w:p w14:paraId="00BB0D54" w14:textId="77777777" w:rsidR="00871BDF" w:rsidRDefault="005C5088">
      <w:r>
        <w:pict w14:anchorId="00BB14C6">
          <v:rect id="_x0000_i1124" style="width:415.3pt;height:1.5pt" o:hralign="center" o:hrstd="t" o:hr="t" fillcolor="#a0a0a0" stroked="f"/>
        </w:pict>
      </w:r>
    </w:p>
    <w:p w14:paraId="00BB0D55" w14:textId="77777777" w:rsidR="00871BDF" w:rsidRDefault="005C5088">
      <w:hyperlink r:id="rId301" w:anchor="i54ccc64cb5384be5a4849ef1cdef4dde_7" w:history="1">
        <w:r>
          <w:rPr>
            <w:rStyle w:val="a5"/>
            <w:rFonts w:ascii="Times New Roman" w:eastAsia="宋体" w:hAnsi="Times New Roman"/>
            <w:sz w:val="20"/>
            <w:szCs w:val="20"/>
          </w:rPr>
          <w:t>Table of 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83"/>
        <w:gridCol w:w="36"/>
        <w:gridCol w:w="36"/>
        <w:gridCol w:w="36"/>
        <w:gridCol w:w="36"/>
        <w:gridCol w:w="40"/>
        <w:gridCol w:w="2500"/>
        <w:gridCol w:w="38"/>
        <w:gridCol w:w="36"/>
        <w:gridCol w:w="36"/>
        <w:gridCol w:w="36"/>
        <w:gridCol w:w="38"/>
        <w:gridCol w:w="796"/>
        <w:gridCol w:w="37"/>
        <w:gridCol w:w="37"/>
        <w:gridCol w:w="37"/>
        <w:gridCol w:w="37"/>
        <w:gridCol w:w="64"/>
        <w:gridCol w:w="770"/>
        <w:gridCol w:w="37"/>
        <w:gridCol w:w="36"/>
        <w:gridCol w:w="36"/>
        <w:gridCol w:w="36"/>
        <w:gridCol w:w="85"/>
        <w:gridCol w:w="859"/>
        <w:gridCol w:w="39"/>
        <w:gridCol w:w="36"/>
        <w:gridCol w:w="36"/>
        <w:gridCol w:w="36"/>
        <w:gridCol w:w="55"/>
        <w:gridCol w:w="759"/>
        <w:gridCol w:w="36"/>
        <w:gridCol w:w="36"/>
        <w:gridCol w:w="36"/>
        <w:gridCol w:w="36"/>
        <w:gridCol w:w="74"/>
        <w:gridCol w:w="603"/>
        <w:gridCol w:w="36"/>
      </w:tblGrid>
      <w:tr w:rsidR="00871BDF" w14:paraId="00BB0D7D" w14:textId="77777777">
        <w:trPr>
          <w:jc w:val="center"/>
        </w:trPr>
        <w:tc>
          <w:tcPr>
            <w:tcW w:w="50" w:type="pct"/>
            <w:shd w:val="clear" w:color="auto" w:fill="auto"/>
          </w:tcPr>
          <w:p w14:paraId="00BB0D56" w14:textId="77777777" w:rsidR="00871BDF" w:rsidRDefault="00871BDF">
            <w:pPr>
              <w:rPr>
                <w:rFonts w:ascii="宋体"/>
              </w:rPr>
            </w:pPr>
          </w:p>
        </w:tc>
        <w:tc>
          <w:tcPr>
            <w:tcW w:w="436" w:type="pct"/>
            <w:shd w:val="clear" w:color="auto" w:fill="auto"/>
          </w:tcPr>
          <w:p w14:paraId="00BB0D57" w14:textId="77777777" w:rsidR="00871BDF" w:rsidRDefault="00871BDF">
            <w:pPr>
              <w:rPr>
                <w:rFonts w:ascii="宋体"/>
              </w:rPr>
            </w:pPr>
          </w:p>
        </w:tc>
        <w:tc>
          <w:tcPr>
            <w:tcW w:w="5" w:type="pct"/>
            <w:shd w:val="clear" w:color="auto" w:fill="auto"/>
          </w:tcPr>
          <w:p w14:paraId="00BB0D58" w14:textId="77777777" w:rsidR="00871BDF" w:rsidRDefault="00871BDF">
            <w:pPr>
              <w:rPr>
                <w:rFonts w:ascii="宋体"/>
              </w:rPr>
            </w:pPr>
          </w:p>
        </w:tc>
        <w:tc>
          <w:tcPr>
            <w:tcW w:w="5" w:type="pct"/>
            <w:shd w:val="clear" w:color="auto" w:fill="auto"/>
          </w:tcPr>
          <w:p w14:paraId="00BB0D59" w14:textId="77777777" w:rsidR="00871BDF" w:rsidRDefault="00871BDF">
            <w:pPr>
              <w:rPr>
                <w:rFonts w:ascii="宋体"/>
              </w:rPr>
            </w:pPr>
          </w:p>
        </w:tc>
        <w:tc>
          <w:tcPr>
            <w:tcW w:w="26" w:type="pct"/>
            <w:shd w:val="clear" w:color="auto" w:fill="auto"/>
          </w:tcPr>
          <w:p w14:paraId="00BB0D5A" w14:textId="77777777" w:rsidR="00871BDF" w:rsidRDefault="00871BDF">
            <w:pPr>
              <w:rPr>
                <w:rFonts w:ascii="宋体"/>
              </w:rPr>
            </w:pPr>
          </w:p>
        </w:tc>
        <w:tc>
          <w:tcPr>
            <w:tcW w:w="5" w:type="pct"/>
            <w:shd w:val="clear" w:color="auto" w:fill="auto"/>
          </w:tcPr>
          <w:p w14:paraId="00BB0D5B" w14:textId="77777777" w:rsidR="00871BDF" w:rsidRDefault="00871BDF">
            <w:pPr>
              <w:rPr>
                <w:rFonts w:ascii="宋体"/>
              </w:rPr>
            </w:pPr>
          </w:p>
        </w:tc>
        <w:tc>
          <w:tcPr>
            <w:tcW w:w="50" w:type="pct"/>
            <w:shd w:val="clear" w:color="auto" w:fill="auto"/>
          </w:tcPr>
          <w:p w14:paraId="00BB0D5C" w14:textId="77777777" w:rsidR="00871BDF" w:rsidRDefault="00871BDF">
            <w:pPr>
              <w:rPr>
                <w:rFonts w:ascii="宋体"/>
              </w:rPr>
            </w:pPr>
          </w:p>
        </w:tc>
        <w:tc>
          <w:tcPr>
            <w:tcW w:w="1530" w:type="pct"/>
            <w:shd w:val="clear" w:color="auto" w:fill="auto"/>
          </w:tcPr>
          <w:p w14:paraId="00BB0D5D" w14:textId="77777777" w:rsidR="00871BDF" w:rsidRDefault="00871BDF">
            <w:pPr>
              <w:rPr>
                <w:rFonts w:ascii="宋体"/>
              </w:rPr>
            </w:pPr>
          </w:p>
        </w:tc>
        <w:tc>
          <w:tcPr>
            <w:tcW w:w="5" w:type="pct"/>
            <w:shd w:val="clear" w:color="auto" w:fill="auto"/>
          </w:tcPr>
          <w:p w14:paraId="00BB0D5E" w14:textId="77777777" w:rsidR="00871BDF" w:rsidRDefault="00871BDF">
            <w:pPr>
              <w:rPr>
                <w:rFonts w:ascii="宋体"/>
              </w:rPr>
            </w:pPr>
          </w:p>
        </w:tc>
        <w:tc>
          <w:tcPr>
            <w:tcW w:w="5" w:type="pct"/>
            <w:shd w:val="clear" w:color="auto" w:fill="auto"/>
          </w:tcPr>
          <w:p w14:paraId="00BB0D5F" w14:textId="77777777" w:rsidR="00871BDF" w:rsidRDefault="00871BDF">
            <w:pPr>
              <w:rPr>
                <w:rFonts w:ascii="宋体"/>
              </w:rPr>
            </w:pPr>
          </w:p>
        </w:tc>
        <w:tc>
          <w:tcPr>
            <w:tcW w:w="26" w:type="pct"/>
            <w:shd w:val="clear" w:color="auto" w:fill="auto"/>
          </w:tcPr>
          <w:p w14:paraId="00BB0D60" w14:textId="77777777" w:rsidR="00871BDF" w:rsidRDefault="00871BDF">
            <w:pPr>
              <w:rPr>
                <w:rFonts w:ascii="宋体"/>
              </w:rPr>
            </w:pPr>
          </w:p>
        </w:tc>
        <w:tc>
          <w:tcPr>
            <w:tcW w:w="5" w:type="pct"/>
            <w:shd w:val="clear" w:color="auto" w:fill="auto"/>
          </w:tcPr>
          <w:p w14:paraId="00BB0D61" w14:textId="77777777" w:rsidR="00871BDF" w:rsidRDefault="00871BDF">
            <w:pPr>
              <w:rPr>
                <w:rFonts w:ascii="宋体"/>
              </w:rPr>
            </w:pPr>
          </w:p>
        </w:tc>
        <w:tc>
          <w:tcPr>
            <w:tcW w:w="50" w:type="pct"/>
            <w:shd w:val="clear" w:color="auto" w:fill="auto"/>
          </w:tcPr>
          <w:p w14:paraId="00BB0D62" w14:textId="77777777" w:rsidR="00871BDF" w:rsidRDefault="00871BDF">
            <w:pPr>
              <w:rPr>
                <w:rFonts w:ascii="宋体"/>
              </w:rPr>
            </w:pPr>
          </w:p>
        </w:tc>
        <w:tc>
          <w:tcPr>
            <w:tcW w:w="503" w:type="pct"/>
            <w:shd w:val="clear" w:color="auto" w:fill="auto"/>
          </w:tcPr>
          <w:p w14:paraId="00BB0D63" w14:textId="77777777" w:rsidR="00871BDF" w:rsidRDefault="00871BDF">
            <w:pPr>
              <w:rPr>
                <w:rFonts w:ascii="宋体"/>
              </w:rPr>
            </w:pPr>
          </w:p>
        </w:tc>
        <w:tc>
          <w:tcPr>
            <w:tcW w:w="5" w:type="pct"/>
            <w:shd w:val="clear" w:color="auto" w:fill="auto"/>
          </w:tcPr>
          <w:p w14:paraId="00BB0D64" w14:textId="77777777" w:rsidR="00871BDF" w:rsidRDefault="00871BDF">
            <w:pPr>
              <w:rPr>
                <w:rFonts w:ascii="宋体"/>
              </w:rPr>
            </w:pPr>
          </w:p>
        </w:tc>
        <w:tc>
          <w:tcPr>
            <w:tcW w:w="5" w:type="pct"/>
            <w:shd w:val="clear" w:color="auto" w:fill="auto"/>
          </w:tcPr>
          <w:p w14:paraId="00BB0D65" w14:textId="77777777" w:rsidR="00871BDF" w:rsidRDefault="00871BDF">
            <w:pPr>
              <w:rPr>
                <w:rFonts w:ascii="宋体"/>
              </w:rPr>
            </w:pPr>
          </w:p>
        </w:tc>
        <w:tc>
          <w:tcPr>
            <w:tcW w:w="26" w:type="pct"/>
            <w:shd w:val="clear" w:color="auto" w:fill="auto"/>
          </w:tcPr>
          <w:p w14:paraId="00BB0D66" w14:textId="77777777" w:rsidR="00871BDF" w:rsidRDefault="00871BDF">
            <w:pPr>
              <w:rPr>
                <w:rFonts w:ascii="宋体"/>
              </w:rPr>
            </w:pPr>
          </w:p>
        </w:tc>
        <w:tc>
          <w:tcPr>
            <w:tcW w:w="5" w:type="pct"/>
            <w:shd w:val="clear" w:color="auto" w:fill="auto"/>
          </w:tcPr>
          <w:p w14:paraId="00BB0D67" w14:textId="77777777" w:rsidR="00871BDF" w:rsidRDefault="00871BDF">
            <w:pPr>
              <w:rPr>
                <w:rFonts w:ascii="宋体"/>
              </w:rPr>
            </w:pPr>
          </w:p>
        </w:tc>
        <w:tc>
          <w:tcPr>
            <w:tcW w:w="50" w:type="pct"/>
            <w:shd w:val="clear" w:color="auto" w:fill="auto"/>
          </w:tcPr>
          <w:p w14:paraId="00BB0D68" w14:textId="77777777" w:rsidR="00871BDF" w:rsidRDefault="00871BDF">
            <w:pPr>
              <w:rPr>
                <w:rFonts w:ascii="宋体"/>
              </w:rPr>
            </w:pPr>
          </w:p>
        </w:tc>
        <w:tc>
          <w:tcPr>
            <w:tcW w:w="503" w:type="pct"/>
            <w:shd w:val="clear" w:color="auto" w:fill="auto"/>
          </w:tcPr>
          <w:p w14:paraId="00BB0D69" w14:textId="77777777" w:rsidR="00871BDF" w:rsidRDefault="00871BDF">
            <w:pPr>
              <w:rPr>
                <w:rFonts w:ascii="宋体"/>
              </w:rPr>
            </w:pPr>
          </w:p>
        </w:tc>
        <w:tc>
          <w:tcPr>
            <w:tcW w:w="5" w:type="pct"/>
            <w:shd w:val="clear" w:color="auto" w:fill="auto"/>
          </w:tcPr>
          <w:p w14:paraId="00BB0D6A" w14:textId="77777777" w:rsidR="00871BDF" w:rsidRDefault="00871BDF">
            <w:pPr>
              <w:rPr>
                <w:rFonts w:ascii="宋体"/>
              </w:rPr>
            </w:pPr>
          </w:p>
        </w:tc>
        <w:tc>
          <w:tcPr>
            <w:tcW w:w="5" w:type="pct"/>
            <w:shd w:val="clear" w:color="auto" w:fill="auto"/>
          </w:tcPr>
          <w:p w14:paraId="00BB0D6B" w14:textId="77777777" w:rsidR="00871BDF" w:rsidRDefault="00871BDF">
            <w:pPr>
              <w:rPr>
                <w:rFonts w:ascii="宋体"/>
              </w:rPr>
            </w:pPr>
          </w:p>
        </w:tc>
        <w:tc>
          <w:tcPr>
            <w:tcW w:w="26" w:type="pct"/>
            <w:shd w:val="clear" w:color="auto" w:fill="auto"/>
          </w:tcPr>
          <w:p w14:paraId="00BB0D6C" w14:textId="77777777" w:rsidR="00871BDF" w:rsidRDefault="00871BDF">
            <w:pPr>
              <w:rPr>
                <w:rFonts w:ascii="宋体"/>
              </w:rPr>
            </w:pPr>
          </w:p>
        </w:tc>
        <w:tc>
          <w:tcPr>
            <w:tcW w:w="5" w:type="pct"/>
            <w:shd w:val="clear" w:color="auto" w:fill="auto"/>
          </w:tcPr>
          <w:p w14:paraId="00BB0D6D" w14:textId="77777777" w:rsidR="00871BDF" w:rsidRDefault="00871BDF">
            <w:pPr>
              <w:rPr>
                <w:rFonts w:ascii="宋体"/>
              </w:rPr>
            </w:pPr>
          </w:p>
        </w:tc>
        <w:tc>
          <w:tcPr>
            <w:tcW w:w="50" w:type="pct"/>
            <w:shd w:val="clear" w:color="auto" w:fill="auto"/>
          </w:tcPr>
          <w:p w14:paraId="00BB0D6E" w14:textId="77777777" w:rsidR="00871BDF" w:rsidRDefault="00871BDF">
            <w:pPr>
              <w:rPr>
                <w:rFonts w:ascii="宋体"/>
              </w:rPr>
            </w:pPr>
          </w:p>
        </w:tc>
        <w:tc>
          <w:tcPr>
            <w:tcW w:w="510" w:type="pct"/>
            <w:shd w:val="clear" w:color="auto" w:fill="auto"/>
          </w:tcPr>
          <w:p w14:paraId="00BB0D6F" w14:textId="77777777" w:rsidR="00871BDF" w:rsidRDefault="00871BDF">
            <w:pPr>
              <w:rPr>
                <w:rFonts w:ascii="宋体"/>
              </w:rPr>
            </w:pPr>
          </w:p>
        </w:tc>
        <w:tc>
          <w:tcPr>
            <w:tcW w:w="5" w:type="pct"/>
            <w:shd w:val="clear" w:color="auto" w:fill="auto"/>
          </w:tcPr>
          <w:p w14:paraId="00BB0D70" w14:textId="77777777" w:rsidR="00871BDF" w:rsidRDefault="00871BDF">
            <w:pPr>
              <w:rPr>
                <w:rFonts w:ascii="宋体"/>
              </w:rPr>
            </w:pPr>
          </w:p>
        </w:tc>
        <w:tc>
          <w:tcPr>
            <w:tcW w:w="5" w:type="pct"/>
            <w:shd w:val="clear" w:color="auto" w:fill="auto"/>
          </w:tcPr>
          <w:p w14:paraId="00BB0D71" w14:textId="77777777" w:rsidR="00871BDF" w:rsidRDefault="00871BDF">
            <w:pPr>
              <w:rPr>
                <w:rFonts w:ascii="宋体"/>
              </w:rPr>
            </w:pPr>
          </w:p>
        </w:tc>
        <w:tc>
          <w:tcPr>
            <w:tcW w:w="26" w:type="pct"/>
            <w:shd w:val="clear" w:color="auto" w:fill="auto"/>
          </w:tcPr>
          <w:p w14:paraId="00BB0D72" w14:textId="77777777" w:rsidR="00871BDF" w:rsidRDefault="00871BDF">
            <w:pPr>
              <w:rPr>
                <w:rFonts w:ascii="宋体"/>
              </w:rPr>
            </w:pPr>
          </w:p>
        </w:tc>
        <w:tc>
          <w:tcPr>
            <w:tcW w:w="5" w:type="pct"/>
            <w:shd w:val="clear" w:color="auto" w:fill="auto"/>
          </w:tcPr>
          <w:p w14:paraId="00BB0D73" w14:textId="77777777" w:rsidR="00871BDF" w:rsidRDefault="00871BDF">
            <w:pPr>
              <w:rPr>
                <w:rFonts w:ascii="宋体"/>
              </w:rPr>
            </w:pPr>
          </w:p>
        </w:tc>
        <w:tc>
          <w:tcPr>
            <w:tcW w:w="50" w:type="pct"/>
            <w:shd w:val="clear" w:color="auto" w:fill="auto"/>
          </w:tcPr>
          <w:p w14:paraId="00BB0D74" w14:textId="77777777" w:rsidR="00871BDF" w:rsidRDefault="00871BDF">
            <w:pPr>
              <w:rPr>
                <w:rFonts w:ascii="宋体"/>
              </w:rPr>
            </w:pPr>
          </w:p>
        </w:tc>
        <w:tc>
          <w:tcPr>
            <w:tcW w:w="503" w:type="pct"/>
            <w:shd w:val="clear" w:color="auto" w:fill="auto"/>
          </w:tcPr>
          <w:p w14:paraId="00BB0D75" w14:textId="77777777" w:rsidR="00871BDF" w:rsidRDefault="00871BDF">
            <w:pPr>
              <w:rPr>
                <w:rFonts w:ascii="宋体"/>
              </w:rPr>
            </w:pPr>
          </w:p>
        </w:tc>
        <w:tc>
          <w:tcPr>
            <w:tcW w:w="5" w:type="pct"/>
            <w:shd w:val="clear" w:color="auto" w:fill="auto"/>
          </w:tcPr>
          <w:p w14:paraId="00BB0D76" w14:textId="77777777" w:rsidR="00871BDF" w:rsidRDefault="00871BDF">
            <w:pPr>
              <w:rPr>
                <w:rFonts w:ascii="宋体"/>
              </w:rPr>
            </w:pPr>
          </w:p>
        </w:tc>
        <w:tc>
          <w:tcPr>
            <w:tcW w:w="5" w:type="pct"/>
            <w:shd w:val="clear" w:color="auto" w:fill="auto"/>
          </w:tcPr>
          <w:p w14:paraId="00BB0D77" w14:textId="77777777" w:rsidR="00871BDF" w:rsidRDefault="00871BDF">
            <w:pPr>
              <w:rPr>
                <w:rFonts w:ascii="宋体"/>
              </w:rPr>
            </w:pPr>
          </w:p>
        </w:tc>
        <w:tc>
          <w:tcPr>
            <w:tcW w:w="26" w:type="pct"/>
            <w:shd w:val="clear" w:color="auto" w:fill="auto"/>
          </w:tcPr>
          <w:p w14:paraId="00BB0D78" w14:textId="77777777" w:rsidR="00871BDF" w:rsidRDefault="00871BDF">
            <w:pPr>
              <w:rPr>
                <w:rFonts w:ascii="宋体"/>
              </w:rPr>
            </w:pPr>
          </w:p>
        </w:tc>
        <w:tc>
          <w:tcPr>
            <w:tcW w:w="5" w:type="pct"/>
            <w:shd w:val="clear" w:color="auto" w:fill="auto"/>
          </w:tcPr>
          <w:p w14:paraId="00BB0D79" w14:textId="77777777" w:rsidR="00871BDF" w:rsidRDefault="00871BDF">
            <w:pPr>
              <w:rPr>
                <w:rFonts w:ascii="宋体"/>
              </w:rPr>
            </w:pPr>
          </w:p>
        </w:tc>
        <w:tc>
          <w:tcPr>
            <w:tcW w:w="50" w:type="pct"/>
            <w:shd w:val="clear" w:color="auto" w:fill="auto"/>
          </w:tcPr>
          <w:p w14:paraId="00BB0D7A" w14:textId="77777777" w:rsidR="00871BDF" w:rsidRDefault="00871BDF">
            <w:pPr>
              <w:rPr>
                <w:rFonts w:ascii="宋体"/>
              </w:rPr>
            </w:pPr>
          </w:p>
        </w:tc>
        <w:tc>
          <w:tcPr>
            <w:tcW w:w="407" w:type="pct"/>
            <w:shd w:val="clear" w:color="auto" w:fill="auto"/>
          </w:tcPr>
          <w:p w14:paraId="00BB0D7B" w14:textId="77777777" w:rsidR="00871BDF" w:rsidRDefault="00871BDF">
            <w:pPr>
              <w:rPr>
                <w:rFonts w:ascii="宋体"/>
              </w:rPr>
            </w:pPr>
          </w:p>
        </w:tc>
        <w:tc>
          <w:tcPr>
            <w:tcW w:w="5" w:type="pct"/>
            <w:shd w:val="clear" w:color="auto" w:fill="auto"/>
          </w:tcPr>
          <w:p w14:paraId="00BB0D7C" w14:textId="77777777" w:rsidR="00871BDF" w:rsidRDefault="00871BDF">
            <w:pPr>
              <w:rPr>
                <w:rFonts w:ascii="宋体"/>
              </w:rPr>
            </w:pPr>
          </w:p>
        </w:tc>
      </w:tr>
      <w:tr w:rsidR="00871BDF" w14:paraId="00BB0D85" w14:textId="77777777">
        <w:trPr>
          <w:jc w:val="center"/>
        </w:trPr>
        <w:tc>
          <w:tcPr>
            <w:tcW w:w="0" w:type="auto"/>
            <w:gridSpan w:val="3"/>
            <w:shd w:val="clear" w:color="auto" w:fill="FFFFFF"/>
            <w:tcMar>
              <w:top w:w="40" w:type="dxa"/>
              <w:left w:w="20" w:type="dxa"/>
              <w:bottom w:w="40" w:type="dxa"/>
              <w:right w:w="20" w:type="dxa"/>
            </w:tcMar>
            <w:vAlign w:val="bottom"/>
          </w:tcPr>
          <w:p w14:paraId="00BB0D7E" w14:textId="77777777" w:rsidR="00871BDF" w:rsidRDefault="005C5088">
            <w:pPr>
              <w:jc w:val="cente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FFFFFF"/>
            <w:tcMar>
              <w:top w:w="0" w:type="dxa"/>
              <w:left w:w="20" w:type="dxa"/>
              <w:bottom w:w="0" w:type="dxa"/>
              <w:right w:w="20" w:type="dxa"/>
            </w:tcMar>
          </w:tcPr>
          <w:p w14:paraId="00BB0D7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B0D80"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FFFFFF"/>
            <w:tcMar>
              <w:top w:w="0" w:type="dxa"/>
              <w:left w:w="20" w:type="dxa"/>
              <w:bottom w:w="0" w:type="dxa"/>
              <w:right w:w="20" w:type="dxa"/>
            </w:tcMar>
          </w:tcPr>
          <w:p w14:paraId="00BB0D81" w14:textId="77777777" w:rsidR="00871BDF" w:rsidRDefault="00871BDF">
            <w:pPr>
              <w:rPr>
                <w:rFonts w:ascii="宋体"/>
              </w:rPr>
            </w:pPr>
          </w:p>
        </w:tc>
        <w:tc>
          <w:tcPr>
            <w:tcW w:w="0" w:type="auto"/>
            <w:gridSpan w:val="21"/>
            <w:shd w:val="clear" w:color="auto" w:fill="00704A"/>
            <w:tcMar>
              <w:top w:w="40" w:type="dxa"/>
              <w:left w:w="20" w:type="dxa"/>
              <w:bottom w:w="40" w:type="dxa"/>
              <w:right w:w="20" w:type="dxa"/>
            </w:tcMar>
            <w:vAlign w:val="bottom"/>
          </w:tcPr>
          <w:p w14:paraId="00BB0D82" w14:textId="77777777" w:rsidR="00871BDF" w:rsidRDefault="005C5088">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FFFFFF"/>
            <w:tcMar>
              <w:top w:w="0" w:type="dxa"/>
              <w:left w:w="20" w:type="dxa"/>
              <w:bottom w:w="0" w:type="dxa"/>
              <w:right w:w="20" w:type="dxa"/>
            </w:tcMar>
          </w:tcPr>
          <w:p w14:paraId="00BB0D8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B0D84"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871BDF" w14:paraId="00BB0D96" w14:textId="77777777">
        <w:trPr>
          <w:jc w:val="center"/>
        </w:trPr>
        <w:tc>
          <w:tcPr>
            <w:tcW w:w="0" w:type="auto"/>
            <w:gridSpan w:val="3"/>
            <w:shd w:val="clear" w:color="auto" w:fill="00704A"/>
            <w:tcMar>
              <w:top w:w="40" w:type="dxa"/>
              <w:left w:w="20" w:type="dxa"/>
              <w:bottom w:w="40" w:type="dxa"/>
              <w:right w:w="20" w:type="dxa"/>
            </w:tcMar>
            <w:vAlign w:val="bottom"/>
          </w:tcPr>
          <w:p w14:paraId="00BB0D86" w14:textId="77777777" w:rsidR="00871BDF" w:rsidRDefault="005C5088">
            <w:pPr>
              <w:jc w:val="center"/>
              <w:textAlignment w:val="bottom"/>
            </w:pPr>
            <w:r>
              <w:rPr>
                <w:rFonts w:ascii="Times New Roman" w:eastAsia="宋体" w:hAnsi="Times New Roman"/>
                <w:b/>
                <w:bCs/>
                <w:color w:val="FFFFFF"/>
                <w:sz w:val="16"/>
                <w:szCs w:val="16"/>
              </w:rPr>
              <w:t>Exhibit</w:t>
            </w:r>
          </w:p>
          <w:p w14:paraId="00BB0D87"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FFFFFF"/>
            <w:tcMar>
              <w:top w:w="0" w:type="dxa"/>
              <w:left w:w="20" w:type="dxa"/>
              <w:bottom w:w="0" w:type="dxa"/>
              <w:right w:w="20" w:type="dxa"/>
            </w:tcMar>
          </w:tcPr>
          <w:p w14:paraId="00BB0D88"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D89" w14:textId="77777777" w:rsidR="00871BDF" w:rsidRDefault="005C5088">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FFFFFF"/>
            <w:tcMar>
              <w:top w:w="0" w:type="dxa"/>
              <w:left w:w="20" w:type="dxa"/>
              <w:bottom w:w="0" w:type="dxa"/>
              <w:right w:w="20" w:type="dxa"/>
            </w:tcMar>
          </w:tcPr>
          <w:p w14:paraId="00BB0D8A"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D8B" w14:textId="77777777" w:rsidR="00871BDF" w:rsidRDefault="005C5088">
            <w:pPr>
              <w:jc w:val="center"/>
              <w:textAlignment w:val="bottom"/>
            </w:pPr>
            <w:r>
              <w:rPr>
                <w:rFonts w:ascii="Times New Roman" w:eastAsia="宋体" w:hAnsi="Times New Roman"/>
                <w:b/>
                <w:bCs/>
                <w:color w:val="FFFFFF"/>
                <w:sz w:val="16"/>
                <w:szCs w:val="16"/>
              </w:rPr>
              <w:t>Form</w:t>
            </w:r>
          </w:p>
        </w:tc>
        <w:tc>
          <w:tcPr>
            <w:tcW w:w="0" w:type="auto"/>
            <w:gridSpan w:val="3"/>
            <w:shd w:val="clear" w:color="auto" w:fill="FFFFFF"/>
            <w:tcMar>
              <w:top w:w="0" w:type="dxa"/>
              <w:left w:w="20" w:type="dxa"/>
              <w:bottom w:w="0" w:type="dxa"/>
              <w:right w:w="20" w:type="dxa"/>
            </w:tcMar>
          </w:tcPr>
          <w:p w14:paraId="00BB0D8C"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D8D" w14:textId="77777777" w:rsidR="00871BDF" w:rsidRDefault="005C5088">
            <w:pPr>
              <w:jc w:val="center"/>
              <w:textAlignment w:val="bottom"/>
            </w:pPr>
            <w:r>
              <w:rPr>
                <w:rFonts w:ascii="Times New Roman" w:eastAsia="宋体" w:hAnsi="Times New Roman"/>
                <w:b/>
                <w:bCs/>
                <w:color w:val="FFFFFF"/>
                <w:sz w:val="16"/>
                <w:szCs w:val="16"/>
              </w:rPr>
              <w:t>File No.</w:t>
            </w:r>
          </w:p>
        </w:tc>
        <w:tc>
          <w:tcPr>
            <w:tcW w:w="0" w:type="auto"/>
            <w:gridSpan w:val="3"/>
            <w:shd w:val="clear" w:color="auto" w:fill="FFFFFF"/>
            <w:tcMar>
              <w:top w:w="0" w:type="dxa"/>
              <w:left w:w="20" w:type="dxa"/>
              <w:bottom w:w="0" w:type="dxa"/>
              <w:right w:w="20" w:type="dxa"/>
            </w:tcMar>
          </w:tcPr>
          <w:p w14:paraId="00BB0D8E"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D8F" w14:textId="77777777" w:rsidR="00871BDF" w:rsidRDefault="005C5088">
            <w:pPr>
              <w:jc w:val="center"/>
              <w:textAlignment w:val="bottom"/>
            </w:pPr>
            <w:r>
              <w:rPr>
                <w:rFonts w:ascii="Times New Roman" w:eastAsia="宋体" w:hAnsi="Times New Roman"/>
                <w:b/>
                <w:bCs/>
                <w:color w:val="FFFFFF"/>
                <w:sz w:val="16"/>
                <w:szCs w:val="16"/>
              </w:rPr>
              <w:t>Date of Filing</w:t>
            </w:r>
          </w:p>
        </w:tc>
        <w:tc>
          <w:tcPr>
            <w:tcW w:w="0" w:type="auto"/>
            <w:gridSpan w:val="3"/>
            <w:shd w:val="clear" w:color="auto" w:fill="FFFFFF"/>
            <w:tcMar>
              <w:top w:w="0" w:type="dxa"/>
              <w:left w:w="20" w:type="dxa"/>
              <w:bottom w:w="0" w:type="dxa"/>
              <w:right w:w="20" w:type="dxa"/>
            </w:tcMar>
          </w:tcPr>
          <w:p w14:paraId="00BB0D90"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D91" w14:textId="77777777" w:rsidR="00871BDF" w:rsidRDefault="005C5088">
            <w:pPr>
              <w:jc w:val="center"/>
              <w:textAlignment w:val="bottom"/>
            </w:pPr>
            <w:r>
              <w:rPr>
                <w:rFonts w:ascii="Times New Roman" w:eastAsia="宋体" w:hAnsi="Times New Roman"/>
                <w:b/>
                <w:bCs/>
                <w:color w:val="FFFFFF"/>
                <w:sz w:val="16"/>
                <w:szCs w:val="16"/>
              </w:rPr>
              <w:t>Exhibit</w:t>
            </w:r>
          </w:p>
          <w:p w14:paraId="00BB0D92"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FFFFFF"/>
            <w:tcMar>
              <w:top w:w="0" w:type="dxa"/>
              <w:left w:w="20" w:type="dxa"/>
              <w:bottom w:w="0" w:type="dxa"/>
              <w:right w:w="20" w:type="dxa"/>
            </w:tcMar>
          </w:tcPr>
          <w:p w14:paraId="00BB0D93"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D94" w14:textId="77777777" w:rsidR="00871BDF" w:rsidRDefault="005C5088">
            <w:pPr>
              <w:jc w:val="center"/>
              <w:textAlignment w:val="bottom"/>
            </w:pPr>
            <w:r>
              <w:rPr>
                <w:rFonts w:ascii="Times New Roman" w:eastAsia="宋体" w:hAnsi="Times New Roman"/>
                <w:b/>
                <w:bCs/>
                <w:color w:val="FFFFFF"/>
                <w:sz w:val="16"/>
                <w:szCs w:val="16"/>
              </w:rPr>
              <w:t>Filed</w:t>
            </w:r>
          </w:p>
          <w:p w14:paraId="00BB0D95" w14:textId="77777777" w:rsidR="00871BDF" w:rsidRDefault="005C5088">
            <w:pPr>
              <w:jc w:val="center"/>
              <w:textAlignment w:val="bottom"/>
            </w:pPr>
            <w:r>
              <w:rPr>
                <w:rFonts w:ascii="Times New Roman" w:eastAsia="宋体" w:hAnsi="Times New Roman"/>
                <w:b/>
                <w:bCs/>
                <w:color w:val="FFFFFF"/>
                <w:sz w:val="16"/>
                <w:szCs w:val="16"/>
              </w:rPr>
              <w:t>Herewith</w:t>
            </w:r>
          </w:p>
        </w:tc>
      </w:tr>
      <w:tr w:rsidR="00871BDF" w14:paraId="00BB0DA4"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tcPr>
          <w:p w14:paraId="00BB0D97" w14:textId="77777777" w:rsidR="00871BDF" w:rsidRDefault="005C5088">
            <w:pPr>
              <w:jc w:val="center"/>
              <w:textAlignment w:val="top"/>
            </w:pPr>
            <w:hyperlink r:id="rId302" w:history="1">
              <w:r>
                <w:rPr>
                  <w:rStyle w:val="a5"/>
                  <w:rFonts w:ascii="Times New Roman" w:eastAsia="宋体" w:hAnsi="Times New Roman"/>
                  <w:sz w:val="20"/>
                  <w:szCs w:val="20"/>
                </w:rPr>
                <w:t>4.26</w:t>
              </w:r>
            </w:hyperlink>
          </w:p>
        </w:tc>
        <w:tc>
          <w:tcPr>
            <w:tcW w:w="0" w:type="auto"/>
            <w:gridSpan w:val="3"/>
            <w:shd w:val="clear" w:color="auto" w:fill="D7E4BC"/>
            <w:tcMar>
              <w:top w:w="0" w:type="dxa"/>
              <w:left w:w="20" w:type="dxa"/>
              <w:bottom w:w="0" w:type="dxa"/>
              <w:right w:w="20" w:type="dxa"/>
            </w:tcMar>
          </w:tcPr>
          <w:p w14:paraId="00BB0D98"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B0D99" w14:textId="77777777" w:rsidR="00871BDF" w:rsidRDefault="005C5088">
            <w:pPr>
              <w:textAlignment w:val="top"/>
            </w:pPr>
            <w:hyperlink r:id="rId303" w:history="1">
              <w:r>
                <w:rPr>
                  <w:rStyle w:val="a5"/>
                  <w:rFonts w:ascii="Times New Roman" w:eastAsia="宋体" w:hAnsi="Times New Roman"/>
                  <w:sz w:val="20"/>
                  <w:szCs w:val="20"/>
                </w:rPr>
                <w:t>Second Supplemental Indenture, dated as of September 6, 2013, by and between Starbucks Corporation and Deutsche Bank Trust Company Americas, as trustee (3.850% Senior Notes due October 1, 2023)</w:t>
              </w:r>
            </w:hyperlink>
          </w:p>
        </w:tc>
        <w:tc>
          <w:tcPr>
            <w:tcW w:w="0" w:type="auto"/>
            <w:gridSpan w:val="3"/>
            <w:shd w:val="clear" w:color="auto" w:fill="D7E4BC"/>
            <w:tcMar>
              <w:top w:w="0" w:type="dxa"/>
              <w:left w:w="20" w:type="dxa"/>
              <w:bottom w:w="0" w:type="dxa"/>
              <w:right w:w="20" w:type="dxa"/>
            </w:tcMar>
          </w:tcPr>
          <w:p w14:paraId="00BB0D9A"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9B"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D9C"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9D"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D9E"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9F" w14:textId="77777777" w:rsidR="00871BDF" w:rsidRDefault="005C5088">
            <w:pPr>
              <w:jc w:val="center"/>
              <w:textAlignment w:val="top"/>
            </w:pPr>
            <w:r>
              <w:rPr>
                <w:rFonts w:ascii="Times New Roman" w:eastAsia="宋体" w:hAnsi="Times New Roman"/>
                <w:color w:val="000000"/>
                <w:sz w:val="20"/>
                <w:szCs w:val="20"/>
              </w:rPr>
              <w:t>9/6/2013</w:t>
            </w:r>
          </w:p>
        </w:tc>
        <w:tc>
          <w:tcPr>
            <w:tcW w:w="0" w:type="auto"/>
            <w:gridSpan w:val="3"/>
            <w:shd w:val="clear" w:color="auto" w:fill="D7E4BC"/>
            <w:tcMar>
              <w:top w:w="0" w:type="dxa"/>
              <w:left w:w="20" w:type="dxa"/>
              <w:bottom w:w="0" w:type="dxa"/>
              <w:right w:w="20" w:type="dxa"/>
            </w:tcMar>
          </w:tcPr>
          <w:p w14:paraId="00BB0DA0"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A1" w14:textId="77777777" w:rsidR="00871BDF" w:rsidRDefault="005C5088">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tcPr>
          <w:p w14:paraId="00BB0DA2" w14:textId="77777777" w:rsidR="00871BDF" w:rsidRDefault="00871BDF">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tcPr>
          <w:p w14:paraId="00BB0DA3" w14:textId="77777777" w:rsidR="00871BDF" w:rsidRDefault="00871BDF">
            <w:pPr>
              <w:rPr>
                <w:rFonts w:ascii="宋体"/>
              </w:rPr>
            </w:pPr>
          </w:p>
        </w:tc>
      </w:tr>
      <w:tr w:rsidR="00871BDF" w14:paraId="00BB0DB2" w14:textId="77777777">
        <w:trPr>
          <w:jc w:val="center"/>
        </w:trPr>
        <w:tc>
          <w:tcPr>
            <w:tcW w:w="0" w:type="auto"/>
            <w:gridSpan w:val="3"/>
            <w:shd w:val="clear" w:color="auto" w:fill="FFFFFF"/>
            <w:tcMar>
              <w:top w:w="40" w:type="dxa"/>
              <w:left w:w="20" w:type="dxa"/>
              <w:bottom w:w="40" w:type="dxa"/>
              <w:right w:w="20" w:type="dxa"/>
            </w:tcMar>
          </w:tcPr>
          <w:p w14:paraId="00BB0DA5" w14:textId="77777777" w:rsidR="00871BDF" w:rsidRDefault="005C5088">
            <w:pPr>
              <w:jc w:val="center"/>
              <w:textAlignment w:val="top"/>
            </w:pPr>
            <w:hyperlink r:id="rId304" w:history="1">
              <w:r>
                <w:rPr>
                  <w:rStyle w:val="a5"/>
                  <w:rFonts w:ascii="Times New Roman" w:eastAsia="宋体" w:hAnsi="Times New Roman"/>
                  <w:sz w:val="20"/>
                  <w:szCs w:val="20"/>
                </w:rPr>
                <w:t>4.27</w:t>
              </w:r>
            </w:hyperlink>
          </w:p>
        </w:tc>
        <w:tc>
          <w:tcPr>
            <w:tcW w:w="0" w:type="auto"/>
            <w:gridSpan w:val="3"/>
            <w:shd w:val="clear" w:color="auto" w:fill="FFFFFF"/>
            <w:tcMar>
              <w:top w:w="0" w:type="dxa"/>
              <w:left w:w="20" w:type="dxa"/>
              <w:bottom w:w="0" w:type="dxa"/>
              <w:right w:w="20" w:type="dxa"/>
            </w:tcMar>
          </w:tcPr>
          <w:p w14:paraId="00BB0DA6"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A7" w14:textId="77777777" w:rsidR="00871BDF" w:rsidRDefault="005C5088">
            <w:pPr>
              <w:textAlignment w:val="top"/>
            </w:pPr>
            <w:hyperlink r:id="rId305" w:history="1">
              <w:r>
                <w:rPr>
                  <w:rStyle w:val="a5"/>
                  <w:rFonts w:ascii="Times New Roman" w:eastAsia="宋体" w:hAnsi="Times New Roman"/>
                  <w:sz w:val="20"/>
                  <w:szCs w:val="20"/>
                </w:rPr>
                <w:t>Form of 3.850% Senior Notes due October 1, 2</w:t>
              </w:r>
              <w:r>
                <w:rPr>
                  <w:rStyle w:val="a5"/>
                  <w:rFonts w:ascii="Times New Roman" w:eastAsia="宋体" w:hAnsi="Times New Roman"/>
                  <w:sz w:val="20"/>
                  <w:szCs w:val="20"/>
                </w:rPr>
                <w:t>023</w:t>
              </w:r>
            </w:hyperlink>
          </w:p>
        </w:tc>
        <w:tc>
          <w:tcPr>
            <w:tcW w:w="0" w:type="auto"/>
            <w:gridSpan w:val="3"/>
            <w:shd w:val="clear" w:color="auto" w:fill="FFFFFF"/>
            <w:tcMar>
              <w:top w:w="0" w:type="dxa"/>
              <w:left w:w="20" w:type="dxa"/>
              <w:bottom w:w="0" w:type="dxa"/>
              <w:right w:w="20" w:type="dxa"/>
            </w:tcMar>
          </w:tcPr>
          <w:p w14:paraId="00BB0DA8"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A9"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DAA"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AB"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DAC"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AD" w14:textId="77777777" w:rsidR="00871BDF" w:rsidRDefault="005C5088">
            <w:pPr>
              <w:jc w:val="center"/>
              <w:textAlignment w:val="top"/>
            </w:pPr>
            <w:r>
              <w:rPr>
                <w:rFonts w:ascii="Times New Roman" w:eastAsia="宋体" w:hAnsi="Times New Roman"/>
                <w:color w:val="000000"/>
                <w:sz w:val="20"/>
                <w:szCs w:val="20"/>
              </w:rPr>
              <w:t>9/6/2013</w:t>
            </w:r>
          </w:p>
        </w:tc>
        <w:tc>
          <w:tcPr>
            <w:tcW w:w="0" w:type="auto"/>
            <w:gridSpan w:val="3"/>
            <w:shd w:val="clear" w:color="auto" w:fill="FFFFFF"/>
            <w:tcMar>
              <w:top w:w="0" w:type="dxa"/>
              <w:left w:w="20" w:type="dxa"/>
              <w:bottom w:w="0" w:type="dxa"/>
              <w:right w:w="20" w:type="dxa"/>
            </w:tcMar>
          </w:tcPr>
          <w:p w14:paraId="00BB0DAE"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AF" w14:textId="77777777" w:rsidR="00871BDF" w:rsidRDefault="005C5088">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tcPr>
          <w:p w14:paraId="00BB0DB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B1" w14:textId="77777777" w:rsidR="00871BDF" w:rsidRDefault="00871BDF">
            <w:pPr>
              <w:rPr>
                <w:rFonts w:ascii="宋体"/>
              </w:rPr>
            </w:pPr>
          </w:p>
        </w:tc>
      </w:tr>
      <w:tr w:rsidR="00871BDF" w14:paraId="00BB0DC0" w14:textId="77777777">
        <w:trPr>
          <w:jc w:val="center"/>
        </w:trPr>
        <w:tc>
          <w:tcPr>
            <w:tcW w:w="0" w:type="auto"/>
            <w:gridSpan w:val="3"/>
            <w:shd w:val="clear" w:color="auto" w:fill="D7E4BC"/>
            <w:tcMar>
              <w:top w:w="40" w:type="dxa"/>
              <w:left w:w="20" w:type="dxa"/>
              <w:bottom w:w="40" w:type="dxa"/>
              <w:right w:w="20" w:type="dxa"/>
            </w:tcMar>
          </w:tcPr>
          <w:p w14:paraId="00BB0DB3" w14:textId="77777777" w:rsidR="00871BDF" w:rsidRDefault="005C5088">
            <w:pPr>
              <w:jc w:val="center"/>
              <w:textAlignment w:val="top"/>
            </w:pPr>
            <w:hyperlink r:id="rId306" w:history="1">
              <w:r>
                <w:rPr>
                  <w:rStyle w:val="a5"/>
                  <w:rFonts w:ascii="Times New Roman" w:eastAsia="宋体" w:hAnsi="Times New Roman"/>
                  <w:sz w:val="20"/>
                  <w:szCs w:val="20"/>
                </w:rPr>
                <w:t>4.28</w:t>
              </w:r>
            </w:hyperlink>
          </w:p>
        </w:tc>
        <w:tc>
          <w:tcPr>
            <w:tcW w:w="0" w:type="auto"/>
            <w:gridSpan w:val="3"/>
            <w:shd w:val="clear" w:color="auto" w:fill="D7E4BC"/>
            <w:tcMar>
              <w:top w:w="0" w:type="dxa"/>
              <w:left w:w="20" w:type="dxa"/>
              <w:bottom w:w="0" w:type="dxa"/>
              <w:right w:w="20" w:type="dxa"/>
            </w:tcMar>
          </w:tcPr>
          <w:p w14:paraId="00BB0DB4"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B5" w14:textId="77777777" w:rsidR="00871BDF" w:rsidRDefault="005C5088">
            <w:pPr>
              <w:textAlignment w:val="top"/>
            </w:pPr>
            <w:hyperlink r:id="rId307" w:history="1">
              <w:r>
                <w:rPr>
                  <w:rStyle w:val="a5"/>
                  <w:rFonts w:ascii="Times New Roman" w:eastAsia="宋体" w:hAnsi="Times New Roman"/>
                  <w:sz w:val="20"/>
                  <w:szCs w:val="20"/>
                </w:rPr>
                <w:t>Third Supplemental Indentur</w:t>
              </w:r>
              <w:r>
                <w:rPr>
                  <w:rStyle w:val="a5"/>
                  <w:rFonts w:ascii="Times New Roman" w:eastAsia="宋体" w:hAnsi="Times New Roman"/>
                  <w:sz w:val="20"/>
                  <w:szCs w:val="20"/>
                </w:rPr>
                <w:t>e, dated as of December 5, 2013, by and between Starbucks Corporation and Deutsche Bank Trust Company Americas, as trustee (0.875% Senior Notes due 2016 and 2.000% Senior Notes due 2018)</w:t>
              </w:r>
            </w:hyperlink>
          </w:p>
        </w:tc>
        <w:tc>
          <w:tcPr>
            <w:tcW w:w="0" w:type="auto"/>
            <w:gridSpan w:val="3"/>
            <w:shd w:val="clear" w:color="auto" w:fill="D7E4BC"/>
            <w:tcMar>
              <w:top w:w="0" w:type="dxa"/>
              <w:left w:w="20" w:type="dxa"/>
              <w:bottom w:w="0" w:type="dxa"/>
              <w:right w:w="20" w:type="dxa"/>
            </w:tcMar>
          </w:tcPr>
          <w:p w14:paraId="00BB0DB6"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B7"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DB8"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B9"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DBA"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BB" w14:textId="77777777" w:rsidR="00871BDF" w:rsidRDefault="005C5088">
            <w:pPr>
              <w:jc w:val="center"/>
              <w:textAlignment w:val="top"/>
            </w:pPr>
            <w:r>
              <w:rPr>
                <w:rFonts w:ascii="Times New Roman" w:eastAsia="宋体" w:hAnsi="Times New Roman"/>
                <w:color w:val="000000"/>
                <w:sz w:val="20"/>
                <w:szCs w:val="20"/>
              </w:rPr>
              <w:t>12/5/2013</w:t>
            </w:r>
          </w:p>
        </w:tc>
        <w:tc>
          <w:tcPr>
            <w:tcW w:w="0" w:type="auto"/>
            <w:gridSpan w:val="3"/>
            <w:shd w:val="clear" w:color="auto" w:fill="D7E4BC"/>
            <w:tcMar>
              <w:top w:w="0" w:type="dxa"/>
              <w:left w:w="20" w:type="dxa"/>
              <w:bottom w:w="0" w:type="dxa"/>
              <w:right w:w="20" w:type="dxa"/>
            </w:tcMar>
          </w:tcPr>
          <w:p w14:paraId="00BB0DBC"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BD" w14:textId="77777777" w:rsidR="00871BDF" w:rsidRDefault="005C5088">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tcPr>
          <w:p w14:paraId="00BB0DB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DBF" w14:textId="77777777" w:rsidR="00871BDF" w:rsidRDefault="00871BDF">
            <w:pPr>
              <w:rPr>
                <w:rFonts w:ascii="宋体"/>
              </w:rPr>
            </w:pPr>
          </w:p>
        </w:tc>
      </w:tr>
      <w:tr w:rsidR="00871BDF" w14:paraId="00BB0DCE" w14:textId="77777777">
        <w:trPr>
          <w:jc w:val="center"/>
        </w:trPr>
        <w:tc>
          <w:tcPr>
            <w:tcW w:w="0" w:type="auto"/>
            <w:gridSpan w:val="3"/>
            <w:shd w:val="clear" w:color="auto" w:fill="FFFFFF"/>
            <w:tcMar>
              <w:top w:w="40" w:type="dxa"/>
              <w:left w:w="20" w:type="dxa"/>
              <w:bottom w:w="40" w:type="dxa"/>
              <w:right w:w="20" w:type="dxa"/>
            </w:tcMar>
          </w:tcPr>
          <w:p w14:paraId="00BB0DC1" w14:textId="77777777" w:rsidR="00871BDF" w:rsidRDefault="005C5088">
            <w:pPr>
              <w:jc w:val="center"/>
              <w:textAlignment w:val="top"/>
            </w:pPr>
            <w:hyperlink r:id="rId308" w:history="1">
              <w:r>
                <w:rPr>
                  <w:rStyle w:val="a5"/>
                  <w:rFonts w:ascii="Times New Roman" w:eastAsia="宋体" w:hAnsi="Times New Roman"/>
                  <w:sz w:val="20"/>
                  <w:szCs w:val="20"/>
                </w:rPr>
                <w:t>4.29</w:t>
              </w:r>
            </w:hyperlink>
          </w:p>
        </w:tc>
        <w:tc>
          <w:tcPr>
            <w:tcW w:w="0" w:type="auto"/>
            <w:gridSpan w:val="3"/>
            <w:shd w:val="clear" w:color="auto" w:fill="FFFFFF"/>
            <w:tcMar>
              <w:top w:w="0" w:type="dxa"/>
              <w:left w:w="20" w:type="dxa"/>
              <w:bottom w:w="0" w:type="dxa"/>
              <w:right w:w="20" w:type="dxa"/>
            </w:tcMar>
          </w:tcPr>
          <w:p w14:paraId="00BB0DC2"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B0DC3" w14:textId="77777777" w:rsidR="00871BDF" w:rsidRDefault="005C5088">
            <w:pPr>
              <w:textAlignment w:val="bottom"/>
            </w:pPr>
            <w:hyperlink r:id="rId309" w:history="1">
              <w:r>
                <w:rPr>
                  <w:rStyle w:val="a5"/>
                  <w:rFonts w:ascii="Times New Roman" w:eastAsia="宋体" w:hAnsi="Times New Roman"/>
                  <w:sz w:val="20"/>
                  <w:szCs w:val="20"/>
                </w:rPr>
                <w:t>Form of 2.000% Senior Notes due December 5, 2018</w:t>
              </w:r>
            </w:hyperlink>
          </w:p>
        </w:tc>
        <w:tc>
          <w:tcPr>
            <w:tcW w:w="0" w:type="auto"/>
            <w:gridSpan w:val="3"/>
            <w:shd w:val="clear" w:color="auto" w:fill="FFFFFF"/>
            <w:tcMar>
              <w:top w:w="0" w:type="dxa"/>
              <w:left w:w="20" w:type="dxa"/>
              <w:bottom w:w="0" w:type="dxa"/>
              <w:right w:w="20" w:type="dxa"/>
            </w:tcMar>
          </w:tcPr>
          <w:p w14:paraId="00BB0DC4"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C5"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DC6"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C7"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DC8"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C9" w14:textId="77777777" w:rsidR="00871BDF" w:rsidRDefault="005C5088">
            <w:pPr>
              <w:jc w:val="center"/>
              <w:textAlignment w:val="top"/>
            </w:pPr>
            <w:r>
              <w:rPr>
                <w:rFonts w:ascii="Times New Roman" w:eastAsia="宋体" w:hAnsi="Times New Roman"/>
                <w:color w:val="000000"/>
                <w:sz w:val="20"/>
                <w:szCs w:val="20"/>
              </w:rPr>
              <w:t>12/5/2013</w:t>
            </w:r>
          </w:p>
        </w:tc>
        <w:tc>
          <w:tcPr>
            <w:tcW w:w="0" w:type="auto"/>
            <w:gridSpan w:val="3"/>
            <w:shd w:val="clear" w:color="auto" w:fill="FFFFFF"/>
            <w:tcMar>
              <w:top w:w="0" w:type="dxa"/>
              <w:left w:w="20" w:type="dxa"/>
              <w:bottom w:w="0" w:type="dxa"/>
              <w:right w:w="20" w:type="dxa"/>
            </w:tcMar>
          </w:tcPr>
          <w:p w14:paraId="00BB0DCA"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CB" w14:textId="77777777" w:rsidR="00871BDF" w:rsidRDefault="005C5088">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tcPr>
          <w:p w14:paraId="00BB0DC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CD" w14:textId="77777777" w:rsidR="00871BDF" w:rsidRDefault="00871BDF">
            <w:pPr>
              <w:rPr>
                <w:rFonts w:ascii="宋体"/>
              </w:rPr>
            </w:pPr>
          </w:p>
        </w:tc>
      </w:tr>
      <w:tr w:rsidR="00871BDF" w14:paraId="00BB0DDC" w14:textId="77777777">
        <w:trPr>
          <w:jc w:val="center"/>
        </w:trPr>
        <w:tc>
          <w:tcPr>
            <w:tcW w:w="0" w:type="auto"/>
            <w:gridSpan w:val="3"/>
            <w:shd w:val="clear" w:color="auto" w:fill="D7E4BC"/>
            <w:tcMar>
              <w:top w:w="40" w:type="dxa"/>
              <w:left w:w="20" w:type="dxa"/>
              <w:bottom w:w="40" w:type="dxa"/>
              <w:right w:w="20" w:type="dxa"/>
            </w:tcMar>
          </w:tcPr>
          <w:p w14:paraId="00BB0DCF" w14:textId="77777777" w:rsidR="00871BDF" w:rsidRDefault="005C5088">
            <w:pPr>
              <w:jc w:val="center"/>
              <w:textAlignment w:val="top"/>
            </w:pPr>
            <w:hyperlink r:id="rId310" w:history="1">
              <w:r>
                <w:rPr>
                  <w:rStyle w:val="a5"/>
                  <w:rFonts w:ascii="Times New Roman" w:eastAsia="宋体" w:hAnsi="Times New Roman"/>
                  <w:sz w:val="20"/>
                  <w:szCs w:val="20"/>
                </w:rPr>
                <w:t>4.30</w:t>
              </w:r>
            </w:hyperlink>
          </w:p>
        </w:tc>
        <w:tc>
          <w:tcPr>
            <w:tcW w:w="0" w:type="auto"/>
            <w:gridSpan w:val="3"/>
            <w:shd w:val="clear" w:color="auto" w:fill="D7E4BC"/>
            <w:tcMar>
              <w:top w:w="0" w:type="dxa"/>
              <w:left w:w="20" w:type="dxa"/>
              <w:bottom w:w="0" w:type="dxa"/>
              <w:right w:w="20" w:type="dxa"/>
            </w:tcMar>
          </w:tcPr>
          <w:p w14:paraId="00BB0DD0"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D1" w14:textId="77777777" w:rsidR="00871BDF" w:rsidRDefault="005C5088">
            <w:pPr>
              <w:textAlignment w:val="top"/>
            </w:pPr>
            <w:hyperlink r:id="rId311" w:history="1">
              <w:r>
                <w:rPr>
                  <w:rStyle w:val="a5"/>
                  <w:rFonts w:ascii="Times New Roman" w:eastAsia="宋体" w:hAnsi="Times New Roman"/>
                  <w:sz w:val="20"/>
                  <w:szCs w:val="20"/>
                </w:rPr>
                <w:t>Fourth Supplemental Indenture, dated as of June 10, 2015, by and between Starbucks Corporation and Deutsche Bank Trust Company Americas, as trustee (2.700% Senio</w:t>
              </w:r>
              <w:r>
                <w:rPr>
                  <w:rStyle w:val="a5"/>
                  <w:rFonts w:ascii="Times New Roman" w:eastAsia="宋体" w:hAnsi="Times New Roman"/>
                  <w:sz w:val="20"/>
                  <w:szCs w:val="20"/>
                </w:rPr>
                <w:t>r Notes due June 15, 2022 and 4.300% Senior Notes due June 15, 2045)</w:t>
              </w:r>
            </w:hyperlink>
          </w:p>
        </w:tc>
        <w:tc>
          <w:tcPr>
            <w:tcW w:w="0" w:type="auto"/>
            <w:gridSpan w:val="3"/>
            <w:shd w:val="clear" w:color="auto" w:fill="D7E4BC"/>
            <w:tcMar>
              <w:top w:w="0" w:type="dxa"/>
              <w:left w:w="20" w:type="dxa"/>
              <w:bottom w:w="0" w:type="dxa"/>
              <w:right w:w="20" w:type="dxa"/>
            </w:tcMar>
          </w:tcPr>
          <w:p w14:paraId="00BB0DD2"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D3"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DD4"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D5"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DD6"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D7" w14:textId="77777777" w:rsidR="00871BDF" w:rsidRDefault="005C5088">
            <w:pPr>
              <w:jc w:val="center"/>
              <w:textAlignment w:val="top"/>
            </w:pPr>
            <w:r>
              <w:rPr>
                <w:rFonts w:ascii="Times New Roman" w:eastAsia="宋体" w:hAnsi="Times New Roman"/>
                <w:color w:val="000000"/>
                <w:sz w:val="20"/>
                <w:szCs w:val="20"/>
              </w:rPr>
              <w:t>6/10/2015</w:t>
            </w:r>
          </w:p>
        </w:tc>
        <w:tc>
          <w:tcPr>
            <w:tcW w:w="0" w:type="auto"/>
            <w:gridSpan w:val="3"/>
            <w:shd w:val="clear" w:color="auto" w:fill="D7E4BC"/>
            <w:tcMar>
              <w:top w:w="0" w:type="dxa"/>
              <w:left w:w="20" w:type="dxa"/>
              <w:bottom w:w="0" w:type="dxa"/>
              <w:right w:w="20" w:type="dxa"/>
            </w:tcMar>
          </w:tcPr>
          <w:p w14:paraId="00BB0DD8"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D9" w14:textId="77777777" w:rsidR="00871BDF" w:rsidRDefault="005C5088">
            <w:pPr>
              <w:jc w:val="center"/>
              <w:textAlignment w:val="top"/>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tcPr>
          <w:p w14:paraId="00BB0DDA"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DDB" w14:textId="77777777" w:rsidR="00871BDF" w:rsidRDefault="00871BDF">
            <w:pPr>
              <w:rPr>
                <w:rFonts w:ascii="宋体"/>
              </w:rPr>
            </w:pPr>
          </w:p>
        </w:tc>
      </w:tr>
      <w:tr w:rsidR="00871BDF" w14:paraId="00BB0DEB" w14:textId="77777777">
        <w:trPr>
          <w:jc w:val="center"/>
        </w:trPr>
        <w:tc>
          <w:tcPr>
            <w:tcW w:w="0" w:type="auto"/>
            <w:gridSpan w:val="3"/>
            <w:shd w:val="clear" w:color="auto" w:fill="FFFFFF"/>
            <w:tcMar>
              <w:top w:w="40" w:type="dxa"/>
              <w:left w:w="20" w:type="dxa"/>
              <w:bottom w:w="40" w:type="dxa"/>
              <w:right w:w="20" w:type="dxa"/>
            </w:tcMar>
          </w:tcPr>
          <w:p w14:paraId="00BB0DDD" w14:textId="77777777" w:rsidR="00871BDF" w:rsidRDefault="005C5088">
            <w:pPr>
              <w:jc w:val="center"/>
              <w:textAlignment w:val="top"/>
            </w:pPr>
            <w:hyperlink r:id="rId312" w:history="1">
              <w:r>
                <w:rPr>
                  <w:rStyle w:val="a5"/>
                  <w:rFonts w:ascii="Times New Roman" w:eastAsia="宋体" w:hAnsi="Times New Roman"/>
                  <w:sz w:val="20"/>
                  <w:szCs w:val="20"/>
                </w:rPr>
                <w:t>4.31</w:t>
              </w:r>
            </w:hyperlink>
          </w:p>
        </w:tc>
        <w:tc>
          <w:tcPr>
            <w:tcW w:w="0" w:type="auto"/>
            <w:gridSpan w:val="3"/>
            <w:shd w:val="clear" w:color="auto" w:fill="FFFFFF"/>
            <w:tcMar>
              <w:top w:w="0" w:type="dxa"/>
              <w:left w:w="20" w:type="dxa"/>
              <w:bottom w:w="0" w:type="dxa"/>
              <w:right w:w="20" w:type="dxa"/>
            </w:tcMar>
          </w:tcPr>
          <w:p w14:paraId="00BB0DDE"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DF" w14:textId="77777777" w:rsidR="00871BDF" w:rsidRDefault="005C5088">
            <w:pPr>
              <w:textAlignment w:val="top"/>
            </w:pPr>
            <w:hyperlink r:id="rId313" w:history="1">
              <w:r>
                <w:rPr>
                  <w:rStyle w:val="a5"/>
                  <w:rFonts w:ascii="Times New Roman" w:eastAsia="宋体" w:hAnsi="Times New Roman"/>
                  <w:sz w:val="20"/>
                  <w:szCs w:val="20"/>
                </w:rPr>
                <w:t>Form of 2.700% Senior Notes due June 15, 2022</w:t>
              </w:r>
            </w:hyperlink>
          </w:p>
          <w:p w14:paraId="00BB0DE0" w14:textId="77777777" w:rsidR="00871BDF" w:rsidRDefault="00871BDF">
            <w:pPr>
              <w:textAlignment w:val="top"/>
            </w:pPr>
          </w:p>
        </w:tc>
        <w:tc>
          <w:tcPr>
            <w:tcW w:w="0" w:type="auto"/>
            <w:gridSpan w:val="3"/>
            <w:shd w:val="clear" w:color="auto" w:fill="FFFFFF"/>
            <w:tcMar>
              <w:top w:w="0" w:type="dxa"/>
              <w:left w:w="20" w:type="dxa"/>
              <w:bottom w:w="0" w:type="dxa"/>
              <w:right w:w="20" w:type="dxa"/>
            </w:tcMar>
          </w:tcPr>
          <w:p w14:paraId="00BB0DE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E2"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DE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E4"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DE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E6" w14:textId="77777777" w:rsidR="00871BDF" w:rsidRDefault="005C5088">
            <w:pPr>
              <w:jc w:val="center"/>
              <w:textAlignment w:val="top"/>
            </w:pPr>
            <w:r>
              <w:rPr>
                <w:rFonts w:ascii="Times New Roman" w:eastAsia="宋体" w:hAnsi="Times New Roman"/>
                <w:color w:val="000000"/>
                <w:sz w:val="20"/>
                <w:szCs w:val="20"/>
              </w:rPr>
              <w:t>6/10/2015</w:t>
            </w:r>
          </w:p>
        </w:tc>
        <w:tc>
          <w:tcPr>
            <w:tcW w:w="0" w:type="auto"/>
            <w:gridSpan w:val="3"/>
            <w:shd w:val="clear" w:color="auto" w:fill="FFFFFF"/>
            <w:tcMar>
              <w:top w:w="0" w:type="dxa"/>
              <w:left w:w="20" w:type="dxa"/>
              <w:bottom w:w="0" w:type="dxa"/>
              <w:right w:w="20" w:type="dxa"/>
            </w:tcMar>
          </w:tcPr>
          <w:p w14:paraId="00BB0DE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E8" w14:textId="77777777" w:rsidR="00871BDF" w:rsidRDefault="005C5088">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tcPr>
          <w:p w14:paraId="00BB0DE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DEA" w14:textId="77777777" w:rsidR="00871BDF" w:rsidRDefault="00871BDF">
            <w:pPr>
              <w:rPr>
                <w:rFonts w:ascii="宋体"/>
              </w:rPr>
            </w:pPr>
          </w:p>
        </w:tc>
      </w:tr>
      <w:tr w:rsidR="00871BDF" w14:paraId="00BB0DF9" w14:textId="77777777">
        <w:trPr>
          <w:jc w:val="center"/>
        </w:trPr>
        <w:tc>
          <w:tcPr>
            <w:tcW w:w="0" w:type="auto"/>
            <w:gridSpan w:val="3"/>
            <w:shd w:val="clear" w:color="auto" w:fill="D7E4BC"/>
            <w:tcMar>
              <w:top w:w="40" w:type="dxa"/>
              <w:left w:w="20" w:type="dxa"/>
              <w:bottom w:w="40" w:type="dxa"/>
              <w:right w:w="20" w:type="dxa"/>
            </w:tcMar>
          </w:tcPr>
          <w:p w14:paraId="00BB0DEC" w14:textId="77777777" w:rsidR="00871BDF" w:rsidRDefault="005C5088">
            <w:pPr>
              <w:jc w:val="center"/>
              <w:textAlignment w:val="top"/>
            </w:pPr>
            <w:hyperlink r:id="rId314" w:history="1">
              <w:r>
                <w:rPr>
                  <w:rStyle w:val="a5"/>
                  <w:rFonts w:ascii="Times New Roman" w:eastAsia="宋体" w:hAnsi="Times New Roman"/>
                  <w:sz w:val="20"/>
                  <w:szCs w:val="20"/>
                </w:rPr>
                <w:t>4.32</w:t>
              </w:r>
            </w:hyperlink>
          </w:p>
        </w:tc>
        <w:tc>
          <w:tcPr>
            <w:tcW w:w="0" w:type="auto"/>
            <w:gridSpan w:val="3"/>
            <w:shd w:val="clear" w:color="auto" w:fill="D7E4BC"/>
            <w:tcMar>
              <w:top w:w="0" w:type="dxa"/>
              <w:left w:w="20" w:type="dxa"/>
              <w:bottom w:w="0" w:type="dxa"/>
              <w:right w:w="20" w:type="dxa"/>
            </w:tcMar>
          </w:tcPr>
          <w:p w14:paraId="00BB0DE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EE" w14:textId="77777777" w:rsidR="00871BDF" w:rsidRDefault="005C5088">
            <w:pPr>
              <w:textAlignment w:val="top"/>
            </w:pPr>
            <w:hyperlink r:id="rId315" w:history="1">
              <w:r>
                <w:rPr>
                  <w:rStyle w:val="a5"/>
                  <w:rFonts w:ascii="Times New Roman" w:eastAsia="宋体" w:hAnsi="Times New Roman"/>
                  <w:sz w:val="20"/>
                  <w:szCs w:val="20"/>
                </w:rPr>
                <w:t>Form of 4.300% Senior Notes due June 15, 2045</w:t>
              </w:r>
            </w:hyperlink>
          </w:p>
        </w:tc>
        <w:tc>
          <w:tcPr>
            <w:tcW w:w="0" w:type="auto"/>
            <w:gridSpan w:val="3"/>
            <w:shd w:val="clear" w:color="auto" w:fill="D7E4BC"/>
            <w:tcMar>
              <w:top w:w="0" w:type="dxa"/>
              <w:left w:w="20" w:type="dxa"/>
              <w:bottom w:w="0" w:type="dxa"/>
              <w:right w:w="20" w:type="dxa"/>
            </w:tcMar>
          </w:tcPr>
          <w:p w14:paraId="00BB0DE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F0"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DF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F2"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DF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F4" w14:textId="77777777" w:rsidR="00871BDF" w:rsidRDefault="005C5088">
            <w:pPr>
              <w:jc w:val="center"/>
              <w:textAlignment w:val="top"/>
            </w:pPr>
            <w:r>
              <w:rPr>
                <w:rFonts w:ascii="Times New Roman" w:eastAsia="宋体" w:hAnsi="Times New Roman"/>
                <w:color w:val="000000"/>
                <w:sz w:val="20"/>
                <w:szCs w:val="20"/>
              </w:rPr>
              <w:t>6/10/2015</w:t>
            </w:r>
          </w:p>
        </w:tc>
        <w:tc>
          <w:tcPr>
            <w:tcW w:w="0" w:type="auto"/>
            <w:gridSpan w:val="3"/>
            <w:shd w:val="clear" w:color="auto" w:fill="D7E4BC"/>
            <w:tcMar>
              <w:top w:w="0" w:type="dxa"/>
              <w:left w:w="20" w:type="dxa"/>
              <w:bottom w:w="0" w:type="dxa"/>
              <w:right w:w="20" w:type="dxa"/>
            </w:tcMar>
          </w:tcPr>
          <w:p w14:paraId="00BB0DF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DF6" w14:textId="77777777" w:rsidR="00871BDF" w:rsidRDefault="005C5088">
            <w:pPr>
              <w:jc w:val="center"/>
              <w:textAlignment w:val="top"/>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tcPr>
          <w:p w14:paraId="00BB0DF7"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DF8" w14:textId="77777777" w:rsidR="00871BDF" w:rsidRDefault="00871BDF">
            <w:pPr>
              <w:rPr>
                <w:rFonts w:ascii="宋体"/>
              </w:rPr>
            </w:pPr>
          </w:p>
        </w:tc>
      </w:tr>
      <w:tr w:rsidR="00871BDF" w14:paraId="00BB0E07" w14:textId="77777777">
        <w:trPr>
          <w:jc w:val="center"/>
        </w:trPr>
        <w:tc>
          <w:tcPr>
            <w:tcW w:w="0" w:type="auto"/>
            <w:gridSpan w:val="3"/>
            <w:shd w:val="clear" w:color="auto" w:fill="FFFFFF"/>
            <w:tcMar>
              <w:top w:w="40" w:type="dxa"/>
              <w:left w:w="20" w:type="dxa"/>
              <w:bottom w:w="40" w:type="dxa"/>
              <w:right w:w="20" w:type="dxa"/>
            </w:tcMar>
          </w:tcPr>
          <w:p w14:paraId="00BB0DFA" w14:textId="77777777" w:rsidR="00871BDF" w:rsidRDefault="005C5088">
            <w:pPr>
              <w:jc w:val="center"/>
              <w:textAlignment w:val="top"/>
            </w:pPr>
            <w:hyperlink r:id="rId316" w:history="1">
              <w:r>
                <w:rPr>
                  <w:rStyle w:val="a5"/>
                  <w:rFonts w:ascii="Times New Roman" w:eastAsia="宋体" w:hAnsi="Times New Roman"/>
                  <w:sz w:val="20"/>
                  <w:szCs w:val="20"/>
                </w:rPr>
                <w:t>4.33</w:t>
              </w:r>
            </w:hyperlink>
          </w:p>
        </w:tc>
        <w:tc>
          <w:tcPr>
            <w:tcW w:w="0" w:type="auto"/>
            <w:gridSpan w:val="3"/>
            <w:shd w:val="clear" w:color="auto" w:fill="FFFFFF"/>
            <w:tcMar>
              <w:top w:w="0" w:type="dxa"/>
              <w:left w:w="20" w:type="dxa"/>
              <w:bottom w:w="0" w:type="dxa"/>
              <w:right w:w="20" w:type="dxa"/>
            </w:tcMar>
          </w:tcPr>
          <w:p w14:paraId="00BB0DF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B0DFC" w14:textId="77777777" w:rsidR="00871BDF" w:rsidRDefault="005C5088">
            <w:pPr>
              <w:textAlignment w:val="bottom"/>
            </w:pPr>
            <w:hyperlink r:id="rId317" w:history="1">
              <w:r>
                <w:rPr>
                  <w:rStyle w:val="a5"/>
                  <w:rFonts w:ascii="Times New Roman" w:eastAsia="宋体" w:hAnsi="Times New Roman"/>
                  <w:sz w:val="20"/>
                  <w:szCs w:val="20"/>
                </w:rPr>
                <w:t xml:space="preserve">Fifth Supplemental Indenture, dated as </w:t>
              </w:r>
              <w:r>
                <w:rPr>
                  <w:rStyle w:val="a5"/>
                  <w:rFonts w:ascii="Times New Roman" w:eastAsia="宋体" w:hAnsi="Times New Roman"/>
                  <w:sz w:val="20"/>
                  <w:szCs w:val="20"/>
                </w:rPr>
                <w:t>of February 4, 2016, by and between Starbucks Corporation and Deutsche Bank Trust Company Americas, as trustee (2.100% Senior Notes due February 4, 2021)</w:t>
              </w:r>
            </w:hyperlink>
          </w:p>
        </w:tc>
        <w:tc>
          <w:tcPr>
            <w:tcW w:w="0" w:type="auto"/>
            <w:gridSpan w:val="3"/>
            <w:shd w:val="clear" w:color="auto" w:fill="FFFFFF"/>
            <w:tcMar>
              <w:top w:w="0" w:type="dxa"/>
              <w:left w:w="20" w:type="dxa"/>
              <w:bottom w:w="0" w:type="dxa"/>
              <w:right w:w="20" w:type="dxa"/>
            </w:tcMar>
          </w:tcPr>
          <w:p w14:paraId="00BB0DF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DFE"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DF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00"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E0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02" w14:textId="77777777" w:rsidR="00871BDF" w:rsidRDefault="005C5088">
            <w:pPr>
              <w:jc w:val="center"/>
              <w:textAlignment w:val="top"/>
            </w:pPr>
            <w:r>
              <w:rPr>
                <w:rFonts w:ascii="Times New Roman" w:eastAsia="宋体" w:hAnsi="Times New Roman"/>
                <w:color w:val="000000"/>
                <w:sz w:val="20"/>
                <w:szCs w:val="20"/>
              </w:rPr>
              <w:t>2/4/2016</w:t>
            </w:r>
          </w:p>
        </w:tc>
        <w:tc>
          <w:tcPr>
            <w:tcW w:w="0" w:type="auto"/>
            <w:gridSpan w:val="3"/>
            <w:shd w:val="clear" w:color="auto" w:fill="FFFFFF"/>
            <w:tcMar>
              <w:top w:w="0" w:type="dxa"/>
              <w:left w:w="20" w:type="dxa"/>
              <w:bottom w:w="0" w:type="dxa"/>
              <w:right w:w="20" w:type="dxa"/>
            </w:tcMar>
          </w:tcPr>
          <w:p w14:paraId="00BB0E0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04" w14:textId="77777777" w:rsidR="00871BDF" w:rsidRDefault="005C5088">
            <w:pPr>
              <w:jc w:val="center"/>
              <w:textAlignment w:val="top"/>
            </w:pPr>
            <w:r>
              <w:rPr>
                <w:rFonts w:ascii="Times New Roman" w:eastAsia="宋体" w:hAnsi="Times New Roman"/>
                <w:color w:val="000000"/>
                <w:sz w:val="20"/>
                <w:szCs w:val="20"/>
              </w:rPr>
              <w:t>4.2</w:t>
            </w:r>
          </w:p>
        </w:tc>
        <w:tc>
          <w:tcPr>
            <w:tcW w:w="0" w:type="auto"/>
            <w:gridSpan w:val="3"/>
            <w:shd w:val="clear" w:color="auto" w:fill="FFFFFF"/>
            <w:tcMar>
              <w:top w:w="0" w:type="dxa"/>
              <w:left w:w="20" w:type="dxa"/>
              <w:bottom w:w="0" w:type="dxa"/>
              <w:right w:w="20" w:type="dxa"/>
            </w:tcMar>
          </w:tcPr>
          <w:p w14:paraId="00BB0E0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E06" w14:textId="77777777" w:rsidR="00871BDF" w:rsidRDefault="00871BDF">
            <w:pPr>
              <w:rPr>
                <w:rFonts w:ascii="宋体"/>
              </w:rPr>
            </w:pPr>
          </w:p>
        </w:tc>
      </w:tr>
      <w:tr w:rsidR="00871BDF" w14:paraId="00BB0E15" w14:textId="77777777">
        <w:trPr>
          <w:jc w:val="center"/>
        </w:trPr>
        <w:tc>
          <w:tcPr>
            <w:tcW w:w="0" w:type="auto"/>
            <w:gridSpan w:val="3"/>
            <w:shd w:val="clear" w:color="auto" w:fill="D7E4BC"/>
            <w:tcMar>
              <w:top w:w="40" w:type="dxa"/>
              <w:left w:w="20" w:type="dxa"/>
              <w:bottom w:w="40" w:type="dxa"/>
              <w:right w:w="20" w:type="dxa"/>
            </w:tcMar>
          </w:tcPr>
          <w:p w14:paraId="00BB0E08" w14:textId="77777777" w:rsidR="00871BDF" w:rsidRDefault="005C5088">
            <w:pPr>
              <w:jc w:val="center"/>
              <w:textAlignment w:val="top"/>
            </w:pPr>
            <w:hyperlink r:id="rId318" w:history="1">
              <w:r>
                <w:rPr>
                  <w:rStyle w:val="a5"/>
                  <w:rFonts w:ascii="Times New Roman" w:eastAsia="宋体" w:hAnsi="Times New Roman"/>
                  <w:sz w:val="20"/>
                  <w:szCs w:val="20"/>
                </w:rPr>
                <w:t>4.34</w:t>
              </w:r>
            </w:hyperlink>
          </w:p>
        </w:tc>
        <w:tc>
          <w:tcPr>
            <w:tcW w:w="0" w:type="auto"/>
            <w:gridSpan w:val="3"/>
            <w:shd w:val="clear" w:color="auto" w:fill="D7E4BC"/>
            <w:tcMar>
              <w:top w:w="0" w:type="dxa"/>
              <w:left w:w="20" w:type="dxa"/>
              <w:bottom w:w="0" w:type="dxa"/>
              <w:right w:w="20" w:type="dxa"/>
            </w:tcMar>
          </w:tcPr>
          <w:p w14:paraId="00BB0E0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0A" w14:textId="77777777" w:rsidR="00871BDF" w:rsidRDefault="005C5088">
            <w:pPr>
              <w:textAlignment w:val="top"/>
            </w:pPr>
            <w:hyperlink r:id="rId319" w:history="1">
              <w:r>
                <w:rPr>
                  <w:rStyle w:val="a5"/>
                  <w:rFonts w:ascii="Times New Roman" w:eastAsia="宋体" w:hAnsi="Times New Roman"/>
                  <w:sz w:val="20"/>
                  <w:szCs w:val="20"/>
                </w:rPr>
                <w:t>Form of 2.100% Senior Notes due February 4, 2021</w:t>
              </w:r>
            </w:hyperlink>
          </w:p>
        </w:tc>
        <w:tc>
          <w:tcPr>
            <w:tcW w:w="0" w:type="auto"/>
            <w:gridSpan w:val="3"/>
            <w:shd w:val="clear" w:color="auto" w:fill="D7E4BC"/>
            <w:tcMar>
              <w:top w:w="0" w:type="dxa"/>
              <w:left w:w="20" w:type="dxa"/>
              <w:bottom w:w="0" w:type="dxa"/>
              <w:right w:w="20" w:type="dxa"/>
            </w:tcMar>
          </w:tcPr>
          <w:p w14:paraId="00BB0E0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0C"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E0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0E" w14:textId="77777777" w:rsidR="00871BDF" w:rsidRDefault="005C5088">
            <w:pPr>
              <w:jc w:val="center"/>
              <w:textAlignment w:val="top"/>
            </w:pPr>
            <w:r>
              <w:rPr>
                <w:rFonts w:ascii="Times New Roman" w:eastAsia="宋体" w:hAnsi="Times New Roman"/>
                <w:color w:val="000000"/>
                <w:sz w:val="20"/>
                <w:szCs w:val="20"/>
              </w:rPr>
              <w:t>0-20</w:t>
            </w:r>
            <w:r>
              <w:rPr>
                <w:rFonts w:ascii="Times New Roman" w:eastAsia="宋体" w:hAnsi="Times New Roman"/>
                <w:color w:val="000000"/>
                <w:sz w:val="20"/>
                <w:szCs w:val="20"/>
              </w:rPr>
              <w:t>322</w:t>
            </w:r>
          </w:p>
        </w:tc>
        <w:tc>
          <w:tcPr>
            <w:tcW w:w="0" w:type="auto"/>
            <w:gridSpan w:val="3"/>
            <w:shd w:val="clear" w:color="auto" w:fill="D7E4BC"/>
            <w:tcMar>
              <w:top w:w="0" w:type="dxa"/>
              <w:left w:w="20" w:type="dxa"/>
              <w:bottom w:w="0" w:type="dxa"/>
              <w:right w:w="20" w:type="dxa"/>
            </w:tcMar>
          </w:tcPr>
          <w:p w14:paraId="00BB0E0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10" w14:textId="77777777" w:rsidR="00871BDF" w:rsidRDefault="005C5088">
            <w:pPr>
              <w:jc w:val="center"/>
              <w:textAlignment w:val="top"/>
            </w:pPr>
            <w:r>
              <w:rPr>
                <w:rFonts w:ascii="Times New Roman" w:eastAsia="宋体" w:hAnsi="Times New Roman"/>
                <w:color w:val="000000"/>
                <w:sz w:val="20"/>
                <w:szCs w:val="20"/>
              </w:rPr>
              <w:t>2/4/2016</w:t>
            </w:r>
          </w:p>
        </w:tc>
        <w:tc>
          <w:tcPr>
            <w:tcW w:w="0" w:type="auto"/>
            <w:gridSpan w:val="3"/>
            <w:shd w:val="clear" w:color="auto" w:fill="D7E4BC"/>
            <w:tcMar>
              <w:top w:w="0" w:type="dxa"/>
              <w:left w:w="20" w:type="dxa"/>
              <w:bottom w:w="0" w:type="dxa"/>
              <w:right w:w="20" w:type="dxa"/>
            </w:tcMar>
          </w:tcPr>
          <w:p w14:paraId="00BB0E1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12" w14:textId="77777777" w:rsidR="00871BDF" w:rsidRDefault="005C5088">
            <w:pPr>
              <w:jc w:val="center"/>
              <w:textAlignment w:val="top"/>
            </w:pPr>
            <w:r>
              <w:rPr>
                <w:rFonts w:ascii="Times New Roman" w:eastAsia="宋体" w:hAnsi="Times New Roman"/>
                <w:color w:val="000000"/>
                <w:sz w:val="20"/>
                <w:szCs w:val="20"/>
              </w:rPr>
              <w:t>4.3</w:t>
            </w:r>
          </w:p>
        </w:tc>
        <w:tc>
          <w:tcPr>
            <w:tcW w:w="0" w:type="auto"/>
            <w:gridSpan w:val="3"/>
            <w:shd w:val="clear" w:color="auto" w:fill="D7E4BC"/>
            <w:tcMar>
              <w:top w:w="0" w:type="dxa"/>
              <w:left w:w="20" w:type="dxa"/>
              <w:bottom w:w="0" w:type="dxa"/>
              <w:right w:w="20" w:type="dxa"/>
            </w:tcMar>
          </w:tcPr>
          <w:p w14:paraId="00BB0E1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E14" w14:textId="77777777" w:rsidR="00871BDF" w:rsidRDefault="00871BDF">
            <w:pPr>
              <w:rPr>
                <w:rFonts w:ascii="宋体"/>
              </w:rPr>
            </w:pPr>
          </w:p>
        </w:tc>
      </w:tr>
      <w:tr w:rsidR="00871BDF" w14:paraId="00BB0E23" w14:textId="77777777">
        <w:trPr>
          <w:jc w:val="center"/>
        </w:trPr>
        <w:tc>
          <w:tcPr>
            <w:tcW w:w="0" w:type="auto"/>
            <w:gridSpan w:val="3"/>
            <w:shd w:val="clear" w:color="auto" w:fill="FFFFFF"/>
            <w:tcMar>
              <w:top w:w="40" w:type="dxa"/>
              <w:left w:w="20" w:type="dxa"/>
              <w:bottom w:w="40" w:type="dxa"/>
              <w:right w:w="20" w:type="dxa"/>
            </w:tcMar>
          </w:tcPr>
          <w:p w14:paraId="00BB0E16" w14:textId="77777777" w:rsidR="00871BDF" w:rsidRDefault="005C5088">
            <w:pPr>
              <w:jc w:val="center"/>
              <w:textAlignment w:val="top"/>
            </w:pPr>
            <w:hyperlink r:id="rId320" w:history="1">
              <w:r>
                <w:rPr>
                  <w:rStyle w:val="a5"/>
                  <w:rFonts w:ascii="Times New Roman" w:eastAsia="宋体" w:hAnsi="Times New Roman"/>
                  <w:sz w:val="20"/>
                  <w:szCs w:val="20"/>
                </w:rPr>
                <w:t>4.35</w:t>
              </w:r>
            </w:hyperlink>
          </w:p>
        </w:tc>
        <w:tc>
          <w:tcPr>
            <w:tcW w:w="0" w:type="auto"/>
            <w:gridSpan w:val="3"/>
            <w:shd w:val="clear" w:color="auto" w:fill="FFFFFF"/>
            <w:tcMar>
              <w:top w:w="0" w:type="dxa"/>
              <w:left w:w="20" w:type="dxa"/>
              <w:bottom w:w="0" w:type="dxa"/>
              <w:right w:w="20" w:type="dxa"/>
            </w:tcMar>
          </w:tcPr>
          <w:p w14:paraId="00BB0E1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B0E18" w14:textId="77777777" w:rsidR="00871BDF" w:rsidRDefault="005C5088">
            <w:pPr>
              <w:textAlignment w:val="bottom"/>
            </w:pPr>
            <w:hyperlink r:id="rId321" w:history="1">
              <w:r>
                <w:rPr>
                  <w:rStyle w:val="a5"/>
                  <w:rFonts w:ascii="Times New Roman" w:eastAsia="宋体" w:hAnsi="Times New Roman"/>
                  <w:sz w:val="20"/>
                  <w:szCs w:val="20"/>
                </w:rPr>
                <w:t xml:space="preserve">Sixth Supplemental Indenture, dated as of May 16, 2016, by and between Starbucks Corporation and Deutsche Bank Trust Company Americas, as trustee (2.450% Senior </w:t>
              </w:r>
              <w:r>
                <w:rPr>
                  <w:rStyle w:val="a5"/>
                  <w:rFonts w:ascii="Times New Roman" w:eastAsia="宋体" w:hAnsi="Times New Roman"/>
                  <w:sz w:val="20"/>
                  <w:szCs w:val="20"/>
                </w:rPr>
                <w:t>Notes due June 15, 2026)</w:t>
              </w:r>
            </w:hyperlink>
          </w:p>
        </w:tc>
        <w:tc>
          <w:tcPr>
            <w:tcW w:w="0" w:type="auto"/>
            <w:gridSpan w:val="3"/>
            <w:shd w:val="clear" w:color="auto" w:fill="FFFFFF"/>
            <w:tcMar>
              <w:top w:w="0" w:type="dxa"/>
              <w:left w:w="20" w:type="dxa"/>
              <w:bottom w:w="0" w:type="dxa"/>
              <w:right w:w="20" w:type="dxa"/>
            </w:tcMar>
          </w:tcPr>
          <w:p w14:paraId="00BB0E1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1A"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0E1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1C"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E1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1E" w14:textId="77777777" w:rsidR="00871BDF" w:rsidRDefault="005C5088">
            <w:pPr>
              <w:jc w:val="center"/>
              <w:textAlignment w:val="top"/>
            </w:pPr>
            <w:r>
              <w:rPr>
                <w:rFonts w:ascii="Times New Roman" w:eastAsia="宋体" w:hAnsi="Times New Roman"/>
                <w:color w:val="000000"/>
                <w:sz w:val="20"/>
                <w:szCs w:val="20"/>
              </w:rPr>
              <w:t>5/16/2016</w:t>
            </w:r>
          </w:p>
        </w:tc>
        <w:tc>
          <w:tcPr>
            <w:tcW w:w="0" w:type="auto"/>
            <w:gridSpan w:val="3"/>
            <w:shd w:val="clear" w:color="auto" w:fill="FFFFFF"/>
            <w:tcMar>
              <w:top w:w="0" w:type="dxa"/>
              <w:left w:w="20" w:type="dxa"/>
              <w:bottom w:w="0" w:type="dxa"/>
              <w:right w:w="20" w:type="dxa"/>
            </w:tcMar>
          </w:tcPr>
          <w:p w14:paraId="00BB0E1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20" w14:textId="77777777" w:rsidR="00871BDF" w:rsidRDefault="005C5088">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tcPr>
          <w:p w14:paraId="00BB0E2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E22" w14:textId="77777777" w:rsidR="00871BDF" w:rsidRDefault="00871BDF">
            <w:pPr>
              <w:rPr>
                <w:rFonts w:ascii="宋体"/>
              </w:rPr>
            </w:pPr>
          </w:p>
        </w:tc>
      </w:tr>
      <w:tr w:rsidR="00871BDF" w14:paraId="00BB0E31" w14:textId="77777777">
        <w:trPr>
          <w:jc w:val="center"/>
        </w:trPr>
        <w:tc>
          <w:tcPr>
            <w:tcW w:w="0" w:type="auto"/>
            <w:gridSpan w:val="3"/>
            <w:shd w:val="clear" w:color="auto" w:fill="D7E4BC"/>
            <w:tcMar>
              <w:top w:w="40" w:type="dxa"/>
              <w:left w:w="20" w:type="dxa"/>
              <w:bottom w:w="40" w:type="dxa"/>
              <w:right w:w="20" w:type="dxa"/>
            </w:tcMar>
          </w:tcPr>
          <w:p w14:paraId="00BB0E24" w14:textId="77777777" w:rsidR="00871BDF" w:rsidRDefault="005C5088">
            <w:pPr>
              <w:jc w:val="center"/>
              <w:textAlignment w:val="top"/>
            </w:pPr>
            <w:hyperlink r:id="rId322" w:history="1">
              <w:r>
                <w:rPr>
                  <w:rStyle w:val="a5"/>
                  <w:rFonts w:ascii="Times New Roman" w:eastAsia="宋体" w:hAnsi="Times New Roman"/>
                  <w:sz w:val="20"/>
                  <w:szCs w:val="20"/>
                </w:rPr>
                <w:t>4.36</w:t>
              </w:r>
            </w:hyperlink>
          </w:p>
        </w:tc>
        <w:tc>
          <w:tcPr>
            <w:tcW w:w="0" w:type="auto"/>
            <w:gridSpan w:val="3"/>
            <w:shd w:val="clear" w:color="auto" w:fill="D7E4BC"/>
            <w:tcMar>
              <w:top w:w="0" w:type="dxa"/>
              <w:left w:w="20" w:type="dxa"/>
              <w:bottom w:w="0" w:type="dxa"/>
              <w:right w:w="20" w:type="dxa"/>
            </w:tcMar>
          </w:tcPr>
          <w:p w14:paraId="00BB0E2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vAlign w:val="bottom"/>
          </w:tcPr>
          <w:p w14:paraId="00BB0E26" w14:textId="77777777" w:rsidR="00871BDF" w:rsidRDefault="005C5088">
            <w:pPr>
              <w:textAlignment w:val="bottom"/>
            </w:pPr>
            <w:hyperlink r:id="rId323" w:history="1">
              <w:r>
                <w:rPr>
                  <w:rStyle w:val="a5"/>
                  <w:rFonts w:ascii="Times New Roman" w:eastAsia="宋体" w:hAnsi="Times New Roman"/>
                  <w:sz w:val="20"/>
                  <w:szCs w:val="20"/>
                </w:rPr>
                <w:t>Fo</w:t>
              </w:r>
              <w:r>
                <w:rPr>
                  <w:rStyle w:val="a5"/>
                  <w:rFonts w:ascii="Times New Roman" w:eastAsia="宋体" w:hAnsi="Times New Roman"/>
                  <w:sz w:val="20"/>
                  <w:szCs w:val="20"/>
                </w:rPr>
                <w:t>rm of 2.450% Senior Notes due June 15, 2026</w:t>
              </w:r>
            </w:hyperlink>
          </w:p>
        </w:tc>
        <w:tc>
          <w:tcPr>
            <w:tcW w:w="0" w:type="auto"/>
            <w:gridSpan w:val="3"/>
            <w:shd w:val="clear" w:color="auto" w:fill="D7E4BC"/>
            <w:tcMar>
              <w:top w:w="0" w:type="dxa"/>
              <w:left w:w="20" w:type="dxa"/>
              <w:bottom w:w="0" w:type="dxa"/>
              <w:right w:w="20" w:type="dxa"/>
            </w:tcMar>
          </w:tcPr>
          <w:p w14:paraId="00BB0E2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28"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E2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2A"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E2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2C" w14:textId="77777777" w:rsidR="00871BDF" w:rsidRDefault="005C5088">
            <w:pPr>
              <w:jc w:val="center"/>
              <w:textAlignment w:val="top"/>
            </w:pPr>
            <w:r>
              <w:rPr>
                <w:rFonts w:ascii="Times New Roman" w:eastAsia="宋体" w:hAnsi="Times New Roman"/>
                <w:color w:val="000000"/>
                <w:sz w:val="20"/>
                <w:szCs w:val="20"/>
              </w:rPr>
              <w:t>5/16/2016</w:t>
            </w:r>
          </w:p>
        </w:tc>
        <w:tc>
          <w:tcPr>
            <w:tcW w:w="0" w:type="auto"/>
            <w:gridSpan w:val="3"/>
            <w:shd w:val="clear" w:color="auto" w:fill="D7E4BC"/>
            <w:tcMar>
              <w:top w:w="0" w:type="dxa"/>
              <w:left w:w="20" w:type="dxa"/>
              <w:bottom w:w="0" w:type="dxa"/>
              <w:right w:w="20" w:type="dxa"/>
            </w:tcMar>
          </w:tcPr>
          <w:p w14:paraId="00BB0E2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2E" w14:textId="77777777" w:rsidR="00871BDF" w:rsidRDefault="005C5088">
            <w:pPr>
              <w:jc w:val="center"/>
              <w:textAlignment w:val="top"/>
            </w:pPr>
            <w:r>
              <w:rPr>
                <w:rFonts w:ascii="Times New Roman" w:eastAsia="宋体" w:hAnsi="Times New Roman"/>
                <w:color w:val="000000"/>
                <w:sz w:val="20"/>
                <w:szCs w:val="20"/>
              </w:rPr>
              <w:t>4.5</w:t>
            </w:r>
          </w:p>
        </w:tc>
        <w:tc>
          <w:tcPr>
            <w:tcW w:w="0" w:type="auto"/>
            <w:gridSpan w:val="3"/>
            <w:shd w:val="clear" w:color="auto" w:fill="D7E4BC"/>
            <w:tcMar>
              <w:top w:w="0" w:type="dxa"/>
              <w:left w:w="20" w:type="dxa"/>
              <w:bottom w:w="0" w:type="dxa"/>
              <w:right w:w="20" w:type="dxa"/>
            </w:tcMar>
          </w:tcPr>
          <w:p w14:paraId="00BB0E2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E30" w14:textId="77777777" w:rsidR="00871BDF" w:rsidRDefault="00871BDF">
            <w:pPr>
              <w:rPr>
                <w:rFonts w:ascii="宋体"/>
              </w:rPr>
            </w:pPr>
          </w:p>
        </w:tc>
      </w:tr>
      <w:tr w:rsidR="00871BDF" w14:paraId="00BB0E3F" w14:textId="77777777">
        <w:trPr>
          <w:jc w:val="center"/>
        </w:trPr>
        <w:tc>
          <w:tcPr>
            <w:tcW w:w="0" w:type="auto"/>
            <w:gridSpan w:val="3"/>
            <w:shd w:val="clear" w:color="auto" w:fill="FFFFFF"/>
            <w:tcMar>
              <w:top w:w="40" w:type="dxa"/>
              <w:left w:w="20" w:type="dxa"/>
              <w:bottom w:w="40" w:type="dxa"/>
              <w:right w:w="20" w:type="dxa"/>
            </w:tcMar>
          </w:tcPr>
          <w:p w14:paraId="00BB0E32" w14:textId="77777777" w:rsidR="00871BDF" w:rsidRDefault="005C5088">
            <w:pPr>
              <w:jc w:val="center"/>
              <w:textAlignment w:val="top"/>
            </w:pPr>
            <w:hyperlink r:id="rId324" w:history="1">
              <w:r>
                <w:rPr>
                  <w:rStyle w:val="a5"/>
                  <w:rFonts w:ascii="Times New Roman" w:eastAsia="宋体" w:hAnsi="Times New Roman"/>
                  <w:sz w:val="20"/>
                  <w:szCs w:val="20"/>
                </w:rPr>
                <w:t>4.37</w:t>
              </w:r>
            </w:hyperlink>
          </w:p>
        </w:tc>
        <w:tc>
          <w:tcPr>
            <w:tcW w:w="0" w:type="auto"/>
            <w:gridSpan w:val="3"/>
            <w:shd w:val="clear" w:color="auto" w:fill="FFFFFF"/>
            <w:tcMar>
              <w:top w:w="0" w:type="dxa"/>
              <w:left w:w="20" w:type="dxa"/>
              <w:bottom w:w="0" w:type="dxa"/>
              <w:right w:w="20" w:type="dxa"/>
            </w:tcMar>
          </w:tcPr>
          <w:p w14:paraId="00BB0E3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34" w14:textId="77777777" w:rsidR="00871BDF" w:rsidRDefault="005C5088">
            <w:pPr>
              <w:textAlignment w:val="top"/>
            </w:pPr>
            <w:hyperlink r:id="rId325" w:history="1">
              <w:r>
                <w:rPr>
                  <w:rStyle w:val="a5"/>
                  <w:rFonts w:ascii="Times New Roman" w:eastAsia="宋体" w:hAnsi="Times New Roman"/>
                  <w:sz w:val="20"/>
                  <w:szCs w:val="20"/>
                </w:rPr>
                <w:t>Description of Securities</w:t>
              </w:r>
            </w:hyperlink>
          </w:p>
        </w:tc>
        <w:tc>
          <w:tcPr>
            <w:tcW w:w="0" w:type="auto"/>
            <w:gridSpan w:val="3"/>
            <w:shd w:val="clear" w:color="auto" w:fill="FFFFFF"/>
            <w:tcMar>
              <w:top w:w="0" w:type="dxa"/>
              <w:left w:w="20" w:type="dxa"/>
              <w:bottom w:w="0" w:type="dxa"/>
              <w:right w:w="20" w:type="dxa"/>
            </w:tcMar>
          </w:tcPr>
          <w:p w14:paraId="00BB0E3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36"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tcPr>
          <w:p w14:paraId="00BB0E3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38" w14:textId="77777777" w:rsidR="00871BDF" w:rsidRDefault="005C5088">
            <w:pPr>
              <w:jc w:val="center"/>
              <w:textAlignment w:val="top"/>
            </w:pPr>
            <w:r>
              <w:rPr>
                <w:rFonts w:ascii="Times New Roman" w:eastAsia="宋体" w:hAnsi="Times New Roman"/>
                <w:color w:val="000000"/>
                <w:sz w:val="20"/>
                <w:szCs w:val="20"/>
              </w:rPr>
              <w:t>0-2</w:t>
            </w:r>
            <w:r>
              <w:rPr>
                <w:rFonts w:ascii="Times New Roman" w:eastAsia="宋体" w:hAnsi="Times New Roman"/>
                <w:color w:val="000000"/>
                <w:sz w:val="20"/>
                <w:szCs w:val="20"/>
              </w:rPr>
              <w:t>0322</w:t>
            </w:r>
          </w:p>
        </w:tc>
        <w:tc>
          <w:tcPr>
            <w:tcW w:w="0" w:type="auto"/>
            <w:gridSpan w:val="3"/>
            <w:shd w:val="clear" w:color="auto" w:fill="FFFFFF"/>
            <w:tcMar>
              <w:top w:w="0" w:type="dxa"/>
              <w:left w:w="20" w:type="dxa"/>
              <w:bottom w:w="0" w:type="dxa"/>
              <w:right w:w="20" w:type="dxa"/>
            </w:tcMar>
          </w:tcPr>
          <w:p w14:paraId="00BB0E3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3A" w14:textId="77777777" w:rsidR="00871BDF" w:rsidRDefault="005C5088">
            <w:pPr>
              <w:jc w:val="center"/>
              <w:textAlignment w:val="top"/>
            </w:pPr>
            <w:r>
              <w:rPr>
                <w:rFonts w:ascii="Times New Roman" w:eastAsia="宋体" w:hAnsi="Times New Roman"/>
                <w:color w:val="000000"/>
                <w:sz w:val="20"/>
                <w:szCs w:val="20"/>
              </w:rPr>
              <w:t>11/15/2019</w:t>
            </w:r>
          </w:p>
        </w:tc>
        <w:tc>
          <w:tcPr>
            <w:tcW w:w="0" w:type="auto"/>
            <w:gridSpan w:val="3"/>
            <w:shd w:val="clear" w:color="auto" w:fill="FFFFFF"/>
            <w:tcMar>
              <w:top w:w="0" w:type="dxa"/>
              <w:left w:w="20" w:type="dxa"/>
              <w:bottom w:w="0" w:type="dxa"/>
              <w:right w:w="20" w:type="dxa"/>
            </w:tcMar>
          </w:tcPr>
          <w:p w14:paraId="00BB0E3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3C" w14:textId="77777777" w:rsidR="00871BDF" w:rsidRDefault="005C5088">
            <w:pPr>
              <w:jc w:val="center"/>
              <w:textAlignment w:val="top"/>
            </w:pPr>
            <w:r>
              <w:rPr>
                <w:rFonts w:ascii="Times New Roman" w:eastAsia="宋体" w:hAnsi="Times New Roman"/>
                <w:color w:val="000000"/>
                <w:sz w:val="20"/>
                <w:szCs w:val="20"/>
              </w:rPr>
              <w:t>4.29</w:t>
            </w:r>
          </w:p>
        </w:tc>
        <w:tc>
          <w:tcPr>
            <w:tcW w:w="0" w:type="auto"/>
            <w:gridSpan w:val="3"/>
            <w:shd w:val="clear" w:color="auto" w:fill="FFFFFF"/>
            <w:tcMar>
              <w:top w:w="0" w:type="dxa"/>
              <w:left w:w="20" w:type="dxa"/>
              <w:bottom w:w="0" w:type="dxa"/>
              <w:right w:w="20" w:type="dxa"/>
            </w:tcMar>
          </w:tcPr>
          <w:p w14:paraId="00BB0E3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E3E" w14:textId="77777777" w:rsidR="00871BDF" w:rsidRDefault="00871BDF">
            <w:pPr>
              <w:rPr>
                <w:rFonts w:ascii="宋体"/>
              </w:rPr>
            </w:pPr>
          </w:p>
        </w:tc>
      </w:tr>
      <w:tr w:rsidR="00871BDF" w14:paraId="00BB0E4D" w14:textId="77777777">
        <w:trPr>
          <w:jc w:val="center"/>
        </w:trPr>
        <w:tc>
          <w:tcPr>
            <w:tcW w:w="0" w:type="auto"/>
            <w:gridSpan w:val="3"/>
            <w:shd w:val="clear" w:color="auto" w:fill="D7E4BC"/>
            <w:tcMar>
              <w:top w:w="40" w:type="dxa"/>
              <w:left w:w="20" w:type="dxa"/>
              <w:bottom w:w="40" w:type="dxa"/>
              <w:right w:w="20" w:type="dxa"/>
            </w:tcMar>
          </w:tcPr>
          <w:p w14:paraId="00BB0E40" w14:textId="77777777" w:rsidR="00871BDF" w:rsidRDefault="005C5088">
            <w:pPr>
              <w:jc w:val="center"/>
              <w:textAlignment w:val="top"/>
            </w:pPr>
            <w:hyperlink r:id="rId326" w:history="1">
              <w:r>
                <w:rPr>
                  <w:rStyle w:val="a5"/>
                  <w:rFonts w:ascii="Times New Roman" w:eastAsia="宋体" w:hAnsi="Times New Roman"/>
                  <w:sz w:val="20"/>
                  <w:szCs w:val="20"/>
                </w:rPr>
                <w:t>10.1*</w:t>
              </w:r>
            </w:hyperlink>
          </w:p>
        </w:tc>
        <w:tc>
          <w:tcPr>
            <w:tcW w:w="0" w:type="auto"/>
            <w:gridSpan w:val="3"/>
            <w:shd w:val="clear" w:color="auto" w:fill="D7E4BC"/>
            <w:tcMar>
              <w:top w:w="0" w:type="dxa"/>
              <w:left w:w="20" w:type="dxa"/>
              <w:bottom w:w="0" w:type="dxa"/>
              <w:right w:w="20" w:type="dxa"/>
            </w:tcMar>
          </w:tcPr>
          <w:p w14:paraId="00BB0E4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42" w14:textId="77777777" w:rsidR="00871BDF" w:rsidRDefault="005C5088">
            <w:pPr>
              <w:textAlignment w:val="top"/>
            </w:pPr>
            <w:hyperlink r:id="rId327" w:history="1">
              <w:r>
                <w:rPr>
                  <w:rStyle w:val="a5"/>
                  <w:rFonts w:ascii="Times New Roman" w:eastAsia="宋体" w:hAnsi="Times New Roman"/>
                  <w:sz w:val="20"/>
                  <w:szCs w:val="20"/>
                </w:rPr>
                <w:t>Starbucks Corporation Employee Stock Purchase Plan — 1995 as amended and restated on April 9, 2015 to reflect adjustments for the 2-for-1 forward stock</w:t>
              </w:r>
              <w:r>
                <w:rPr>
                  <w:rStyle w:val="a5"/>
                  <w:rFonts w:ascii="Times New Roman" w:eastAsia="宋体" w:hAnsi="Times New Roman"/>
                  <w:sz w:val="20"/>
                  <w:szCs w:val="20"/>
                </w:rPr>
                <w:t xml:space="preserve"> split effective on such date</w:t>
              </w:r>
            </w:hyperlink>
          </w:p>
        </w:tc>
        <w:tc>
          <w:tcPr>
            <w:tcW w:w="0" w:type="auto"/>
            <w:gridSpan w:val="3"/>
            <w:shd w:val="clear" w:color="auto" w:fill="D7E4BC"/>
            <w:tcMar>
              <w:top w:w="0" w:type="dxa"/>
              <w:left w:w="20" w:type="dxa"/>
              <w:bottom w:w="0" w:type="dxa"/>
              <w:right w:w="20" w:type="dxa"/>
            </w:tcMar>
          </w:tcPr>
          <w:p w14:paraId="00BB0E4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44" w14:textId="77777777" w:rsidR="00871BDF" w:rsidRDefault="005C5088">
            <w:pPr>
              <w:jc w:val="center"/>
              <w:textAlignment w:val="top"/>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tcPr>
          <w:p w14:paraId="00BB0E4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46"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E4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48" w14:textId="77777777" w:rsidR="00871BDF" w:rsidRDefault="005C5088">
            <w:pPr>
              <w:jc w:val="center"/>
              <w:textAlignment w:val="top"/>
            </w:pPr>
            <w:r>
              <w:rPr>
                <w:rFonts w:ascii="Times New Roman" w:eastAsia="宋体" w:hAnsi="Times New Roman"/>
                <w:color w:val="000000"/>
                <w:sz w:val="20"/>
                <w:szCs w:val="20"/>
              </w:rPr>
              <w:t>8/1/2017</w:t>
            </w:r>
          </w:p>
        </w:tc>
        <w:tc>
          <w:tcPr>
            <w:tcW w:w="0" w:type="auto"/>
            <w:gridSpan w:val="3"/>
            <w:shd w:val="clear" w:color="auto" w:fill="D7E4BC"/>
            <w:tcMar>
              <w:top w:w="0" w:type="dxa"/>
              <w:left w:w="20" w:type="dxa"/>
              <w:bottom w:w="0" w:type="dxa"/>
              <w:right w:w="20" w:type="dxa"/>
            </w:tcMar>
          </w:tcPr>
          <w:p w14:paraId="00BB0E4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4A" w14:textId="77777777" w:rsidR="00871BDF" w:rsidRDefault="005C5088">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tcPr>
          <w:p w14:paraId="00BB0E4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E4C" w14:textId="77777777" w:rsidR="00871BDF" w:rsidRDefault="00871BDF">
            <w:pPr>
              <w:rPr>
                <w:rFonts w:ascii="宋体"/>
              </w:rPr>
            </w:pPr>
          </w:p>
        </w:tc>
      </w:tr>
      <w:tr w:rsidR="00871BDF" w14:paraId="00BB0E5D" w14:textId="77777777">
        <w:trPr>
          <w:jc w:val="center"/>
        </w:trPr>
        <w:tc>
          <w:tcPr>
            <w:tcW w:w="0" w:type="auto"/>
            <w:gridSpan w:val="3"/>
            <w:shd w:val="clear" w:color="auto" w:fill="FFFFFF"/>
            <w:tcMar>
              <w:top w:w="40" w:type="dxa"/>
              <w:left w:w="20" w:type="dxa"/>
              <w:bottom w:w="40" w:type="dxa"/>
              <w:right w:w="20" w:type="dxa"/>
            </w:tcMar>
          </w:tcPr>
          <w:p w14:paraId="00BB0E4E" w14:textId="77777777" w:rsidR="00871BDF" w:rsidRDefault="005C5088">
            <w:pPr>
              <w:jc w:val="center"/>
              <w:textAlignment w:val="top"/>
            </w:pPr>
            <w:hyperlink r:id="rId328" w:history="1">
              <w:r>
                <w:rPr>
                  <w:rStyle w:val="a5"/>
                  <w:rFonts w:ascii="Times New Roman" w:eastAsia="宋体" w:hAnsi="Times New Roman"/>
                  <w:sz w:val="20"/>
                  <w:szCs w:val="20"/>
                </w:rPr>
                <w:t>10.2*</w:t>
              </w:r>
            </w:hyperlink>
          </w:p>
        </w:tc>
        <w:tc>
          <w:tcPr>
            <w:tcW w:w="0" w:type="auto"/>
            <w:gridSpan w:val="3"/>
            <w:shd w:val="clear" w:color="auto" w:fill="FFFFFF"/>
            <w:tcMar>
              <w:top w:w="0" w:type="dxa"/>
              <w:left w:w="20" w:type="dxa"/>
              <w:bottom w:w="0" w:type="dxa"/>
              <w:right w:w="20" w:type="dxa"/>
            </w:tcMar>
          </w:tcPr>
          <w:p w14:paraId="00BB0E4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50" w14:textId="77777777" w:rsidR="00871BDF" w:rsidRDefault="005C5088">
            <w:pPr>
              <w:textAlignment w:val="top"/>
            </w:pPr>
            <w:hyperlink r:id="rId329" w:history="1">
              <w:r>
                <w:rPr>
                  <w:rStyle w:val="a5"/>
                  <w:rFonts w:ascii="Times New Roman" w:eastAsia="宋体" w:hAnsi="Times New Roman"/>
                  <w:sz w:val="20"/>
                  <w:szCs w:val="20"/>
                </w:rPr>
                <w:t>Starbucks Corporation Executive Management</w:t>
              </w:r>
              <w:r>
                <w:rPr>
                  <w:rStyle w:val="a5"/>
                  <w:rFonts w:ascii="Times New Roman" w:eastAsia="宋体" w:hAnsi="Times New Roman"/>
                  <w:sz w:val="20"/>
                  <w:szCs w:val="20"/>
                </w:rPr>
                <w:t xml:space="preserve"> Bonus Plan, as amended and restated on June 25, 2019</w:t>
              </w:r>
            </w:hyperlink>
          </w:p>
        </w:tc>
        <w:tc>
          <w:tcPr>
            <w:tcW w:w="0" w:type="auto"/>
            <w:gridSpan w:val="3"/>
            <w:shd w:val="clear" w:color="auto" w:fill="FFFFFF"/>
            <w:tcMar>
              <w:top w:w="0" w:type="dxa"/>
              <w:left w:w="20" w:type="dxa"/>
              <w:bottom w:w="0" w:type="dxa"/>
              <w:right w:w="20" w:type="dxa"/>
            </w:tcMar>
          </w:tcPr>
          <w:p w14:paraId="00BB0E5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52" w14:textId="77777777" w:rsidR="00871BDF" w:rsidRDefault="005C5088">
            <w:pPr>
              <w:jc w:val="center"/>
              <w:textAlignment w:val="top"/>
            </w:pPr>
            <w:r>
              <w:rPr>
                <w:rFonts w:ascii="Times New Roman" w:eastAsia="宋体" w:hAnsi="Times New Roman"/>
                <w:color w:val="000000"/>
                <w:sz w:val="20"/>
                <w:szCs w:val="20"/>
              </w:rPr>
              <w:t>10-Q</w:t>
            </w:r>
          </w:p>
          <w:p w14:paraId="00BB0E53" w14:textId="77777777" w:rsidR="00871BDF" w:rsidRDefault="00871BDF">
            <w:pPr>
              <w:jc w:val="center"/>
              <w:textAlignment w:val="top"/>
            </w:pPr>
          </w:p>
          <w:p w14:paraId="00BB0E54" w14:textId="77777777" w:rsidR="00871BDF" w:rsidRDefault="00871BDF">
            <w:pPr>
              <w:jc w:val="center"/>
              <w:textAlignment w:val="top"/>
            </w:pPr>
          </w:p>
        </w:tc>
        <w:tc>
          <w:tcPr>
            <w:tcW w:w="0" w:type="auto"/>
            <w:gridSpan w:val="3"/>
            <w:shd w:val="clear" w:color="auto" w:fill="FFFFFF"/>
            <w:tcMar>
              <w:top w:w="0" w:type="dxa"/>
              <w:left w:w="20" w:type="dxa"/>
              <w:bottom w:w="0" w:type="dxa"/>
              <w:right w:w="20" w:type="dxa"/>
            </w:tcMar>
          </w:tcPr>
          <w:p w14:paraId="00BB0E5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56"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E5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58" w14:textId="77777777" w:rsidR="00871BDF" w:rsidRDefault="005C5088">
            <w:pPr>
              <w:jc w:val="center"/>
              <w:textAlignment w:val="top"/>
            </w:pPr>
            <w:r>
              <w:rPr>
                <w:rFonts w:ascii="Times New Roman" w:eastAsia="宋体" w:hAnsi="Times New Roman"/>
                <w:color w:val="000000"/>
                <w:sz w:val="20"/>
                <w:szCs w:val="20"/>
              </w:rPr>
              <w:t>7/30/2019</w:t>
            </w:r>
          </w:p>
        </w:tc>
        <w:tc>
          <w:tcPr>
            <w:tcW w:w="0" w:type="auto"/>
            <w:gridSpan w:val="3"/>
            <w:shd w:val="clear" w:color="auto" w:fill="FFFFFF"/>
            <w:tcMar>
              <w:top w:w="0" w:type="dxa"/>
              <w:left w:w="20" w:type="dxa"/>
              <w:bottom w:w="0" w:type="dxa"/>
              <w:right w:w="20" w:type="dxa"/>
            </w:tcMar>
          </w:tcPr>
          <w:p w14:paraId="00BB0E5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5A" w14:textId="77777777" w:rsidR="00871BDF" w:rsidRDefault="005C5088">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tcPr>
          <w:p w14:paraId="00BB0E5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E5C" w14:textId="77777777" w:rsidR="00871BDF" w:rsidRDefault="00871BDF">
            <w:pPr>
              <w:rPr>
                <w:rFonts w:ascii="宋体"/>
              </w:rPr>
            </w:pPr>
          </w:p>
        </w:tc>
      </w:tr>
      <w:tr w:rsidR="00871BDF" w14:paraId="00BB0E6B" w14:textId="77777777">
        <w:trPr>
          <w:jc w:val="center"/>
        </w:trPr>
        <w:tc>
          <w:tcPr>
            <w:tcW w:w="0" w:type="auto"/>
            <w:gridSpan w:val="3"/>
            <w:shd w:val="clear" w:color="auto" w:fill="D7E4BC"/>
            <w:tcMar>
              <w:top w:w="40" w:type="dxa"/>
              <w:left w:w="20" w:type="dxa"/>
              <w:bottom w:w="40" w:type="dxa"/>
              <w:right w:w="20" w:type="dxa"/>
            </w:tcMar>
          </w:tcPr>
          <w:p w14:paraId="00BB0E5E" w14:textId="77777777" w:rsidR="00871BDF" w:rsidRDefault="005C5088">
            <w:pPr>
              <w:jc w:val="center"/>
              <w:textAlignment w:val="top"/>
            </w:pPr>
            <w:hyperlink r:id="rId330" w:history="1">
              <w:r>
                <w:rPr>
                  <w:rStyle w:val="a5"/>
                  <w:rFonts w:ascii="Times New Roman" w:eastAsia="宋体" w:hAnsi="Times New Roman"/>
                  <w:sz w:val="20"/>
                  <w:szCs w:val="20"/>
                </w:rPr>
                <w:t>10.3*</w:t>
              </w:r>
            </w:hyperlink>
          </w:p>
        </w:tc>
        <w:tc>
          <w:tcPr>
            <w:tcW w:w="0" w:type="auto"/>
            <w:gridSpan w:val="3"/>
            <w:shd w:val="clear" w:color="auto" w:fill="D7E4BC"/>
            <w:tcMar>
              <w:top w:w="0" w:type="dxa"/>
              <w:left w:w="20" w:type="dxa"/>
              <w:bottom w:w="0" w:type="dxa"/>
              <w:right w:w="20" w:type="dxa"/>
            </w:tcMar>
          </w:tcPr>
          <w:p w14:paraId="00BB0E5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60" w14:textId="77777777" w:rsidR="00871BDF" w:rsidRDefault="005C5088">
            <w:pPr>
              <w:textAlignment w:val="top"/>
            </w:pPr>
            <w:hyperlink r:id="rId331" w:history="1">
              <w:r>
                <w:rPr>
                  <w:rStyle w:val="a5"/>
                  <w:rFonts w:ascii="Times New Roman" w:eastAsia="宋体" w:hAnsi="Times New Roman"/>
                  <w:sz w:val="20"/>
                  <w:szCs w:val="20"/>
                </w:rPr>
                <w:t xml:space="preserve">Starbucks Corporation Management Deferred Compensation Plan, as amended and </w:t>
              </w:r>
              <w:r>
                <w:rPr>
                  <w:rStyle w:val="a5"/>
                  <w:rFonts w:ascii="Times New Roman" w:eastAsia="宋体" w:hAnsi="Times New Roman"/>
                  <w:sz w:val="20"/>
                  <w:szCs w:val="20"/>
                </w:rPr>
                <w:t>restated effective January 1, 2011</w:t>
              </w:r>
            </w:hyperlink>
          </w:p>
        </w:tc>
        <w:tc>
          <w:tcPr>
            <w:tcW w:w="0" w:type="auto"/>
            <w:gridSpan w:val="3"/>
            <w:shd w:val="clear" w:color="auto" w:fill="D7E4BC"/>
            <w:tcMar>
              <w:top w:w="0" w:type="dxa"/>
              <w:left w:w="20" w:type="dxa"/>
              <w:bottom w:w="0" w:type="dxa"/>
              <w:right w:w="20" w:type="dxa"/>
            </w:tcMar>
          </w:tcPr>
          <w:p w14:paraId="00BB0E6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62" w14:textId="77777777" w:rsidR="00871BDF" w:rsidRDefault="005C5088">
            <w:pPr>
              <w:jc w:val="center"/>
              <w:textAlignment w:val="top"/>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tcPr>
          <w:p w14:paraId="00BB0E6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64"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E6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66" w14:textId="77777777" w:rsidR="00871BDF" w:rsidRDefault="005C5088">
            <w:pPr>
              <w:jc w:val="center"/>
              <w:textAlignment w:val="top"/>
            </w:pPr>
            <w:r>
              <w:rPr>
                <w:rFonts w:ascii="Times New Roman" w:eastAsia="宋体" w:hAnsi="Times New Roman"/>
                <w:color w:val="000000"/>
                <w:sz w:val="20"/>
                <w:szCs w:val="20"/>
              </w:rPr>
              <w:t>2/4/2011</w:t>
            </w:r>
          </w:p>
        </w:tc>
        <w:tc>
          <w:tcPr>
            <w:tcW w:w="0" w:type="auto"/>
            <w:gridSpan w:val="3"/>
            <w:shd w:val="clear" w:color="auto" w:fill="D7E4BC"/>
            <w:tcMar>
              <w:top w:w="0" w:type="dxa"/>
              <w:left w:w="20" w:type="dxa"/>
              <w:bottom w:w="0" w:type="dxa"/>
              <w:right w:w="20" w:type="dxa"/>
            </w:tcMar>
          </w:tcPr>
          <w:p w14:paraId="00BB0E6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68" w14:textId="77777777" w:rsidR="00871BDF" w:rsidRDefault="005C5088">
            <w:pPr>
              <w:jc w:val="center"/>
              <w:textAlignment w:val="top"/>
            </w:pPr>
            <w:r>
              <w:rPr>
                <w:rFonts w:ascii="Times New Roman" w:eastAsia="宋体" w:hAnsi="Times New Roman"/>
                <w:color w:val="000000"/>
                <w:sz w:val="20"/>
                <w:szCs w:val="20"/>
              </w:rPr>
              <w:t>10.2</w:t>
            </w:r>
          </w:p>
        </w:tc>
        <w:tc>
          <w:tcPr>
            <w:tcW w:w="0" w:type="auto"/>
            <w:gridSpan w:val="3"/>
            <w:shd w:val="clear" w:color="auto" w:fill="D7E4BC"/>
            <w:tcMar>
              <w:top w:w="0" w:type="dxa"/>
              <w:left w:w="20" w:type="dxa"/>
              <w:bottom w:w="0" w:type="dxa"/>
              <w:right w:w="20" w:type="dxa"/>
            </w:tcMar>
          </w:tcPr>
          <w:p w14:paraId="00BB0E6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E6A" w14:textId="77777777" w:rsidR="00871BDF" w:rsidRDefault="00871BDF">
            <w:pPr>
              <w:rPr>
                <w:rFonts w:ascii="宋体"/>
              </w:rPr>
            </w:pPr>
          </w:p>
        </w:tc>
      </w:tr>
    </w:tbl>
    <w:p w14:paraId="00BB0E6C" w14:textId="77777777" w:rsidR="00871BDF" w:rsidRDefault="005C5088">
      <w:pPr>
        <w:jc w:val="center"/>
      </w:pPr>
      <w:r>
        <w:rPr>
          <w:rFonts w:ascii="Times New Roman" w:eastAsia="宋体" w:hAnsi="Times New Roman"/>
          <w:color w:val="000000"/>
          <w:sz w:val="20"/>
          <w:szCs w:val="20"/>
        </w:rPr>
        <w:t>98</w:t>
      </w:r>
    </w:p>
    <w:p w14:paraId="00BB0E6D" w14:textId="77777777" w:rsidR="00871BDF" w:rsidRDefault="005C5088">
      <w:r>
        <w:pict w14:anchorId="00BB14C7">
          <v:rect id="_x0000_i1125" style="width:415.3pt;height:1.5pt" o:hralign="center" o:hrstd="t" o:hr="t" fillcolor="#a0a0a0" stroked="f"/>
        </w:pict>
      </w:r>
    </w:p>
    <w:p w14:paraId="00BB0E6E" w14:textId="77777777" w:rsidR="00871BDF" w:rsidRDefault="005C5088">
      <w:hyperlink r:id="rId332" w:anchor="i54ccc64cb5384be5a4849ef1cdef4dde_7" w:history="1">
        <w:r>
          <w:rPr>
            <w:rStyle w:val="a5"/>
            <w:rFonts w:ascii="Times New Roman" w:eastAsia="宋体" w:hAnsi="Times New Roman"/>
            <w:sz w:val="20"/>
            <w:szCs w:val="20"/>
          </w:rPr>
          <w:t>Table of 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83"/>
        <w:gridCol w:w="36"/>
        <w:gridCol w:w="36"/>
        <w:gridCol w:w="36"/>
        <w:gridCol w:w="36"/>
        <w:gridCol w:w="40"/>
        <w:gridCol w:w="2500"/>
        <w:gridCol w:w="38"/>
        <w:gridCol w:w="36"/>
        <w:gridCol w:w="36"/>
        <w:gridCol w:w="36"/>
        <w:gridCol w:w="38"/>
        <w:gridCol w:w="796"/>
        <w:gridCol w:w="37"/>
        <w:gridCol w:w="37"/>
        <w:gridCol w:w="37"/>
        <w:gridCol w:w="37"/>
        <w:gridCol w:w="64"/>
        <w:gridCol w:w="771"/>
        <w:gridCol w:w="37"/>
        <w:gridCol w:w="36"/>
        <w:gridCol w:w="36"/>
        <w:gridCol w:w="36"/>
        <w:gridCol w:w="85"/>
        <w:gridCol w:w="859"/>
        <w:gridCol w:w="38"/>
        <w:gridCol w:w="36"/>
        <w:gridCol w:w="36"/>
        <w:gridCol w:w="36"/>
        <w:gridCol w:w="55"/>
        <w:gridCol w:w="759"/>
        <w:gridCol w:w="36"/>
        <w:gridCol w:w="36"/>
        <w:gridCol w:w="36"/>
        <w:gridCol w:w="36"/>
        <w:gridCol w:w="74"/>
        <w:gridCol w:w="603"/>
        <w:gridCol w:w="36"/>
      </w:tblGrid>
      <w:tr w:rsidR="00871BDF" w14:paraId="00BB0E96" w14:textId="77777777">
        <w:trPr>
          <w:jc w:val="center"/>
        </w:trPr>
        <w:tc>
          <w:tcPr>
            <w:tcW w:w="50" w:type="pct"/>
            <w:shd w:val="clear" w:color="auto" w:fill="auto"/>
          </w:tcPr>
          <w:p w14:paraId="00BB0E6F" w14:textId="77777777" w:rsidR="00871BDF" w:rsidRDefault="00871BDF">
            <w:pPr>
              <w:rPr>
                <w:rFonts w:ascii="宋体"/>
              </w:rPr>
            </w:pPr>
          </w:p>
        </w:tc>
        <w:tc>
          <w:tcPr>
            <w:tcW w:w="436" w:type="pct"/>
            <w:shd w:val="clear" w:color="auto" w:fill="auto"/>
          </w:tcPr>
          <w:p w14:paraId="00BB0E70" w14:textId="77777777" w:rsidR="00871BDF" w:rsidRDefault="00871BDF">
            <w:pPr>
              <w:rPr>
                <w:rFonts w:ascii="宋体"/>
              </w:rPr>
            </w:pPr>
          </w:p>
        </w:tc>
        <w:tc>
          <w:tcPr>
            <w:tcW w:w="5" w:type="pct"/>
            <w:shd w:val="clear" w:color="auto" w:fill="auto"/>
          </w:tcPr>
          <w:p w14:paraId="00BB0E71" w14:textId="77777777" w:rsidR="00871BDF" w:rsidRDefault="00871BDF">
            <w:pPr>
              <w:rPr>
                <w:rFonts w:ascii="宋体"/>
              </w:rPr>
            </w:pPr>
          </w:p>
        </w:tc>
        <w:tc>
          <w:tcPr>
            <w:tcW w:w="5" w:type="pct"/>
            <w:shd w:val="clear" w:color="auto" w:fill="auto"/>
          </w:tcPr>
          <w:p w14:paraId="00BB0E72" w14:textId="77777777" w:rsidR="00871BDF" w:rsidRDefault="00871BDF">
            <w:pPr>
              <w:rPr>
                <w:rFonts w:ascii="宋体"/>
              </w:rPr>
            </w:pPr>
          </w:p>
        </w:tc>
        <w:tc>
          <w:tcPr>
            <w:tcW w:w="26" w:type="pct"/>
            <w:shd w:val="clear" w:color="auto" w:fill="auto"/>
          </w:tcPr>
          <w:p w14:paraId="00BB0E73" w14:textId="77777777" w:rsidR="00871BDF" w:rsidRDefault="00871BDF">
            <w:pPr>
              <w:rPr>
                <w:rFonts w:ascii="宋体"/>
              </w:rPr>
            </w:pPr>
          </w:p>
        </w:tc>
        <w:tc>
          <w:tcPr>
            <w:tcW w:w="5" w:type="pct"/>
            <w:shd w:val="clear" w:color="auto" w:fill="auto"/>
          </w:tcPr>
          <w:p w14:paraId="00BB0E74" w14:textId="77777777" w:rsidR="00871BDF" w:rsidRDefault="00871BDF">
            <w:pPr>
              <w:rPr>
                <w:rFonts w:ascii="宋体"/>
              </w:rPr>
            </w:pPr>
          </w:p>
        </w:tc>
        <w:tc>
          <w:tcPr>
            <w:tcW w:w="50" w:type="pct"/>
            <w:shd w:val="clear" w:color="auto" w:fill="auto"/>
          </w:tcPr>
          <w:p w14:paraId="00BB0E75" w14:textId="77777777" w:rsidR="00871BDF" w:rsidRDefault="00871BDF">
            <w:pPr>
              <w:rPr>
                <w:rFonts w:ascii="宋体"/>
              </w:rPr>
            </w:pPr>
          </w:p>
        </w:tc>
        <w:tc>
          <w:tcPr>
            <w:tcW w:w="1530" w:type="pct"/>
            <w:shd w:val="clear" w:color="auto" w:fill="auto"/>
          </w:tcPr>
          <w:p w14:paraId="00BB0E76" w14:textId="77777777" w:rsidR="00871BDF" w:rsidRDefault="00871BDF">
            <w:pPr>
              <w:rPr>
                <w:rFonts w:ascii="宋体"/>
              </w:rPr>
            </w:pPr>
          </w:p>
        </w:tc>
        <w:tc>
          <w:tcPr>
            <w:tcW w:w="5" w:type="pct"/>
            <w:shd w:val="clear" w:color="auto" w:fill="auto"/>
          </w:tcPr>
          <w:p w14:paraId="00BB0E77" w14:textId="77777777" w:rsidR="00871BDF" w:rsidRDefault="00871BDF">
            <w:pPr>
              <w:rPr>
                <w:rFonts w:ascii="宋体"/>
              </w:rPr>
            </w:pPr>
          </w:p>
        </w:tc>
        <w:tc>
          <w:tcPr>
            <w:tcW w:w="5" w:type="pct"/>
            <w:shd w:val="clear" w:color="auto" w:fill="auto"/>
          </w:tcPr>
          <w:p w14:paraId="00BB0E78" w14:textId="77777777" w:rsidR="00871BDF" w:rsidRDefault="00871BDF">
            <w:pPr>
              <w:rPr>
                <w:rFonts w:ascii="宋体"/>
              </w:rPr>
            </w:pPr>
          </w:p>
        </w:tc>
        <w:tc>
          <w:tcPr>
            <w:tcW w:w="26" w:type="pct"/>
            <w:shd w:val="clear" w:color="auto" w:fill="auto"/>
          </w:tcPr>
          <w:p w14:paraId="00BB0E79" w14:textId="77777777" w:rsidR="00871BDF" w:rsidRDefault="00871BDF">
            <w:pPr>
              <w:rPr>
                <w:rFonts w:ascii="宋体"/>
              </w:rPr>
            </w:pPr>
          </w:p>
        </w:tc>
        <w:tc>
          <w:tcPr>
            <w:tcW w:w="5" w:type="pct"/>
            <w:shd w:val="clear" w:color="auto" w:fill="auto"/>
          </w:tcPr>
          <w:p w14:paraId="00BB0E7A" w14:textId="77777777" w:rsidR="00871BDF" w:rsidRDefault="00871BDF">
            <w:pPr>
              <w:rPr>
                <w:rFonts w:ascii="宋体"/>
              </w:rPr>
            </w:pPr>
          </w:p>
        </w:tc>
        <w:tc>
          <w:tcPr>
            <w:tcW w:w="50" w:type="pct"/>
            <w:shd w:val="clear" w:color="auto" w:fill="auto"/>
          </w:tcPr>
          <w:p w14:paraId="00BB0E7B" w14:textId="77777777" w:rsidR="00871BDF" w:rsidRDefault="00871BDF">
            <w:pPr>
              <w:rPr>
                <w:rFonts w:ascii="宋体"/>
              </w:rPr>
            </w:pPr>
          </w:p>
        </w:tc>
        <w:tc>
          <w:tcPr>
            <w:tcW w:w="503" w:type="pct"/>
            <w:shd w:val="clear" w:color="auto" w:fill="auto"/>
          </w:tcPr>
          <w:p w14:paraId="00BB0E7C" w14:textId="77777777" w:rsidR="00871BDF" w:rsidRDefault="00871BDF">
            <w:pPr>
              <w:rPr>
                <w:rFonts w:ascii="宋体"/>
              </w:rPr>
            </w:pPr>
          </w:p>
        </w:tc>
        <w:tc>
          <w:tcPr>
            <w:tcW w:w="5" w:type="pct"/>
            <w:shd w:val="clear" w:color="auto" w:fill="auto"/>
          </w:tcPr>
          <w:p w14:paraId="00BB0E7D" w14:textId="77777777" w:rsidR="00871BDF" w:rsidRDefault="00871BDF">
            <w:pPr>
              <w:rPr>
                <w:rFonts w:ascii="宋体"/>
              </w:rPr>
            </w:pPr>
          </w:p>
        </w:tc>
        <w:tc>
          <w:tcPr>
            <w:tcW w:w="5" w:type="pct"/>
            <w:shd w:val="clear" w:color="auto" w:fill="auto"/>
          </w:tcPr>
          <w:p w14:paraId="00BB0E7E" w14:textId="77777777" w:rsidR="00871BDF" w:rsidRDefault="00871BDF">
            <w:pPr>
              <w:rPr>
                <w:rFonts w:ascii="宋体"/>
              </w:rPr>
            </w:pPr>
          </w:p>
        </w:tc>
        <w:tc>
          <w:tcPr>
            <w:tcW w:w="26" w:type="pct"/>
            <w:shd w:val="clear" w:color="auto" w:fill="auto"/>
          </w:tcPr>
          <w:p w14:paraId="00BB0E7F" w14:textId="77777777" w:rsidR="00871BDF" w:rsidRDefault="00871BDF">
            <w:pPr>
              <w:rPr>
                <w:rFonts w:ascii="宋体"/>
              </w:rPr>
            </w:pPr>
          </w:p>
        </w:tc>
        <w:tc>
          <w:tcPr>
            <w:tcW w:w="5" w:type="pct"/>
            <w:shd w:val="clear" w:color="auto" w:fill="auto"/>
          </w:tcPr>
          <w:p w14:paraId="00BB0E80" w14:textId="77777777" w:rsidR="00871BDF" w:rsidRDefault="00871BDF">
            <w:pPr>
              <w:rPr>
                <w:rFonts w:ascii="宋体"/>
              </w:rPr>
            </w:pPr>
          </w:p>
        </w:tc>
        <w:tc>
          <w:tcPr>
            <w:tcW w:w="50" w:type="pct"/>
            <w:shd w:val="clear" w:color="auto" w:fill="auto"/>
          </w:tcPr>
          <w:p w14:paraId="00BB0E81" w14:textId="77777777" w:rsidR="00871BDF" w:rsidRDefault="00871BDF">
            <w:pPr>
              <w:rPr>
                <w:rFonts w:ascii="宋体"/>
              </w:rPr>
            </w:pPr>
          </w:p>
        </w:tc>
        <w:tc>
          <w:tcPr>
            <w:tcW w:w="503" w:type="pct"/>
            <w:shd w:val="clear" w:color="auto" w:fill="auto"/>
          </w:tcPr>
          <w:p w14:paraId="00BB0E82" w14:textId="77777777" w:rsidR="00871BDF" w:rsidRDefault="00871BDF">
            <w:pPr>
              <w:rPr>
                <w:rFonts w:ascii="宋体"/>
              </w:rPr>
            </w:pPr>
          </w:p>
        </w:tc>
        <w:tc>
          <w:tcPr>
            <w:tcW w:w="5" w:type="pct"/>
            <w:shd w:val="clear" w:color="auto" w:fill="auto"/>
          </w:tcPr>
          <w:p w14:paraId="00BB0E83" w14:textId="77777777" w:rsidR="00871BDF" w:rsidRDefault="00871BDF">
            <w:pPr>
              <w:rPr>
                <w:rFonts w:ascii="宋体"/>
              </w:rPr>
            </w:pPr>
          </w:p>
        </w:tc>
        <w:tc>
          <w:tcPr>
            <w:tcW w:w="5" w:type="pct"/>
            <w:shd w:val="clear" w:color="auto" w:fill="auto"/>
          </w:tcPr>
          <w:p w14:paraId="00BB0E84" w14:textId="77777777" w:rsidR="00871BDF" w:rsidRDefault="00871BDF">
            <w:pPr>
              <w:rPr>
                <w:rFonts w:ascii="宋体"/>
              </w:rPr>
            </w:pPr>
          </w:p>
        </w:tc>
        <w:tc>
          <w:tcPr>
            <w:tcW w:w="26" w:type="pct"/>
            <w:shd w:val="clear" w:color="auto" w:fill="auto"/>
          </w:tcPr>
          <w:p w14:paraId="00BB0E85" w14:textId="77777777" w:rsidR="00871BDF" w:rsidRDefault="00871BDF">
            <w:pPr>
              <w:rPr>
                <w:rFonts w:ascii="宋体"/>
              </w:rPr>
            </w:pPr>
          </w:p>
        </w:tc>
        <w:tc>
          <w:tcPr>
            <w:tcW w:w="5" w:type="pct"/>
            <w:shd w:val="clear" w:color="auto" w:fill="auto"/>
          </w:tcPr>
          <w:p w14:paraId="00BB0E86" w14:textId="77777777" w:rsidR="00871BDF" w:rsidRDefault="00871BDF">
            <w:pPr>
              <w:rPr>
                <w:rFonts w:ascii="宋体"/>
              </w:rPr>
            </w:pPr>
          </w:p>
        </w:tc>
        <w:tc>
          <w:tcPr>
            <w:tcW w:w="50" w:type="pct"/>
            <w:shd w:val="clear" w:color="auto" w:fill="auto"/>
          </w:tcPr>
          <w:p w14:paraId="00BB0E87" w14:textId="77777777" w:rsidR="00871BDF" w:rsidRDefault="00871BDF">
            <w:pPr>
              <w:rPr>
                <w:rFonts w:ascii="宋体"/>
              </w:rPr>
            </w:pPr>
          </w:p>
        </w:tc>
        <w:tc>
          <w:tcPr>
            <w:tcW w:w="510" w:type="pct"/>
            <w:shd w:val="clear" w:color="auto" w:fill="auto"/>
          </w:tcPr>
          <w:p w14:paraId="00BB0E88" w14:textId="77777777" w:rsidR="00871BDF" w:rsidRDefault="00871BDF">
            <w:pPr>
              <w:rPr>
                <w:rFonts w:ascii="宋体"/>
              </w:rPr>
            </w:pPr>
          </w:p>
        </w:tc>
        <w:tc>
          <w:tcPr>
            <w:tcW w:w="5" w:type="pct"/>
            <w:shd w:val="clear" w:color="auto" w:fill="auto"/>
          </w:tcPr>
          <w:p w14:paraId="00BB0E89" w14:textId="77777777" w:rsidR="00871BDF" w:rsidRDefault="00871BDF">
            <w:pPr>
              <w:rPr>
                <w:rFonts w:ascii="宋体"/>
              </w:rPr>
            </w:pPr>
          </w:p>
        </w:tc>
        <w:tc>
          <w:tcPr>
            <w:tcW w:w="5" w:type="pct"/>
            <w:shd w:val="clear" w:color="auto" w:fill="auto"/>
          </w:tcPr>
          <w:p w14:paraId="00BB0E8A" w14:textId="77777777" w:rsidR="00871BDF" w:rsidRDefault="00871BDF">
            <w:pPr>
              <w:rPr>
                <w:rFonts w:ascii="宋体"/>
              </w:rPr>
            </w:pPr>
          </w:p>
        </w:tc>
        <w:tc>
          <w:tcPr>
            <w:tcW w:w="26" w:type="pct"/>
            <w:shd w:val="clear" w:color="auto" w:fill="auto"/>
          </w:tcPr>
          <w:p w14:paraId="00BB0E8B" w14:textId="77777777" w:rsidR="00871BDF" w:rsidRDefault="00871BDF">
            <w:pPr>
              <w:rPr>
                <w:rFonts w:ascii="宋体"/>
              </w:rPr>
            </w:pPr>
          </w:p>
        </w:tc>
        <w:tc>
          <w:tcPr>
            <w:tcW w:w="5" w:type="pct"/>
            <w:shd w:val="clear" w:color="auto" w:fill="auto"/>
          </w:tcPr>
          <w:p w14:paraId="00BB0E8C" w14:textId="77777777" w:rsidR="00871BDF" w:rsidRDefault="00871BDF">
            <w:pPr>
              <w:rPr>
                <w:rFonts w:ascii="宋体"/>
              </w:rPr>
            </w:pPr>
          </w:p>
        </w:tc>
        <w:tc>
          <w:tcPr>
            <w:tcW w:w="50" w:type="pct"/>
            <w:shd w:val="clear" w:color="auto" w:fill="auto"/>
          </w:tcPr>
          <w:p w14:paraId="00BB0E8D" w14:textId="77777777" w:rsidR="00871BDF" w:rsidRDefault="00871BDF">
            <w:pPr>
              <w:rPr>
                <w:rFonts w:ascii="宋体"/>
              </w:rPr>
            </w:pPr>
          </w:p>
        </w:tc>
        <w:tc>
          <w:tcPr>
            <w:tcW w:w="503" w:type="pct"/>
            <w:shd w:val="clear" w:color="auto" w:fill="auto"/>
          </w:tcPr>
          <w:p w14:paraId="00BB0E8E" w14:textId="77777777" w:rsidR="00871BDF" w:rsidRDefault="00871BDF">
            <w:pPr>
              <w:rPr>
                <w:rFonts w:ascii="宋体"/>
              </w:rPr>
            </w:pPr>
          </w:p>
        </w:tc>
        <w:tc>
          <w:tcPr>
            <w:tcW w:w="5" w:type="pct"/>
            <w:shd w:val="clear" w:color="auto" w:fill="auto"/>
          </w:tcPr>
          <w:p w14:paraId="00BB0E8F" w14:textId="77777777" w:rsidR="00871BDF" w:rsidRDefault="00871BDF">
            <w:pPr>
              <w:rPr>
                <w:rFonts w:ascii="宋体"/>
              </w:rPr>
            </w:pPr>
          </w:p>
        </w:tc>
        <w:tc>
          <w:tcPr>
            <w:tcW w:w="5" w:type="pct"/>
            <w:shd w:val="clear" w:color="auto" w:fill="auto"/>
          </w:tcPr>
          <w:p w14:paraId="00BB0E90" w14:textId="77777777" w:rsidR="00871BDF" w:rsidRDefault="00871BDF">
            <w:pPr>
              <w:rPr>
                <w:rFonts w:ascii="宋体"/>
              </w:rPr>
            </w:pPr>
          </w:p>
        </w:tc>
        <w:tc>
          <w:tcPr>
            <w:tcW w:w="26" w:type="pct"/>
            <w:shd w:val="clear" w:color="auto" w:fill="auto"/>
          </w:tcPr>
          <w:p w14:paraId="00BB0E91" w14:textId="77777777" w:rsidR="00871BDF" w:rsidRDefault="00871BDF">
            <w:pPr>
              <w:rPr>
                <w:rFonts w:ascii="宋体"/>
              </w:rPr>
            </w:pPr>
          </w:p>
        </w:tc>
        <w:tc>
          <w:tcPr>
            <w:tcW w:w="5" w:type="pct"/>
            <w:shd w:val="clear" w:color="auto" w:fill="auto"/>
          </w:tcPr>
          <w:p w14:paraId="00BB0E92" w14:textId="77777777" w:rsidR="00871BDF" w:rsidRDefault="00871BDF">
            <w:pPr>
              <w:rPr>
                <w:rFonts w:ascii="宋体"/>
              </w:rPr>
            </w:pPr>
          </w:p>
        </w:tc>
        <w:tc>
          <w:tcPr>
            <w:tcW w:w="50" w:type="pct"/>
            <w:shd w:val="clear" w:color="auto" w:fill="auto"/>
          </w:tcPr>
          <w:p w14:paraId="00BB0E93" w14:textId="77777777" w:rsidR="00871BDF" w:rsidRDefault="00871BDF">
            <w:pPr>
              <w:rPr>
                <w:rFonts w:ascii="宋体"/>
              </w:rPr>
            </w:pPr>
          </w:p>
        </w:tc>
        <w:tc>
          <w:tcPr>
            <w:tcW w:w="407" w:type="pct"/>
            <w:shd w:val="clear" w:color="auto" w:fill="auto"/>
          </w:tcPr>
          <w:p w14:paraId="00BB0E94" w14:textId="77777777" w:rsidR="00871BDF" w:rsidRDefault="00871BDF">
            <w:pPr>
              <w:rPr>
                <w:rFonts w:ascii="宋体"/>
              </w:rPr>
            </w:pPr>
          </w:p>
        </w:tc>
        <w:tc>
          <w:tcPr>
            <w:tcW w:w="5" w:type="pct"/>
            <w:shd w:val="clear" w:color="auto" w:fill="auto"/>
          </w:tcPr>
          <w:p w14:paraId="00BB0E95" w14:textId="77777777" w:rsidR="00871BDF" w:rsidRDefault="00871BDF">
            <w:pPr>
              <w:rPr>
                <w:rFonts w:ascii="宋体"/>
              </w:rPr>
            </w:pPr>
          </w:p>
        </w:tc>
      </w:tr>
      <w:tr w:rsidR="00871BDF" w14:paraId="00BB0E9E" w14:textId="77777777">
        <w:trPr>
          <w:jc w:val="center"/>
        </w:trPr>
        <w:tc>
          <w:tcPr>
            <w:tcW w:w="0" w:type="auto"/>
            <w:gridSpan w:val="3"/>
            <w:shd w:val="clear" w:color="auto" w:fill="FFFFFF"/>
            <w:tcMar>
              <w:top w:w="40" w:type="dxa"/>
              <w:left w:w="20" w:type="dxa"/>
              <w:bottom w:w="40" w:type="dxa"/>
              <w:right w:w="20" w:type="dxa"/>
            </w:tcMar>
            <w:vAlign w:val="bottom"/>
          </w:tcPr>
          <w:p w14:paraId="00BB0E97" w14:textId="77777777" w:rsidR="00871BDF" w:rsidRDefault="005C5088">
            <w:pPr>
              <w:jc w:val="cente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FFFFFF"/>
            <w:tcMar>
              <w:top w:w="0" w:type="dxa"/>
              <w:left w:w="20" w:type="dxa"/>
              <w:bottom w:w="0" w:type="dxa"/>
              <w:right w:w="20" w:type="dxa"/>
            </w:tcMar>
          </w:tcPr>
          <w:p w14:paraId="00BB0E98"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B0E99"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FFFFFF"/>
            <w:tcMar>
              <w:top w:w="0" w:type="dxa"/>
              <w:left w:w="20" w:type="dxa"/>
              <w:bottom w:w="0" w:type="dxa"/>
              <w:right w:w="20" w:type="dxa"/>
            </w:tcMar>
          </w:tcPr>
          <w:p w14:paraId="00BB0E9A" w14:textId="77777777" w:rsidR="00871BDF" w:rsidRDefault="00871BDF">
            <w:pPr>
              <w:rPr>
                <w:rFonts w:ascii="宋体"/>
              </w:rPr>
            </w:pPr>
          </w:p>
        </w:tc>
        <w:tc>
          <w:tcPr>
            <w:tcW w:w="0" w:type="auto"/>
            <w:gridSpan w:val="21"/>
            <w:shd w:val="clear" w:color="auto" w:fill="00704A"/>
            <w:tcMar>
              <w:top w:w="40" w:type="dxa"/>
              <w:left w:w="20" w:type="dxa"/>
              <w:bottom w:w="40" w:type="dxa"/>
              <w:right w:w="20" w:type="dxa"/>
            </w:tcMar>
            <w:vAlign w:val="bottom"/>
          </w:tcPr>
          <w:p w14:paraId="00BB0E9B" w14:textId="77777777" w:rsidR="00871BDF" w:rsidRDefault="005C5088">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FFFFFF"/>
            <w:tcMar>
              <w:top w:w="0" w:type="dxa"/>
              <w:left w:w="20" w:type="dxa"/>
              <w:bottom w:w="0" w:type="dxa"/>
              <w:right w:w="20" w:type="dxa"/>
            </w:tcMar>
          </w:tcPr>
          <w:p w14:paraId="00BB0E9C"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B0E9D"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871BDF" w14:paraId="00BB0EAF" w14:textId="77777777">
        <w:trPr>
          <w:jc w:val="center"/>
        </w:trPr>
        <w:tc>
          <w:tcPr>
            <w:tcW w:w="0" w:type="auto"/>
            <w:gridSpan w:val="3"/>
            <w:shd w:val="clear" w:color="auto" w:fill="00704A"/>
            <w:tcMar>
              <w:top w:w="40" w:type="dxa"/>
              <w:left w:w="20" w:type="dxa"/>
              <w:bottom w:w="40" w:type="dxa"/>
              <w:right w:w="20" w:type="dxa"/>
            </w:tcMar>
            <w:vAlign w:val="bottom"/>
          </w:tcPr>
          <w:p w14:paraId="00BB0E9F" w14:textId="77777777" w:rsidR="00871BDF" w:rsidRDefault="005C5088">
            <w:pPr>
              <w:jc w:val="center"/>
              <w:textAlignment w:val="bottom"/>
            </w:pPr>
            <w:r>
              <w:rPr>
                <w:rFonts w:ascii="Times New Roman" w:eastAsia="宋体" w:hAnsi="Times New Roman"/>
                <w:b/>
                <w:bCs/>
                <w:color w:val="FFFFFF"/>
                <w:sz w:val="16"/>
                <w:szCs w:val="16"/>
              </w:rPr>
              <w:t>Exhibit</w:t>
            </w:r>
          </w:p>
          <w:p w14:paraId="00BB0EA0"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FFFFFF"/>
            <w:tcMar>
              <w:top w:w="0" w:type="dxa"/>
              <w:left w:w="20" w:type="dxa"/>
              <w:bottom w:w="0" w:type="dxa"/>
              <w:right w:w="20" w:type="dxa"/>
            </w:tcMar>
          </w:tcPr>
          <w:p w14:paraId="00BB0EA1"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EA2" w14:textId="77777777" w:rsidR="00871BDF" w:rsidRDefault="005C5088">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FFFFFF"/>
            <w:tcMar>
              <w:top w:w="0" w:type="dxa"/>
              <w:left w:w="20" w:type="dxa"/>
              <w:bottom w:w="0" w:type="dxa"/>
              <w:right w:w="20" w:type="dxa"/>
            </w:tcMar>
          </w:tcPr>
          <w:p w14:paraId="00BB0EA3"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EA4" w14:textId="77777777" w:rsidR="00871BDF" w:rsidRDefault="005C5088">
            <w:pPr>
              <w:jc w:val="center"/>
              <w:textAlignment w:val="bottom"/>
            </w:pPr>
            <w:r>
              <w:rPr>
                <w:rFonts w:ascii="Times New Roman" w:eastAsia="宋体" w:hAnsi="Times New Roman"/>
                <w:b/>
                <w:bCs/>
                <w:color w:val="FFFFFF"/>
                <w:sz w:val="16"/>
                <w:szCs w:val="16"/>
              </w:rPr>
              <w:t>Form</w:t>
            </w:r>
          </w:p>
        </w:tc>
        <w:tc>
          <w:tcPr>
            <w:tcW w:w="0" w:type="auto"/>
            <w:gridSpan w:val="3"/>
            <w:shd w:val="clear" w:color="auto" w:fill="FFFFFF"/>
            <w:tcMar>
              <w:top w:w="0" w:type="dxa"/>
              <w:left w:w="20" w:type="dxa"/>
              <w:bottom w:w="0" w:type="dxa"/>
              <w:right w:w="20" w:type="dxa"/>
            </w:tcMar>
          </w:tcPr>
          <w:p w14:paraId="00BB0EA5"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EA6" w14:textId="77777777" w:rsidR="00871BDF" w:rsidRDefault="005C5088">
            <w:pPr>
              <w:jc w:val="center"/>
              <w:textAlignment w:val="bottom"/>
            </w:pPr>
            <w:r>
              <w:rPr>
                <w:rFonts w:ascii="Times New Roman" w:eastAsia="宋体" w:hAnsi="Times New Roman"/>
                <w:b/>
                <w:bCs/>
                <w:color w:val="FFFFFF"/>
                <w:sz w:val="16"/>
                <w:szCs w:val="16"/>
              </w:rPr>
              <w:t>File No.</w:t>
            </w:r>
          </w:p>
        </w:tc>
        <w:tc>
          <w:tcPr>
            <w:tcW w:w="0" w:type="auto"/>
            <w:gridSpan w:val="3"/>
            <w:shd w:val="clear" w:color="auto" w:fill="FFFFFF"/>
            <w:tcMar>
              <w:top w:w="0" w:type="dxa"/>
              <w:left w:w="20" w:type="dxa"/>
              <w:bottom w:w="0" w:type="dxa"/>
              <w:right w:w="20" w:type="dxa"/>
            </w:tcMar>
          </w:tcPr>
          <w:p w14:paraId="00BB0EA7"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EA8" w14:textId="77777777" w:rsidR="00871BDF" w:rsidRDefault="005C5088">
            <w:pPr>
              <w:jc w:val="center"/>
              <w:textAlignment w:val="bottom"/>
            </w:pPr>
            <w:r>
              <w:rPr>
                <w:rFonts w:ascii="Times New Roman" w:eastAsia="宋体" w:hAnsi="Times New Roman"/>
                <w:b/>
                <w:bCs/>
                <w:color w:val="FFFFFF"/>
                <w:sz w:val="16"/>
                <w:szCs w:val="16"/>
              </w:rPr>
              <w:t>Date of Filing</w:t>
            </w:r>
          </w:p>
        </w:tc>
        <w:tc>
          <w:tcPr>
            <w:tcW w:w="0" w:type="auto"/>
            <w:gridSpan w:val="3"/>
            <w:shd w:val="clear" w:color="auto" w:fill="FFFFFF"/>
            <w:tcMar>
              <w:top w:w="0" w:type="dxa"/>
              <w:left w:w="20" w:type="dxa"/>
              <w:bottom w:w="0" w:type="dxa"/>
              <w:right w:w="20" w:type="dxa"/>
            </w:tcMar>
          </w:tcPr>
          <w:p w14:paraId="00BB0EA9"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EAA" w14:textId="77777777" w:rsidR="00871BDF" w:rsidRDefault="005C5088">
            <w:pPr>
              <w:jc w:val="center"/>
              <w:textAlignment w:val="bottom"/>
            </w:pPr>
            <w:r>
              <w:rPr>
                <w:rFonts w:ascii="Times New Roman" w:eastAsia="宋体" w:hAnsi="Times New Roman"/>
                <w:b/>
                <w:bCs/>
                <w:color w:val="FFFFFF"/>
                <w:sz w:val="16"/>
                <w:szCs w:val="16"/>
              </w:rPr>
              <w:t>Exhibit</w:t>
            </w:r>
          </w:p>
          <w:p w14:paraId="00BB0EAB"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FFFFFF"/>
            <w:tcMar>
              <w:top w:w="0" w:type="dxa"/>
              <w:left w:w="20" w:type="dxa"/>
              <w:bottom w:w="0" w:type="dxa"/>
              <w:right w:w="20" w:type="dxa"/>
            </w:tcMar>
          </w:tcPr>
          <w:p w14:paraId="00BB0EA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EAD" w14:textId="77777777" w:rsidR="00871BDF" w:rsidRDefault="005C5088">
            <w:pPr>
              <w:jc w:val="center"/>
              <w:textAlignment w:val="bottom"/>
            </w:pPr>
            <w:r>
              <w:rPr>
                <w:rFonts w:ascii="Times New Roman" w:eastAsia="宋体" w:hAnsi="Times New Roman"/>
                <w:b/>
                <w:bCs/>
                <w:color w:val="FFFFFF"/>
                <w:sz w:val="16"/>
                <w:szCs w:val="16"/>
              </w:rPr>
              <w:t>Filed</w:t>
            </w:r>
          </w:p>
          <w:p w14:paraId="00BB0EAE" w14:textId="77777777" w:rsidR="00871BDF" w:rsidRDefault="005C5088">
            <w:pPr>
              <w:jc w:val="center"/>
              <w:textAlignment w:val="bottom"/>
            </w:pPr>
            <w:r>
              <w:rPr>
                <w:rFonts w:ascii="Times New Roman" w:eastAsia="宋体" w:hAnsi="Times New Roman"/>
                <w:b/>
                <w:bCs/>
                <w:color w:val="FFFFFF"/>
                <w:sz w:val="16"/>
                <w:szCs w:val="16"/>
              </w:rPr>
              <w:t>Herewith</w:t>
            </w:r>
          </w:p>
        </w:tc>
      </w:tr>
      <w:tr w:rsidR="00871BDF" w14:paraId="00BB0EBD"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tcPr>
          <w:p w14:paraId="00BB0EB0" w14:textId="77777777" w:rsidR="00871BDF" w:rsidRDefault="005C5088">
            <w:pPr>
              <w:jc w:val="center"/>
              <w:textAlignment w:val="top"/>
            </w:pPr>
            <w:hyperlink r:id="rId333" w:history="1">
              <w:r>
                <w:rPr>
                  <w:rStyle w:val="a5"/>
                  <w:rFonts w:ascii="Times New Roman" w:eastAsia="宋体" w:hAnsi="Times New Roman"/>
                  <w:sz w:val="20"/>
                  <w:szCs w:val="20"/>
                </w:rPr>
                <w:t>10.4*</w:t>
              </w:r>
            </w:hyperlink>
          </w:p>
        </w:tc>
        <w:tc>
          <w:tcPr>
            <w:tcW w:w="0" w:type="auto"/>
            <w:gridSpan w:val="3"/>
            <w:shd w:val="clear" w:color="auto" w:fill="FFFFFF"/>
            <w:tcMar>
              <w:top w:w="0" w:type="dxa"/>
              <w:left w:w="20" w:type="dxa"/>
              <w:bottom w:w="0" w:type="dxa"/>
              <w:right w:w="20" w:type="dxa"/>
            </w:tcMar>
          </w:tcPr>
          <w:p w14:paraId="00BB0EB1" w14:textId="77777777" w:rsidR="00871BDF" w:rsidRDefault="00871BDF">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00BB0EB2" w14:textId="77777777" w:rsidR="00871BDF" w:rsidRDefault="005C5088">
            <w:pPr>
              <w:textAlignment w:val="top"/>
            </w:pPr>
            <w:hyperlink r:id="rId334" w:history="1">
              <w:r>
                <w:rPr>
                  <w:rStyle w:val="a5"/>
                  <w:rFonts w:ascii="Times New Roman" w:eastAsia="宋体" w:hAnsi="Times New Roman"/>
                  <w:sz w:val="20"/>
                  <w:szCs w:val="20"/>
                </w:rPr>
                <w:t>Fifth Amendment to Starbucks Corporation Management Deferred Compensation Plan</w:t>
              </w:r>
            </w:hyperlink>
          </w:p>
        </w:tc>
        <w:tc>
          <w:tcPr>
            <w:tcW w:w="0" w:type="auto"/>
            <w:gridSpan w:val="3"/>
            <w:shd w:val="clear" w:color="auto" w:fill="FFFFFF"/>
            <w:tcMar>
              <w:top w:w="0" w:type="dxa"/>
              <w:left w:w="20" w:type="dxa"/>
              <w:bottom w:w="0" w:type="dxa"/>
              <w:right w:w="20" w:type="dxa"/>
            </w:tcMar>
          </w:tcPr>
          <w:p w14:paraId="00BB0EB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B4" w14:textId="77777777" w:rsidR="00871BDF" w:rsidRDefault="005C5088">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tcPr>
          <w:p w14:paraId="00BB0EB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B6"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EB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B8" w14:textId="77777777" w:rsidR="00871BDF" w:rsidRDefault="005C5088">
            <w:pPr>
              <w:jc w:val="center"/>
              <w:textAlignment w:val="top"/>
            </w:pPr>
            <w:r>
              <w:rPr>
                <w:rFonts w:ascii="Times New Roman" w:eastAsia="宋体" w:hAnsi="Times New Roman"/>
                <w:color w:val="000000"/>
                <w:sz w:val="20"/>
                <w:szCs w:val="20"/>
              </w:rPr>
              <w:t>7/28/2020</w:t>
            </w:r>
          </w:p>
        </w:tc>
        <w:tc>
          <w:tcPr>
            <w:tcW w:w="0" w:type="auto"/>
            <w:gridSpan w:val="3"/>
            <w:shd w:val="clear" w:color="auto" w:fill="FFFFFF"/>
            <w:tcMar>
              <w:top w:w="0" w:type="dxa"/>
              <w:left w:w="20" w:type="dxa"/>
              <w:bottom w:w="0" w:type="dxa"/>
              <w:right w:w="20" w:type="dxa"/>
            </w:tcMar>
          </w:tcPr>
          <w:p w14:paraId="00BB0EB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BA" w14:textId="77777777" w:rsidR="00871BDF" w:rsidRDefault="005C5088">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tcPr>
          <w:p w14:paraId="00BB0EBB" w14:textId="77777777" w:rsidR="00871BDF" w:rsidRDefault="00871BD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00BB0EBC" w14:textId="77777777" w:rsidR="00871BDF" w:rsidRDefault="00871BDF">
            <w:pPr>
              <w:rPr>
                <w:rFonts w:ascii="宋体"/>
              </w:rPr>
            </w:pPr>
          </w:p>
        </w:tc>
      </w:tr>
      <w:tr w:rsidR="00871BDF" w14:paraId="00BB0ECB" w14:textId="77777777">
        <w:trPr>
          <w:jc w:val="center"/>
        </w:trPr>
        <w:tc>
          <w:tcPr>
            <w:tcW w:w="0" w:type="auto"/>
            <w:gridSpan w:val="3"/>
            <w:shd w:val="clear" w:color="auto" w:fill="D7E4BC"/>
            <w:tcMar>
              <w:top w:w="40" w:type="dxa"/>
              <w:left w:w="20" w:type="dxa"/>
              <w:bottom w:w="40" w:type="dxa"/>
              <w:right w:w="20" w:type="dxa"/>
            </w:tcMar>
          </w:tcPr>
          <w:p w14:paraId="00BB0EBE" w14:textId="77777777" w:rsidR="00871BDF" w:rsidRDefault="005C5088">
            <w:pPr>
              <w:jc w:val="center"/>
              <w:textAlignment w:val="top"/>
            </w:pPr>
            <w:hyperlink r:id="rId335" w:history="1">
              <w:r>
                <w:rPr>
                  <w:rStyle w:val="a5"/>
                  <w:rFonts w:ascii="Times New Roman" w:eastAsia="宋体" w:hAnsi="Times New Roman"/>
                  <w:sz w:val="20"/>
                  <w:szCs w:val="20"/>
                </w:rPr>
                <w:t>10.5*</w:t>
              </w:r>
            </w:hyperlink>
          </w:p>
        </w:tc>
        <w:tc>
          <w:tcPr>
            <w:tcW w:w="0" w:type="auto"/>
            <w:gridSpan w:val="3"/>
            <w:shd w:val="clear" w:color="auto" w:fill="D7E4BC"/>
            <w:tcMar>
              <w:top w:w="0" w:type="dxa"/>
              <w:left w:w="20" w:type="dxa"/>
              <w:bottom w:w="0" w:type="dxa"/>
              <w:right w:w="20" w:type="dxa"/>
            </w:tcMar>
          </w:tcPr>
          <w:p w14:paraId="00BB0EB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C0" w14:textId="77777777" w:rsidR="00871BDF" w:rsidRDefault="005C5088">
            <w:pPr>
              <w:textAlignment w:val="top"/>
            </w:pPr>
            <w:hyperlink r:id="rId336" w:history="1">
              <w:r>
                <w:rPr>
                  <w:rStyle w:val="a5"/>
                  <w:rFonts w:ascii="Times New Roman" w:eastAsia="宋体" w:hAnsi="Times New Roman"/>
                  <w:sz w:val="20"/>
                  <w:szCs w:val="20"/>
                </w:rPr>
                <w:t>Starbucks Corporation UK Share Save Plan</w:t>
              </w:r>
            </w:hyperlink>
          </w:p>
        </w:tc>
        <w:tc>
          <w:tcPr>
            <w:tcW w:w="0" w:type="auto"/>
            <w:gridSpan w:val="3"/>
            <w:shd w:val="clear" w:color="auto" w:fill="D7E4BC"/>
            <w:tcMar>
              <w:top w:w="0" w:type="dxa"/>
              <w:left w:w="20" w:type="dxa"/>
              <w:bottom w:w="0" w:type="dxa"/>
              <w:right w:w="20" w:type="dxa"/>
            </w:tcMar>
          </w:tcPr>
          <w:p w14:paraId="00BB0EC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C2"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tcPr>
          <w:p w14:paraId="00BB0EC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C4"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EC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C6" w14:textId="77777777" w:rsidR="00871BDF" w:rsidRDefault="005C5088">
            <w:pPr>
              <w:jc w:val="center"/>
              <w:textAlignment w:val="top"/>
            </w:pPr>
            <w:r>
              <w:rPr>
                <w:rFonts w:ascii="Times New Roman" w:eastAsia="宋体" w:hAnsi="Times New Roman"/>
                <w:color w:val="000000"/>
                <w:sz w:val="20"/>
                <w:szCs w:val="20"/>
              </w:rPr>
              <w:t>12/23/2003</w:t>
            </w:r>
          </w:p>
        </w:tc>
        <w:tc>
          <w:tcPr>
            <w:tcW w:w="0" w:type="auto"/>
            <w:gridSpan w:val="3"/>
            <w:shd w:val="clear" w:color="auto" w:fill="D7E4BC"/>
            <w:tcMar>
              <w:top w:w="0" w:type="dxa"/>
              <w:left w:w="20" w:type="dxa"/>
              <w:bottom w:w="0" w:type="dxa"/>
              <w:right w:w="20" w:type="dxa"/>
            </w:tcMar>
          </w:tcPr>
          <w:p w14:paraId="00BB0EC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C8" w14:textId="77777777" w:rsidR="00871BDF" w:rsidRDefault="005C5088">
            <w:pPr>
              <w:jc w:val="center"/>
              <w:textAlignment w:val="top"/>
            </w:pPr>
            <w:r>
              <w:rPr>
                <w:rFonts w:ascii="Times New Roman" w:eastAsia="宋体" w:hAnsi="Times New Roman"/>
                <w:color w:val="000000"/>
                <w:sz w:val="20"/>
                <w:szCs w:val="20"/>
              </w:rPr>
              <w:t>10.9</w:t>
            </w:r>
          </w:p>
        </w:tc>
        <w:tc>
          <w:tcPr>
            <w:tcW w:w="0" w:type="auto"/>
            <w:gridSpan w:val="3"/>
            <w:shd w:val="clear" w:color="auto" w:fill="D7E4BC"/>
            <w:tcMar>
              <w:top w:w="0" w:type="dxa"/>
              <w:left w:w="20" w:type="dxa"/>
              <w:bottom w:w="0" w:type="dxa"/>
              <w:right w:w="20" w:type="dxa"/>
            </w:tcMar>
          </w:tcPr>
          <w:p w14:paraId="00BB0EC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ECA" w14:textId="77777777" w:rsidR="00871BDF" w:rsidRDefault="00871BDF">
            <w:pPr>
              <w:rPr>
                <w:rFonts w:ascii="宋体"/>
              </w:rPr>
            </w:pPr>
          </w:p>
        </w:tc>
      </w:tr>
      <w:tr w:rsidR="00871BDF" w14:paraId="00BB0ED9" w14:textId="77777777">
        <w:trPr>
          <w:jc w:val="center"/>
        </w:trPr>
        <w:tc>
          <w:tcPr>
            <w:tcW w:w="0" w:type="auto"/>
            <w:gridSpan w:val="3"/>
            <w:shd w:val="clear" w:color="auto" w:fill="FFFFFF"/>
            <w:tcMar>
              <w:top w:w="40" w:type="dxa"/>
              <w:left w:w="20" w:type="dxa"/>
              <w:bottom w:w="40" w:type="dxa"/>
              <w:right w:w="20" w:type="dxa"/>
            </w:tcMar>
          </w:tcPr>
          <w:p w14:paraId="00BB0ECC" w14:textId="77777777" w:rsidR="00871BDF" w:rsidRDefault="005C5088">
            <w:pPr>
              <w:jc w:val="center"/>
              <w:textAlignment w:val="top"/>
            </w:pPr>
            <w:hyperlink r:id="rId337" w:history="1">
              <w:r>
                <w:rPr>
                  <w:rStyle w:val="a5"/>
                  <w:rFonts w:ascii="Times New Roman" w:eastAsia="宋体" w:hAnsi="Times New Roman"/>
                  <w:sz w:val="20"/>
                  <w:szCs w:val="20"/>
                </w:rPr>
                <w:t>10.6*</w:t>
              </w:r>
            </w:hyperlink>
          </w:p>
        </w:tc>
        <w:tc>
          <w:tcPr>
            <w:tcW w:w="0" w:type="auto"/>
            <w:gridSpan w:val="3"/>
            <w:shd w:val="clear" w:color="auto" w:fill="FFFFFF"/>
            <w:tcMar>
              <w:top w:w="0" w:type="dxa"/>
              <w:left w:w="20" w:type="dxa"/>
              <w:bottom w:w="0" w:type="dxa"/>
              <w:right w:w="20" w:type="dxa"/>
            </w:tcMar>
          </w:tcPr>
          <w:p w14:paraId="00BB0EC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CE" w14:textId="77777777" w:rsidR="00871BDF" w:rsidRDefault="005C5088">
            <w:pPr>
              <w:textAlignment w:val="top"/>
            </w:pPr>
            <w:hyperlink r:id="rId338" w:history="1">
              <w:r>
                <w:rPr>
                  <w:rStyle w:val="a5"/>
                  <w:rFonts w:ascii="Times New Roman" w:eastAsia="宋体" w:hAnsi="Times New Roman"/>
                  <w:sz w:val="20"/>
                  <w:szCs w:val="20"/>
                </w:rPr>
                <w:t>Starbucks Corporation Deferred Compensation Plan for Non-Employee Directors, effective October 3, 2011, as amended and restated effective September 11, 2018</w:t>
              </w:r>
            </w:hyperlink>
          </w:p>
        </w:tc>
        <w:tc>
          <w:tcPr>
            <w:tcW w:w="0" w:type="auto"/>
            <w:gridSpan w:val="3"/>
            <w:shd w:val="clear" w:color="auto" w:fill="FFFFFF"/>
            <w:tcMar>
              <w:top w:w="0" w:type="dxa"/>
              <w:left w:w="20" w:type="dxa"/>
              <w:bottom w:w="0" w:type="dxa"/>
              <w:right w:w="20" w:type="dxa"/>
            </w:tcMar>
          </w:tcPr>
          <w:p w14:paraId="00BB0EC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D0"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tcPr>
          <w:p w14:paraId="00BB0ED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D2"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ED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D4" w14:textId="77777777" w:rsidR="00871BDF" w:rsidRDefault="005C5088">
            <w:pPr>
              <w:jc w:val="center"/>
              <w:textAlignment w:val="top"/>
            </w:pPr>
            <w:r>
              <w:rPr>
                <w:rFonts w:ascii="Times New Roman" w:eastAsia="宋体" w:hAnsi="Times New Roman"/>
                <w:color w:val="000000"/>
                <w:sz w:val="20"/>
                <w:szCs w:val="20"/>
              </w:rPr>
              <w:t>11/16/2018</w:t>
            </w:r>
          </w:p>
        </w:tc>
        <w:tc>
          <w:tcPr>
            <w:tcW w:w="0" w:type="auto"/>
            <w:gridSpan w:val="3"/>
            <w:shd w:val="clear" w:color="auto" w:fill="FFFFFF"/>
            <w:tcMar>
              <w:top w:w="0" w:type="dxa"/>
              <w:left w:w="20" w:type="dxa"/>
              <w:bottom w:w="0" w:type="dxa"/>
              <w:right w:w="20" w:type="dxa"/>
            </w:tcMar>
          </w:tcPr>
          <w:p w14:paraId="00BB0ED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D6" w14:textId="77777777" w:rsidR="00871BDF" w:rsidRDefault="005C5088">
            <w:pPr>
              <w:jc w:val="center"/>
              <w:textAlignment w:val="top"/>
            </w:pPr>
            <w:r>
              <w:rPr>
                <w:rFonts w:ascii="Times New Roman" w:eastAsia="宋体" w:hAnsi="Times New Roman"/>
                <w:color w:val="000000"/>
                <w:sz w:val="20"/>
                <w:szCs w:val="20"/>
              </w:rPr>
              <w:t>10.5</w:t>
            </w:r>
          </w:p>
        </w:tc>
        <w:tc>
          <w:tcPr>
            <w:tcW w:w="0" w:type="auto"/>
            <w:gridSpan w:val="3"/>
            <w:shd w:val="clear" w:color="auto" w:fill="FFFFFF"/>
            <w:tcMar>
              <w:top w:w="0" w:type="dxa"/>
              <w:left w:w="20" w:type="dxa"/>
              <w:bottom w:w="0" w:type="dxa"/>
              <w:right w:w="20" w:type="dxa"/>
            </w:tcMar>
          </w:tcPr>
          <w:p w14:paraId="00BB0ED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ED8" w14:textId="77777777" w:rsidR="00871BDF" w:rsidRDefault="00871BDF">
            <w:pPr>
              <w:rPr>
                <w:rFonts w:ascii="宋体"/>
              </w:rPr>
            </w:pPr>
          </w:p>
        </w:tc>
      </w:tr>
      <w:tr w:rsidR="00871BDF" w14:paraId="00BB0EE7" w14:textId="77777777">
        <w:trPr>
          <w:jc w:val="center"/>
        </w:trPr>
        <w:tc>
          <w:tcPr>
            <w:tcW w:w="0" w:type="auto"/>
            <w:gridSpan w:val="3"/>
            <w:shd w:val="clear" w:color="auto" w:fill="D7E4BC"/>
            <w:tcMar>
              <w:top w:w="40" w:type="dxa"/>
              <w:left w:w="20" w:type="dxa"/>
              <w:bottom w:w="40" w:type="dxa"/>
              <w:right w:w="20" w:type="dxa"/>
            </w:tcMar>
          </w:tcPr>
          <w:p w14:paraId="00BB0EDA" w14:textId="77777777" w:rsidR="00871BDF" w:rsidRDefault="005C5088">
            <w:pPr>
              <w:jc w:val="center"/>
              <w:textAlignment w:val="top"/>
            </w:pPr>
            <w:hyperlink r:id="rId339" w:history="1">
              <w:r>
                <w:rPr>
                  <w:rStyle w:val="a5"/>
                  <w:rFonts w:ascii="Times New Roman" w:eastAsia="宋体" w:hAnsi="Times New Roman"/>
                  <w:sz w:val="20"/>
                  <w:szCs w:val="20"/>
                </w:rPr>
                <w:t>10.7*</w:t>
              </w:r>
            </w:hyperlink>
          </w:p>
        </w:tc>
        <w:tc>
          <w:tcPr>
            <w:tcW w:w="0" w:type="auto"/>
            <w:gridSpan w:val="3"/>
            <w:shd w:val="clear" w:color="auto" w:fill="D7E4BC"/>
            <w:tcMar>
              <w:top w:w="0" w:type="dxa"/>
              <w:left w:w="20" w:type="dxa"/>
              <w:bottom w:w="0" w:type="dxa"/>
              <w:right w:w="20" w:type="dxa"/>
            </w:tcMar>
          </w:tcPr>
          <w:p w14:paraId="00BB0ED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DC" w14:textId="77777777" w:rsidR="00871BDF" w:rsidRDefault="005C5088">
            <w:pPr>
              <w:textAlignment w:val="top"/>
            </w:pPr>
            <w:hyperlink r:id="rId340" w:history="1">
              <w:r>
                <w:rPr>
                  <w:rStyle w:val="a5"/>
                  <w:rFonts w:ascii="Times New Roman" w:eastAsia="宋体" w:hAnsi="Times New Roman"/>
                  <w:sz w:val="20"/>
                  <w:szCs w:val="20"/>
                </w:rPr>
                <w:t>Starbucks Corporation UK Share Incentive Plan, as amended a</w:t>
              </w:r>
              <w:r>
                <w:rPr>
                  <w:rStyle w:val="a5"/>
                  <w:rFonts w:ascii="Times New Roman" w:eastAsia="宋体" w:hAnsi="Times New Roman"/>
                  <w:sz w:val="20"/>
                  <w:szCs w:val="20"/>
                </w:rPr>
                <w:t>nd restated effective November 14, 2006</w:t>
              </w:r>
            </w:hyperlink>
          </w:p>
        </w:tc>
        <w:tc>
          <w:tcPr>
            <w:tcW w:w="0" w:type="auto"/>
            <w:gridSpan w:val="3"/>
            <w:shd w:val="clear" w:color="auto" w:fill="D7E4BC"/>
            <w:tcMar>
              <w:top w:w="0" w:type="dxa"/>
              <w:left w:w="20" w:type="dxa"/>
              <w:bottom w:w="0" w:type="dxa"/>
              <w:right w:w="20" w:type="dxa"/>
            </w:tcMar>
          </w:tcPr>
          <w:p w14:paraId="00BB0ED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DE"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tcPr>
          <w:p w14:paraId="00BB0ED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E0"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EE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E2" w14:textId="77777777" w:rsidR="00871BDF" w:rsidRDefault="005C5088">
            <w:pPr>
              <w:jc w:val="center"/>
              <w:textAlignment w:val="top"/>
            </w:pPr>
            <w:r>
              <w:rPr>
                <w:rFonts w:ascii="Times New Roman" w:eastAsia="宋体" w:hAnsi="Times New Roman"/>
                <w:color w:val="000000"/>
                <w:sz w:val="20"/>
                <w:szCs w:val="20"/>
              </w:rPr>
              <w:t>12/14/2006</w:t>
            </w:r>
          </w:p>
        </w:tc>
        <w:tc>
          <w:tcPr>
            <w:tcW w:w="0" w:type="auto"/>
            <w:gridSpan w:val="3"/>
            <w:shd w:val="clear" w:color="auto" w:fill="D7E4BC"/>
            <w:tcMar>
              <w:top w:w="0" w:type="dxa"/>
              <w:left w:w="20" w:type="dxa"/>
              <w:bottom w:w="0" w:type="dxa"/>
              <w:right w:w="20" w:type="dxa"/>
            </w:tcMar>
          </w:tcPr>
          <w:p w14:paraId="00BB0EE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E4" w14:textId="77777777" w:rsidR="00871BDF" w:rsidRDefault="005C5088">
            <w:pPr>
              <w:jc w:val="center"/>
              <w:textAlignment w:val="top"/>
            </w:pPr>
            <w:r>
              <w:rPr>
                <w:rFonts w:ascii="Times New Roman" w:eastAsia="宋体" w:hAnsi="Times New Roman"/>
                <w:color w:val="000000"/>
                <w:sz w:val="20"/>
                <w:szCs w:val="20"/>
              </w:rPr>
              <w:t>10.12</w:t>
            </w:r>
          </w:p>
        </w:tc>
        <w:tc>
          <w:tcPr>
            <w:tcW w:w="0" w:type="auto"/>
            <w:gridSpan w:val="3"/>
            <w:shd w:val="clear" w:color="auto" w:fill="D7E4BC"/>
            <w:tcMar>
              <w:top w:w="0" w:type="dxa"/>
              <w:left w:w="20" w:type="dxa"/>
              <w:bottom w:w="0" w:type="dxa"/>
              <w:right w:w="20" w:type="dxa"/>
            </w:tcMar>
          </w:tcPr>
          <w:p w14:paraId="00BB0EE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EE6" w14:textId="77777777" w:rsidR="00871BDF" w:rsidRDefault="00871BDF">
            <w:pPr>
              <w:rPr>
                <w:rFonts w:ascii="宋体"/>
              </w:rPr>
            </w:pPr>
          </w:p>
        </w:tc>
      </w:tr>
      <w:tr w:rsidR="00871BDF" w14:paraId="00BB0EF5" w14:textId="77777777">
        <w:trPr>
          <w:jc w:val="center"/>
        </w:trPr>
        <w:tc>
          <w:tcPr>
            <w:tcW w:w="0" w:type="auto"/>
            <w:gridSpan w:val="3"/>
            <w:shd w:val="clear" w:color="auto" w:fill="FFFFFF"/>
            <w:tcMar>
              <w:top w:w="40" w:type="dxa"/>
              <w:left w:w="20" w:type="dxa"/>
              <w:bottom w:w="40" w:type="dxa"/>
              <w:right w:w="20" w:type="dxa"/>
            </w:tcMar>
          </w:tcPr>
          <w:p w14:paraId="00BB0EE8" w14:textId="77777777" w:rsidR="00871BDF" w:rsidRDefault="005C5088">
            <w:pPr>
              <w:jc w:val="center"/>
              <w:textAlignment w:val="top"/>
            </w:pPr>
            <w:hyperlink r:id="rId341" w:history="1">
              <w:r>
                <w:rPr>
                  <w:rStyle w:val="a5"/>
                  <w:rFonts w:ascii="Times New Roman" w:eastAsia="宋体" w:hAnsi="Times New Roman"/>
                  <w:sz w:val="20"/>
                  <w:szCs w:val="20"/>
                </w:rPr>
                <w:t>1</w:t>
              </w:r>
            </w:hyperlink>
            <w:hyperlink r:id="rId342" w:history="1">
              <w:r>
                <w:rPr>
                  <w:rStyle w:val="a5"/>
                  <w:rFonts w:ascii="Times New Roman" w:eastAsia="宋体" w:hAnsi="Times New Roman"/>
                  <w:sz w:val="20"/>
                  <w:szCs w:val="20"/>
                </w:rPr>
                <w:t>0.</w:t>
              </w:r>
            </w:hyperlink>
            <w:hyperlink r:id="rId343" w:history="1">
              <w:r>
                <w:rPr>
                  <w:rStyle w:val="a5"/>
                  <w:rFonts w:ascii="Times New Roman" w:eastAsia="宋体" w:hAnsi="Times New Roman"/>
                  <w:sz w:val="20"/>
                  <w:szCs w:val="20"/>
                </w:rPr>
                <w:t>8</w:t>
              </w:r>
            </w:hyperlink>
            <w:hyperlink r:id="rId344" w:history="1">
              <w:r>
                <w:rPr>
                  <w:rStyle w:val="a5"/>
                  <w:rFonts w:ascii="Times New Roman" w:eastAsia="宋体" w:hAnsi="Times New Roman"/>
                  <w:sz w:val="20"/>
                  <w:szCs w:val="20"/>
                </w:rPr>
                <w:t>*</w:t>
              </w:r>
            </w:hyperlink>
          </w:p>
        </w:tc>
        <w:tc>
          <w:tcPr>
            <w:tcW w:w="0" w:type="auto"/>
            <w:gridSpan w:val="3"/>
            <w:shd w:val="clear" w:color="auto" w:fill="FFFFFF"/>
            <w:tcMar>
              <w:top w:w="0" w:type="dxa"/>
              <w:left w:w="20" w:type="dxa"/>
              <w:bottom w:w="0" w:type="dxa"/>
              <w:right w:w="20" w:type="dxa"/>
            </w:tcMar>
          </w:tcPr>
          <w:p w14:paraId="00BB0EE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EA" w14:textId="77777777" w:rsidR="00871BDF" w:rsidRDefault="005C5088">
            <w:pPr>
              <w:textAlignment w:val="top"/>
            </w:pPr>
            <w:hyperlink r:id="rId345" w:history="1">
              <w:r>
                <w:rPr>
                  <w:rStyle w:val="a5"/>
                  <w:rFonts w:ascii="Times New Roman" w:eastAsia="宋体" w:hAnsi="Times New Roman"/>
                  <w:sz w:val="20"/>
                  <w:szCs w:val="20"/>
                </w:rPr>
                <w:t>Starbucks Corporation 2005 Long-Term Equity Incentive Plan, as amended and restated effective March 20, 2013, as restated on April 9, 2015 to reflect adjustments for the 2-for-1 forward stock split effective on</w:t>
              </w:r>
              <w:r>
                <w:rPr>
                  <w:rStyle w:val="a5"/>
                  <w:rFonts w:ascii="Times New Roman" w:eastAsia="宋体" w:hAnsi="Times New Roman"/>
                  <w:sz w:val="20"/>
                  <w:szCs w:val="20"/>
                </w:rPr>
                <w:t xml:space="preserve"> such date, and as amended and restated by the Board on September 11, 2018</w:t>
              </w:r>
            </w:hyperlink>
          </w:p>
        </w:tc>
        <w:tc>
          <w:tcPr>
            <w:tcW w:w="0" w:type="auto"/>
            <w:gridSpan w:val="3"/>
            <w:shd w:val="clear" w:color="auto" w:fill="FFFFFF"/>
            <w:tcMar>
              <w:top w:w="0" w:type="dxa"/>
              <w:left w:w="20" w:type="dxa"/>
              <w:bottom w:w="0" w:type="dxa"/>
              <w:right w:w="20" w:type="dxa"/>
            </w:tcMar>
          </w:tcPr>
          <w:p w14:paraId="00BB0EE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EC"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tcPr>
          <w:p w14:paraId="00BB0EE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EE"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EE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F0" w14:textId="77777777" w:rsidR="00871BDF" w:rsidRDefault="005C5088">
            <w:pPr>
              <w:jc w:val="center"/>
              <w:textAlignment w:val="top"/>
            </w:pPr>
            <w:r>
              <w:rPr>
                <w:rFonts w:ascii="Times New Roman" w:eastAsia="宋体" w:hAnsi="Times New Roman"/>
                <w:color w:val="000000"/>
                <w:sz w:val="20"/>
                <w:szCs w:val="20"/>
              </w:rPr>
              <w:t>11/16/2018</w:t>
            </w:r>
          </w:p>
        </w:tc>
        <w:tc>
          <w:tcPr>
            <w:tcW w:w="0" w:type="auto"/>
            <w:gridSpan w:val="3"/>
            <w:shd w:val="clear" w:color="auto" w:fill="FFFFFF"/>
            <w:tcMar>
              <w:top w:w="0" w:type="dxa"/>
              <w:left w:w="20" w:type="dxa"/>
              <w:bottom w:w="0" w:type="dxa"/>
              <w:right w:w="20" w:type="dxa"/>
            </w:tcMar>
          </w:tcPr>
          <w:p w14:paraId="00BB0EF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EF2" w14:textId="77777777" w:rsidR="00871BDF" w:rsidRDefault="005C5088">
            <w:pPr>
              <w:jc w:val="center"/>
              <w:textAlignment w:val="top"/>
            </w:pPr>
            <w:r>
              <w:rPr>
                <w:rFonts w:ascii="Times New Roman" w:eastAsia="宋体" w:hAnsi="Times New Roman"/>
                <w:color w:val="000000"/>
                <w:sz w:val="20"/>
                <w:szCs w:val="20"/>
              </w:rPr>
              <w:t>10.7</w:t>
            </w:r>
          </w:p>
        </w:tc>
        <w:tc>
          <w:tcPr>
            <w:tcW w:w="0" w:type="auto"/>
            <w:gridSpan w:val="3"/>
            <w:shd w:val="clear" w:color="auto" w:fill="FFFFFF"/>
            <w:tcMar>
              <w:top w:w="0" w:type="dxa"/>
              <w:left w:w="20" w:type="dxa"/>
              <w:bottom w:w="0" w:type="dxa"/>
              <w:right w:w="20" w:type="dxa"/>
            </w:tcMar>
          </w:tcPr>
          <w:p w14:paraId="00BB0EF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EF4" w14:textId="77777777" w:rsidR="00871BDF" w:rsidRDefault="00871BDF">
            <w:pPr>
              <w:rPr>
                <w:rFonts w:ascii="宋体"/>
              </w:rPr>
            </w:pPr>
          </w:p>
        </w:tc>
      </w:tr>
      <w:tr w:rsidR="00871BDF" w14:paraId="00BB0F05" w14:textId="77777777">
        <w:trPr>
          <w:jc w:val="center"/>
        </w:trPr>
        <w:tc>
          <w:tcPr>
            <w:tcW w:w="0" w:type="auto"/>
            <w:gridSpan w:val="3"/>
            <w:shd w:val="clear" w:color="auto" w:fill="D7E4BC"/>
            <w:tcMar>
              <w:top w:w="40" w:type="dxa"/>
              <w:left w:w="20" w:type="dxa"/>
              <w:bottom w:w="40" w:type="dxa"/>
              <w:right w:w="20" w:type="dxa"/>
            </w:tcMar>
          </w:tcPr>
          <w:p w14:paraId="00BB0EF6" w14:textId="77777777" w:rsidR="00871BDF" w:rsidRDefault="005C5088">
            <w:pPr>
              <w:jc w:val="center"/>
              <w:textAlignment w:val="top"/>
            </w:pPr>
            <w:hyperlink r:id="rId346" w:history="1">
              <w:r>
                <w:rPr>
                  <w:rStyle w:val="a5"/>
                  <w:rFonts w:ascii="Times New Roman" w:eastAsia="宋体" w:hAnsi="Times New Roman"/>
                  <w:sz w:val="20"/>
                  <w:szCs w:val="20"/>
                </w:rPr>
                <w:t>10.9*</w:t>
              </w:r>
            </w:hyperlink>
          </w:p>
        </w:tc>
        <w:tc>
          <w:tcPr>
            <w:tcW w:w="0" w:type="auto"/>
            <w:gridSpan w:val="3"/>
            <w:shd w:val="clear" w:color="auto" w:fill="D7E4BC"/>
            <w:tcMar>
              <w:top w:w="0" w:type="dxa"/>
              <w:left w:w="20" w:type="dxa"/>
              <w:bottom w:w="0" w:type="dxa"/>
              <w:right w:w="20" w:type="dxa"/>
            </w:tcMar>
          </w:tcPr>
          <w:p w14:paraId="00BB0EF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F8" w14:textId="77777777" w:rsidR="00871BDF" w:rsidRDefault="005C5088">
            <w:pPr>
              <w:textAlignment w:val="top"/>
            </w:pPr>
            <w:hyperlink r:id="rId347" w:history="1">
              <w:r>
                <w:rPr>
                  <w:rStyle w:val="a5"/>
                  <w:rFonts w:ascii="Times New Roman" w:eastAsia="宋体" w:hAnsi="Times New Roman"/>
                  <w:sz w:val="20"/>
                  <w:szCs w:val="20"/>
                </w:rPr>
                <w:t xml:space="preserve">2005 Key Employee Sub-Plan to the Starbucks Corporation 2005 </w:t>
              </w:r>
              <w:r>
                <w:rPr>
                  <w:rStyle w:val="a5"/>
                  <w:rFonts w:ascii="Times New Roman" w:eastAsia="宋体" w:hAnsi="Times New Roman"/>
                  <w:sz w:val="20"/>
                  <w:szCs w:val="20"/>
                </w:rPr>
                <w:t>Long-Term Equity Incentive Plan, as amended and restated effective November 15, 2005</w:t>
              </w:r>
            </w:hyperlink>
          </w:p>
          <w:p w14:paraId="00BB0EF9" w14:textId="77777777" w:rsidR="00871BDF" w:rsidRDefault="00871BDF">
            <w:pPr>
              <w:textAlignment w:val="top"/>
            </w:pPr>
          </w:p>
        </w:tc>
        <w:tc>
          <w:tcPr>
            <w:tcW w:w="0" w:type="auto"/>
            <w:gridSpan w:val="3"/>
            <w:shd w:val="clear" w:color="auto" w:fill="D7E4BC"/>
            <w:tcMar>
              <w:top w:w="0" w:type="dxa"/>
              <w:left w:w="20" w:type="dxa"/>
              <w:bottom w:w="0" w:type="dxa"/>
              <w:right w:w="20" w:type="dxa"/>
            </w:tcMar>
          </w:tcPr>
          <w:p w14:paraId="00BB0EFA"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FB" w14:textId="77777777" w:rsidR="00871BDF" w:rsidRDefault="005C5088">
            <w:pPr>
              <w:jc w:val="center"/>
              <w:textAlignment w:val="top"/>
            </w:pPr>
            <w:r>
              <w:rPr>
                <w:rFonts w:ascii="Times New Roman" w:eastAsia="宋体" w:hAnsi="Times New Roman"/>
                <w:color w:val="000000"/>
                <w:sz w:val="20"/>
                <w:szCs w:val="20"/>
              </w:rPr>
              <w:t>10-Q</w:t>
            </w:r>
          </w:p>
          <w:p w14:paraId="00BB0EFC" w14:textId="77777777" w:rsidR="00871BDF" w:rsidRDefault="00871BDF">
            <w:pPr>
              <w:jc w:val="center"/>
              <w:textAlignment w:val="top"/>
            </w:pPr>
          </w:p>
        </w:tc>
        <w:tc>
          <w:tcPr>
            <w:tcW w:w="0" w:type="auto"/>
            <w:gridSpan w:val="3"/>
            <w:shd w:val="clear" w:color="auto" w:fill="D7E4BC"/>
            <w:tcMar>
              <w:top w:w="0" w:type="dxa"/>
              <w:left w:w="20" w:type="dxa"/>
              <w:bottom w:w="0" w:type="dxa"/>
              <w:right w:w="20" w:type="dxa"/>
            </w:tcMar>
          </w:tcPr>
          <w:p w14:paraId="00BB0EF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EFE"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EF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00" w14:textId="77777777" w:rsidR="00871BDF" w:rsidRDefault="005C5088">
            <w:pPr>
              <w:jc w:val="center"/>
              <w:textAlignment w:val="top"/>
            </w:pPr>
            <w:r>
              <w:rPr>
                <w:rFonts w:ascii="Times New Roman" w:eastAsia="宋体" w:hAnsi="Times New Roman"/>
                <w:color w:val="000000"/>
                <w:sz w:val="20"/>
                <w:szCs w:val="20"/>
              </w:rPr>
              <w:t>2/10/2006</w:t>
            </w:r>
          </w:p>
        </w:tc>
        <w:tc>
          <w:tcPr>
            <w:tcW w:w="0" w:type="auto"/>
            <w:gridSpan w:val="3"/>
            <w:shd w:val="clear" w:color="auto" w:fill="D7E4BC"/>
            <w:tcMar>
              <w:top w:w="0" w:type="dxa"/>
              <w:left w:w="20" w:type="dxa"/>
              <w:bottom w:w="0" w:type="dxa"/>
              <w:right w:w="20" w:type="dxa"/>
            </w:tcMar>
          </w:tcPr>
          <w:p w14:paraId="00BB0F0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02" w14:textId="77777777" w:rsidR="00871BDF" w:rsidRDefault="005C5088">
            <w:pPr>
              <w:jc w:val="center"/>
              <w:textAlignment w:val="top"/>
            </w:pPr>
            <w:r>
              <w:rPr>
                <w:rFonts w:ascii="Times New Roman" w:eastAsia="宋体" w:hAnsi="Times New Roman"/>
                <w:color w:val="000000"/>
                <w:sz w:val="20"/>
                <w:szCs w:val="20"/>
              </w:rPr>
              <w:t>10.2</w:t>
            </w:r>
          </w:p>
        </w:tc>
        <w:tc>
          <w:tcPr>
            <w:tcW w:w="0" w:type="auto"/>
            <w:gridSpan w:val="3"/>
            <w:shd w:val="clear" w:color="auto" w:fill="D7E4BC"/>
            <w:tcMar>
              <w:top w:w="0" w:type="dxa"/>
              <w:left w:w="20" w:type="dxa"/>
              <w:bottom w:w="0" w:type="dxa"/>
              <w:right w:w="20" w:type="dxa"/>
            </w:tcMar>
          </w:tcPr>
          <w:p w14:paraId="00BB0F0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F04" w14:textId="77777777" w:rsidR="00871BDF" w:rsidRDefault="00871BDF">
            <w:pPr>
              <w:rPr>
                <w:rFonts w:ascii="宋体"/>
              </w:rPr>
            </w:pPr>
          </w:p>
        </w:tc>
      </w:tr>
      <w:tr w:rsidR="00871BDF" w14:paraId="00BB0F13" w14:textId="77777777">
        <w:trPr>
          <w:jc w:val="center"/>
          <w:hidden/>
        </w:trPr>
        <w:tc>
          <w:tcPr>
            <w:tcW w:w="0" w:type="auto"/>
            <w:gridSpan w:val="3"/>
            <w:shd w:val="clear" w:color="auto" w:fill="auto"/>
          </w:tcPr>
          <w:p w14:paraId="00BB0F06" w14:textId="77777777" w:rsidR="00871BDF" w:rsidRDefault="00871BDF">
            <w:pPr>
              <w:rPr>
                <w:rFonts w:ascii="宋体"/>
                <w:vanish/>
              </w:rPr>
            </w:pPr>
          </w:p>
        </w:tc>
        <w:tc>
          <w:tcPr>
            <w:tcW w:w="0" w:type="auto"/>
            <w:gridSpan w:val="3"/>
            <w:shd w:val="clear" w:color="auto" w:fill="auto"/>
          </w:tcPr>
          <w:p w14:paraId="00BB0F07" w14:textId="77777777" w:rsidR="00871BDF" w:rsidRDefault="00871BDF">
            <w:pPr>
              <w:rPr>
                <w:rFonts w:ascii="宋体"/>
                <w:vanish/>
              </w:rPr>
            </w:pPr>
          </w:p>
        </w:tc>
        <w:tc>
          <w:tcPr>
            <w:tcW w:w="0" w:type="auto"/>
            <w:gridSpan w:val="3"/>
            <w:shd w:val="clear" w:color="auto" w:fill="auto"/>
          </w:tcPr>
          <w:p w14:paraId="00BB0F08" w14:textId="77777777" w:rsidR="00871BDF" w:rsidRDefault="00871BDF">
            <w:pPr>
              <w:rPr>
                <w:rFonts w:ascii="宋体"/>
                <w:vanish/>
              </w:rPr>
            </w:pPr>
          </w:p>
        </w:tc>
        <w:tc>
          <w:tcPr>
            <w:tcW w:w="0" w:type="auto"/>
            <w:gridSpan w:val="3"/>
            <w:shd w:val="clear" w:color="auto" w:fill="auto"/>
          </w:tcPr>
          <w:p w14:paraId="00BB0F09" w14:textId="77777777" w:rsidR="00871BDF" w:rsidRDefault="00871BDF">
            <w:pPr>
              <w:rPr>
                <w:rFonts w:ascii="宋体"/>
                <w:vanish/>
              </w:rPr>
            </w:pPr>
          </w:p>
        </w:tc>
        <w:tc>
          <w:tcPr>
            <w:tcW w:w="0" w:type="auto"/>
            <w:gridSpan w:val="3"/>
            <w:shd w:val="clear" w:color="auto" w:fill="auto"/>
          </w:tcPr>
          <w:p w14:paraId="00BB0F0A" w14:textId="77777777" w:rsidR="00871BDF" w:rsidRDefault="00871BDF">
            <w:pPr>
              <w:rPr>
                <w:rFonts w:ascii="宋体"/>
                <w:vanish/>
              </w:rPr>
            </w:pPr>
          </w:p>
        </w:tc>
        <w:tc>
          <w:tcPr>
            <w:tcW w:w="0" w:type="auto"/>
            <w:gridSpan w:val="3"/>
            <w:shd w:val="clear" w:color="auto" w:fill="auto"/>
          </w:tcPr>
          <w:p w14:paraId="00BB0F0B" w14:textId="77777777" w:rsidR="00871BDF" w:rsidRDefault="00871BDF">
            <w:pPr>
              <w:rPr>
                <w:rFonts w:ascii="宋体"/>
                <w:vanish/>
              </w:rPr>
            </w:pPr>
          </w:p>
        </w:tc>
        <w:tc>
          <w:tcPr>
            <w:tcW w:w="0" w:type="auto"/>
            <w:gridSpan w:val="3"/>
            <w:shd w:val="clear" w:color="auto" w:fill="auto"/>
          </w:tcPr>
          <w:p w14:paraId="00BB0F0C" w14:textId="77777777" w:rsidR="00871BDF" w:rsidRDefault="00871BDF">
            <w:pPr>
              <w:rPr>
                <w:rFonts w:ascii="宋体"/>
                <w:vanish/>
              </w:rPr>
            </w:pPr>
          </w:p>
        </w:tc>
        <w:tc>
          <w:tcPr>
            <w:tcW w:w="0" w:type="auto"/>
            <w:gridSpan w:val="3"/>
            <w:shd w:val="clear" w:color="auto" w:fill="auto"/>
          </w:tcPr>
          <w:p w14:paraId="00BB0F0D" w14:textId="77777777" w:rsidR="00871BDF" w:rsidRDefault="00871BDF">
            <w:pPr>
              <w:rPr>
                <w:rFonts w:ascii="宋体"/>
                <w:vanish/>
              </w:rPr>
            </w:pPr>
          </w:p>
        </w:tc>
        <w:tc>
          <w:tcPr>
            <w:tcW w:w="0" w:type="auto"/>
            <w:gridSpan w:val="3"/>
            <w:shd w:val="clear" w:color="auto" w:fill="auto"/>
          </w:tcPr>
          <w:p w14:paraId="00BB0F0E" w14:textId="77777777" w:rsidR="00871BDF" w:rsidRDefault="00871BDF">
            <w:pPr>
              <w:rPr>
                <w:rFonts w:ascii="宋体"/>
                <w:vanish/>
              </w:rPr>
            </w:pPr>
          </w:p>
        </w:tc>
        <w:tc>
          <w:tcPr>
            <w:tcW w:w="0" w:type="auto"/>
            <w:gridSpan w:val="3"/>
            <w:shd w:val="clear" w:color="auto" w:fill="auto"/>
          </w:tcPr>
          <w:p w14:paraId="00BB0F0F" w14:textId="77777777" w:rsidR="00871BDF" w:rsidRDefault="00871BDF">
            <w:pPr>
              <w:rPr>
                <w:rFonts w:ascii="宋体"/>
                <w:vanish/>
              </w:rPr>
            </w:pPr>
          </w:p>
        </w:tc>
        <w:tc>
          <w:tcPr>
            <w:tcW w:w="0" w:type="auto"/>
            <w:gridSpan w:val="3"/>
            <w:shd w:val="clear" w:color="auto" w:fill="auto"/>
          </w:tcPr>
          <w:p w14:paraId="00BB0F10" w14:textId="77777777" w:rsidR="00871BDF" w:rsidRDefault="00871BDF">
            <w:pPr>
              <w:rPr>
                <w:rFonts w:ascii="宋体"/>
                <w:vanish/>
              </w:rPr>
            </w:pPr>
          </w:p>
        </w:tc>
        <w:tc>
          <w:tcPr>
            <w:tcW w:w="0" w:type="auto"/>
            <w:gridSpan w:val="3"/>
            <w:shd w:val="clear" w:color="auto" w:fill="auto"/>
          </w:tcPr>
          <w:p w14:paraId="00BB0F11" w14:textId="77777777" w:rsidR="00871BDF" w:rsidRDefault="00871BDF">
            <w:pPr>
              <w:rPr>
                <w:rFonts w:ascii="宋体"/>
                <w:vanish/>
              </w:rPr>
            </w:pPr>
          </w:p>
        </w:tc>
        <w:tc>
          <w:tcPr>
            <w:tcW w:w="0" w:type="auto"/>
            <w:gridSpan w:val="3"/>
            <w:shd w:val="clear" w:color="auto" w:fill="auto"/>
          </w:tcPr>
          <w:p w14:paraId="00BB0F12" w14:textId="77777777" w:rsidR="00871BDF" w:rsidRDefault="00871BDF">
            <w:pPr>
              <w:rPr>
                <w:rFonts w:ascii="宋体"/>
                <w:vanish/>
              </w:rPr>
            </w:pPr>
          </w:p>
        </w:tc>
      </w:tr>
      <w:tr w:rsidR="00871BDF" w14:paraId="00BB0F21" w14:textId="77777777">
        <w:trPr>
          <w:jc w:val="center"/>
          <w:hidden/>
        </w:trPr>
        <w:tc>
          <w:tcPr>
            <w:tcW w:w="0" w:type="auto"/>
            <w:gridSpan w:val="3"/>
            <w:shd w:val="clear" w:color="auto" w:fill="auto"/>
          </w:tcPr>
          <w:p w14:paraId="00BB0F14" w14:textId="77777777" w:rsidR="00871BDF" w:rsidRDefault="00871BDF">
            <w:pPr>
              <w:rPr>
                <w:rFonts w:ascii="宋体"/>
                <w:vanish/>
              </w:rPr>
            </w:pPr>
          </w:p>
        </w:tc>
        <w:tc>
          <w:tcPr>
            <w:tcW w:w="0" w:type="auto"/>
            <w:gridSpan w:val="3"/>
            <w:shd w:val="clear" w:color="auto" w:fill="auto"/>
          </w:tcPr>
          <w:p w14:paraId="00BB0F15" w14:textId="77777777" w:rsidR="00871BDF" w:rsidRDefault="00871BDF">
            <w:pPr>
              <w:rPr>
                <w:rFonts w:ascii="宋体"/>
                <w:vanish/>
              </w:rPr>
            </w:pPr>
          </w:p>
        </w:tc>
        <w:tc>
          <w:tcPr>
            <w:tcW w:w="0" w:type="auto"/>
            <w:gridSpan w:val="3"/>
            <w:shd w:val="clear" w:color="auto" w:fill="auto"/>
          </w:tcPr>
          <w:p w14:paraId="00BB0F16" w14:textId="77777777" w:rsidR="00871BDF" w:rsidRDefault="00871BDF">
            <w:pPr>
              <w:rPr>
                <w:rFonts w:ascii="宋体"/>
                <w:vanish/>
              </w:rPr>
            </w:pPr>
          </w:p>
        </w:tc>
        <w:tc>
          <w:tcPr>
            <w:tcW w:w="0" w:type="auto"/>
            <w:gridSpan w:val="3"/>
            <w:shd w:val="clear" w:color="auto" w:fill="auto"/>
          </w:tcPr>
          <w:p w14:paraId="00BB0F17" w14:textId="77777777" w:rsidR="00871BDF" w:rsidRDefault="00871BDF">
            <w:pPr>
              <w:rPr>
                <w:rFonts w:ascii="宋体"/>
                <w:vanish/>
              </w:rPr>
            </w:pPr>
          </w:p>
        </w:tc>
        <w:tc>
          <w:tcPr>
            <w:tcW w:w="0" w:type="auto"/>
            <w:gridSpan w:val="3"/>
            <w:shd w:val="clear" w:color="auto" w:fill="auto"/>
          </w:tcPr>
          <w:p w14:paraId="00BB0F18" w14:textId="77777777" w:rsidR="00871BDF" w:rsidRDefault="00871BDF">
            <w:pPr>
              <w:rPr>
                <w:rFonts w:ascii="宋体"/>
                <w:vanish/>
              </w:rPr>
            </w:pPr>
          </w:p>
        </w:tc>
        <w:tc>
          <w:tcPr>
            <w:tcW w:w="0" w:type="auto"/>
            <w:gridSpan w:val="3"/>
            <w:shd w:val="clear" w:color="auto" w:fill="auto"/>
          </w:tcPr>
          <w:p w14:paraId="00BB0F19" w14:textId="77777777" w:rsidR="00871BDF" w:rsidRDefault="00871BDF">
            <w:pPr>
              <w:rPr>
                <w:rFonts w:ascii="宋体"/>
                <w:vanish/>
              </w:rPr>
            </w:pPr>
          </w:p>
        </w:tc>
        <w:tc>
          <w:tcPr>
            <w:tcW w:w="0" w:type="auto"/>
            <w:gridSpan w:val="3"/>
            <w:shd w:val="clear" w:color="auto" w:fill="auto"/>
          </w:tcPr>
          <w:p w14:paraId="00BB0F1A" w14:textId="77777777" w:rsidR="00871BDF" w:rsidRDefault="00871BDF">
            <w:pPr>
              <w:rPr>
                <w:rFonts w:ascii="宋体"/>
                <w:vanish/>
              </w:rPr>
            </w:pPr>
          </w:p>
        </w:tc>
        <w:tc>
          <w:tcPr>
            <w:tcW w:w="0" w:type="auto"/>
            <w:gridSpan w:val="3"/>
            <w:shd w:val="clear" w:color="auto" w:fill="auto"/>
          </w:tcPr>
          <w:p w14:paraId="00BB0F1B" w14:textId="77777777" w:rsidR="00871BDF" w:rsidRDefault="00871BDF">
            <w:pPr>
              <w:rPr>
                <w:rFonts w:ascii="宋体"/>
                <w:vanish/>
              </w:rPr>
            </w:pPr>
          </w:p>
        </w:tc>
        <w:tc>
          <w:tcPr>
            <w:tcW w:w="0" w:type="auto"/>
            <w:gridSpan w:val="3"/>
            <w:shd w:val="clear" w:color="auto" w:fill="auto"/>
          </w:tcPr>
          <w:p w14:paraId="00BB0F1C" w14:textId="77777777" w:rsidR="00871BDF" w:rsidRDefault="00871BDF">
            <w:pPr>
              <w:rPr>
                <w:rFonts w:ascii="宋体"/>
                <w:vanish/>
              </w:rPr>
            </w:pPr>
          </w:p>
        </w:tc>
        <w:tc>
          <w:tcPr>
            <w:tcW w:w="0" w:type="auto"/>
            <w:gridSpan w:val="3"/>
            <w:shd w:val="clear" w:color="auto" w:fill="auto"/>
          </w:tcPr>
          <w:p w14:paraId="00BB0F1D" w14:textId="77777777" w:rsidR="00871BDF" w:rsidRDefault="00871BDF">
            <w:pPr>
              <w:rPr>
                <w:rFonts w:ascii="宋体"/>
                <w:vanish/>
              </w:rPr>
            </w:pPr>
          </w:p>
        </w:tc>
        <w:tc>
          <w:tcPr>
            <w:tcW w:w="0" w:type="auto"/>
            <w:gridSpan w:val="3"/>
            <w:shd w:val="clear" w:color="auto" w:fill="auto"/>
          </w:tcPr>
          <w:p w14:paraId="00BB0F1E" w14:textId="77777777" w:rsidR="00871BDF" w:rsidRDefault="00871BDF">
            <w:pPr>
              <w:rPr>
                <w:rFonts w:ascii="宋体"/>
                <w:vanish/>
              </w:rPr>
            </w:pPr>
          </w:p>
        </w:tc>
        <w:tc>
          <w:tcPr>
            <w:tcW w:w="0" w:type="auto"/>
            <w:gridSpan w:val="3"/>
            <w:shd w:val="clear" w:color="auto" w:fill="auto"/>
          </w:tcPr>
          <w:p w14:paraId="00BB0F1F" w14:textId="77777777" w:rsidR="00871BDF" w:rsidRDefault="00871BDF">
            <w:pPr>
              <w:rPr>
                <w:rFonts w:ascii="宋体"/>
                <w:vanish/>
              </w:rPr>
            </w:pPr>
          </w:p>
        </w:tc>
        <w:tc>
          <w:tcPr>
            <w:tcW w:w="0" w:type="auto"/>
            <w:gridSpan w:val="3"/>
            <w:shd w:val="clear" w:color="auto" w:fill="auto"/>
          </w:tcPr>
          <w:p w14:paraId="00BB0F20" w14:textId="77777777" w:rsidR="00871BDF" w:rsidRDefault="00871BDF">
            <w:pPr>
              <w:rPr>
                <w:rFonts w:ascii="宋体"/>
                <w:vanish/>
              </w:rPr>
            </w:pPr>
          </w:p>
        </w:tc>
      </w:tr>
      <w:tr w:rsidR="00871BDF" w14:paraId="00BB0F2F" w14:textId="77777777">
        <w:trPr>
          <w:jc w:val="center"/>
          <w:hidden/>
        </w:trPr>
        <w:tc>
          <w:tcPr>
            <w:tcW w:w="0" w:type="auto"/>
            <w:gridSpan w:val="3"/>
            <w:shd w:val="clear" w:color="auto" w:fill="auto"/>
          </w:tcPr>
          <w:p w14:paraId="00BB0F22" w14:textId="77777777" w:rsidR="00871BDF" w:rsidRDefault="00871BDF">
            <w:pPr>
              <w:rPr>
                <w:rFonts w:ascii="宋体"/>
                <w:vanish/>
              </w:rPr>
            </w:pPr>
          </w:p>
        </w:tc>
        <w:tc>
          <w:tcPr>
            <w:tcW w:w="0" w:type="auto"/>
            <w:gridSpan w:val="3"/>
            <w:shd w:val="clear" w:color="auto" w:fill="auto"/>
          </w:tcPr>
          <w:p w14:paraId="00BB0F23" w14:textId="77777777" w:rsidR="00871BDF" w:rsidRDefault="00871BDF">
            <w:pPr>
              <w:rPr>
                <w:rFonts w:ascii="宋体"/>
                <w:vanish/>
              </w:rPr>
            </w:pPr>
          </w:p>
        </w:tc>
        <w:tc>
          <w:tcPr>
            <w:tcW w:w="0" w:type="auto"/>
            <w:gridSpan w:val="3"/>
            <w:shd w:val="clear" w:color="auto" w:fill="auto"/>
          </w:tcPr>
          <w:p w14:paraId="00BB0F24" w14:textId="77777777" w:rsidR="00871BDF" w:rsidRDefault="00871BDF">
            <w:pPr>
              <w:rPr>
                <w:rFonts w:ascii="宋体"/>
                <w:vanish/>
              </w:rPr>
            </w:pPr>
          </w:p>
        </w:tc>
        <w:tc>
          <w:tcPr>
            <w:tcW w:w="0" w:type="auto"/>
            <w:gridSpan w:val="3"/>
            <w:shd w:val="clear" w:color="auto" w:fill="auto"/>
          </w:tcPr>
          <w:p w14:paraId="00BB0F25" w14:textId="77777777" w:rsidR="00871BDF" w:rsidRDefault="00871BDF">
            <w:pPr>
              <w:rPr>
                <w:rFonts w:ascii="宋体"/>
                <w:vanish/>
              </w:rPr>
            </w:pPr>
          </w:p>
        </w:tc>
        <w:tc>
          <w:tcPr>
            <w:tcW w:w="0" w:type="auto"/>
            <w:gridSpan w:val="3"/>
            <w:shd w:val="clear" w:color="auto" w:fill="auto"/>
          </w:tcPr>
          <w:p w14:paraId="00BB0F26" w14:textId="77777777" w:rsidR="00871BDF" w:rsidRDefault="00871BDF">
            <w:pPr>
              <w:rPr>
                <w:rFonts w:ascii="宋体"/>
                <w:vanish/>
              </w:rPr>
            </w:pPr>
          </w:p>
        </w:tc>
        <w:tc>
          <w:tcPr>
            <w:tcW w:w="0" w:type="auto"/>
            <w:gridSpan w:val="3"/>
            <w:shd w:val="clear" w:color="auto" w:fill="auto"/>
          </w:tcPr>
          <w:p w14:paraId="00BB0F27" w14:textId="77777777" w:rsidR="00871BDF" w:rsidRDefault="00871BDF">
            <w:pPr>
              <w:rPr>
                <w:rFonts w:ascii="宋体"/>
                <w:vanish/>
              </w:rPr>
            </w:pPr>
          </w:p>
        </w:tc>
        <w:tc>
          <w:tcPr>
            <w:tcW w:w="0" w:type="auto"/>
            <w:gridSpan w:val="3"/>
            <w:shd w:val="clear" w:color="auto" w:fill="auto"/>
          </w:tcPr>
          <w:p w14:paraId="00BB0F28" w14:textId="77777777" w:rsidR="00871BDF" w:rsidRDefault="00871BDF">
            <w:pPr>
              <w:rPr>
                <w:rFonts w:ascii="宋体"/>
                <w:vanish/>
              </w:rPr>
            </w:pPr>
          </w:p>
        </w:tc>
        <w:tc>
          <w:tcPr>
            <w:tcW w:w="0" w:type="auto"/>
            <w:gridSpan w:val="3"/>
            <w:shd w:val="clear" w:color="auto" w:fill="auto"/>
          </w:tcPr>
          <w:p w14:paraId="00BB0F29" w14:textId="77777777" w:rsidR="00871BDF" w:rsidRDefault="00871BDF">
            <w:pPr>
              <w:rPr>
                <w:rFonts w:ascii="宋体"/>
                <w:vanish/>
              </w:rPr>
            </w:pPr>
          </w:p>
        </w:tc>
        <w:tc>
          <w:tcPr>
            <w:tcW w:w="0" w:type="auto"/>
            <w:gridSpan w:val="3"/>
            <w:shd w:val="clear" w:color="auto" w:fill="auto"/>
          </w:tcPr>
          <w:p w14:paraId="00BB0F2A" w14:textId="77777777" w:rsidR="00871BDF" w:rsidRDefault="00871BDF">
            <w:pPr>
              <w:rPr>
                <w:rFonts w:ascii="宋体"/>
                <w:vanish/>
              </w:rPr>
            </w:pPr>
          </w:p>
        </w:tc>
        <w:tc>
          <w:tcPr>
            <w:tcW w:w="0" w:type="auto"/>
            <w:gridSpan w:val="3"/>
            <w:shd w:val="clear" w:color="auto" w:fill="auto"/>
          </w:tcPr>
          <w:p w14:paraId="00BB0F2B" w14:textId="77777777" w:rsidR="00871BDF" w:rsidRDefault="00871BDF">
            <w:pPr>
              <w:rPr>
                <w:rFonts w:ascii="宋体"/>
                <w:vanish/>
              </w:rPr>
            </w:pPr>
          </w:p>
        </w:tc>
        <w:tc>
          <w:tcPr>
            <w:tcW w:w="0" w:type="auto"/>
            <w:gridSpan w:val="3"/>
            <w:shd w:val="clear" w:color="auto" w:fill="auto"/>
          </w:tcPr>
          <w:p w14:paraId="00BB0F2C" w14:textId="77777777" w:rsidR="00871BDF" w:rsidRDefault="00871BDF">
            <w:pPr>
              <w:rPr>
                <w:rFonts w:ascii="宋体"/>
                <w:vanish/>
              </w:rPr>
            </w:pPr>
          </w:p>
        </w:tc>
        <w:tc>
          <w:tcPr>
            <w:tcW w:w="0" w:type="auto"/>
            <w:gridSpan w:val="3"/>
            <w:shd w:val="clear" w:color="auto" w:fill="auto"/>
          </w:tcPr>
          <w:p w14:paraId="00BB0F2D" w14:textId="77777777" w:rsidR="00871BDF" w:rsidRDefault="00871BDF">
            <w:pPr>
              <w:rPr>
                <w:rFonts w:ascii="宋体"/>
                <w:vanish/>
              </w:rPr>
            </w:pPr>
          </w:p>
        </w:tc>
        <w:tc>
          <w:tcPr>
            <w:tcW w:w="0" w:type="auto"/>
            <w:gridSpan w:val="3"/>
            <w:shd w:val="clear" w:color="auto" w:fill="auto"/>
          </w:tcPr>
          <w:p w14:paraId="00BB0F2E" w14:textId="77777777" w:rsidR="00871BDF" w:rsidRDefault="00871BDF">
            <w:pPr>
              <w:rPr>
                <w:rFonts w:ascii="宋体"/>
                <w:vanish/>
              </w:rPr>
            </w:pPr>
          </w:p>
        </w:tc>
      </w:tr>
      <w:tr w:rsidR="00871BDF" w14:paraId="00BB0F3D" w14:textId="77777777">
        <w:trPr>
          <w:jc w:val="center"/>
          <w:hidden/>
        </w:trPr>
        <w:tc>
          <w:tcPr>
            <w:tcW w:w="0" w:type="auto"/>
            <w:gridSpan w:val="3"/>
            <w:shd w:val="clear" w:color="auto" w:fill="auto"/>
          </w:tcPr>
          <w:p w14:paraId="00BB0F30" w14:textId="77777777" w:rsidR="00871BDF" w:rsidRDefault="00871BDF">
            <w:pPr>
              <w:rPr>
                <w:rFonts w:ascii="宋体"/>
                <w:vanish/>
              </w:rPr>
            </w:pPr>
          </w:p>
        </w:tc>
        <w:tc>
          <w:tcPr>
            <w:tcW w:w="0" w:type="auto"/>
            <w:gridSpan w:val="3"/>
            <w:shd w:val="clear" w:color="auto" w:fill="auto"/>
          </w:tcPr>
          <w:p w14:paraId="00BB0F31" w14:textId="77777777" w:rsidR="00871BDF" w:rsidRDefault="00871BDF">
            <w:pPr>
              <w:rPr>
                <w:rFonts w:ascii="宋体"/>
                <w:vanish/>
              </w:rPr>
            </w:pPr>
          </w:p>
        </w:tc>
        <w:tc>
          <w:tcPr>
            <w:tcW w:w="0" w:type="auto"/>
            <w:gridSpan w:val="3"/>
            <w:shd w:val="clear" w:color="auto" w:fill="auto"/>
          </w:tcPr>
          <w:p w14:paraId="00BB0F32" w14:textId="77777777" w:rsidR="00871BDF" w:rsidRDefault="00871BDF">
            <w:pPr>
              <w:rPr>
                <w:rFonts w:ascii="宋体"/>
                <w:vanish/>
              </w:rPr>
            </w:pPr>
          </w:p>
        </w:tc>
        <w:tc>
          <w:tcPr>
            <w:tcW w:w="0" w:type="auto"/>
            <w:gridSpan w:val="3"/>
            <w:shd w:val="clear" w:color="auto" w:fill="auto"/>
          </w:tcPr>
          <w:p w14:paraId="00BB0F33" w14:textId="77777777" w:rsidR="00871BDF" w:rsidRDefault="00871BDF">
            <w:pPr>
              <w:rPr>
                <w:rFonts w:ascii="宋体"/>
                <w:vanish/>
              </w:rPr>
            </w:pPr>
          </w:p>
        </w:tc>
        <w:tc>
          <w:tcPr>
            <w:tcW w:w="0" w:type="auto"/>
            <w:gridSpan w:val="3"/>
            <w:shd w:val="clear" w:color="auto" w:fill="auto"/>
          </w:tcPr>
          <w:p w14:paraId="00BB0F34" w14:textId="77777777" w:rsidR="00871BDF" w:rsidRDefault="00871BDF">
            <w:pPr>
              <w:rPr>
                <w:rFonts w:ascii="宋体"/>
                <w:vanish/>
              </w:rPr>
            </w:pPr>
          </w:p>
        </w:tc>
        <w:tc>
          <w:tcPr>
            <w:tcW w:w="0" w:type="auto"/>
            <w:gridSpan w:val="3"/>
            <w:shd w:val="clear" w:color="auto" w:fill="auto"/>
          </w:tcPr>
          <w:p w14:paraId="00BB0F35" w14:textId="77777777" w:rsidR="00871BDF" w:rsidRDefault="00871BDF">
            <w:pPr>
              <w:rPr>
                <w:rFonts w:ascii="宋体"/>
                <w:vanish/>
              </w:rPr>
            </w:pPr>
          </w:p>
        </w:tc>
        <w:tc>
          <w:tcPr>
            <w:tcW w:w="0" w:type="auto"/>
            <w:gridSpan w:val="3"/>
            <w:shd w:val="clear" w:color="auto" w:fill="auto"/>
          </w:tcPr>
          <w:p w14:paraId="00BB0F36" w14:textId="77777777" w:rsidR="00871BDF" w:rsidRDefault="00871BDF">
            <w:pPr>
              <w:rPr>
                <w:rFonts w:ascii="宋体"/>
                <w:vanish/>
              </w:rPr>
            </w:pPr>
          </w:p>
        </w:tc>
        <w:tc>
          <w:tcPr>
            <w:tcW w:w="0" w:type="auto"/>
            <w:gridSpan w:val="3"/>
            <w:shd w:val="clear" w:color="auto" w:fill="auto"/>
          </w:tcPr>
          <w:p w14:paraId="00BB0F37" w14:textId="77777777" w:rsidR="00871BDF" w:rsidRDefault="00871BDF">
            <w:pPr>
              <w:rPr>
                <w:rFonts w:ascii="宋体"/>
                <w:vanish/>
              </w:rPr>
            </w:pPr>
          </w:p>
        </w:tc>
        <w:tc>
          <w:tcPr>
            <w:tcW w:w="0" w:type="auto"/>
            <w:gridSpan w:val="3"/>
            <w:shd w:val="clear" w:color="auto" w:fill="auto"/>
          </w:tcPr>
          <w:p w14:paraId="00BB0F38" w14:textId="77777777" w:rsidR="00871BDF" w:rsidRDefault="00871BDF">
            <w:pPr>
              <w:rPr>
                <w:rFonts w:ascii="宋体"/>
                <w:vanish/>
              </w:rPr>
            </w:pPr>
          </w:p>
        </w:tc>
        <w:tc>
          <w:tcPr>
            <w:tcW w:w="0" w:type="auto"/>
            <w:gridSpan w:val="3"/>
            <w:shd w:val="clear" w:color="auto" w:fill="auto"/>
          </w:tcPr>
          <w:p w14:paraId="00BB0F39" w14:textId="77777777" w:rsidR="00871BDF" w:rsidRDefault="00871BDF">
            <w:pPr>
              <w:rPr>
                <w:rFonts w:ascii="宋体"/>
                <w:vanish/>
              </w:rPr>
            </w:pPr>
          </w:p>
        </w:tc>
        <w:tc>
          <w:tcPr>
            <w:tcW w:w="0" w:type="auto"/>
            <w:gridSpan w:val="3"/>
            <w:shd w:val="clear" w:color="auto" w:fill="auto"/>
          </w:tcPr>
          <w:p w14:paraId="00BB0F3A" w14:textId="77777777" w:rsidR="00871BDF" w:rsidRDefault="00871BDF">
            <w:pPr>
              <w:rPr>
                <w:rFonts w:ascii="宋体"/>
                <w:vanish/>
              </w:rPr>
            </w:pPr>
          </w:p>
        </w:tc>
        <w:tc>
          <w:tcPr>
            <w:tcW w:w="0" w:type="auto"/>
            <w:gridSpan w:val="3"/>
            <w:shd w:val="clear" w:color="auto" w:fill="auto"/>
          </w:tcPr>
          <w:p w14:paraId="00BB0F3B" w14:textId="77777777" w:rsidR="00871BDF" w:rsidRDefault="00871BDF">
            <w:pPr>
              <w:rPr>
                <w:rFonts w:ascii="宋体"/>
                <w:vanish/>
              </w:rPr>
            </w:pPr>
          </w:p>
        </w:tc>
        <w:tc>
          <w:tcPr>
            <w:tcW w:w="0" w:type="auto"/>
            <w:gridSpan w:val="3"/>
            <w:shd w:val="clear" w:color="auto" w:fill="auto"/>
          </w:tcPr>
          <w:p w14:paraId="00BB0F3C" w14:textId="77777777" w:rsidR="00871BDF" w:rsidRDefault="00871BDF">
            <w:pPr>
              <w:rPr>
                <w:rFonts w:ascii="宋体"/>
                <w:vanish/>
              </w:rPr>
            </w:pPr>
          </w:p>
        </w:tc>
      </w:tr>
      <w:tr w:rsidR="00871BDF" w14:paraId="00BB0F4B" w14:textId="77777777">
        <w:trPr>
          <w:jc w:val="center"/>
          <w:hidden/>
        </w:trPr>
        <w:tc>
          <w:tcPr>
            <w:tcW w:w="0" w:type="auto"/>
            <w:gridSpan w:val="3"/>
            <w:shd w:val="clear" w:color="auto" w:fill="auto"/>
          </w:tcPr>
          <w:p w14:paraId="00BB0F3E" w14:textId="77777777" w:rsidR="00871BDF" w:rsidRDefault="00871BDF">
            <w:pPr>
              <w:rPr>
                <w:rFonts w:ascii="宋体"/>
                <w:vanish/>
              </w:rPr>
            </w:pPr>
          </w:p>
        </w:tc>
        <w:tc>
          <w:tcPr>
            <w:tcW w:w="0" w:type="auto"/>
            <w:gridSpan w:val="3"/>
            <w:shd w:val="clear" w:color="auto" w:fill="auto"/>
          </w:tcPr>
          <w:p w14:paraId="00BB0F3F" w14:textId="77777777" w:rsidR="00871BDF" w:rsidRDefault="00871BDF">
            <w:pPr>
              <w:rPr>
                <w:rFonts w:ascii="宋体"/>
                <w:vanish/>
              </w:rPr>
            </w:pPr>
          </w:p>
        </w:tc>
        <w:tc>
          <w:tcPr>
            <w:tcW w:w="0" w:type="auto"/>
            <w:gridSpan w:val="3"/>
            <w:shd w:val="clear" w:color="auto" w:fill="auto"/>
          </w:tcPr>
          <w:p w14:paraId="00BB0F40" w14:textId="77777777" w:rsidR="00871BDF" w:rsidRDefault="00871BDF">
            <w:pPr>
              <w:rPr>
                <w:rFonts w:ascii="宋体"/>
                <w:vanish/>
              </w:rPr>
            </w:pPr>
          </w:p>
        </w:tc>
        <w:tc>
          <w:tcPr>
            <w:tcW w:w="0" w:type="auto"/>
            <w:gridSpan w:val="3"/>
            <w:shd w:val="clear" w:color="auto" w:fill="auto"/>
          </w:tcPr>
          <w:p w14:paraId="00BB0F41" w14:textId="77777777" w:rsidR="00871BDF" w:rsidRDefault="00871BDF">
            <w:pPr>
              <w:rPr>
                <w:rFonts w:ascii="宋体"/>
                <w:vanish/>
              </w:rPr>
            </w:pPr>
          </w:p>
        </w:tc>
        <w:tc>
          <w:tcPr>
            <w:tcW w:w="0" w:type="auto"/>
            <w:gridSpan w:val="3"/>
            <w:shd w:val="clear" w:color="auto" w:fill="auto"/>
          </w:tcPr>
          <w:p w14:paraId="00BB0F42" w14:textId="77777777" w:rsidR="00871BDF" w:rsidRDefault="00871BDF">
            <w:pPr>
              <w:rPr>
                <w:rFonts w:ascii="宋体"/>
                <w:vanish/>
              </w:rPr>
            </w:pPr>
          </w:p>
        </w:tc>
        <w:tc>
          <w:tcPr>
            <w:tcW w:w="0" w:type="auto"/>
            <w:gridSpan w:val="3"/>
            <w:shd w:val="clear" w:color="auto" w:fill="auto"/>
          </w:tcPr>
          <w:p w14:paraId="00BB0F43" w14:textId="77777777" w:rsidR="00871BDF" w:rsidRDefault="00871BDF">
            <w:pPr>
              <w:rPr>
                <w:rFonts w:ascii="宋体"/>
                <w:vanish/>
              </w:rPr>
            </w:pPr>
          </w:p>
        </w:tc>
        <w:tc>
          <w:tcPr>
            <w:tcW w:w="0" w:type="auto"/>
            <w:gridSpan w:val="3"/>
            <w:shd w:val="clear" w:color="auto" w:fill="auto"/>
          </w:tcPr>
          <w:p w14:paraId="00BB0F44" w14:textId="77777777" w:rsidR="00871BDF" w:rsidRDefault="00871BDF">
            <w:pPr>
              <w:rPr>
                <w:rFonts w:ascii="宋体"/>
                <w:vanish/>
              </w:rPr>
            </w:pPr>
          </w:p>
        </w:tc>
        <w:tc>
          <w:tcPr>
            <w:tcW w:w="0" w:type="auto"/>
            <w:gridSpan w:val="3"/>
            <w:shd w:val="clear" w:color="auto" w:fill="auto"/>
          </w:tcPr>
          <w:p w14:paraId="00BB0F45" w14:textId="77777777" w:rsidR="00871BDF" w:rsidRDefault="00871BDF">
            <w:pPr>
              <w:rPr>
                <w:rFonts w:ascii="宋体"/>
                <w:vanish/>
              </w:rPr>
            </w:pPr>
          </w:p>
        </w:tc>
        <w:tc>
          <w:tcPr>
            <w:tcW w:w="0" w:type="auto"/>
            <w:gridSpan w:val="3"/>
            <w:shd w:val="clear" w:color="auto" w:fill="auto"/>
          </w:tcPr>
          <w:p w14:paraId="00BB0F46" w14:textId="77777777" w:rsidR="00871BDF" w:rsidRDefault="00871BDF">
            <w:pPr>
              <w:rPr>
                <w:rFonts w:ascii="宋体"/>
                <w:vanish/>
              </w:rPr>
            </w:pPr>
          </w:p>
        </w:tc>
        <w:tc>
          <w:tcPr>
            <w:tcW w:w="0" w:type="auto"/>
            <w:gridSpan w:val="3"/>
            <w:shd w:val="clear" w:color="auto" w:fill="auto"/>
          </w:tcPr>
          <w:p w14:paraId="00BB0F47" w14:textId="77777777" w:rsidR="00871BDF" w:rsidRDefault="00871BDF">
            <w:pPr>
              <w:rPr>
                <w:rFonts w:ascii="宋体"/>
                <w:vanish/>
              </w:rPr>
            </w:pPr>
          </w:p>
        </w:tc>
        <w:tc>
          <w:tcPr>
            <w:tcW w:w="0" w:type="auto"/>
            <w:gridSpan w:val="3"/>
            <w:shd w:val="clear" w:color="auto" w:fill="auto"/>
          </w:tcPr>
          <w:p w14:paraId="00BB0F48" w14:textId="77777777" w:rsidR="00871BDF" w:rsidRDefault="00871BDF">
            <w:pPr>
              <w:rPr>
                <w:rFonts w:ascii="宋体"/>
                <w:vanish/>
              </w:rPr>
            </w:pPr>
          </w:p>
        </w:tc>
        <w:tc>
          <w:tcPr>
            <w:tcW w:w="0" w:type="auto"/>
            <w:gridSpan w:val="3"/>
            <w:shd w:val="clear" w:color="auto" w:fill="auto"/>
          </w:tcPr>
          <w:p w14:paraId="00BB0F49" w14:textId="77777777" w:rsidR="00871BDF" w:rsidRDefault="00871BDF">
            <w:pPr>
              <w:rPr>
                <w:rFonts w:ascii="宋体"/>
                <w:vanish/>
              </w:rPr>
            </w:pPr>
          </w:p>
        </w:tc>
        <w:tc>
          <w:tcPr>
            <w:tcW w:w="0" w:type="auto"/>
            <w:gridSpan w:val="3"/>
            <w:shd w:val="clear" w:color="auto" w:fill="auto"/>
          </w:tcPr>
          <w:p w14:paraId="00BB0F4A" w14:textId="77777777" w:rsidR="00871BDF" w:rsidRDefault="00871BDF">
            <w:pPr>
              <w:rPr>
                <w:rFonts w:ascii="宋体"/>
                <w:vanish/>
              </w:rPr>
            </w:pPr>
          </w:p>
        </w:tc>
      </w:tr>
      <w:tr w:rsidR="00871BDF" w14:paraId="00BB0F59" w14:textId="77777777">
        <w:trPr>
          <w:jc w:val="center"/>
          <w:hidden/>
        </w:trPr>
        <w:tc>
          <w:tcPr>
            <w:tcW w:w="0" w:type="auto"/>
            <w:gridSpan w:val="3"/>
            <w:shd w:val="clear" w:color="auto" w:fill="auto"/>
          </w:tcPr>
          <w:p w14:paraId="00BB0F4C" w14:textId="77777777" w:rsidR="00871BDF" w:rsidRDefault="00871BDF">
            <w:pPr>
              <w:rPr>
                <w:rFonts w:ascii="宋体"/>
                <w:vanish/>
              </w:rPr>
            </w:pPr>
          </w:p>
        </w:tc>
        <w:tc>
          <w:tcPr>
            <w:tcW w:w="0" w:type="auto"/>
            <w:gridSpan w:val="3"/>
            <w:shd w:val="clear" w:color="auto" w:fill="auto"/>
          </w:tcPr>
          <w:p w14:paraId="00BB0F4D" w14:textId="77777777" w:rsidR="00871BDF" w:rsidRDefault="00871BDF">
            <w:pPr>
              <w:rPr>
                <w:rFonts w:ascii="宋体"/>
                <w:vanish/>
              </w:rPr>
            </w:pPr>
          </w:p>
        </w:tc>
        <w:tc>
          <w:tcPr>
            <w:tcW w:w="0" w:type="auto"/>
            <w:gridSpan w:val="3"/>
            <w:shd w:val="clear" w:color="auto" w:fill="auto"/>
          </w:tcPr>
          <w:p w14:paraId="00BB0F4E" w14:textId="77777777" w:rsidR="00871BDF" w:rsidRDefault="00871BDF">
            <w:pPr>
              <w:rPr>
                <w:rFonts w:ascii="宋体"/>
                <w:vanish/>
              </w:rPr>
            </w:pPr>
          </w:p>
        </w:tc>
        <w:tc>
          <w:tcPr>
            <w:tcW w:w="0" w:type="auto"/>
            <w:gridSpan w:val="3"/>
            <w:shd w:val="clear" w:color="auto" w:fill="auto"/>
          </w:tcPr>
          <w:p w14:paraId="00BB0F4F" w14:textId="77777777" w:rsidR="00871BDF" w:rsidRDefault="00871BDF">
            <w:pPr>
              <w:rPr>
                <w:rFonts w:ascii="宋体"/>
                <w:vanish/>
              </w:rPr>
            </w:pPr>
          </w:p>
        </w:tc>
        <w:tc>
          <w:tcPr>
            <w:tcW w:w="0" w:type="auto"/>
            <w:gridSpan w:val="3"/>
            <w:shd w:val="clear" w:color="auto" w:fill="auto"/>
          </w:tcPr>
          <w:p w14:paraId="00BB0F50" w14:textId="77777777" w:rsidR="00871BDF" w:rsidRDefault="00871BDF">
            <w:pPr>
              <w:rPr>
                <w:rFonts w:ascii="宋体"/>
                <w:vanish/>
              </w:rPr>
            </w:pPr>
          </w:p>
        </w:tc>
        <w:tc>
          <w:tcPr>
            <w:tcW w:w="0" w:type="auto"/>
            <w:gridSpan w:val="3"/>
            <w:shd w:val="clear" w:color="auto" w:fill="auto"/>
          </w:tcPr>
          <w:p w14:paraId="00BB0F51" w14:textId="77777777" w:rsidR="00871BDF" w:rsidRDefault="00871BDF">
            <w:pPr>
              <w:rPr>
                <w:rFonts w:ascii="宋体"/>
                <w:vanish/>
              </w:rPr>
            </w:pPr>
          </w:p>
        </w:tc>
        <w:tc>
          <w:tcPr>
            <w:tcW w:w="0" w:type="auto"/>
            <w:gridSpan w:val="3"/>
            <w:shd w:val="clear" w:color="auto" w:fill="auto"/>
          </w:tcPr>
          <w:p w14:paraId="00BB0F52" w14:textId="77777777" w:rsidR="00871BDF" w:rsidRDefault="00871BDF">
            <w:pPr>
              <w:rPr>
                <w:rFonts w:ascii="宋体"/>
                <w:vanish/>
              </w:rPr>
            </w:pPr>
          </w:p>
        </w:tc>
        <w:tc>
          <w:tcPr>
            <w:tcW w:w="0" w:type="auto"/>
            <w:gridSpan w:val="3"/>
            <w:shd w:val="clear" w:color="auto" w:fill="auto"/>
          </w:tcPr>
          <w:p w14:paraId="00BB0F53" w14:textId="77777777" w:rsidR="00871BDF" w:rsidRDefault="00871BDF">
            <w:pPr>
              <w:rPr>
                <w:rFonts w:ascii="宋体"/>
                <w:vanish/>
              </w:rPr>
            </w:pPr>
          </w:p>
        </w:tc>
        <w:tc>
          <w:tcPr>
            <w:tcW w:w="0" w:type="auto"/>
            <w:gridSpan w:val="3"/>
            <w:shd w:val="clear" w:color="auto" w:fill="auto"/>
          </w:tcPr>
          <w:p w14:paraId="00BB0F54" w14:textId="77777777" w:rsidR="00871BDF" w:rsidRDefault="00871BDF">
            <w:pPr>
              <w:rPr>
                <w:rFonts w:ascii="宋体"/>
                <w:vanish/>
              </w:rPr>
            </w:pPr>
          </w:p>
        </w:tc>
        <w:tc>
          <w:tcPr>
            <w:tcW w:w="0" w:type="auto"/>
            <w:gridSpan w:val="3"/>
            <w:shd w:val="clear" w:color="auto" w:fill="auto"/>
          </w:tcPr>
          <w:p w14:paraId="00BB0F55" w14:textId="77777777" w:rsidR="00871BDF" w:rsidRDefault="00871BDF">
            <w:pPr>
              <w:rPr>
                <w:rFonts w:ascii="宋体"/>
                <w:vanish/>
              </w:rPr>
            </w:pPr>
          </w:p>
        </w:tc>
        <w:tc>
          <w:tcPr>
            <w:tcW w:w="0" w:type="auto"/>
            <w:gridSpan w:val="3"/>
            <w:shd w:val="clear" w:color="auto" w:fill="auto"/>
          </w:tcPr>
          <w:p w14:paraId="00BB0F56" w14:textId="77777777" w:rsidR="00871BDF" w:rsidRDefault="00871BDF">
            <w:pPr>
              <w:rPr>
                <w:rFonts w:ascii="宋体"/>
                <w:vanish/>
              </w:rPr>
            </w:pPr>
          </w:p>
        </w:tc>
        <w:tc>
          <w:tcPr>
            <w:tcW w:w="0" w:type="auto"/>
            <w:gridSpan w:val="3"/>
            <w:shd w:val="clear" w:color="auto" w:fill="auto"/>
          </w:tcPr>
          <w:p w14:paraId="00BB0F57" w14:textId="77777777" w:rsidR="00871BDF" w:rsidRDefault="00871BDF">
            <w:pPr>
              <w:rPr>
                <w:rFonts w:ascii="宋体"/>
                <w:vanish/>
              </w:rPr>
            </w:pPr>
          </w:p>
        </w:tc>
        <w:tc>
          <w:tcPr>
            <w:tcW w:w="0" w:type="auto"/>
            <w:gridSpan w:val="3"/>
            <w:shd w:val="clear" w:color="auto" w:fill="auto"/>
          </w:tcPr>
          <w:p w14:paraId="00BB0F58" w14:textId="77777777" w:rsidR="00871BDF" w:rsidRDefault="00871BDF">
            <w:pPr>
              <w:rPr>
                <w:rFonts w:ascii="宋体"/>
                <w:vanish/>
              </w:rPr>
            </w:pPr>
          </w:p>
        </w:tc>
      </w:tr>
      <w:tr w:rsidR="00871BDF" w14:paraId="00BB0F67" w14:textId="77777777">
        <w:trPr>
          <w:jc w:val="center"/>
          <w:hidden/>
        </w:trPr>
        <w:tc>
          <w:tcPr>
            <w:tcW w:w="0" w:type="auto"/>
            <w:gridSpan w:val="3"/>
            <w:shd w:val="clear" w:color="auto" w:fill="auto"/>
          </w:tcPr>
          <w:p w14:paraId="00BB0F5A" w14:textId="77777777" w:rsidR="00871BDF" w:rsidRDefault="00871BDF">
            <w:pPr>
              <w:rPr>
                <w:rFonts w:ascii="宋体"/>
                <w:vanish/>
              </w:rPr>
            </w:pPr>
          </w:p>
        </w:tc>
        <w:tc>
          <w:tcPr>
            <w:tcW w:w="0" w:type="auto"/>
            <w:gridSpan w:val="3"/>
            <w:shd w:val="clear" w:color="auto" w:fill="auto"/>
          </w:tcPr>
          <w:p w14:paraId="00BB0F5B" w14:textId="77777777" w:rsidR="00871BDF" w:rsidRDefault="00871BDF">
            <w:pPr>
              <w:rPr>
                <w:rFonts w:ascii="宋体"/>
                <w:vanish/>
              </w:rPr>
            </w:pPr>
          </w:p>
        </w:tc>
        <w:tc>
          <w:tcPr>
            <w:tcW w:w="0" w:type="auto"/>
            <w:gridSpan w:val="3"/>
            <w:shd w:val="clear" w:color="auto" w:fill="auto"/>
          </w:tcPr>
          <w:p w14:paraId="00BB0F5C" w14:textId="77777777" w:rsidR="00871BDF" w:rsidRDefault="00871BDF">
            <w:pPr>
              <w:rPr>
                <w:rFonts w:ascii="宋体"/>
                <w:vanish/>
              </w:rPr>
            </w:pPr>
          </w:p>
        </w:tc>
        <w:tc>
          <w:tcPr>
            <w:tcW w:w="0" w:type="auto"/>
            <w:gridSpan w:val="3"/>
            <w:shd w:val="clear" w:color="auto" w:fill="auto"/>
          </w:tcPr>
          <w:p w14:paraId="00BB0F5D" w14:textId="77777777" w:rsidR="00871BDF" w:rsidRDefault="00871BDF">
            <w:pPr>
              <w:rPr>
                <w:rFonts w:ascii="宋体"/>
                <w:vanish/>
              </w:rPr>
            </w:pPr>
          </w:p>
        </w:tc>
        <w:tc>
          <w:tcPr>
            <w:tcW w:w="0" w:type="auto"/>
            <w:gridSpan w:val="3"/>
            <w:shd w:val="clear" w:color="auto" w:fill="auto"/>
          </w:tcPr>
          <w:p w14:paraId="00BB0F5E" w14:textId="77777777" w:rsidR="00871BDF" w:rsidRDefault="00871BDF">
            <w:pPr>
              <w:rPr>
                <w:rFonts w:ascii="宋体"/>
                <w:vanish/>
              </w:rPr>
            </w:pPr>
          </w:p>
        </w:tc>
        <w:tc>
          <w:tcPr>
            <w:tcW w:w="0" w:type="auto"/>
            <w:gridSpan w:val="3"/>
            <w:shd w:val="clear" w:color="auto" w:fill="auto"/>
          </w:tcPr>
          <w:p w14:paraId="00BB0F5F" w14:textId="77777777" w:rsidR="00871BDF" w:rsidRDefault="00871BDF">
            <w:pPr>
              <w:rPr>
                <w:rFonts w:ascii="宋体"/>
                <w:vanish/>
              </w:rPr>
            </w:pPr>
          </w:p>
        </w:tc>
        <w:tc>
          <w:tcPr>
            <w:tcW w:w="0" w:type="auto"/>
            <w:gridSpan w:val="3"/>
            <w:shd w:val="clear" w:color="auto" w:fill="auto"/>
          </w:tcPr>
          <w:p w14:paraId="00BB0F60" w14:textId="77777777" w:rsidR="00871BDF" w:rsidRDefault="00871BDF">
            <w:pPr>
              <w:rPr>
                <w:rFonts w:ascii="宋体"/>
                <w:vanish/>
              </w:rPr>
            </w:pPr>
          </w:p>
        </w:tc>
        <w:tc>
          <w:tcPr>
            <w:tcW w:w="0" w:type="auto"/>
            <w:gridSpan w:val="3"/>
            <w:shd w:val="clear" w:color="auto" w:fill="auto"/>
          </w:tcPr>
          <w:p w14:paraId="00BB0F61" w14:textId="77777777" w:rsidR="00871BDF" w:rsidRDefault="00871BDF">
            <w:pPr>
              <w:rPr>
                <w:rFonts w:ascii="宋体"/>
                <w:vanish/>
              </w:rPr>
            </w:pPr>
          </w:p>
        </w:tc>
        <w:tc>
          <w:tcPr>
            <w:tcW w:w="0" w:type="auto"/>
            <w:gridSpan w:val="3"/>
            <w:shd w:val="clear" w:color="auto" w:fill="auto"/>
          </w:tcPr>
          <w:p w14:paraId="00BB0F62" w14:textId="77777777" w:rsidR="00871BDF" w:rsidRDefault="00871BDF">
            <w:pPr>
              <w:rPr>
                <w:rFonts w:ascii="宋体"/>
                <w:vanish/>
              </w:rPr>
            </w:pPr>
          </w:p>
        </w:tc>
        <w:tc>
          <w:tcPr>
            <w:tcW w:w="0" w:type="auto"/>
            <w:gridSpan w:val="3"/>
            <w:shd w:val="clear" w:color="auto" w:fill="auto"/>
          </w:tcPr>
          <w:p w14:paraId="00BB0F63" w14:textId="77777777" w:rsidR="00871BDF" w:rsidRDefault="00871BDF">
            <w:pPr>
              <w:rPr>
                <w:rFonts w:ascii="宋体"/>
                <w:vanish/>
              </w:rPr>
            </w:pPr>
          </w:p>
        </w:tc>
        <w:tc>
          <w:tcPr>
            <w:tcW w:w="0" w:type="auto"/>
            <w:gridSpan w:val="3"/>
            <w:shd w:val="clear" w:color="auto" w:fill="auto"/>
          </w:tcPr>
          <w:p w14:paraId="00BB0F64" w14:textId="77777777" w:rsidR="00871BDF" w:rsidRDefault="00871BDF">
            <w:pPr>
              <w:rPr>
                <w:rFonts w:ascii="宋体"/>
                <w:vanish/>
              </w:rPr>
            </w:pPr>
          </w:p>
        </w:tc>
        <w:tc>
          <w:tcPr>
            <w:tcW w:w="0" w:type="auto"/>
            <w:gridSpan w:val="3"/>
            <w:shd w:val="clear" w:color="auto" w:fill="auto"/>
          </w:tcPr>
          <w:p w14:paraId="00BB0F65" w14:textId="77777777" w:rsidR="00871BDF" w:rsidRDefault="00871BDF">
            <w:pPr>
              <w:rPr>
                <w:rFonts w:ascii="宋体"/>
                <w:vanish/>
              </w:rPr>
            </w:pPr>
          </w:p>
        </w:tc>
        <w:tc>
          <w:tcPr>
            <w:tcW w:w="0" w:type="auto"/>
            <w:gridSpan w:val="3"/>
            <w:shd w:val="clear" w:color="auto" w:fill="auto"/>
          </w:tcPr>
          <w:p w14:paraId="00BB0F66" w14:textId="77777777" w:rsidR="00871BDF" w:rsidRDefault="00871BDF">
            <w:pPr>
              <w:rPr>
                <w:rFonts w:ascii="宋体"/>
                <w:vanish/>
              </w:rPr>
            </w:pPr>
          </w:p>
        </w:tc>
      </w:tr>
    </w:tbl>
    <w:p w14:paraId="00BB0F68" w14:textId="77777777" w:rsidR="00871BDF" w:rsidRDefault="00871BDF">
      <w:pPr>
        <w:jc w:val="center"/>
      </w:pPr>
    </w:p>
    <w:p w14:paraId="00BB0F69" w14:textId="77777777" w:rsidR="00871BDF" w:rsidRDefault="005C5088">
      <w:pPr>
        <w:jc w:val="center"/>
      </w:pPr>
      <w:r>
        <w:rPr>
          <w:rFonts w:ascii="Times New Roman" w:eastAsia="宋体" w:hAnsi="Times New Roman"/>
          <w:color w:val="000000"/>
          <w:sz w:val="20"/>
          <w:szCs w:val="20"/>
        </w:rPr>
        <w:t>99</w:t>
      </w:r>
    </w:p>
    <w:p w14:paraId="00BB0F6A" w14:textId="77777777" w:rsidR="00871BDF" w:rsidRDefault="005C5088">
      <w:r>
        <w:pict w14:anchorId="00BB14C8">
          <v:rect id="_x0000_i1126" style="width:415.3pt;height:1.5pt" o:hralign="center" o:hrstd="t" o:hr="t" fillcolor="#a0a0a0" stroked="f"/>
        </w:pict>
      </w:r>
    </w:p>
    <w:p w14:paraId="00BB0F6B" w14:textId="77777777" w:rsidR="00871BDF" w:rsidRDefault="005C5088">
      <w:hyperlink r:id="rId348" w:anchor="i54ccc64cb5384be5a4849ef1cdef4dde_7" w:history="1">
        <w:r>
          <w:rPr>
            <w:rStyle w:val="a5"/>
            <w:rFonts w:ascii="Times New Roman" w:eastAsia="宋体" w:hAnsi="Times New Roman"/>
            <w:sz w:val="20"/>
            <w:szCs w:val="20"/>
          </w:rPr>
          <w:t>Table of Contents</w:t>
        </w:r>
      </w:hyperlink>
    </w:p>
    <w:p w14:paraId="00BB0F6C" w14:textId="77777777" w:rsidR="00871BDF" w:rsidRDefault="00871BDF">
      <w:pPr>
        <w:jc w:val="center"/>
      </w:pPr>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83"/>
        <w:gridCol w:w="36"/>
        <w:gridCol w:w="36"/>
        <w:gridCol w:w="36"/>
        <w:gridCol w:w="36"/>
        <w:gridCol w:w="40"/>
        <w:gridCol w:w="2500"/>
        <w:gridCol w:w="37"/>
        <w:gridCol w:w="36"/>
        <w:gridCol w:w="36"/>
        <w:gridCol w:w="36"/>
        <w:gridCol w:w="38"/>
        <w:gridCol w:w="797"/>
        <w:gridCol w:w="37"/>
        <w:gridCol w:w="37"/>
        <w:gridCol w:w="37"/>
        <w:gridCol w:w="37"/>
        <w:gridCol w:w="64"/>
        <w:gridCol w:w="772"/>
        <w:gridCol w:w="37"/>
        <w:gridCol w:w="36"/>
        <w:gridCol w:w="36"/>
        <w:gridCol w:w="36"/>
        <w:gridCol w:w="85"/>
        <w:gridCol w:w="859"/>
        <w:gridCol w:w="37"/>
        <w:gridCol w:w="36"/>
        <w:gridCol w:w="36"/>
        <w:gridCol w:w="36"/>
        <w:gridCol w:w="55"/>
        <w:gridCol w:w="759"/>
        <w:gridCol w:w="36"/>
        <w:gridCol w:w="36"/>
        <w:gridCol w:w="36"/>
        <w:gridCol w:w="36"/>
        <w:gridCol w:w="74"/>
        <w:gridCol w:w="603"/>
        <w:gridCol w:w="36"/>
      </w:tblGrid>
      <w:tr w:rsidR="00871BDF" w14:paraId="00BB0F94" w14:textId="77777777">
        <w:trPr>
          <w:jc w:val="center"/>
        </w:trPr>
        <w:tc>
          <w:tcPr>
            <w:tcW w:w="50" w:type="pct"/>
            <w:shd w:val="clear" w:color="auto" w:fill="auto"/>
          </w:tcPr>
          <w:p w14:paraId="00BB0F6D" w14:textId="77777777" w:rsidR="00871BDF" w:rsidRDefault="00871BDF">
            <w:pPr>
              <w:rPr>
                <w:rFonts w:ascii="宋体"/>
              </w:rPr>
            </w:pPr>
          </w:p>
        </w:tc>
        <w:tc>
          <w:tcPr>
            <w:tcW w:w="436" w:type="pct"/>
            <w:shd w:val="clear" w:color="auto" w:fill="auto"/>
          </w:tcPr>
          <w:p w14:paraId="00BB0F6E" w14:textId="77777777" w:rsidR="00871BDF" w:rsidRDefault="00871BDF">
            <w:pPr>
              <w:rPr>
                <w:rFonts w:ascii="宋体"/>
              </w:rPr>
            </w:pPr>
          </w:p>
        </w:tc>
        <w:tc>
          <w:tcPr>
            <w:tcW w:w="5" w:type="pct"/>
            <w:shd w:val="clear" w:color="auto" w:fill="auto"/>
          </w:tcPr>
          <w:p w14:paraId="00BB0F6F" w14:textId="77777777" w:rsidR="00871BDF" w:rsidRDefault="00871BDF">
            <w:pPr>
              <w:rPr>
                <w:rFonts w:ascii="宋体"/>
              </w:rPr>
            </w:pPr>
          </w:p>
        </w:tc>
        <w:tc>
          <w:tcPr>
            <w:tcW w:w="5" w:type="pct"/>
            <w:shd w:val="clear" w:color="auto" w:fill="auto"/>
          </w:tcPr>
          <w:p w14:paraId="00BB0F70" w14:textId="77777777" w:rsidR="00871BDF" w:rsidRDefault="00871BDF">
            <w:pPr>
              <w:rPr>
                <w:rFonts w:ascii="宋体"/>
              </w:rPr>
            </w:pPr>
          </w:p>
        </w:tc>
        <w:tc>
          <w:tcPr>
            <w:tcW w:w="26" w:type="pct"/>
            <w:shd w:val="clear" w:color="auto" w:fill="auto"/>
          </w:tcPr>
          <w:p w14:paraId="00BB0F71" w14:textId="77777777" w:rsidR="00871BDF" w:rsidRDefault="00871BDF">
            <w:pPr>
              <w:rPr>
                <w:rFonts w:ascii="宋体"/>
              </w:rPr>
            </w:pPr>
          </w:p>
        </w:tc>
        <w:tc>
          <w:tcPr>
            <w:tcW w:w="5" w:type="pct"/>
            <w:shd w:val="clear" w:color="auto" w:fill="auto"/>
          </w:tcPr>
          <w:p w14:paraId="00BB0F72" w14:textId="77777777" w:rsidR="00871BDF" w:rsidRDefault="00871BDF">
            <w:pPr>
              <w:rPr>
                <w:rFonts w:ascii="宋体"/>
              </w:rPr>
            </w:pPr>
          </w:p>
        </w:tc>
        <w:tc>
          <w:tcPr>
            <w:tcW w:w="50" w:type="pct"/>
            <w:shd w:val="clear" w:color="auto" w:fill="auto"/>
          </w:tcPr>
          <w:p w14:paraId="00BB0F73" w14:textId="77777777" w:rsidR="00871BDF" w:rsidRDefault="00871BDF">
            <w:pPr>
              <w:rPr>
                <w:rFonts w:ascii="宋体"/>
              </w:rPr>
            </w:pPr>
          </w:p>
        </w:tc>
        <w:tc>
          <w:tcPr>
            <w:tcW w:w="1530" w:type="pct"/>
            <w:shd w:val="clear" w:color="auto" w:fill="auto"/>
          </w:tcPr>
          <w:p w14:paraId="00BB0F74" w14:textId="77777777" w:rsidR="00871BDF" w:rsidRDefault="00871BDF">
            <w:pPr>
              <w:rPr>
                <w:rFonts w:ascii="宋体"/>
              </w:rPr>
            </w:pPr>
          </w:p>
        </w:tc>
        <w:tc>
          <w:tcPr>
            <w:tcW w:w="5" w:type="pct"/>
            <w:shd w:val="clear" w:color="auto" w:fill="auto"/>
          </w:tcPr>
          <w:p w14:paraId="00BB0F75" w14:textId="77777777" w:rsidR="00871BDF" w:rsidRDefault="00871BDF">
            <w:pPr>
              <w:rPr>
                <w:rFonts w:ascii="宋体"/>
              </w:rPr>
            </w:pPr>
          </w:p>
        </w:tc>
        <w:tc>
          <w:tcPr>
            <w:tcW w:w="5" w:type="pct"/>
            <w:shd w:val="clear" w:color="auto" w:fill="auto"/>
          </w:tcPr>
          <w:p w14:paraId="00BB0F76" w14:textId="77777777" w:rsidR="00871BDF" w:rsidRDefault="00871BDF">
            <w:pPr>
              <w:rPr>
                <w:rFonts w:ascii="宋体"/>
              </w:rPr>
            </w:pPr>
          </w:p>
        </w:tc>
        <w:tc>
          <w:tcPr>
            <w:tcW w:w="26" w:type="pct"/>
            <w:shd w:val="clear" w:color="auto" w:fill="auto"/>
          </w:tcPr>
          <w:p w14:paraId="00BB0F77" w14:textId="77777777" w:rsidR="00871BDF" w:rsidRDefault="00871BDF">
            <w:pPr>
              <w:rPr>
                <w:rFonts w:ascii="宋体"/>
              </w:rPr>
            </w:pPr>
          </w:p>
        </w:tc>
        <w:tc>
          <w:tcPr>
            <w:tcW w:w="5" w:type="pct"/>
            <w:shd w:val="clear" w:color="auto" w:fill="auto"/>
          </w:tcPr>
          <w:p w14:paraId="00BB0F78" w14:textId="77777777" w:rsidR="00871BDF" w:rsidRDefault="00871BDF">
            <w:pPr>
              <w:rPr>
                <w:rFonts w:ascii="宋体"/>
              </w:rPr>
            </w:pPr>
          </w:p>
        </w:tc>
        <w:tc>
          <w:tcPr>
            <w:tcW w:w="50" w:type="pct"/>
            <w:shd w:val="clear" w:color="auto" w:fill="auto"/>
          </w:tcPr>
          <w:p w14:paraId="00BB0F79" w14:textId="77777777" w:rsidR="00871BDF" w:rsidRDefault="00871BDF">
            <w:pPr>
              <w:rPr>
                <w:rFonts w:ascii="宋体"/>
              </w:rPr>
            </w:pPr>
          </w:p>
        </w:tc>
        <w:tc>
          <w:tcPr>
            <w:tcW w:w="503" w:type="pct"/>
            <w:shd w:val="clear" w:color="auto" w:fill="auto"/>
          </w:tcPr>
          <w:p w14:paraId="00BB0F7A" w14:textId="77777777" w:rsidR="00871BDF" w:rsidRDefault="00871BDF">
            <w:pPr>
              <w:rPr>
                <w:rFonts w:ascii="宋体"/>
              </w:rPr>
            </w:pPr>
          </w:p>
        </w:tc>
        <w:tc>
          <w:tcPr>
            <w:tcW w:w="5" w:type="pct"/>
            <w:shd w:val="clear" w:color="auto" w:fill="auto"/>
          </w:tcPr>
          <w:p w14:paraId="00BB0F7B" w14:textId="77777777" w:rsidR="00871BDF" w:rsidRDefault="00871BDF">
            <w:pPr>
              <w:rPr>
                <w:rFonts w:ascii="宋体"/>
              </w:rPr>
            </w:pPr>
          </w:p>
        </w:tc>
        <w:tc>
          <w:tcPr>
            <w:tcW w:w="5" w:type="pct"/>
            <w:shd w:val="clear" w:color="auto" w:fill="auto"/>
          </w:tcPr>
          <w:p w14:paraId="00BB0F7C" w14:textId="77777777" w:rsidR="00871BDF" w:rsidRDefault="00871BDF">
            <w:pPr>
              <w:rPr>
                <w:rFonts w:ascii="宋体"/>
              </w:rPr>
            </w:pPr>
          </w:p>
        </w:tc>
        <w:tc>
          <w:tcPr>
            <w:tcW w:w="26" w:type="pct"/>
            <w:shd w:val="clear" w:color="auto" w:fill="auto"/>
          </w:tcPr>
          <w:p w14:paraId="00BB0F7D" w14:textId="77777777" w:rsidR="00871BDF" w:rsidRDefault="00871BDF">
            <w:pPr>
              <w:rPr>
                <w:rFonts w:ascii="宋体"/>
              </w:rPr>
            </w:pPr>
          </w:p>
        </w:tc>
        <w:tc>
          <w:tcPr>
            <w:tcW w:w="5" w:type="pct"/>
            <w:shd w:val="clear" w:color="auto" w:fill="auto"/>
          </w:tcPr>
          <w:p w14:paraId="00BB0F7E" w14:textId="77777777" w:rsidR="00871BDF" w:rsidRDefault="00871BDF">
            <w:pPr>
              <w:rPr>
                <w:rFonts w:ascii="宋体"/>
              </w:rPr>
            </w:pPr>
          </w:p>
        </w:tc>
        <w:tc>
          <w:tcPr>
            <w:tcW w:w="50" w:type="pct"/>
            <w:shd w:val="clear" w:color="auto" w:fill="auto"/>
          </w:tcPr>
          <w:p w14:paraId="00BB0F7F" w14:textId="77777777" w:rsidR="00871BDF" w:rsidRDefault="00871BDF">
            <w:pPr>
              <w:rPr>
                <w:rFonts w:ascii="宋体"/>
              </w:rPr>
            </w:pPr>
          </w:p>
        </w:tc>
        <w:tc>
          <w:tcPr>
            <w:tcW w:w="503" w:type="pct"/>
            <w:shd w:val="clear" w:color="auto" w:fill="auto"/>
          </w:tcPr>
          <w:p w14:paraId="00BB0F80" w14:textId="77777777" w:rsidR="00871BDF" w:rsidRDefault="00871BDF">
            <w:pPr>
              <w:rPr>
                <w:rFonts w:ascii="宋体"/>
              </w:rPr>
            </w:pPr>
          </w:p>
        </w:tc>
        <w:tc>
          <w:tcPr>
            <w:tcW w:w="5" w:type="pct"/>
            <w:shd w:val="clear" w:color="auto" w:fill="auto"/>
          </w:tcPr>
          <w:p w14:paraId="00BB0F81" w14:textId="77777777" w:rsidR="00871BDF" w:rsidRDefault="00871BDF">
            <w:pPr>
              <w:rPr>
                <w:rFonts w:ascii="宋体"/>
              </w:rPr>
            </w:pPr>
          </w:p>
        </w:tc>
        <w:tc>
          <w:tcPr>
            <w:tcW w:w="5" w:type="pct"/>
            <w:shd w:val="clear" w:color="auto" w:fill="auto"/>
          </w:tcPr>
          <w:p w14:paraId="00BB0F82" w14:textId="77777777" w:rsidR="00871BDF" w:rsidRDefault="00871BDF">
            <w:pPr>
              <w:rPr>
                <w:rFonts w:ascii="宋体"/>
              </w:rPr>
            </w:pPr>
          </w:p>
        </w:tc>
        <w:tc>
          <w:tcPr>
            <w:tcW w:w="26" w:type="pct"/>
            <w:shd w:val="clear" w:color="auto" w:fill="auto"/>
          </w:tcPr>
          <w:p w14:paraId="00BB0F83" w14:textId="77777777" w:rsidR="00871BDF" w:rsidRDefault="00871BDF">
            <w:pPr>
              <w:rPr>
                <w:rFonts w:ascii="宋体"/>
              </w:rPr>
            </w:pPr>
          </w:p>
        </w:tc>
        <w:tc>
          <w:tcPr>
            <w:tcW w:w="5" w:type="pct"/>
            <w:shd w:val="clear" w:color="auto" w:fill="auto"/>
          </w:tcPr>
          <w:p w14:paraId="00BB0F84" w14:textId="77777777" w:rsidR="00871BDF" w:rsidRDefault="00871BDF">
            <w:pPr>
              <w:rPr>
                <w:rFonts w:ascii="宋体"/>
              </w:rPr>
            </w:pPr>
          </w:p>
        </w:tc>
        <w:tc>
          <w:tcPr>
            <w:tcW w:w="50" w:type="pct"/>
            <w:shd w:val="clear" w:color="auto" w:fill="auto"/>
          </w:tcPr>
          <w:p w14:paraId="00BB0F85" w14:textId="77777777" w:rsidR="00871BDF" w:rsidRDefault="00871BDF">
            <w:pPr>
              <w:rPr>
                <w:rFonts w:ascii="宋体"/>
              </w:rPr>
            </w:pPr>
          </w:p>
        </w:tc>
        <w:tc>
          <w:tcPr>
            <w:tcW w:w="510" w:type="pct"/>
            <w:shd w:val="clear" w:color="auto" w:fill="auto"/>
          </w:tcPr>
          <w:p w14:paraId="00BB0F86" w14:textId="77777777" w:rsidR="00871BDF" w:rsidRDefault="00871BDF">
            <w:pPr>
              <w:rPr>
                <w:rFonts w:ascii="宋体"/>
              </w:rPr>
            </w:pPr>
          </w:p>
        </w:tc>
        <w:tc>
          <w:tcPr>
            <w:tcW w:w="5" w:type="pct"/>
            <w:shd w:val="clear" w:color="auto" w:fill="auto"/>
          </w:tcPr>
          <w:p w14:paraId="00BB0F87" w14:textId="77777777" w:rsidR="00871BDF" w:rsidRDefault="00871BDF">
            <w:pPr>
              <w:rPr>
                <w:rFonts w:ascii="宋体"/>
              </w:rPr>
            </w:pPr>
          </w:p>
        </w:tc>
        <w:tc>
          <w:tcPr>
            <w:tcW w:w="5" w:type="pct"/>
            <w:shd w:val="clear" w:color="auto" w:fill="auto"/>
          </w:tcPr>
          <w:p w14:paraId="00BB0F88" w14:textId="77777777" w:rsidR="00871BDF" w:rsidRDefault="00871BDF">
            <w:pPr>
              <w:rPr>
                <w:rFonts w:ascii="宋体"/>
              </w:rPr>
            </w:pPr>
          </w:p>
        </w:tc>
        <w:tc>
          <w:tcPr>
            <w:tcW w:w="26" w:type="pct"/>
            <w:shd w:val="clear" w:color="auto" w:fill="auto"/>
          </w:tcPr>
          <w:p w14:paraId="00BB0F89" w14:textId="77777777" w:rsidR="00871BDF" w:rsidRDefault="00871BDF">
            <w:pPr>
              <w:rPr>
                <w:rFonts w:ascii="宋体"/>
              </w:rPr>
            </w:pPr>
          </w:p>
        </w:tc>
        <w:tc>
          <w:tcPr>
            <w:tcW w:w="5" w:type="pct"/>
            <w:shd w:val="clear" w:color="auto" w:fill="auto"/>
          </w:tcPr>
          <w:p w14:paraId="00BB0F8A" w14:textId="77777777" w:rsidR="00871BDF" w:rsidRDefault="00871BDF">
            <w:pPr>
              <w:rPr>
                <w:rFonts w:ascii="宋体"/>
              </w:rPr>
            </w:pPr>
          </w:p>
        </w:tc>
        <w:tc>
          <w:tcPr>
            <w:tcW w:w="50" w:type="pct"/>
            <w:shd w:val="clear" w:color="auto" w:fill="auto"/>
          </w:tcPr>
          <w:p w14:paraId="00BB0F8B" w14:textId="77777777" w:rsidR="00871BDF" w:rsidRDefault="00871BDF">
            <w:pPr>
              <w:rPr>
                <w:rFonts w:ascii="宋体"/>
              </w:rPr>
            </w:pPr>
          </w:p>
        </w:tc>
        <w:tc>
          <w:tcPr>
            <w:tcW w:w="503" w:type="pct"/>
            <w:shd w:val="clear" w:color="auto" w:fill="auto"/>
          </w:tcPr>
          <w:p w14:paraId="00BB0F8C" w14:textId="77777777" w:rsidR="00871BDF" w:rsidRDefault="00871BDF">
            <w:pPr>
              <w:rPr>
                <w:rFonts w:ascii="宋体"/>
              </w:rPr>
            </w:pPr>
          </w:p>
        </w:tc>
        <w:tc>
          <w:tcPr>
            <w:tcW w:w="5" w:type="pct"/>
            <w:shd w:val="clear" w:color="auto" w:fill="auto"/>
          </w:tcPr>
          <w:p w14:paraId="00BB0F8D" w14:textId="77777777" w:rsidR="00871BDF" w:rsidRDefault="00871BDF">
            <w:pPr>
              <w:rPr>
                <w:rFonts w:ascii="宋体"/>
              </w:rPr>
            </w:pPr>
          </w:p>
        </w:tc>
        <w:tc>
          <w:tcPr>
            <w:tcW w:w="5" w:type="pct"/>
            <w:shd w:val="clear" w:color="auto" w:fill="auto"/>
          </w:tcPr>
          <w:p w14:paraId="00BB0F8E" w14:textId="77777777" w:rsidR="00871BDF" w:rsidRDefault="00871BDF">
            <w:pPr>
              <w:rPr>
                <w:rFonts w:ascii="宋体"/>
              </w:rPr>
            </w:pPr>
          </w:p>
        </w:tc>
        <w:tc>
          <w:tcPr>
            <w:tcW w:w="26" w:type="pct"/>
            <w:shd w:val="clear" w:color="auto" w:fill="auto"/>
          </w:tcPr>
          <w:p w14:paraId="00BB0F8F" w14:textId="77777777" w:rsidR="00871BDF" w:rsidRDefault="00871BDF">
            <w:pPr>
              <w:rPr>
                <w:rFonts w:ascii="宋体"/>
              </w:rPr>
            </w:pPr>
          </w:p>
        </w:tc>
        <w:tc>
          <w:tcPr>
            <w:tcW w:w="5" w:type="pct"/>
            <w:shd w:val="clear" w:color="auto" w:fill="auto"/>
          </w:tcPr>
          <w:p w14:paraId="00BB0F90" w14:textId="77777777" w:rsidR="00871BDF" w:rsidRDefault="00871BDF">
            <w:pPr>
              <w:rPr>
                <w:rFonts w:ascii="宋体"/>
              </w:rPr>
            </w:pPr>
          </w:p>
        </w:tc>
        <w:tc>
          <w:tcPr>
            <w:tcW w:w="50" w:type="pct"/>
            <w:shd w:val="clear" w:color="auto" w:fill="auto"/>
          </w:tcPr>
          <w:p w14:paraId="00BB0F91" w14:textId="77777777" w:rsidR="00871BDF" w:rsidRDefault="00871BDF">
            <w:pPr>
              <w:rPr>
                <w:rFonts w:ascii="宋体"/>
              </w:rPr>
            </w:pPr>
          </w:p>
        </w:tc>
        <w:tc>
          <w:tcPr>
            <w:tcW w:w="407" w:type="pct"/>
            <w:shd w:val="clear" w:color="auto" w:fill="auto"/>
          </w:tcPr>
          <w:p w14:paraId="00BB0F92" w14:textId="77777777" w:rsidR="00871BDF" w:rsidRDefault="00871BDF">
            <w:pPr>
              <w:rPr>
                <w:rFonts w:ascii="宋体"/>
              </w:rPr>
            </w:pPr>
          </w:p>
        </w:tc>
        <w:tc>
          <w:tcPr>
            <w:tcW w:w="5" w:type="pct"/>
            <w:shd w:val="clear" w:color="auto" w:fill="auto"/>
          </w:tcPr>
          <w:p w14:paraId="00BB0F93" w14:textId="77777777" w:rsidR="00871BDF" w:rsidRDefault="00871BDF">
            <w:pPr>
              <w:rPr>
                <w:rFonts w:ascii="宋体"/>
              </w:rPr>
            </w:pPr>
          </w:p>
        </w:tc>
      </w:tr>
      <w:tr w:rsidR="00871BDF" w14:paraId="00BB0F9C" w14:textId="77777777">
        <w:trPr>
          <w:jc w:val="center"/>
        </w:trPr>
        <w:tc>
          <w:tcPr>
            <w:tcW w:w="0" w:type="auto"/>
            <w:gridSpan w:val="3"/>
            <w:shd w:val="clear" w:color="auto" w:fill="auto"/>
            <w:tcMar>
              <w:top w:w="40" w:type="dxa"/>
              <w:left w:w="20" w:type="dxa"/>
              <w:bottom w:w="40" w:type="dxa"/>
              <w:right w:w="20" w:type="dxa"/>
            </w:tcMar>
            <w:vAlign w:val="bottom"/>
          </w:tcPr>
          <w:p w14:paraId="00BB0F95"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B0F96"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0F97"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B0F98" w14:textId="77777777" w:rsidR="00871BDF" w:rsidRDefault="00871BDF">
            <w:pPr>
              <w:rPr>
                <w:rFonts w:ascii="宋体"/>
              </w:rPr>
            </w:pPr>
          </w:p>
        </w:tc>
        <w:tc>
          <w:tcPr>
            <w:tcW w:w="0" w:type="auto"/>
            <w:gridSpan w:val="21"/>
            <w:shd w:val="clear" w:color="auto" w:fill="00704A"/>
            <w:tcMar>
              <w:top w:w="40" w:type="dxa"/>
              <w:left w:w="20" w:type="dxa"/>
              <w:bottom w:w="40" w:type="dxa"/>
              <w:right w:w="20" w:type="dxa"/>
            </w:tcMar>
            <w:vAlign w:val="bottom"/>
          </w:tcPr>
          <w:p w14:paraId="00BB0F99" w14:textId="77777777" w:rsidR="00871BDF" w:rsidRDefault="005C5088">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tcPr>
          <w:p w14:paraId="00BB0F9A"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0F9B"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871BDF" w14:paraId="00BB0FAD" w14:textId="77777777">
        <w:trPr>
          <w:jc w:val="center"/>
        </w:trPr>
        <w:tc>
          <w:tcPr>
            <w:tcW w:w="0" w:type="auto"/>
            <w:gridSpan w:val="3"/>
            <w:shd w:val="clear" w:color="auto" w:fill="00704A"/>
            <w:tcMar>
              <w:top w:w="40" w:type="dxa"/>
              <w:left w:w="20" w:type="dxa"/>
              <w:bottom w:w="40" w:type="dxa"/>
              <w:right w:w="20" w:type="dxa"/>
            </w:tcMar>
            <w:vAlign w:val="bottom"/>
          </w:tcPr>
          <w:p w14:paraId="00BB0F9D" w14:textId="77777777" w:rsidR="00871BDF" w:rsidRDefault="005C5088">
            <w:pPr>
              <w:jc w:val="center"/>
              <w:textAlignment w:val="bottom"/>
            </w:pPr>
            <w:r>
              <w:rPr>
                <w:rFonts w:ascii="Times New Roman" w:eastAsia="宋体" w:hAnsi="Times New Roman"/>
                <w:b/>
                <w:bCs/>
                <w:color w:val="FFFFFF"/>
                <w:sz w:val="16"/>
                <w:szCs w:val="16"/>
              </w:rPr>
              <w:t>Exhibit</w:t>
            </w:r>
          </w:p>
          <w:p w14:paraId="00BB0F9E"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tcPr>
          <w:p w14:paraId="00BB0F9F"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FA0" w14:textId="77777777" w:rsidR="00871BDF" w:rsidRDefault="005C5088">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tcPr>
          <w:p w14:paraId="00BB0FA1"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FA2" w14:textId="77777777" w:rsidR="00871BDF" w:rsidRDefault="005C5088">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tcPr>
          <w:p w14:paraId="00BB0FA3"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FA4" w14:textId="77777777" w:rsidR="00871BDF" w:rsidRDefault="005C5088">
            <w:pPr>
              <w:jc w:val="center"/>
              <w:textAlignment w:val="bottom"/>
            </w:pPr>
            <w:r>
              <w:rPr>
                <w:rFonts w:ascii="Times New Roman" w:eastAsia="宋体" w:hAnsi="Times New Roman"/>
                <w:b/>
                <w:bCs/>
                <w:color w:val="FFFFFF"/>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tcPr>
          <w:p w14:paraId="00BB0FA5"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FA6" w14:textId="77777777" w:rsidR="00871BDF" w:rsidRDefault="005C5088">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auto"/>
            <w:tcMar>
              <w:top w:w="0" w:type="dxa"/>
              <w:left w:w="20" w:type="dxa"/>
              <w:bottom w:w="0" w:type="dxa"/>
              <w:right w:w="20" w:type="dxa"/>
            </w:tcMar>
          </w:tcPr>
          <w:p w14:paraId="00BB0FA7"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0FA8" w14:textId="77777777" w:rsidR="00871BDF" w:rsidRDefault="005C5088">
            <w:pPr>
              <w:jc w:val="center"/>
              <w:textAlignment w:val="bottom"/>
            </w:pPr>
            <w:r>
              <w:rPr>
                <w:rFonts w:ascii="Times New Roman" w:eastAsia="宋体" w:hAnsi="Times New Roman"/>
                <w:b/>
                <w:bCs/>
                <w:color w:val="FFFFFF"/>
                <w:sz w:val="16"/>
                <w:szCs w:val="16"/>
              </w:rPr>
              <w:t>Exhibit</w:t>
            </w:r>
          </w:p>
          <w:p w14:paraId="00BB0FA9"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tcPr>
          <w:p w14:paraId="00BB0FAA"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0FAB" w14:textId="77777777" w:rsidR="00871BDF" w:rsidRDefault="005C5088">
            <w:pPr>
              <w:jc w:val="center"/>
              <w:textAlignment w:val="bottom"/>
            </w:pPr>
            <w:r>
              <w:rPr>
                <w:rFonts w:ascii="Times New Roman" w:eastAsia="宋体" w:hAnsi="Times New Roman"/>
                <w:b/>
                <w:bCs/>
                <w:color w:val="FFFFFF"/>
                <w:sz w:val="16"/>
                <w:szCs w:val="16"/>
              </w:rPr>
              <w:t>Filed</w:t>
            </w:r>
          </w:p>
          <w:p w14:paraId="00BB0FAC" w14:textId="77777777" w:rsidR="00871BDF" w:rsidRDefault="005C5088">
            <w:pPr>
              <w:jc w:val="center"/>
              <w:textAlignment w:val="bottom"/>
            </w:pPr>
            <w:r>
              <w:rPr>
                <w:rFonts w:ascii="Times New Roman" w:eastAsia="宋体" w:hAnsi="Times New Roman"/>
                <w:b/>
                <w:bCs/>
                <w:color w:val="FFFFFF"/>
                <w:sz w:val="16"/>
                <w:szCs w:val="16"/>
              </w:rPr>
              <w:t>Herewith</w:t>
            </w:r>
          </w:p>
        </w:tc>
      </w:tr>
      <w:tr w:rsidR="00871BDF" w14:paraId="00BB0FBB" w14:textId="77777777">
        <w:trPr>
          <w:jc w:val="center"/>
        </w:trPr>
        <w:tc>
          <w:tcPr>
            <w:tcW w:w="0" w:type="auto"/>
            <w:gridSpan w:val="3"/>
            <w:shd w:val="clear" w:color="auto" w:fill="D7E4BC"/>
            <w:tcMar>
              <w:top w:w="40" w:type="dxa"/>
              <w:left w:w="20" w:type="dxa"/>
              <w:bottom w:w="40" w:type="dxa"/>
              <w:right w:w="20" w:type="dxa"/>
            </w:tcMar>
          </w:tcPr>
          <w:p w14:paraId="00BB0FAE" w14:textId="77777777" w:rsidR="00871BDF" w:rsidRDefault="005C5088">
            <w:pPr>
              <w:jc w:val="center"/>
              <w:textAlignment w:val="top"/>
            </w:pPr>
            <w:hyperlink r:id="rId349" w:history="1">
              <w:r>
                <w:rPr>
                  <w:rStyle w:val="a5"/>
                  <w:rFonts w:ascii="Times New Roman" w:eastAsia="宋体" w:hAnsi="Times New Roman"/>
                  <w:sz w:val="20"/>
                  <w:szCs w:val="20"/>
                </w:rPr>
                <w:t>10.</w:t>
              </w:r>
            </w:hyperlink>
            <w:hyperlink r:id="rId350" w:history="1">
              <w:r>
                <w:rPr>
                  <w:rStyle w:val="a5"/>
                  <w:rFonts w:ascii="Times New Roman" w:eastAsia="宋体" w:hAnsi="Times New Roman"/>
                  <w:sz w:val="20"/>
                  <w:szCs w:val="20"/>
                </w:rPr>
                <w:t>10</w:t>
              </w:r>
            </w:hyperlink>
            <w:hyperlink r:id="rId351" w:history="1">
              <w:r>
                <w:rPr>
                  <w:rStyle w:val="a5"/>
                  <w:rFonts w:ascii="Times New Roman" w:eastAsia="宋体" w:hAnsi="Times New Roman"/>
                  <w:sz w:val="20"/>
                  <w:szCs w:val="20"/>
                </w:rPr>
                <w:t>*</w:t>
              </w:r>
            </w:hyperlink>
          </w:p>
        </w:tc>
        <w:tc>
          <w:tcPr>
            <w:tcW w:w="0" w:type="auto"/>
            <w:gridSpan w:val="3"/>
            <w:shd w:val="clear" w:color="auto" w:fill="D7E4BC"/>
            <w:tcMar>
              <w:top w:w="0" w:type="dxa"/>
              <w:left w:w="20" w:type="dxa"/>
              <w:bottom w:w="0" w:type="dxa"/>
              <w:right w:w="20" w:type="dxa"/>
            </w:tcMar>
          </w:tcPr>
          <w:p w14:paraId="00BB0FA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B0" w14:textId="77777777" w:rsidR="00871BDF" w:rsidRDefault="005C5088">
            <w:pPr>
              <w:textAlignment w:val="top"/>
            </w:pPr>
            <w:hyperlink r:id="rId352" w:history="1">
              <w:r>
                <w:rPr>
                  <w:rStyle w:val="a5"/>
                  <w:rFonts w:ascii="Times New Roman" w:eastAsia="宋体" w:hAnsi="Times New Roman"/>
                  <w:sz w:val="20"/>
                  <w:szCs w:val="20"/>
                </w:rPr>
                <w:t>2005 Non-Employee Director Sub-Plan to the Starbucks Corporation 2005 Long-Term Equity Incentive Plan, as amended and restated effective September 11</w:t>
              </w:r>
              <w:r>
                <w:rPr>
                  <w:rStyle w:val="a5"/>
                  <w:rFonts w:ascii="Times New Roman" w:eastAsia="宋体" w:hAnsi="Times New Roman"/>
                  <w:sz w:val="20"/>
                  <w:szCs w:val="20"/>
                </w:rPr>
                <w:t>, 2018</w:t>
              </w:r>
            </w:hyperlink>
          </w:p>
        </w:tc>
        <w:tc>
          <w:tcPr>
            <w:tcW w:w="0" w:type="auto"/>
            <w:gridSpan w:val="3"/>
            <w:shd w:val="clear" w:color="auto" w:fill="D7E4BC"/>
            <w:tcMar>
              <w:top w:w="0" w:type="dxa"/>
              <w:left w:w="20" w:type="dxa"/>
              <w:bottom w:w="0" w:type="dxa"/>
              <w:right w:w="20" w:type="dxa"/>
            </w:tcMar>
          </w:tcPr>
          <w:p w14:paraId="00BB0FB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B2"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tcPr>
          <w:p w14:paraId="00BB0FB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B4"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FB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B6" w14:textId="77777777" w:rsidR="00871BDF" w:rsidRDefault="005C5088">
            <w:pPr>
              <w:jc w:val="center"/>
              <w:textAlignment w:val="top"/>
            </w:pPr>
            <w:r>
              <w:rPr>
                <w:rFonts w:ascii="Times New Roman" w:eastAsia="宋体" w:hAnsi="Times New Roman"/>
                <w:color w:val="000000"/>
                <w:sz w:val="20"/>
                <w:szCs w:val="20"/>
              </w:rPr>
              <w:t>11/16/2018</w:t>
            </w:r>
          </w:p>
        </w:tc>
        <w:tc>
          <w:tcPr>
            <w:tcW w:w="0" w:type="auto"/>
            <w:gridSpan w:val="3"/>
            <w:shd w:val="clear" w:color="auto" w:fill="D7E4BC"/>
            <w:tcMar>
              <w:top w:w="0" w:type="dxa"/>
              <w:left w:w="20" w:type="dxa"/>
              <w:bottom w:w="0" w:type="dxa"/>
              <w:right w:w="20" w:type="dxa"/>
            </w:tcMar>
          </w:tcPr>
          <w:p w14:paraId="00BB0FB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B8" w14:textId="77777777" w:rsidR="00871BDF" w:rsidRDefault="005C5088">
            <w:pPr>
              <w:jc w:val="center"/>
              <w:textAlignment w:val="top"/>
            </w:pPr>
            <w:r>
              <w:rPr>
                <w:rFonts w:ascii="Times New Roman" w:eastAsia="宋体" w:hAnsi="Times New Roman"/>
                <w:color w:val="000000"/>
                <w:sz w:val="20"/>
                <w:szCs w:val="20"/>
              </w:rPr>
              <w:t>10.9</w:t>
            </w:r>
          </w:p>
        </w:tc>
        <w:tc>
          <w:tcPr>
            <w:tcW w:w="0" w:type="auto"/>
            <w:gridSpan w:val="3"/>
            <w:shd w:val="clear" w:color="auto" w:fill="D7E4BC"/>
            <w:tcMar>
              <w:top w:w="0" w:type="dxa"/>
              <w:left w:w="20" w:type="dxa"/>
              <w:bottom w:w="0" w:type="dxa"/>
              <w:right w:w="20" w:type="dxa"/>
            </w:tcMar>
          </w:tcPr>
          <w:p w14:paraId="00BB0FB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FBA" w14:textId="77777777" w:rsidR="00871BDF" w:rsidRDefault="00871BDF">
            <w:pPr>
              <w:rPr>
                <w:rFonts w:ascii="宋体"/>
              </w:rPr>
            </w:pPr>
          </w:p>
        </w:tc>
      </w:tr>
      <w:tr w:rsidR="00871BDF" w14:paraId="00BB0FC9" w14:textId="77777777">
        <w:trPr>
          <w:jc w:val="center"/>
        </w:trPr>
        <w:tc>
          <w:tcPr>
            <w:tcW w:w="0" w:type="auto"/>
            <w:gridSpan w:val="3"/>
            <w:shd w:val="clear" w:color="auto" w:fill="FFFFFF"/>
            <w:tcMar>
              <w:top w:w="40" w:type="dxa"/>
              <w:left w:w="20" w:type="dxa"/>
              <w:bottom w:w="40" w:type="dxa"/>
              <w:right w:w="20" w:type="dxa"/>
            </w:tcMar>
          </w:tcPr>
          <w:p w14:paraId="00BB0FBC" w14:textId="77777777" w:rsidR="00871BDF" w:rsidRDefault="005C5088">
            <w:pPr>
              <w:jc w:val="center"/>
              <w:textAlignment w:val="top"/>
            </w:pPr>
            <w:hyperlink r:id="rId353" w:history="1">
              <w:r>
                <w:rPr>
                  <w:rStyle w:val="a5"/>
                  <w:rFonts w:ascii="Times New Roman" w:eastAsia="宋体" w:hAnsi="Times New Roman"/>
                  <w:sz w:val="20"/>
                  <w:szCs w:val="20"/>
                </w:rPr>
                <w:t>10.1</w:t>
              </w:r>
            </w:hyperlink>
            <w:hyperlink r:id="rId354" w:history="1">
              <w:r>
                <w:rPr>
                  <w:rStyle w:val="a5"/>
                  <w:rFonts w:ascii="Times New Roman" w:eastAsia="宋体" w:hAnsi="Times New Roman"/>
                  <w:sz w:val="20"/>
                  <w:szCs w:val="20"/>
                </w:rPr>
                <w:t>1</w:t>
              </w:r>
            </w:hyperlink>
            <w:hyperlink r:id="rId355" w:history="1">
              <w:r>
                <w:rPr>
                  <w:rStyle w:val="a5"/>
                  <w:rFonts w:ascii="Times New Roman" w:eastAsia="宋体" w:hAnsi="Times New Roman"/>
                  <w:sz w:val="20"/>
                  <w:szCs w:val="20"/>
                </w:rPr>
                <w:t>*</w:t>
              </w:r>
            </w:hyperlink>
          </w:p>
        </w:tc>
        <w:tc>
          <w:tcPr>
            <w:tcW w:w="0" w:type="auto"/>
            <w:gridSpan w:val="3"/>
            <w:shd w:val="clear" w:color="auto" w:fill="FFFFFF"/>
            <w:tcMar>
              <w:top w:w="0" w:type="dxa"/>
              <w:left w:w="20" w:type="dxa"/>
              <w:bottom w:w="0" w:type="dxa"/>
              <w:right w:w="20" w:type="dxa"/>
            </w:tcMar>
          </w:tcPr>
          <w:p w14:paraId="00BB0FB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BE" w14:textId="77777777" w:rsidR="00871BDF" w:rsidRDefault="005C5088">
            <w:pPr>
              <w:textAlignment w:val="top"/>
            </w:pPr>
            <w:hyperlink r:id="rId356" w:history="1">
              <w:r>
                <w:rPr>
                  <w:rStyle w:val="a5"/>
                  <w:rFonts w:ascii="Times New Roman" w:eastAsia="宋体" w:hAnsi="Times New Roman"/>
                  <w:sz w:val="20"/>
                  <w:szCs w:val="20"/>
                </w:rPr>
                <w:t>Form of Global Stock Option Grant Agreement for Purchase of Stock under the</w:t>
              </w:r>
              <w:r>
                <w:rPr>
                  <w:rStyle w:val="a5"/>
                  <w:rFonts w:ascii="Times New Roman" w:eastAsia="宋体" w:hAnsi="Times New Roman"/>
                  <w:sz w:val="20"/>
                  <w:szCs w:val="20"/>
                </w:rPr>
                <w:t xml:space="preserve"> Key Employee Sub-Plan to the 2005 Long Term Equity Incentive Plan</w:t>
              </w:r>
            </w:hyperlink>
          </w:p>
        </w:tc>
        <w:tc>
          <w:tcPr>
            <w:tcW w:w="0" w:type="auto"/>
            <w:gridSpan w:val="3"/>
            <w:shd w:val="clear" w:color="auto" w:fill="FFFFFF"/>
            <w:tcMar>
              <w:top w:w="0" w:type="dxa"/>
              <w:left w:w="20" w:type="dxa"/>
              <w:bottom w:w="0" w:type="dxa"/>
              <w:right w:w="20" w:type="dxa"/>
            </w:tcMar>
          </w:tcPr>
          <w:p w14:paraId="00BB0FB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C0"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tcPr>
          <w:p w14:paraId="00BB0FC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C2"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FC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C4" w14:textId="77777777" w:rsidR="00871BDF" w:rsidRDefault="005C5088">
            <w:pPr>
              <w:jc w:val="center"/>
              <w:textAlignment w:val="top"/>
            </w:pPr>
            <w:r>
              <w:rPr>
                <w:rFonts w:ascii="Times New Roman" w:eastAsia="宋体" w:hAnsi="Times New Roman"/>
                <w:color w:val="000000"/>
                <w:sz w:val="20"/>
                <w:szCs w:val="20"/>
              </w:rPr>
              <w:t>11/18/2016</w:t>
            </w:r>
          </w:p>
        </w:tc>
        <w:tc>
          <w:tcPr>
            <w:tcW w:w="0" w:type="auto"/>
            <w:gridSpan w:val="3"/>
            <w:shd w:val="clear" w:color="auto" w:fill="FFFFFF"/>
            <w:tcMar>
              <w:top w:w="0" w:type="dxa"/>
              <w:left w:w="20" w:type="dxa"/>
              <w:bottom w:w="0" w:type="dxa"/>
              <w:right w:w="20" w:type="dxa"/>
            </w:tcMar>
          </w:tcPr>
          <w:p w14:paraId="00BB0FC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C6" w14:textId="77777777" w:rsidR="00871BDF" w:rsidRDefault="005C5088">
            <w:pPr>
              <w:jc w:val="center"/>
              <w:textAlignment w:val="top"/>
            </w:pPr>
            <w:r>
              <w:rPr>
                <w:rFonts w:ascii="Times New Roman" w:eastAsia="宋体" w:hAnsi="Times New Roman"/>
                <w:color w:val="000000"/>
                <w:sz w:val="20"/>
                <w:szCs w:val="20"/>
              </w:rPr>
              <w:t>10.14</w:t>
            </w:r>
          </w:p>
        </w:tc>
        <w:tc>
          <w:tcPr>
            <w:tcW w:w="0" w:type="auto"/>
            <w:gridSpan w:val="3"/>
            <w:shd w:val="clear" w:color="auto" w:fill="FFFFFF"/>
            <w:tcMar>
              <w:top w:w="0" w:type="dxa"/>
              <w:left w:w="20" w:type="dxa"/>
              <w:bottom w:w="0" w:type="dxa"/>
              <w:right w:w="20" w:type="dxa"/>
            </w:tcMar>
          </w:tcPr>
          <w:p w14:paraId="00BB0FC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FC8" w14:textId="77777777" w:rsidR="00871BDF" w:rsidRDefault="00871BDF">
            <w:pPr>
              <w:rPr>
                <w:rFonts w:ascii="宋体"/>
              </w:rPr>
            </w:pPr>
          </w:p>
        </w:tc>
      </w:tr>
      <w:tr w:rsidR="00871BDF" w14:paraId="00BB0FD7" w14:textId="77777777">
        <w:trPr>
          <w:jc w:val="center"/>
        </w:trPr>
        <w:tc>
          <w:tcPr>
            <w:tcW w:w="0" w:type="auto"/>
            <w:gridSpan w:val="3"/>
            <w:shd w:val="clear" w:color="auto" w:fill="D7E4BC"/>
            <w:tcMar>
              <w:top w:w="40" w:type="dxa"/>
              <w:left w:w="20" w:type="dxa"/>
              <w:bottom w:w="40" w:type="dxa"/>
              <w:right w:w="20" w:type="dxa"/>
            </w:tcMar>
          </w:tcPr>
          <w:p w14:paraId="00BB0FCA" w14:textId="77777777" w:rsidR="00871BDF" w:rsidRDefault="005C5088">
            <w:pPr>
              <w:jc w:val="center"/>
              <w:textAlignment w:val="top"/>
            </w:pPr>
            <w:hyperlink r:id="rId357" w:history="1">
              <w:r>
                <w:rPr>
                  <w:rStyle w:val="a5"/>
                  <w:rFonts w:ascii="Times New Roman" w:eastAsia="宋体" w:hAnsi="Times New Roman"/>
                  <w:sz w:val="20"/>
                  <w:szCs w:val="20"/>
                </w:rPr>
                <w:t>10.1</w:t>
              </w:r>
            </w:hyperlink>
            <w:hyperlink r:id="rId358" w:history="1">
              <w:r>
                <w:rPr>
                  <w:rStyle w:val="a5"/>
                  <w:rFonts w:ascii="Times New Roman" w:eastAsia="宋体" w:hAnsi="Times New Roman"/>
                  <w:sz w:val="20"/>
                  <w:szCs w:val="20"/>
                </w:rPr>
                <w:t>2</w:t>
              </w:r>
            </w:hyperlink>
            <w:hyperlink r:id="rId359" w:history="1">
              <w:r>
                <w:rPr>
                  <w:rStyle w:val="a5"/>
                  <w:rFonts w:ascii="Times New Roman" w:eastAsia="宋体" w:hAnsi="Times New Roman"/>
                  <w:sz w:val="20"/>
                  <w:szCs w:val="20"/>
                </w:rPr>
                <w:t>*</w:t>
              </w:r>
            </w:hyperlink>
          </w:p>
        </w:tc>
        <w:tc>
          <w:tcPr>
            <w:tcW w:w="0" w:type="auto"/>
            <w:gridSpan w:val="3"/>
            <w:shd w:val="clear" w:color="auto" w:fill="D7E4BC"/>
            <w:tcMar>
              <w:top w:w="0" w:type="dxa"/>
              <w:left w:w="20" w:type="dxa"/>
              <w:bottom w:w="0" w:type="dxa"/>
              <w:right w:w="20" w:type="dxa"/>
            </w:tcMar>
          </w:tcPr>
          <w:p w14:paraId="00BB0FC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CC" w14:textId="77777777" w:rsidR="00871BDF" w:rsidRDefault="005C5088">
            <w:pPr>
              <w:textAlignment w:val="top"/>
            </w:pPr>
            <w:hyperlink r:id="rId360" w:history="1">
              <w:r>
                <w:rPr>
                  <w:rStyle w:val="a5"/>
                  <w:rFonts w:ascii="Times New Roman" w:eastAsia="宋体" w:hAnsi="Times New Roman"/>
                  <w:sz w:val="20"/>
                  <w:szCs w:val="20"/>
                </w:rPr>
                <w:t>Form of Stock Option Grant Agreement for Purchase of Stock under the 2005 Non-Employee Director Sub-Plan to the Starbucks Corporation 2005 Long-Term Equity Incentive Plan</w:t>
              </w:r>
            </w:hyperlink>
          </w:p>
        </w:tc>
        <w:tc>
          <w:tcPr>
            <w:tcW w:w="0" w:type="auto"/>
            <w:gridSpan w:val="3"/>
            <w:shd w:val="clear" w:color="auto" w:fill="D7E4BC"/>
            <w:tcMar>
              <w:top w:w="0" w:type="dxa"/>
              <w:left w:w="20" w:type="dxa"/>
              <w:bottom w:w="0" w:type="dxa"/>
              <w:right w:w="20" w:type="dxa"/>
            </w:tcMar>
          </w:tcPr>
          <w:p w14:paraId="00BB0FC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CE" w14:textId="77777777" w:rsidR="00871BDF" w:rsidRDefault="005C5088">
            <w:pPr>
              <w:jc w:val="center"/>
              <w:textAlignment w:val="top"/>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tcPr>
          <w:p w14:paraId="00BB0FC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D0"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FD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D2" w14:textId="77777777" w:rsidR="00871BDF" w:rsidRDefault="005C5088">
            <w:pPr>
              <w:jc w:val="center"/>
              <w:textAlignment w:val="top"/>
            </w:pPr>
            <w:r>
              <w:rPr>
                <w:rFonts w:ascii="Times New Roman" w:eastAsia="宋体" w:hAnsi="Times New Roman"/>
                <w:color w:val="000000"/>
                <w:sz w:val="20"/>
                <w:szCs w:val="20"/>
              </w:rPr>
              <w:t>4/26/2016</w:t>
            </w:r>
          </w:p>
        </w:tc>
        <w:tc>
          <w:tcPr>
            <w:tcW w:w="0" w:type="auto"/>
            <w:gridSpan w:val="3"/>
            <w:shd w:val="clear" w:color="auto" w:fill="D7E4BC"/>
            <w:tcMar>
              <w:top w:w="0" w:type="dxa"/>
              <w:left w:w="20" w:type="dxa"/>
              <w:bottom w:w="0" w:type="dxa"/>
              <w:right w:w="20" w:type="dxa"/>
            </w:tcMar>
          </w:tcPr>
          <w:p w14:paraId="00BB0FD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D4" w14:textId="77777777" w:rsidR="00871BDF" w:rsidRDefault="005C5088">
            <w:pPr>
              <w:jc w:val="center"/>
              <w:textAlignment w:val="top"/>
            </w:pPr>
            <w:r>
              <w:rPr>
                <w:rFonts w:ascii="Times New Roman" w:eastAsia="宋体" w:hAnsi="Times New Roman"/>
                <w:color w:val="000000"/>
                <w:sz w:val="20"/>
                <w:szCs w:val="20"/>
              </w:rPr>
              <w:t>10.2</w:t>
            </w:r>
          </w:p>
        </w:tc>
        <w:tc>
          <w:tcPr>
            <w:tcW w:w="0" w:type="auto"/>
            <w:gridSpan w:val="3"/>
            <w:shd w:val="clear" w:color="auto" w:fill="D7E4BC"/>
            <w:tcMar>
              <w:top w:w="0" w:type="dxa"/>
              <w:left w:w="20" w:type="dxa"/>
              <w:bottom w:w="0" w:type="dxa"/>
              <w:right w:w="20" w:type="dxa"/>
            </w:tcMar>
          </w:tcPr>
          <w:p w14:paraId="00BB0FD5"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FD6" w14:textId="77777777" w:rsidR="00871BDF" w:rsidRDefault="00871BDF">
            <w:pPr>
              <w:rPr>
                <w:rFonts w:ascii="宋体"/>
              </w:rPr>
            </w:pPr>
          </w:p>
        </w:tc>
      </w:tr>
      <w:tr w:rsidR="00871BDF" w14:paraId="00BB0FE5" w14:textId="77777777">
        <w:trPr>
          <w:jc w:val="center"/>
        </w:trPr>
        <w:tc>
          <w:tcPr>
            <w:tcW w:w="0" w:type="auto"/>
            <w:gridSpan w:val="3"/>
            <w:shd w:val="clear" w:color="auto" w:fill="FFFFFF"/>
            <w:tcMar>
              <w:top w:w="40" w:type="dxa"/>
              <w:left w:w="20" w:type="dxa"/>
              <w:bottom w:w="40" w:type="dxa"/>
              <w:right w:w="20" w:type="dxa"/>
            </w:tcMar>
          </w:tcPr>
          <w:p w14:paraId="00BB0FD8" w14:textId="77777777" w:rsidR="00871BDF" w:rsidRDefault="005C5088">
            <w:pPr>
              <w:jc w:val="center"/>
              <w:textAlignment w:val="top"/>
            </w:pPr>
            <w:hyperlink r:id="rId361" w:history="1">
              <w:r>
                <w:rPr>
                  <w:rStyle w:val="a5"/>
                  <w:rFonts w:ascii="Times New Roman" w:eastAsia="宋体" w:hAnsi="Times New Roman"/>
                  <w:sz w:val="20"/>
                  <w:szCs w:val="20"/>
                </w:rPr>
                <w:t>10.1</w:t>
              </w:r>
            </w:hyperlink>
            <w:hyperlink r:id="rId362" w:history="1">
              <w:r>
                <w:rPr>
                  <w:rStyle w:val="a5"/>
                  <w:rFonts w:ascii="Times New Roman" w:eastAsia="宋体" w:hAnsi="Times New Roman"/>
                  <w:sz w:val="20"/>
                  <w:szCs w:val="20"/>
                </w:rPr>
                <w:t>3</w:t>
              </w:r>
            </w:hyperlink>
            <w:hyperlink r:id="rId363" w:history="1">
              <w:r>
                <w:rPr>
                  <w:rStyle w:val="a5"/>
                  <w:rFonts w:ascii="Times New Roman" w:eastAsia="宋体" w:hAnsi="Times New Roman"/>
                  <w:sz w:val="20"/>
                  <w:szCs w:val="20"/>
                </w:rPr>
                <w:t>*</w:t>
              </w:r>
            </w:hyperlink>
          </w:p>
        </w:tc>
        <w:tc>
          <w:tcPr>
            <w:tcW w:w="0" w:type="auto"/>
            <w:gridSpan w:val="3"/>
            <w:shd w:val="clear" w:color="auto" w:fill="FFFFFF"/>
            <w:tcMar>
              <w:top w:w="0" w:type="dxa"/>
              <w:left w:w="20" w:type="dxa"/>
              <w:bottom w:w="0" w:type="dxa"/>
              <w:right w:w="20" w:type="dxa"/>
            </w:tcMar>
          </w:tcPr>
          <w:p w14:paraId="00BB0FD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DA" w14:textId="77777777" w:rsidR="00871BDF" w:rsidRDefault="005C5088">
            <w:pPr>
              <w:textAlignment w:val="top"/>
            </w:pPr>
            <w:hyperlink r:id="rId364" w:history="1">
              <w:r>
                <w:rPr>
                  <w:rStyle w:val="a5"/>
                  <w:rFonts w:ascii="Times New Roman" w:eastAsia="宋体" w:hAnsi="Times New Roman"/>
                  <w:sz w:val="20"/>
                  <w:szCs w:val="20"/>
                </w:rPr>
                <w:t>Form of Restricted Stock Unit Grant Agreement under the 2005 Non-Employee Direc</w:t>
              </w:r>
              <w:r>
                <w:rPr>
                  <w:rStyle w:val="a5"/>
                  <w:rFonts w:ascii="Times New Roman" w:eastAsia="宋体" w:hAnsi="Times New Roman"/>
                  <w:sz w:val="20"/>
                  <w:szCs w:val="20"/>
                </w:rPr>
                <w:t>tor Sub-Plan to the Starbucks Corporation 2005 Long-Term Equity Incentive Plan</w:t>
              </w:r>
            </w:hyperlink>
          </w:p>
        </w:tc>
        <w:tc>
          <w:tcPr>
            <w:tcW w:w="0" w:type="auto"/>
            <w:gridSpan w:val="3"/>
            <w:shd w:val="clear" w:color="auto" w:fill="FFFFFF"/>
            <w:tcMar>
              <w:top w:w="0" w:type="dxa"/>
              <w:left w:w="20" w:type="dxa"/>
              <w:bottom w:w="0" w:type="dxa"/>
              <w:right w:w="20" w:type="dxa"/>
            </w:tcMar>
          </w:tcPr>
          <w:p w14:paraId="00BB0FD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DC" w14:textId="77777777" w:rsidR="00871BDF" w:rsidRDefault="005C5088">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tcPr>
          <w:p w14:paraId="00BB0FD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DE"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FD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E0" w14:textId="77777777" w:rsidR="00871BDF" w:rsidRDefault="005C5088">
            <w:pPr>
              <w:jc w:val="center"/>
              <w:textAlignment w:val="top"/>
            </w:pPr>
            <w:r>
              <w:rPr>
                <w:rFonts w:ascii="Times New Roman" w:eastAsia="宋体" w:hAnsi="Times New Roman"/>
                <w:color w:val="000000"/>
                <w:sz w:val="20"/>
                <w:szCs w:val="20"/>
              </w:rPr>
              <w:t>4/26/2016</w:t>
            </w:r>
          </w:p>
        </w:tc>
        <w:tc>
          <w:tcPr>
            <w:tcW w:w="0" w:type="auto"/>
            <w:gridSpan w:val="3"/>
            <w:shd w:val="clear" w:color="auto" w:fill="FFFFFF"/>
            <w:tcMar>
              <w:top w:w="0" w:type="dxa"/>
              <w:left w:w="20" w:type="dxa"/>
              <w:bottom w:w="0" w:type="dxa"/>
              <w:right w:w="20" w:type="dxa"/>
            </w:tcMar>
          </w:tcPr>
          <w:p w14:paraId="00BB0FE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E2" w14:textId="77777777" w:rsidR="00871BDF" w:rsidRDefault="005C5088">
            <w:pPr>
              <w:jc w:val="center"/>
              <w:textAlignment w:val="top"/>
            </w:pPr>
            <w:r>
              <w:rPr>
                <w:rFonts w:ascii="Times New Roman" w:eastAsia="宋体" w:hAnsi="Times New Roman"/>
                <w:color w:val="000000"/>
                <w:sz w:val="20"/>
                <w:szCs w:val="20"/>
              </w:rPr>
              <w:t>10.3</w:t>
            </w:r>
          </w:p>
        </w:tc>
        <w:tc>
          <w:tcPr>
            <w:tcW w:w="0" w:type="auto"/>
            <w:gridSpan w:val="3"/>
            <w:shd w:val="clear" w:color="auto" w:fill="FFFFFF"/>
            <w:tcMar>
              <w:top w:w="0" w:type="dxa"/>
              <w:left w:w="20" w:type="dxa"/>
              <w:bottom w:w="0" w:type="dxa"/>
              <w:right w:w="20" w:type="dxa"/>
            </w:tcMar>
          </w:tcPr>
          <w:p w14:paraId="00BB0FE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0FE4" w14:textId="77777777" w:rsidR="00871BDF" w:rsidRDefault="00871BDF">
            <w:pPr>
              <w:rPr>
                <w:rFonts w:ascii="宋体"/>
              </w:rPr>
            </w:pPr>
          </w:p>
        </w:tc>
      </w:tr>
      <w:tr w:rsidR="00871BDF" w14:paraId="00BB0FF3" w14:textId="77777777">
        <w:trPr>
          <w:jc w:val="center"/>
        </w:trPr>
        <w:tc>
          <w:tcPr>
            <w:tcW w:w="0" w:type="auto"/>
            <w:gridSpan w:val="3"/>
            <w:shd w:val="clear" w:color="auto" w:fill="D7E4BC"/>
            <w:tcMar>
              <w:top w:w="40" w:type="dxa"/>
              <w:left w:w="20" w:type="dxa"/>
              <w:bottom w:w="40" w:type="dxa"/>
              <w:right w:w="20" w:type="dxa"/>
            </w:tcMar>
          </w:tcPr>
          <w:p w14:paraId="00BB0FE6" w14:textId="77777777" w:rsidR="00871BDF" w:rsidRDefault="005C5088">
            <w:pPr>
              <w:jc w:val="center"/>
              <w:textAlignment w:val="top"/>
            </w:pPr>
            <w:hyperlink r:id="rId365" w:history="1">
              <w:r>
                <w:rPr>
                  <w:rStyle w:val="a5"/>
                  <w:rFonts w:ascii="Times New Roman" w:eastAsia="宋体" w:hAnsi="Times New Roman"/>
                  <w:sz w:val="20"/>
                  <w:szCs w:val="20"/>
                </w:rPr>
                <w:t>10.14</w:t>
              </w:r>
            </w:hyperlink>
          </w:p>
        </w:tc>
        <w:tc>
          <w:tcPr>
            <w:tcW w:w="0" w:type="auto"/>
            <w:gridSpan w:val="3"/>
            <w:shd w:val="clear" w:color="auto" w:fill="D7E4BC"/>
            <w:tcMar>
              <w:top w:w="0" w:type="dxa"/>
              <w:left w:w="20" w:type="dxa"/>
              <w:bottom w:w="0" w:type="dxa"/>
              <w:right w:w="20" w:type="dxa"/>
            </w:tcMar>
          </w:tcPr>
          <w:p w14:paraId="00BB0FE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E8" w14:textId="77777777" w:rsidR="00871BDF" w:rsidRDefault="005C5088">
            <w:pPr>
              <w:textAlignment w:val="top"/>
            </w:pPr>
            <w:hyperlink r:id="rId366" w:history="1">
              <w:r>
                <w:rPr>
                  <w:rStyle w:val="a5"/>
                  <w:rFonts w:ascii="Times New Roman" w:eastAsia="宋体" w:hAnsi="Times New Roman"/>
                  <w:sz w:val="20"/>
                  <w:szCs w:val="20"/>
                </w:rPr>
                <w:t>Credit Agreement, dated October 25, 2017, among Starb</w:t>
              </w:r>
              <w:r>
                <w:rPr>
                  <w:rStyle w:val="a5"/>
                  <w:rFonts w:ascii="Times New Roman" w:eastAsia="宋体" w:hAnsi="Times New Roman"/>
                  <w:sz w:val="20"/>
                  <w:szCs w:val="20"/>
                </w:rPr>
                <w:t>ucks Corporation, Bank of America, N.A., in its capacity as Administrative Agent, Swing Line Lender and L/C Issuer, Wells Fargo Bank, N.A., Citibank, N.A. and U.S. Bank National Association, as L/C Issuers, and the other Lenders from time to time a party t</w:t>
              </w:r>
              <w:r>
                <w:rPr>
                  <w:rStyle w:val="a5"/>
                  <w:rFonts w:ascii="Times New Roman" w:eastAsia="宋体" w:hAnsi="Times New Roman"/>
                  <w:sz w:val="20"/>
                  <w:szCs w:val="20"/>
                </w:rPr>
                <w:t>hereto.</w:t>
              </w:r>
            </w:hyperlink>
          </w:p>
        </w:tc>
        <w:tc>
          <w:tcPr>
            <w:tcW w:w="0" w:type="auto"/>
            <w:gridSpan w:val="3"/>
            <w:shd w:val="clear" w:color="auto" w:fill="D7E4BC"/>
            <w:tcMar>
              <w:top w:w="0" w:type="dxa"/>
              <w:left w:w="20" w:type="dxa"/>
              <w:bottom w:w="0" w:type="dxa"/>
              <w:right w:w="20" w:type="dxa"/>
            </w:tcMar>
          </w:tcPr>
          <w:p w14:paraId="00BB0FE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EA"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0FE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EC"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0FE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EE" w14:textId="77777777" w:rsidR="00871BDF" w:rsidRDefault="005C5088">
            <w:pPr>
              <w:jc w:val="center"/>
              <w:textAlignment w:val="top"/>
            </w:pPr>
            <w:r>
              <w:rPr>
                <w:rFonts w:ascii="Times New Roman" w:eastAsia="宋体" w:hAnsi="Times New Roman"/>
                <w:color w:val="000000"/>
                <w:sz w:val="20"/>
                <w:szCs w:val="20"/>
              </w:rPr>
              <w:t>10/30/2017</w:t>
            </w:r>
          </w:p>
        </w:tc>
        <w:tc>
          <w:tcPr>
            <w:tcW w:w="0" w:type="auto"/>
            <w:gridSpan w:val="3"/>
            <w:shd w:val="clear" w:color="auto" w:fill="D7E4BC"/>
            <w:tcMar>
              <w:top w:w="0" w:type="dxa"/>
              <w:left w:w="20" w:type="dxa"/>
              <w:bottom w:w="0" w:type="dxa"/>
              <w:right w:w="20" w:type="dxa"/>
            </w:tcMar>
          </w:tcPr>
          <w:p w14:paraId="00BB0FE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0FF0" w14:textId="77777777" w:rsidR="00871BDF" w:rsidRDefault="005C5088">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tcPr>
          <w:p w14:paraId="00BB0FF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0FF2" w14:textId="77777777" w:rsidR="00871BDF" w:rsidRDefault="00871BDF">
            <w:pPr>
              <w:rPr>
                <w:rFonts w:ascii="宋体"/>
              </w:rPr>
            </w:pPr>
          </w:p>
        </w:tc>
      </w:tr>
      <w:tr w:rsidR="00871BDF" w14:paraId="00BB1001" w14:textId="77777777">
        <w:trPr>
          <w:jc w:val="center"/>
        </w:trPr>
        <w:tc>
          <w:tcPr>
            <w:tcW w:w="0" w:type="auto"/>
            <w:gridSpan w:val="3"/>
            <w:shd w:val="clear" w:color="auto" w:fill="FFFFFF"/>
            <w:tcMar>
              <w:top w:w="40" w:type="dxa"/>
              <w:left w:w="20" w:type="dxa"/>
              <w:bottom w:w="40" w:type="dxa"/>
              <w:right w:w="20" w:type="dxa"/>
            </w:tcMar>
          </w:tcPr>
          <w:p w14:paraId="00BB0FF4" w14:textId="77777777" w:rsidR="00871BDF" w:rsidRDefault="005C5088">
            <w:pPr>
              <w:jc w:val="center"/>
              <w:textAlignment w:val="top"/>
            </w:pPr>
            <w:hyperlink r:id="rId367" w:history="1">
              <w:r>
                <w:rPr>
                  <w:rStyle w:val="a5"/>
                  <w:rFonts w:ascii="Times New Roman" w:eastAsia="宋体" w:hAnsi="Times New Roman"/>
                  <w:sz w:val="20"/>
                  <w:szCs w:val="20"/>
                </w:rPr>
                <w:t>10.15</w:t>
              </w:r>
            </w:hyperlink>
          </w:p>
        </w:tc>
        <w:tc>
          <w:tcPr>
            <w:tcW w:w="0" w:type="auto"/>
            <w:gridSpan w:val="3"/>
            <w:shd w:val="clear" w:color="auto" w:fill="FFFFFF"/>
            <w:tcMar>
              <w:top w:w="0" w:type="dxa"/>
              <w:left w:w="20" w:type="dxa"/>
              <w:bottom w:w="0" w:type="dxa"/>
              <w:right w:w="20" w:type="dxa"/>
            </w:tcMar>
          </w:tcPr>
          <w:p w14:paraId="00BB0FF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F6" w14:textId="77777777" w:rsidR="00871BDF" w:rsidRDefault="005C5088">
            <w:pPr>
              <w:textAlignment w:val="top"/>
            </w:pPr>
            <w:hyperlink r:id="rId368" w:history="1">
              <w:r>
                <w:rPr>
                  <w:rStyle w:val="a5"/>
                  <w:rFonts w:ascii="Times New Roman" w:eastAsia="宋体" w:hAnsi="Times New Roman"/>
                  <w:sz w:val="20"/>
                  <w:szCs w:val="20"/>
                </w:rPr>
                <w:t>First Amendment to Credit Agreement, dated May 27, 2020, among Starbucks Corporation, each Lender under the Credit Agreement that is a party thereto,</w:t>
              </w:r>
              <w:r>
                <w:rPr>
                  <w:rStyle w:val="a5"/>
                  <w:rFonts w:ascii="Times New Roman" w:eastAsia="宋体" w:hAnsi="Times New Roman"/>
                  <w:sz w:val="20"/>
                  <w:szCs w:val="20"/>
                </w:rPr>
                <w:t xml:space="preserve"> and the Bank of America, N.A., in its capacity as Administrative Agent, Swing Line Lender and L/C Issuer</w:t>
              </w:r>
            </w:hyperlink>
          </w:p>
        </w:tc>
        <w:tc>
          <w:tcPr>
            <w:tcW w:w="0" w:type="auto"/>
            <w:gridSpan w:val="3"/>
            <w:shd w:val="clear" w:color="auto" w:fill="FFFFFF"/>
            <w:tcMar>
              <w:top w:w="0" w:type="dxa"/>
              <w:left w:w="20" w:type="dxa"/>
              <w:bottom w:w="0" w:type="dxa"/>
              <w:right w:w="20" w:type="dxa"/>
            </w:tcMar>
          </w:tcPr>
          <w:p w14:paraId="00BB0FF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F8" w14:textId="77777777" w:rsidR="00871BDF" w:rsidRDefault="005C5088">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tcPr>
          <w:p w14:paraId="00BB0FF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FA"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0FF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FC" w14:textId="77777777" w:rsidR="00871BDF" w:rsidRDefault="005C5088">
            <w:pPr>
              <w:jc w:val="center"/>
              <w:textAlignment w:val="top"/>
            </w:pPr>
            <w:r>
              <w:rPr>
                <w:rFonts w:ascii="Times New Roman" w:eastAsia="宋体" w:hAnsi="Times New Roman"/>
                <w:color w:val="000000"/>
                <w:sz w:val="20"/>
                <w:szCs w:val="20"/>
              </w:rPr>
              <w:t>7/28/2020</w:t>
            </w:r>
          </w:p>
        </w:tc>
        <w:tc>
          <w:tcPr>
            <w:tcW w:w="0" w:type="auto"/>
            <w:gridSpan w:val="3"/>
            <w:shd w:val="clear" w:color="auto" w:fill="FFFFFF"/>
            <w:tcMar>
              <w:top w:w="0" w:type="dxa"/>
              <w:left w:w="20" w:type="dxa"/>
              <w:bottom w:w="0" w:type="dxa"/>
              <w:right w:w="20" w:type="dxa"/>
            </w:tcMar>
          </w:tcPr>
          <w:p w14:paraId="00BB0FF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0FFE" w14:textId="77777777" w:rsidR="00871BDF" w:rsidRDefault="005C5088">
            <w:pPr>
              <w:jc w:val="center"/>
              <w:textAlignment w:val="top"/>
            </w:pPr>
            <w:r>
              <w:rPr>
                <w:rFonts w:ascii="Times New Roman" w:eastAsia="宋体" w:hAnsi="Times New Roman"/>
                <w:color w:val="000000"/>
                <w:sz w:val="20"/>
                <w:szCs w:val="20"/>
              </w:rPr>
              <w:t>10.2</w:t>
            </w:r>
          </w:p>
        </w:tc>
        <w:tc>
          <w:tcPr>
            <w:tcW w:w="0" w:type="auto"/>
            <w:gridSpan w:val="3"/>
            <w:shd w:val="clear" w:color="auto" w:fill="FFFFFF"/>
            <w:tcMar>
              <w:top w:w="0" w:type="dxa"/>
              <w:left w:w="20" w:type="dxa"/>
              <w:bottom w:w="0" w:type="dxa"/>
              <w:right w:w="20" w:type="dxa"/>
            </w:tcMar>
          </w:tcPr>
          <w:p w14:paraId="00BB0FF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00" w14:textId="77777777" w:rsidR="00871BDF" w:rsidRDefault="00871BDF">
            <w:pPr>
              <w:rPr>
                <w:rFonts w:ascii="宋体"/>
              </w:rPr>
            </w:pPr>
          </w:p>
        </w:tc>
      </w:tr>
      <w:tr w:rsidR="00871BDF" w14:paraId="00BB100F" w14:textId="77777777">
        <w:trPr>
          <w:jc w:val="center"/>
        </w:trPr>
        <w:tc>
          <w:tcPr>
            <w:tcW w:w="0" w:type="auto"/>
            <w:gridSpan w:val="3"/>
            <w:shd w:val="clear" w:color="auto" w:fill="D7E4BC"/>
            <w:tcMar>
              <w:top w:w="40" w:type="dxa"/>
              <w:left w:w="20" w:type="dxa"/>
              <w:bottom w:w="40" w:type="dxa"/>
              <w:right w:w="20" w:type="dxa"/>
            </w:tcMar>
          </w:tcPr>
          <w:p w14:paraId="00BB1002" w14:textId="77777777" w:rsidR="00871BDF" w:rsidRDefault="005C5088">
            <w:pPr>
              <w:jc w:val="center"/>
              <w:textAlignment w:val="top"/>
            </w:pPr>
            <w:hyperlink r:id="rId369" w:history="1">
              <w:r>
                <w:rPr>
                  <w:rStyle w:val="a5"/>
                  <w:rFonts w:ascii="Times New Roman" w:eastAsia="宋体" w:hAnsi="Times New Roman"/>
                  <w:sz w:val="20"/>
                  <w:szCs w:val="20"/>
                </w:rPr>
                <w:t>10.16</w:t>
              </w:r>
            </w:hyperlink>
          </w:p>
        </w:tc>
        <w:tc>
          <w:tcPr>
            <w:tcW w:w="0" w:type="auto"/>
            <w:gridSpan w:val="3"/>
            <w:shd w:val="clear" w:color="auto" w:fill="D7E4BC"/>
            <w:tcMar>
              <w:top w:w="0" w:type="dxa"/>
              <w:left w:w="20" w:type="dxa"/>
              <w:bottom w:w="0" w:type="dxa"/>
              <w:right w:w="20" w:type="dxa"/>
            </w:tcMar>
          </w:tcPr>
          <w:p w14:paraId="00BB100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04" w14:textId="77777777" w:rsidR="00871BDF" w:rsidRDefault="005C5088">
            <w:pPr>
              <w:textAlignment w:val="top"/>
            </w:pPr>
            <w:hyperlink r:id="rId370" w:history="1">
              <w:r>
                <w:rPr>
                  <w:rStyle w:val="a5"/>
                  <w:rFonts w:ascii="Times New Roman" w:eastAsia="宋体" w:hAnsi="Times New Roman"/>
                  <w:sz w:val="20"/>
                  <w:szCs w:val="20"/>
                </w:rPr>
                <w:t>Description of Extension, dated as of October 2</w:t>
              </w:r>
              <w:r>
                <w:rPr>
                  <w:rStyle w:val="a5"/>
                  <w:rFonts w:ascii="Times New Roman" w:eastAsia="宋体" w:hAnsi="Times New Roman"/>
                  <w:sz w:val="20"/>
                  <w:szCs w:val="20"/>
                </w:rPr>
                <w:t>3, 2019, to the Amended and Restated 364-Day Credit Agreement, dated as of October 24, 2018, among Starbucks Corporation, Bank of America, N.A., in its capacity as Administrative Agent and Swing Line Lender and U.S. Bank National Association, as L/C Issuer</w:t>
              </w:r>
              <w:r>
                <w:rPr>
                  <w:rStyle w:val="a5"/>
                  <w:rFonts w:ascii="Times New Roman" w:eastAsia="宋体" w:hAnsi="Times New Roman"/>
                  <w:sz w:val="20"/>
                  <w:szCs w:val="20"/>
                </w:rPr>
                <w:t xml:space="preserve">s, and the other Lenders from time to time a party thereto. </w:t>
              </w:r>
            </w:hyperlink>
          </w:p>
        </w:tc>
        <w:tc>
          <w:tcPr>
            <w:tcW w:w="0" w:type="auto"/>
            <w:gridSpan w:val="3"/>
            <w:shd w:val="clear" w:color="auto" w:fill="D7E4BC"/>
            <w:tcMar>
              <w:top w:w="0" w:type="dxa"/>
              <w:left w:w="20" w:type="dxa"/>
              <w:bottom w:w="0" w:type="dxa"/>
              <w:right w:w="20" w:type="dxa"/>
            </w:tcMar>
          </w:tcPr>
          <w:p w14:paraId="00BB100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06"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100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08"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100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0A" w14:textId="77777777" w:rsidR="00871BDF" w:rsidRDefault="005C5088">
            <w:pPr>
              <w:jc w:val="center"/>
              <w:textAlignment w:val="top"/>
            </w:pPr>
            <w:r>
              <w:rPr>
                <w:rFonts w:ascii="Times New Roman" w:eastAsia="宋体" w:hAnsi="Times New Roman"/>
                <w:color w:val="000000"/>
                <w:sz w:val="20"/>
                <w:szCs w:val="20"/>
              </w:rPr>
              <w:t>10/25/2019</w:t>
            </w:r>
          </w:p>
        </w:tc>
        <w:tc>
          <w:tcPr>
            <w:tcW w:w="0" w:type="auto"/>
            <w:gridSpan w:val="3"/>
            <w:shd w:val="clear" w:color="auto" w:fill="D7E4BC"/>
            <w:tcMar>
              <w:top w:w="0" w:type="dxa"/>
              <w:left w:w="20" w:type="dxa"/>
              <w:bottom w:w="0" w:type="dxa"/>
              <w:right w:w="20" w:type="dxa"/>
            </w:tcMar>
          </w:tcPr>
          <w:p w14:paraId="00BB100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0C"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0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0E" w14:textId="77777777" w:rsidR="00871BDF" w:rsidRDefault="00871BDF">
            <w:pPr>
              <w:rPr>
                <w:rFonts w:ascii="宋体"/>
              </w:rPr>
            </w:pPr>
          </w:p>
        </w:tc>
      </w:tr>
      <w:tr w:rsidR="00871BDF" w14:paraId="00BB101D" w14:textId="77777777">
        <w:trPr>
          <w:jc w:val="center"/>
        </w:trPr>
        <w:tc>
          <w:tcPr>
            <w:tcW w:w="0" w:type="auto"/>
            <w:gridSpan w:val="3"/>
            <w:shd w:val="clear" w:color="auto" w:fill="FFFFFF"/>
            <w:tcMar>
              <w:top w:w="40" w:type="dxa"/>
              <w:left w:w="20" w:type="dxa"/>
              <w:bottom w:w="40" w:type="dxa"/>
              <w:right w:w="20" w:type="dxa"/>
            </w:tcMar>
          </w:tcPr>
          <w:p w14:paraId="00BB1010" w14:textId="77777777" w:rsidR="00871BDF" w:rsidRDefault="005C5088">
            <w:pPr>
              <w:jc w:val="center"/>
              <w:textAlignment w:val="top"/>
            </w:pPr>
            <w:hyperlink r:id="rId371" w:history="1">
              <w:r>
                <w:rPr>
                  <w:rStyle w:val="a5"/>
                  <w:rFonts w:ascii="Times New Roman" w:eastAsia="宋体" w:hAnsi="Times New Roman"/>
                  <w:sz w:val="20"/>
                  <w:szCs w:val="20"/>
                </w:rPr>
                <w:t>10.17</w:t>
              </w:r>
            </w:hyperlink>
          </w:p>
        </w:tc>
        <w:tc>
          <w:tcPr>
            <w:tcW w:w="0" w:type="auto"/>
            <w:gridSpan w:val="3"/>
            <w:shd w:val="clear" w:color="auto" w:fill="FFFFFF"/>
            <w:tcMar>
              <w:top w:w="0" w:type="dxa"/>
              <w:left w:w="20" w:type="dxa"/>
              <w:bottom w:w="0" w:type="dxa"/>
              <w:right w:w="20" w:type="dxa"/>
            </w:tcMar>
          </w:tcPr>
          <w:p w14:paraId="00BB101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12" w14:textId="77777777" w:rsidR="00871BDF" w:rsidRDefault="005C5088">
            <w:pPr>
              <w:textAlignment w:val="top"/>
            </w:pPr>
            <w:hyperlink r:id="rId372" w:history="1">
              <w:r>
                <w:rPr>
                  <w:rStyle w:val="a5"/>
                  <w:rFonts w:ascii="Times New Roman" w:eastAsia="宋体" w:hAnsi="Times New Roman"/>
                  <w:sz w:val="20"/>
                  <w:szCs w:val="20"/>
                </w:rPr>
                <w:t>First Amendment to Amended and Res</w:t>
              </w:r>
              <w:r>
                <w:rPr>
                  <w:rStyle w:val="a5"/>
                  <w:rFonts w:ascii="Times New Roman" w:eastAsia="宋体" w:hAnsi="Times New Roman"/>
                  <w:sz w:val="20"/>
                  <w:szCs w:val="20"/>
                </w:rPr>
                <w:t>tated 364-Day Credit Agreement, dated May 27, 2020, among Starbucks Corporation, each Lender under the Credit Agreement that is a party thereto, and the Bank of America, N.A., as Administrative Agent and Swing Line Lender</w:t>
              </w:r>
            </w:hyperlink>
          </w:p>
        </w:tc>
        <w:tc>
          <w:tcPr>
            <w:tcW w:w="0" w:type="auto"/>
            <w:gridSpan w:val="3"/>
            <w:shd w:val="clear" w:color="auto" w:fill="FFFFFF"/>
            <w:tcMar>
              <w:top w:w="0" w:type="dxa"/>
              <w:left w:w="20" w:type="dxa"/>
              <w:bottom w:w="0" w:type="dxa"/>
              <w:right w:w="20" w:type="dxa"/>
            </w:tcMar>
          </w:tcPr>
          <w:p w14:paraId="00BB101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14" w14:textId="77777777" w:rsidR="00871BDF" w:rsidRDefault="005C5088">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tcPr>
          <w:p w14:paraId="00BB101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16"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101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18" w14:textId="77777777" w:rsidR="00871BDF" w:rsidRDefault="005C5088">
            <w:pPr>
              <w:jc w:val="center"/>
              <w:textAlignment w:val="top"/>
            </w:pPr>
            <w:r>
              <w:rPr>
                <w:rFonts w:ascii="Times New Roman" w:eastAsia="宋体" w:hAnsi="Times New Roman"/>
                <w:color w:val="000000"/>
                <w:sz w:val="20"/>
                <w:szCs w:val="20"/>
              </w:rPr>
              <w:t>7/28/2020</w:t>
            </w:r>
          </w:p>
        </w:tc>
        <w:tc>
          <w:tcPr>
            <w:tcW w:w="0" w:type="auto"/>
            <w:gridSpan w:val="3"/>
            <w:shd w:val="clear" w:color="auto" w:fill="FFFFFF"/>
            <w:tcMar>
              <w:top w:w="0" w:type="dxa"/>
              <w:left w:w="20" w:type="dxa"/>
              <w:bottom w:w="0" w:type="dxa"/>
              <w:right w:w="20" w:type="dxa"/>
            </w:tcMar>
          </w:tcPr>
          <w:p w14:paraId="00BB101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1A" w14:textId="77777777" w:rsidR="00871BDF" w:rsidRDefault="005C5088">
            <w:pPr>
              <w:jc w:val="center"/>
              <w:textAlignment w:val="top"/>
            </w:pPr>
            <w:r>
              <w:rPr>
                <w:rFonts w:ascii="Times New Roman" w:eastAsia="宋体" w:hAnsi="Times New Roman"/>
                <w:color w:val="000000"/>
                <w:sz w:val="20"/>
                <w:szCs w:val="20"/>
              </w:rPr>
              <w:t>10.3</w:t>
            </w:r>
          </w:p>
        </w:tc>
        <w:tc>
          <w:tcPr>
            <w:tcW w:w="0" w:type="auto"/>
            <w:gridSpan w:val="3"/>
            <w:shd w:val="clear" w:color="auto" w:fill="FFFFFF"/>
            <w:tcMar>
              <w:top w:w="0" w:type="dxa"/>
              <w:left w:w="20" w:type="dxa"/>
              <w:bottom w:w="0" w:type="dxa"/>
              <w:right w:w="20" w:type="dxa"/>
            </w:tcMar>
          </w:tcPr>
          <w:p w14:paraId="00BB101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1C" w14:textId="77777777" w:rsidR="00871BDF" w:rsidRDefault="00871BDF">
            <w:pPr>
              <w:rPr>
                <w:rFonts w:ascii="宋体"/>
              </w:rPr>
            </w:pPr>
          </w:p>
        </w:tc>
      </w:tr>
    </w:tbl>
    <w:p w14:paraId="00BB101E" w14:textId="77777777" w:rsidR="00871BDF" w:rsidRDefault="00871BDF">
      <w:pPr>
        <w:jc w:val="center"/>
      </w:pPr>
    </w:p>
    <w:p w14:paraId="00BB101F" w14:textId="77777777" w:rsidR="00871BDF" w:rsidRDefault="005C5088">
      <w:pPr>
        <w:jc w:val="center"/>
      </w:pPr>
      <w:r>
        <w:rPr>
          <w:rFonts w:ascii="Times New Roman" w:eastAsia="宋体" w:hAnsi="Times New Roman"/>
          <w:color w:val="000000"/>
          <w:sz w:val="20"/>
          <w:szCs w:val="20"/>
        </w:rPr>
        <w:t>100</w:t>
      </w:r>
    </w:p>
    <w:p w14:paraId="00BB1020" w14:textId="77777777" w:rsidR="00871BDF" w:rsidRDefault="005C5088">
      <w:r>
        <w:pict w14:anchorId="00BB14C9">
          <v:rect id="_x0000_i1127" style="width:415.3pt;height:1.5pt" o:hralign="center" o:hrstd="t" o:hr="t" fillcolor="#a0a0a0" stroked="f"/>
        </w:pict>
      </w:r>
    </w:p>
    <w:p w14:paraId="00BB1021" w14:textId="77777777" w:rsidR="00871BDF" w:rsidRDefault="005C5088">
      <w:hyperlink r:id="rId373" w:anchor="i54ccc64cb5384be5a4849ef1cdef4dde_7" w:history="1">
        <w:r>
          <w:rPr>
            <w:rStyle w:val="a5"/>
            <w:rFonts w:ascii="Times New Roman" w:eastAsia="宋体" w:hAnsi="Times New Roman"/>
            <w:sz w:val="20"/>
            <w:szCs w:val="20"/>
          </w:rPr>
          <w:t>Table of Contents</w:t>
        </w:r>
      </w:hyperlink>
    </w:p>
    <w:p w14:paraId="00BB1022" w14:textId="77777777" w:rsidR="00871BDF" w:rsidRDefault="00871BDF">
      <w:pPr>
        <w:jc w:val="center"/>
      </w:pPr>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83"/>
        <w:gridCol w:w="36"/>
        <w:gridCol w:w="36"/>
        <w:gridCol w:w="36"/>
        <w:gridCol w:w="36"/>
        <w:gridCol w:w="54"/>
        <w:gridCol w:w="2486"/>
        <w:gridCol w:w="39"/>
        <w:gridCol w:w="36"/>
        <w:gridCol w:w="36"/>
        <w:gridCol w:w="36"/>
        <w:gridCol w:w="38"/>
        <w:gridCol w:w="796"/>
        <w:gridCol w:w="37"/>
        <w:gridCol w:w="37"/>
        <w:gridCol w:w="37"/>
        <w:gridCol w:w="37"/>
        <w:gridCol w:w="64"/>
        <w:gridCol w:w="770"/>
        <w:gridCol w:w="37"/>
        <w:gridCol w:w="36"/>
        <w:gridCol w:w="36"/>
        <w:gridCol w:w="36"/>
        <w:gridCol w:w="85"/>
        <w:gridCol w:w="859"/>
        <w:gridCol w:w="38"/>
        <w:gridCol w:w="36"/>
        <w:gridCol w:w="36"/>
        <w:gridCol w:w="36"/>
        <w:gridCol w:w="55"/>
        <w:gridCol w:w="759"/>
        <w:gridCol w:w="36"/>
        <w:gridCol w:w="36"/>
        <w:gridCol w:w="36"/>
        <w:gridCol w:w="36"/>
        <w:gridCol w:w="74"/>
        <w:gridCol w:w="603"/>
        <w:gridCol w:w="36"/>
      </w:tblGrid>
      <w:tr w:rsidR="00871BDF" w14:paraId="00BB104A" w14:textId="77777777">
        <w:trPr>
          <w:jc w:val="center"/>
        </w:trPr>
        <w:tc>
          <w:tcPr>
            <w:tcW w:w="50" w:type="pct"/>
            <w:shd w:val="clear" w:color="auto" w:fill="auto"/>
          </w:tcPr>
          <w:p w14:paraId="00BB1023" w14:textId="77777777" w:rsidR="00871BDF" w:rsidRDefault="00871BDF">
            <w:pPr>
              <w:rPr>
                <w:rFonts w:ascii="宋体"/>
              </w:rPr>
            </w:pPr>
          </w:p>
        </w:tc>
        <w:tc>
          <w:tcPr>
            <w:tcW w:w="436" w:type="pct"/>
            <w:shd w:val="clear" w:color="auto" w:fill="auto"/>
          </w:tcPr>
          <w:p w14:paraId="00BB1024" w14:textId="77777777" w:rsidR="00871BDF" w:rsidRDefault="00871BDF">
            <w:pPr>
              <w:rPr>
                <w:rFonts w:ascii="宋体"/>
              </w:rPr>
            </w:pPr>
          </w:p>
        </w:tc>
        <w:tc>
          <w:tcPr>
            <w:tcW w:w="5" w:type="pct"/>
            <w:shd w:val="clear" w:color="auto" w:fill="auto"/>
          </w:tcPr>
          <w:p w14:paraId="00BB1025" w14:textId="77777777" w:rsidR="00871BDF" w:rsidRDefault="00871BDF">
            <w:pPr>
              <w:rPr>
                <w:rFonts w:ascii="宋体"/>
              </w:rPr>
            </w:pPr>
          </w:p>
        </w:tc>
        <w:tc>
          <w:tcPr>
            <w:tcW w:w="5" w:type="pct"/>
            <w:shd w:val="clear" w:color="auto" w:fill="auto"/>
          </w:tcPr>
          <w:p w14:paraId="00BB1026" w14:textId="77777777" w:rsidR="00871BDF" w:rsidRDefault="00871BDF">
            <w:pPr>
              <w:rPr>
                <w:rFonts w:ascii="宋体"/>
              </w:rPr>
            </w:pPr>
          </w:p>
        </w:tc>
        <w:tc>
          <w:tcPr>
            <w:tcW w:w="26" w:type="pct"/>
            <w:shd w:val="clear" w:color="auto" w:fill="auto"/>
          </w:tcPr>
          <w:p w14:paraId="00BB1027" w14:textId="77777777" w:rsidR="00871BDF" w:rsidRDefault="00871BDF">
            <w:pPr>
              <w:rPr>
                <w:rFonts w:ascii="宋体"/>
              </w:rPr>
            </w:pPr>
          </w:p>
        </w:tc>
        <w:tc>
          <w:tcPr>
            <w:tcW w:w="5" w:type="pct"/>
            <w:shd w:val="clear" w:color="auto" w:fill="auto"/>
          </w:tcPr>
          <w:p w14:paraId="00BB1028" w14:textId="77777777" w:rsidR="00871BDF" w:rsidRDefault="00871BDF">
            <w:pPr>
              <w:rPr>
                <w:rFonts w:ascii="宋体"/>
              </w:rPr>
            </w:pPr>
          </w:p>
        </w:tc>
        <w:tc>
          <w:tcPr>
            <w:tcW w:w="50" w:type="pct"/>
            <w:shd w:val="clear" w:color="auto" w:fill="auto"/>
          </w:tcPr>
          <w:p w14:paraId="00BB1029" w14:textId="77777777" w:rsidR="00871BDF" w:rsidRDefault="00871BDF">
            <w:pPr>
              <w:rPr>
                <w:rFonts w:ascii="宋体"/>
              </w:rPr>
            </w:pPr>
          </w:p>
        </w:tc>
        <w:tc>
          <w:tcPr>
            <w:tcW w:w="1530" w:type="pct"/>
            <w:shd w:val="clear" w:color="auto" w:fill="auto"/>
          </w:tcPr>
          <w:p w14:paraId="00BB102A" w14:textId="77777777" w:rsidR="00871BDF" w:rsidRDefault="00871BDF">
            <w:pPr>
              <w:rPr>
                <w:rFonts w:ascii="宋体"/>
              </w:rPr>
            </w:pPr>
          </w:p>
        </w:tc>
        <w:tc>
          <w:tcPr>
            <w:tcW w:w="5" w:type="pct"/>
            <w:shd w:val="clear" w:color="auto" w:fill="auto"/>
          </w:tcPr>
          <w:p w14:paraId="00BB102B" w14:textId="77777777" w:rsidR="00871BDF" w:rsidRDefault="00871BDF">
            <w:pPr>
              <w:rPr>
                <w:rFonts w:ascii="宋体"/>
              </w:rPr>
            </w:pPr>
          </w:p>
        </w:tc>
        <w:tc>
          <w:tcPr>
            <w:tcW w:w="5" w:type="pct"/>
            <w:shd w:val="clear" w:color="auto" w:fill="auto"/>
          </w:tcPr>
          <w:p w14:paraId="00BB102C" w14:textId="77777777" w:rsidR="00871BDF" w:rsidRDefault="00871BDF">
            <w:pPr>
              <w:rPr>
                <w:rFonts w:ascii="宋体"/>
              </w:rPr>
            </w:pPr>
          </w:p>
        </w:tc>
        <w:tc>
          <w:tcPr>
            <w:tcW w:w="26" w:type="pct"/>
            <w:shd w:val="clear" w:color="auto" w:fill="auto"/>
          </w:tcPr>
          <w:p w14:paraId="00BB102D" w14:textId="77777777" w:rsidR="00871BDF" w:rsidRDefault="00871BDF">
            <w:pPr>
              <w:rPr>
                <w:rFonts w:ascii="宋体"/>
              </w:rPr>
            </w:pPr>
          </w:p>
        </w:tc>
        <w:tc>
          <w:tcPr>
            <w:tcW w:w="5" w:type="pct"/>
            <w:shd w:val="clear" w:color="auto" w:fill="auto"/>
          </w:tcPr>
          <w:p w14:paraId="00BB102E" w14:textId="77777777" w:rsidR="00871BDF" w:rsidRDefault="00871BDF">
            <w:pPr>
              <w:rPr>
                <w:rFonts w:ascii="宋体"/>
              </w:rPr>
            </w:pPr>
          </w:p>
        </w:tc>
        <w:tc>
          <w:tcPr>
            <w:tcW w:w="50" w:type="pct"/>
            <w:shd w:val="clear" w:color="auto" w:fill="auto"/>
          </w:tcPr>
          <w:p w14:paraId="00BB102F" w14:textId="77777777" w:rsidR="00871BDF" w:rsidRDefault="00871BDF">
            <w:pPr>
              <w:rPr>
                <w:rFonts w:ascii="宋体"/>
              </w:rPr>
            </w:pPr>
          </w:p>
        </w:tc>
        <w:tc>
          <w:tcPr>
            <w:tcW w:w="503" w:type="pct"/>
            <w:shd w:val="clear" w:color="auto" w:fill="auto"/>
          </w:tcPr>
          <w:p w14:paraId="00BB1030" w14:textId="77777777" w:rsidR="00871BDF" w:rsidRDefault="00871BDF">
            <w:pPr>
              <w:rPr>
                <w:rFonts w:ascii="宋体"/>
              </w:rPr>
            </w:pPr>
          </w:p>
        </w:tc>
        <w:tc>
          <w:tcPr>
            <w:tcW w:w="5" w:type="pct"/>
            <w:shd w:val="clear" w:color="auto" w:fill="auto"/>
          </w:tcPr>
          <w:p w14:paraId="00BB1031" w14:textId="77777777" w:rsidR="00871BDF" w:rsidRDefault="00871BDF">
            <w:pPr>
              <w:rPr>
                <w:rFonts w:ascii="宋体"/>
              </w:rPr>
            </w:pPr>
          </w:p>
        </w:tc>
        <w:tc>
          <w:tcPr>
            <w:tcW w:w="5" w:type="pct"/>
            <w:shd w:val="clear" w:color="auto" w:fill="auto"/>
          </w:tcPr>
          <w:p w14:paraId="00BB1032" w14:textId="77777777" w:rsidR="00871BDF" w:rsidRDefault="00871BDF">
            <w:pPr>
              <w:rPr>
                <w:rFonts w:ascii="宋体"/>
              </w:rPr>
            </w:pPr>
          </w:p>
        </w:tc>
        <w:tc>
          <w:tcPr>
            <w:tcW w:w="26" w:type="pct"/>
            <w:shd w:val="clear" w:color="auto" w:fill="auto"/>
          </w:tcPr>
          <w:p w14:paraId="00BB1033" w14:textId="77777777" w:rsidR="00871BDF" w:rsidRDefault="00871BDF">
            <w:pPr>
              <w:rPr>
                <w:rFonts w:ascii="宋体"/>
              </w:rPr>
            </w:pPr>
          </w:p>
        </w:tc>
        <w:tc>
          <w:tcPr>
            <w:tcW w:w="5" w:type="pct"/>
            <w:shd w:val="clear" w:color="auto" w:fill="auto"/>
          </w:tcPr>
          <w:p w14:paraId="00BB1034" w14:textId="77777777" w:rsidR="00871BDF" w:rsidRDefault="00871BDF">
            <w:pPr>
              <w:rPr>
                <w:rFonts w:ascii="宋体"/>
              </w:rPr>
            </w:pPr>
          </w:p>
        </w:tc>
        <w:tc>
          <w:tcPr>
            <w:tcW w:w="50" w:type="pct"/>
            <w:shd w:val="clear" w:color="auto" w:fill="auto"/>
          </w:tcPr>
          <w:p w14:paraId="00BB1035" w14:textId="77777777" w:rsidR="00871BDF" w:rsidRDefault="00871BDF">
            <w:pPr>
              <w:rPr>
                <w:rFonts w:ascii="宋体"/>
              </w:rPr>
            </w:pPr>
          </w:p>
        </w:tc>
        <w:tc>
          <w:tcPr>
            <w:tcW w:w="503" w:type="pct"/>
            <w:shd w:val="clear" w:color="auto" w:fill="auto"/>
          </w:tcPr>
          <w:p w14:paraId="00BB1036" w14:textId="77777777" w:rsidR="00871BDF" w:rsidRDefault="00871BDF">
            <w:pPr>
              <w:rPr>
                <w:rFonts w:ascii="宋体"/>
              </w:rPr>
            </w:pPr>
          </w:p>
        </w:tc>
        <w:tc>
          <w:tcPr>
            <w:tcW w:w="5" w:type="pct"/>
            <w:shd w:val="clear" w:color="auto" w:fill="auto"/>
          </w:tcPr>
          <w:p w14:paraId="00BB1037" w14:textId="77777777" w:rsidR="00871BDF" w:rsidRDefault="00871BDF">
            <w:pPr>
              <w:rPr>
                <w:rFonts w:ascii="宋体"/>
              </w:rPr>
            </w:pPr>
          </w:p>
        </w:tc>
        <w:tc>
          <w:tcPr>
            <w:tcW w:w="5" w:type="pct"/>
            <w:shd w:val="clear" w:color="auto" w:fill="auto"/>
          </w:tcPr>
          <w:p w14:paraId="00BB1038" w14:textId="77777777" w:rsidR="00871BDF" w:rsidRDefault="00871BDF">
            <w:pPr>
              <w:rPr>
                <w:rFonts w:ascii="宋体"/>
              </w:rPr>
            </w:pPr>
          </w:p>
        </w:tc>
        <w:tc>
          <w:tcPr>
            <w:tcW w:w="26" w:type="pct"/>
            <w:shd w:val="clear" w:color="auto" w:fill="auto"/>
          </w:tcPr>
          <w:p w14:paraId="00BB1039" w14:textId="77777777" w:rsidR="00871BDF" w:rsidRDefault="00871BDF">
            <w:pPr>
              <w:rPr>
                <w:rFonts w:ascii="宋体"/>
              </w:rPr>
            </w:pPr>
          </w:p>
        </w:tc>
        <w:tc>
          <w:tcPr>
            <w:tcW w:w="5" w:type="pct"/>
            <w:shd w:val="clear" w:color="auto" w:fill="auto"/>
          </w:tcPr>
          <w:p w14:paraId="00BB103A" w14:textId="77777777" w:rsidR="00871BDF" w:rsidRDefault="00871BDF">
            <w:pPr>
              <w:rPr>
                <w:rFonts w:ascii="宋体"/>
              </w:rPr>
            </w:pPr>
          </w:p>
        </w:tc>
        <w:tc>
          <w:tcPr>
            <w:tcW w:w="50" w:type="pct"/>
            <w:shd w:val="clear" w:color="auto" w:fill="auto"/>
          </w:tcPr>
          <w:p w14:paraId="00BB103B" w14:textId="77777777" w:rsidR="00871BDF" w:rsidRDefault="00871BDF">
            <w:pPr>
              <w:rPr>
                <w:rFonts w:ascii="宋体"/>
              </w:rPr>
            </w:pPr>
          </w:p>
        </w:tc>
        <w:tc>
          <w:tcPr>
            <w:tcW w:w="510" w:type="pct"/>
            <w:shd w:val="clear" w:color="auto" w:fill="auto"/>
          </w:tcPr>
          <w:p w14:paraId="00BB103C" w14:textId="77777777" w:rsidR="00871BDF" w:rsidRDefault="00871BDF">
            <w:pPr>
              <w:rPr>
                <w:rFonts w:ascii="宋体"/>
              </w:rPr>
            </w:pPr>
          </w:p>
        </w:tc>
        <w:tc>
          <w:tcPr>
            <w:tcW w:w="5" w:type="pct"/>
            <w:shd w:val="clear" w:color="auto" w:fill="auto"/>
          </w:tcPr>
          <w:p w14:paraId="00BB103D" w14:textId="77777777" w:rsidR="00871BDF" w:rsidRDefault="00871BDF">
            <w:pPr>
              <w:rPr>
                <w:rFonts w:ascii="宋体"/>
              </w:rPr>
            </w:pPr>
          </w:p>
        </w:tc>
        <w:tc>
          <w:tcPr>
            <w:tcW w:w="5" w:type="pct"/>
            <w:shd w:val="clear" w:color="auto" w:fill="auto"/>
          </w:tcPr>
          <w:p w14:paraId="00BB103E" w14:textId="77777777" w:rsidR="00871BDF" w:rsidRDefault="00871BDF">
            <w:pPr>
              <w:rPr>
                <w:rFonts w:ascii="宋体"/>
              </w:rPr>
            </w:pPr>
          </w:p>
        </w:tc>
        <w:tc>
          <w:tcPr>
            <w:tcW w:w="26" w:type="pct"/>
            <w:shd w:val="clear" w:color="auto" w:fill="auto"/>
          </w:tcPr>
          <w:p w14:paraId="00BB103F" w14:textId="77777777" w:rsidR="00871BDF" w:rsidRDefault="00871BDF">
            <w:pPr>
              <w:rPr>
                <w:rFonts w:ascii="宋体"/>
              </w:rPr>
            </w:pPr>
          </w:p>
        </w:tc>
        <w:tc>
          <w:tcPr>
            <w:tcW w:w="5" w:type="pct"/>
            <w:shd w:val="clear" w:color="auto" w:fill="auto"/>
          </w:tcPr>
          <w:p w14:paraId="00BB1040" w14:textId="77777777" w:rsidR="00871BDF" w:rsidRDefault="00871BDF">
            <w:pPr>
              <w:rPr>
                <w:rFonts w:ascii="宋体"/>
              </w:rPr>
            </w:pPr>
          </w:p>
        </w:tc>
        <w:tc>
          <w:tcPr>
            <w:tcW w:w="50" w:type="pct"/>
            <w:shd w:val="clear" w:color="auto" w:fill="auto"/>
          </w:tcPr>
          <w:p w14:paraId="00BB1041" w14:textId="77777777" w:rsidR="00871BDF" w:rsidRDefault="00871BDF">
            <w:pPr>
              <w:rPr>
                <w:rFonts w:ascii="宋体"/>
              </w:rPr>
            </w:pPr>
          </w:p>
        </w:tc>
        <w:tc>
          <w:tcPr>
            <w:tcW w:w="503" w:type="pct"/>
            <w:shd w:val="clear" w:color="auto" w:fill="auto"/>
          </w:tcPr>
          <w:p w14:paraId="00BB1042" w14:textId="77777777" w:rsidR="00871BDF" w:rsidRDefault="00871BDF">
            <w:pPr>
              <w:rPr>
                <w:rFonts w:ascii="宋体"/>
              </w:rPr>
            </w:pPr>
          </w:p>
        </w:tc>
        <w:tc>
          <w:tcPr>
            <w:tcW w:w="5" w:type="pct"/>
            <w:shd w:val="clear" w:color="auto" w:fill="auto"/>
          </w:tcPr>
          <w:p w14:paraId="00BB1043" w14:textId="77777777" w:rsidR="00871BDF" w:rsidRDefault="00871BDF">
            <w:pPr>
              <w:rPr>
                <w:rFonts w:ascii="宋体"/>
              </w:rPr>
            </w:pPr>
          </w:p>
        </w:tc>
        <w:tc>
          <w:tcPr>
            <w:tcW w:w="5" w:type="pct"/>
            <w:shd w:val="clear" w:color="auto" w:fill="auto"/>
          </w:tcPr>
          <w:p w14:paraId="00BB1044" w14:textId="77777777" w:rsidR="00871BDF" w:rsidRDefault="00871BDF">
            <w:pPr>
              <w:rPr>
                <w:rFonts w:ascii="宋体"/>
              </w:rPr>
            </w:pPr>
          </w:p>
        </w:tc>
        <w:tc>
          <w:tcPr>
            <w:tcW w:w="26" w:type="pct"/>
            <w:shd w:val="clear" w:color="auto" w:fill="auto"/>
          </w:tcPr>
          <w:p w14:paraId="00BB1045" w14:textId="77777777" w:rsidR="00871BDF" w:rsidRDefault="00871BDF">
            <w:pPr>
              <w:rPr>
                <w:rFonts w:ascii="宋体"/>
              </w:rPr>
            </w:pPr>
          </w:p>
        </w:tc>
        <w:tc>
          <w:tcPr>
            <w:tcW w:w="5" w:type="pct"/>
            <w:shd w:val="clear" w:color="auto" w:fill="auto"/>
          </w:tcPr>
          <w:p w14:paraId="00BB1046" w14:textId="77777777" w:rsidR="00871BDF" w:rsidRDefault="00871BDF">
            <w:pPr>
              <w:rPr>
                <w:rFonts w:ascii="宋体"/>
              </w:rPr>
            </w:pPr>
          </w:p>
        </w:tc>
        <w:tc>
          <w:tcPr>
            <w:tcW w:w="50" w:type="pct"/>
            <w:shd w:val="clear" w:color="auto" w:fill="auto"/>
          </w:tcPr>
          <w:p w14:paraId="00BB1047" w14:textId="77777777" w:rsidR="00871BDF" w:rsidRDefault="00871BDF">
            <w:pPr>
              <w:rPr>
                <w:rFonts w:ascii="宋体"/>
              </w:rPr>
            </w:pPr>
          </w:p>
        </w:tc>
        <w:tc>
          <w:tcPr>
            <w:tcW w:w="407" w:type="pct"/>
            <w:shd w:val="clear" w:color="auto" w:fill="auto"/>
          </w:tcPr>
          <w:p w14:paraId="00BB1048" w14:textId="77777777" w:rsidR="00871BDF" w:rsidRDefault="00871BDF">
            <w:pPr>
              <w:rPr>
                <w:rFonts w:ascii="宋体"/>
              </w:rPr>
            </w:pPr>
          </w:p>
        </w:tc>
        <w:tc>
          <w:tcPr>
            <w:tcW w:w="5" w:type="pct"/>
            <w:shd w:val="clear" w:color="auto" w:fill="auto"/>
          </w:tcPr>
          <w:p w14:paraId="00BB1049" w14:textId="77777777" w:rsidR="00871BDF" w:rsidRDefault="00871BDF">
            <w:pPr>
              <w:rPr>
                <w:rFonts w:ascii="宋体"/>
              </w:rPr>
            </w:pPr>
          </w:p>
        </w:tc>
      </w:tr>
      <w:tr w:rsidR="00871BDF" w14:paraId="00BB1052" w14:textId="77777777">
        <w:trPr>
          <w:jc w:val="center"/>
        </w:trPr>
        <w:tc>
          <w:tcPr>
            <w:tcW w:w="0" w:type="auto"/>
            <w:gridSpan w:val="3"/>
            <w:shd w:val="clear" w:color="auto" w:fill="auto"/>
            <w:tcMar>
              <w:top w:w="40" w:type="dxa"/>
              <w:left w:w="20" w:type="dxa"/>
              <w:bottom w:w="40" w:type="dxa"/>
              <w:right w:w="20" w:type="dxa"/>
            </w:tcMar>
            <w:vAlign w:val="bottom"/>
          </w:tcPr>
          <w:p w14:paraId="00BB104B"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B104C"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04D"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B104E" w14:textId="77777777" w:rsidR="00871BDF" w:rsidRDefault="00871BDF">
            <w:pPr>
              <w:rPr>
                <w:rFonts w:ascii="宋体"/>
              </w:rPr>
            </w:pPr>
          </w:p>
        </w:tc>
        <w:tc>
          <w:tcPr>
            <w:tcW w:w="0" w:type="auto"/>
            <w:gridSpan w:val="21"/>
            <w:shd w:val="clear" w:color="auto" w:fill="00704A"/>
            <w:tcMar>
              <w:top w:w="40" w:type="dxa"/>
              <w:left w:w="20" w:type="dxa"/>
              <w:bottom w:w="40" w:type="dxa"/>
              <w:right w:w="20" w:type="dxa"/>
            </w:tcMar>
            <w:vAlign w:val="bottom"/>
          </w:tcPr>
          <w:p w14:paraId="00BB104F" w14:textId="77777777" w:rsidR="00871BDF" w:rsidRDefault="005C5088">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tcPr>
          <w:p w14:paraId="00BB1050"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051"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871BDF" w14:paraId="00BB1063" w14:textId="77777777">
        <w:trPr>
          <w:jc w:val="center"/>
        </w:trPr>
        <w:tc>
          <w:tcPr>
            <w:tcW w:w="0" w:type="auto"/>
            <w:gridSpan w:val="3"/>
            <w:shd w:val="clear" w:color="auto" w:fill="00704A"/>
            <w:tcMar>
              <w:top w:w="40" w:type="dxa"/>
              <w:left w:w="20" w:type="dxa"/>
              <w:bottom w:w="40" w:type="dxa"/>
              <w:right w:w="20" w:type="dxa"/>
            </w:tcMar>
            <w:vAlign w:val="bottom"/>
          </w:tcPr>
          <w:p w14:paraId="00BB1053" w14:textId="77777777" w:rsidR="00871BDF" w:rsidRDefault="005C5088">
            <w:pPr>
              <w:jc w:val="center"/>
              <w:textAlignment w:val="bottom"/>
            </w:pPr>
            <w:r>
              <w:rPr>
                <w:rFonts w:ascii="Times New Roman" w:eastAsia="宋体" w:hAnsi="Times New Roman"/>
                <w:b/>
                <w:bCs/>
                <w:color w:val="FFFFFF"/>
                <w:sz w:val="16"/>
                <w:szCs w:val="16"/>
              </w:rPr>
              <w:t>Exhibit</w:t>
            </w:r>
          </w:p>
          <w:p w14:paraId="00BB1054"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tcPr>
          <w:p w14:paraId="00BB1055"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1056" w14:textId="77777777" w:rsidR="00871BDF" w:rsidRDefault="005C5088">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tcPr>
          <w:p w14:paraId="00BB1057"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1058" w14:textId="77777777" w:rsidR="00871BDF" w:rsidRDefault="005C5088">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tcPr>
          <w:p w14:paraId="00BB1059"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105A" w14:textId="77777777" w:rsidR="00871BDF" w:rsidRDefault="005C5088">
            <w:pPr>
              <w:jc w:val="center"/>
              <w:textAlignment w:val="bottom"/>
            </w:pPr>
            <w:r>
              <w:rPr>
                <w:rFonts w:ascii="Times New Roman" w:eastAsia="宋体" w:hAnsi="Times New Roman"/>
                <w:b/>
                <w:bCs/>
                <w:color w:val="FFFFFF"/>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tcPr>
          <w:p w14:paraId="00BB105B"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105C" w14:textId="77777777" w:rsidR="00871BDF" w:rsidRDefault="005C5088">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auto"/>
            <w:tcMar>
              <w:top w:w="0" w:type="dxa"/>
              <w:left w:w="20" w:type="dxa"/>
              <w:bottom w:w="0" w:type="dxa"/>
              <w:right w:w="20" w:type="dxa"/>
            </w:tcMar>
          </w:tcPr>
          <w:p w14:paraId="00BB105D"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105E" w14:textId="77777777" w:rsidR="00871BDF" w:rsidRDefault="005C5088">
            <w:pPr>
              <w:jc w:val="center"/>
              <w:textAlignment w:val="bottom"/>
            </w:pPr>
            <w:r>
              <w:rPr>
                <w:rFonts w:ascii="Times New Roman" w:eastAsia="宋体" w:hAnsi="Times New Roman"/>
                <w:b/>
                <w:bCs/>
                <w:color w:val="FFFFFF"/>
                <w:sz w:val="16"/>
                <w:szCs w:val="16"/>
              </w:rPr>
              <w:t>Exhibit</w:t>
            </w:r>
          </w:p>
          <w:p w14:paraId="00BB105F"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tcPr>
          <w:p w14:paraId="00BB1060"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1061" w14:textId="77777777" w:rsidR="00871BDF" w:rsidRDefault="005C5088">
            <w:pPr>
              <w:jc w:val="center"/>
              <w:textAlignment w:val="bottom"/>
            </w:pPr>
            <w:r>
              <w:rPr>
                <w:rFonts w:ascii="Times New Roman" w:eastAsia="宋体" w:hAnsi="Times New Roman"/>
                <w:b/>
                <w:bCs/>
                <w:color w:val="FFFFFF"/>
                <w:sz w:val="16"/>
                <w:szCs w:val="16"/>
              </w:rPr>
              <w:t>Filed</w:t>
            </w:r>
          </w:p>
          <w:p w14:paraId="00BB1062" w14:textId="77777777" w:rsidR="00871BDF" w:rsidRDefault="005C5088">
            <w:pPr>
              <w:jc w:val="center"/>
              <w:textAlignment w:val="bottom"/>
            </w:pPr>
            <w:r>
              <w:rPr>
                <w:rFonts w:ascii="Times New Roman" w:eastAsia="宋体" w:hAnsi="Times New Roman"/>
                <w:b/>
                <w:bCs/>
                <w:color w:val="FFFFFF"/>
                <w:sz w:val="16"/>
                <w:szCs w:val="16"/>
              </w:rPr>
              <w:t>Herewith</w:t>
            </w:r>
          </w:p>
        </w:tc>
      </w:tr>
      <w:tr w:rsidR="00871BDF" w14:paraId="00BB1072" w14:textId="77777777">
        <w:trPr>
          <w:jc w:val="center"/>
        </w:trPr>
        <w:tc>
          <w:tcPr>
            <w:tcW w:w="0" w:type="auto"/>
            <w:gridSpan w:val="3"/>
            <w:shd w:val="clear" w:color="auto" w:fill="D7E4BC"/>
            <w:tcMar>
              <w:top w:w="40" w:type="dxa"/>
              <w:left w:w="20" w:type="dxa"/>
              <w:bottom w:w="40" w:type="dxa"/>
              <w:right w:w="20" w:type="dxa"/>
            </w:tcMar>
          </w:tcPr>
          <w:p w14:paraId="00BB1064" w14:textId="77777777" w:rsidR="00871BDF" w:rsidRDefault="005C5088">
            <w:pPr>
              <w:jc w:val="center"/>
              <w:textAlignment w:val="top"/>
            </w:pPr>
            <w:hyperlink r:id="rId374" w:history="1">
              <w:r>
                <w:rPr>
                  <w:rStyle w:val="a5"/>
                  <w:rFonts w:ascii="Times New Roman" w:eastAsia="宋体" w:hAnsi="Times New Roman"/>
                  <w:sz w:val="20"/>
                  <w:szCs w:val="20"/>
                </w:rPr>
                <w:t>10.18</w:t>
              </w:r>
            </w:hyperlink>
          </w:p>
        </w:tc>
        <w:tc>
          <w:tcPr>
            <w:tcW w:w="0" w:type="auto"/>
            <w:gridSpan w:val="3"/>
            <w:shd w:val="clear" w:color="auto" w:fill="D7E4BC"/>
            <w:tcMar>
              <w:top w:w="0" w:type="dxa"/>
              <w:left w:w="20" w:type="dxa"/>
              <w:bottom w:w="0" w:type="dxa"/>
              <w:right w:w="20" w:type="dxa"/>
            </w:tcMar>
          </w:tcPr>
          <w:p w14:paraId="00BB106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66" w14:textId="77777777" w:rsidR="00871BDF" w:rsidRDefault="005C5088">
            <w:pPr>
              <w:textAlignment w:val="top"/>
            </w:pPr>
            <w:hyperlink r:id="rId375" w:history="1">
              <w:r>
                <w:rPr>
                  <w:rStyle w:val="a5"/>
                  <w:rFonts w:ascii="Times New Roman" w:eastAsia="宋体" w:hAnsi="Times New Roman"/>
                  <w:sz w:val="20"/>
                  <w:szCs w:val="20"/>
                </w:rPr>
                <w:t>Second Amended and Restat</w:t>
              </w:r>
              <w:r>
                <w:rPr>
                  <w:rStyle w:val="a5"/>
                  <w:rFonts w:ascii="Times New Roman" w:eastAsia="宋体" w:hAnsi="Times New Roman"/>
                  <w:sz w:val="20"/>
                  <w:szCs w:val="20"/>
                </w:rPr>
                <w:t xml:space="preserve">ed 364-Day Credit Agreement, dated September 23, 2020, among Starbucks Corporation, Bank of America, N.A., in its capacity as Administrative Agent and Swing Line Lender and U.S. Bank National Association, as L/C Issuers, and the other Lenders from time to </w:t>
              </w:r>
              <w:r>
                <w:rPr>
                  <w:rStyle w:val="a5"/>
                  <w:rFonts w:ascii="Times New Roman" w:eastAsia="宋体" w:hAnsi="Times New Roman"/>
                  <w:sz w:val="20"/>
                  <w:szCs w:val="20"/>
                </w:rPr>
                <w:t>time a party thereto.</w:t>
              </w:r>
            </w:hyperlink>
          </w:p>
          <w:p w14:paraId="00BB1067" w14:textId="77777777" w:rsidR="00871BDF" w:rsidRDefault="00871BDF">
            <w:pPr>
              <w:textAlignment w:val="top"/>
            </w:pPr>
          </w:p>
        </w:tc>
        <w:tc>
          <w:tcPr>
            <w:tcW w:w="0" w:type="auto"/>
            <w:gridSpan w:val="3"/>
            <w:shd w:val="clear" w:color="auto" w:fill="D7E4BC"/>
            <w:tcMar>
              <w:top w:w="0" w:type="dxa"/>
              <w:left w:w="20" w:type="dxa"/>
              <w:bottom w:w="0" w:type="dxa"/>
              <w:right w:w="20" w:type="dxa"/>
            </w:tcMar>
          </w:tcPr>
          <w:p w14:paraId="00BB1068"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69"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106A"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6B"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106C"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6D" w14:textId="77777777" w:rsidR="00871BDF" w:rsidRDefault="005C5088">
            <w:pPr>
              <w:jc w:val="center"/>
              <w:textAlignment w:val="top"/>
            </w:pPr>
            <w:r>
              <w:rPr>
                <w:rFonts w:ascii="Times New Roman" w:eastAsia="宋体" w:hAnsi="Times New Roman"/>
                <w:color w:val="000000"/>
                <w:sz w:val="20"/>
                <w:szCs w:val="20"/>
              </w:rPr>
              <w:t>9/24/2020</w:t>
            </w:r>
          </w:p>
        </w:tc>
        <w:tc>
          <w:tcPr>
            <w:tcW w:w="0" w:type="auto"/>
            <w:gridSpan w:val="3"/>
            <w:shd w:val="clear" w:color="auto" w:fill="D7E4BC"/>
            <w:tcMar>
              <w:top w:w="0" w:type="dxa"/>
              <w:left w:w="20" w:type="dxa"/>
              <w:bottom w:w="0" w:type="dxa"/>
              <w:right w:w="20" w:type="dxa"/>
            </w:tcMar>
          </w:tcPr>
          <w:p w14:paraId="00BB106E"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6F" w14:textId="77777777" w:rsidR="00871BDF" w:rsidRDefault="005C5088">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tcPr>
          <w:p w14:paraId="00BB107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71" w14:textId="77777777" w:rsidR="00871BDF" w:rsidRDefault="00871BDF">
            <w:pPr>
              <w:rPr>
                <w:rFonts w:ascii="宋体"/>
              </w:rPr>
            </w:pPr>
          </w:p>
        </w:tc>
      </w:tr>
      <w:tr w:rsidR="00871BDF" w14:paraId="00BB1081" w14:textId="77777777">
        <w:trPr>
          <w:jc w:val="center"/>
        </w:trPr>
        <w:tc>
          <w:tcPr>
            <w:tcW w:w="0" w:type="auto"/>
            <w:gridSpan w:val="3"/>
            <w:shd w:val="clear" w:color="auto" w:fill="FFFFFF"/>
            <w:tcMar>
              <w:top w:w="40" w:type="dxa"/>
              <w:left w:w="20" w:type="dxa"/>
              <w:bottom w:w="40" w:type="dxa"/>
              <w:right w:w="20" w:type="dxa"/>
            </w:tcMar>
          </w:tcPr>
          <w:p w14:paraId="00BB1073" w14:textId="77777777" w:rsidR="00871BDF" w:rsidRDefault="005C5088">
            <w:pPr>
              <w:jc w:val="center"/>
              <w:textAlignment w:val="top"/>
            </w:pPr>
            <w:hyperlink r:id="rId376" w:history="1">
              <w:r>
                <w:rPr>
                  <w:rStyle w:val="a5"/>
                  <w:rFonts w:ascii="Times New Roman" w:eastAsia="宋体" w:hAnsi="Times New Roman"/>
                  <w:sz w:val="20"/>
                  <w:szCs w:val="20"/>
                </w:rPr>
                <w:t>10.</w:t>
              </w:r>
            </w:hyperlink>
            <w:hyperlink r:id="rId377" w:history="1">
              <w:r>
                <w:rPr>
                  <w:rStyle w:val="a5"/>
                  <w:rFonts w:ascii="Times New Roman" w:eastAsia="宋体" w:hAnsi="Times New Roman"/>
                  <w:sz w:val="20"/>
                  <w:szCs w:val="20"/>
                </w:rPr>
                <w:t>19</w:t>
              </w:r>
            </w:hyperlink>
          </w:p>
        </w:tc>
        <w:tc>
          <w:tcPr>
            <w:tcW w:w="0" w:type="auto"/>
            <w:gridSpan w:val="3"/>
            <w:shd w:val="clear" w:color="auto" w:fill="FFFFFF"/>
            <w:tcMar>
              <w:top w:w="0" w:type="dxa"/>
              <w:left w:w="20" w:type="dxa"/>
              <w:bottom w:w="0" w:type="dxa"/>
              <w:right w:w="20" w:type="dxa"/>
            </w:tcMar>
          </w:tcPr>
          <w:p w14:paraId="00BB1074"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75" w14:textId="77777777" w:rsidR="00871BDF" w:rsidRDefault="005C5088">
            <w:pPr>
              <w:textAlignment w:val="top"/>
            </w:pPr>
            <w:hyperlink r:id="rId378" w:history="1">
              <w:r>
                <w:rPr>
                  <w:rStyle w:val="a5"/>
                  <w:rFonts w:ascii="Times New Roman" w:eastAsia="宋体" w:hAnsi="Times New Roman"/>
                  <w:sz w:val="20"/>
                  <w:szCs w:val="20"/>
                </w:rPr>
                <w:t>Form of Commercial Paper Dealer Agreement between Starbucks Corporation, as Issuer, and the Dealer</w:t>
              </w:r>
            </w:hyperlink>
          </w:p>
        </w:tc>
        <w:tc>
          <w:tcPr>
            <w:tcW w:w="0" w:type="auto"/>
            <w:gridSpan w:val="3"/>
            <w:shd w:val="clear" w:color="auto" w:fill="FFFFFF"/>
            <w:tcMar>
              <w:top w:w="0" w:type="dxa"/>
              <w:left w:w="20" w:type="dxa"/>
              <w:bottom w:w="0" w:type="dxa"/>
              <w:right w:w="20" w:type="dxa"/>
            </w:tcMar>
          </w:tcPr>
          <w:p w14:paraId="00BB1076"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77"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tcPr>
          <w:p w14:paraId="00BB1078"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79"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107A"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7B" w14:textId="77777777" w:rsidR="00871BDF" w:rsidRDefault="005C5088">
            <w:pPr>
              <w:jc w:val="center"/>
              <w:textAlignment w:val="top"/>
            </w:pPr>
            <w:r>
              <w:rPr>
                <w:rFonts w:ascii="Times New Roman" w:eastAsia="宋体" w:hAnsi="Times New Roman"/>
                <w:color w:val="000000"/>
                <w:sz w:val="20"/>
                <w:szCs w:val="20"/>
              </w:rPr>
              <w:t>7/29/2016</w:t>
            </w:r>
          </w:p>
          <w:p w14:paraId="00BB107C" w14:textId="77777777" w:rsidR="00871BDF" w:rsidRDefault="00871BDF">
            <w:pPr>
              <w:jc w:val="center"/>
              <w:textAlignment w:val="top"/>
            </w:pPr>
          </w:p>
        </w:tc>
        <w:tc>
          <w:tcPr>
            <w:tcW w:w="0" w:type="auto"/>
            <w:gridSpan w:val="3"/>
            <w:shd w:val="clear" w:color="auto" w:fill="FFFFFF"/>
            <w:tcMar>
              <w:top w:w="0" w:type="dxa"/>
              <w:left w:w="20" w:type="dxa"/>
              <w:bottom w:w="0" w:type="dxa"/>
              <w:right w:w="20" w:type="dxa"/>
            </w:tcMar>
          </w:tcPr>
          <w:p w14:paraId="00BB107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7E" w14:textId="77777777" w:rsidR="00871BDF" w:rsidRDefault="005C5088">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tcPr>
          <w:p w14:paraId="00BB107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80" w14:textId="77777777" w:rsidR="00871BDF" w:rsidRDefault="00871BDF">
            <w:pPr>
              <w:rPr>
                <w:rFonts w:ascii="宋体"/>
              </w:rPr>
            </w:pPr>
          </w:p>
        </w:tc>
      </w:tr>
      <w:tr w:rsidR="00871BDF" w14:paraId="00BB108F" w14:textId="77777777">
        <w:trPr>
          <w:jc w:val="center"/>
        </w:trPr>
        <w:tc>
          <w:tcPr>
            <w:tcW w:w="0" w:type="auto"/>
            <w:gridSpan w:val="3"/>
            <w:shd w:val="clear" w:color="auto" w:fill="D7E4BC"/>
            <w:tcMar>
              <w:top w:w="40" w:type="dxa"/>
              <w:left w:w="20" w:type="dxa"/>
              <w:bottom w:w="40" w:type="dxa"/>
              <w:right w:w="20" w:type="dxa"/>
            </w:tcMar>
          </w:tcPr>
          <w:p w14:paraId="00BB1082" w14:textId="77777777" w:rsidR="00871BDF" w:rsidRDefault="005C5088">
            <w:pPr>
              <w:jc w:val="center"/>
              <w:textAlignment w:val="top"/>
            </w:pPr>
            <w:hyperlink r:id="rId379" w:history="1">
              <w:r>
                <w:rPr>
                  <w:rStyle w:val="a5"/>
                  <w:rFonts w:ascii="Times New Roman" w:eastAsia="宋体" w:hAnsi="Times New Roman"/>
                  <w:sz w:val="20"/>
                  <w:szCs w:val="20"/>
                </w:rPr>
                <w:t>10.</w:t>
              </w:r>
            </w:hyperlink>
            <w:hyperlink r:id="rId380" w:history="1">
              <w:r>
                <w:rPr>
                  <w:rStyle w:val="a5"/>
                  <w:rFonts w:ascii="Times New Roman" w:eastAsia="宋体" w:hAnsi="Times New Roman"/>
                  <w:sz w:val="20"/>
                  <w:szCs w:val="20"/>
                </w:rPr>
                <w:t>2</w:t>
              </w:r>
            </w:hyperlink>
            <w:hyperlink r:id="rId381" w:history="1">
              <w:r>
                <w:rPr>
                  <w:rStyle w:val="a5"/>
                  <w:rFonts w:ascii="Times New Roman" w:eastAsia="宋体" w:hAnsi="Times New Roman"/>
                  <w:sz w:val="20"/>
                  <w:szCs w:val="20"/>
                </w:rPr>
                <w:t>0</w:t>
              </w:r>
            </w:hyperlink>
            <w:hyperlink r:id="rId382" w:history="1">
              <w:r>
                <w:rPr>
                  <w:rStyle w:val="a5"/>
                  <w:rFonts w:ascii="Times New Roman" w:eastAsia="宋体" w:hAnsi="Times New Roman"/>
                  <w:sz w:val="20"/>
                  <w:szCs w:val="20"/>
                </w:rPr>
                <w:t>*</w:t>
              </w:r>
            </w:hyperlink>
          </w:p>
        </w:tc>
        <w:tc>
          <w:tcPr>
            <w:tcW w:w="0" w:type="auto"/>
            <w:gridSpan w:val="3"/>
            <w:shd w:val="clear" w:color="auto" w:fill="D7E4BC"/>
            <w:tcMar>
              <w:top w:w="0" w:type="dxa"/>
              <w:left w:w="20" w:type="dxa"/>
              <w:bottom w:w="0" w:type="dxa"/>
              <w:right w:w="20" w:type="dxa"/>
            </w:tcMar>
          </w:tcPr>
          <w:p w14:paraId="00BB108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84" w14:textId="77777777" w:rsidR="00871BDF" w:rsidRDefault="005C5088">
            <w:pPr>
              <w:textAlignment w:val="top"/>
            </w:pPr>
            <w:hyperlink r:id="rId383" w:history="1">
              <w:r>
                <w:rPr>
                  <w:rStyle w:val="a5"/>
                  <w:rFonts w:ascii="Times New Roman" w:eastAsia="宋体" w:hAnsi="Times New Roman"/>
                  <w:sz w:val="20"/>
                  <w:szCs w:val="20"/>
                </w:rPr>
                <w:t>Form of Time Vested Global Restricted Stock Unit Grant Agreement under the Key Employee Sub-Plan to the 2005 Long-Term Equity Incentive Plan</w:t>
              </w:r>
            </w:hyperlink>
          </w:p>
        </w:tc>
        <w:tc>
          <w:tcPr>
            <w:tcW w:w="0" w:type="auto"/>
            <w:gridSpan w:val="3"/>
            <w:shd w:val="clear" w:color="auto" w:fill="D7E4BC"/>
            <w:tcMar>
              <w:top w:w="0" w:type="dxa"/>
              <w:left w:w="20" w:type="dxa"/>
              <w:bottom w:w="0" w:type="dxa"/>
              <w:right w:w="20" w:type="dxa"/>
            </w:tcMar>
          </w:tcPr>
          <w:p w14:paraId="00BB108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86"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tcPr>
          <w:p w14:paraId="00BB108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88"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108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8A" w14:textId="77777777" w:rsidR="00871BDF" w:rsidRDefault="005C5088">
            <w:pPr>
              <w:jc w:val="center"/>
              <w:textAlignment w:val="top"/>
            </w:pPr>
            <w:r>
              <w:rPr>
                <w:rFonts w:ascii="Times New Roman" w:eastAsia="宋体" w:hAnsi="Times New Roman"/>
                <w:color w:val="000000"/>
                <w:sz w:val="20"/>
                <w:szCs w:val="20"/>
              </w:rPr>
              <w:t>11/18/2016</w:t>
            </w:r>
          </w:p>
        </w:tc>
        <w:tc>
          <w:tcPr>
            <w:tcW w:w="0" w:type="auto"/>
            <w:gridSpan w:val="3"/>
            <w:shd w:val="clear" w:color="auto" w:fill="D7E4BC"/>
            <w:tcMar>
              <w:top w:w="0" w:type="dxa"/>
              <w:left w:w="20" w:type="dxa"/>
              <w:bottom w:w="0" w:type="dxa"/>
              <w:right w:w="20" w:type="dxa"/>
            </w:tcMar>
          </w:tcPr>
          <w:p w14:paraId="00BB108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8C" w14:textId="77777777" w:rsidR="00871BDF" w:rsidRDefault="005C5088">
            <w:pPr>
              <w:jc w:val="center"/>
              <w:textAlignment w:val="top"/>
            </w:pPr>
            <w:r>
              <w:rPr>
                <w:rFonts w:ascii="Times New Roman" w:eastAsia="宋体" w:hAnsi="Times New Roman"/>
                <w:color w:val="000000"/>
                <w:sz w:val="20"/>
                <w:szCs w:val="20"/>
              </w:rPr>
              <w:t>10.21</w:t>
            </w:r>
          </w:p>
        </w:tc>
        <w:tc>
          <w:tcPr>
            <w:tcW w:w="0" w:type="auto"/>
            <w:gridSpan w:val="3"/>
            <w:shd w:val="clear" w:color="auto" w:fill="D7E4BC"/>
            <w:tcMar>
              <w:top w:w="0" w:type="dxa"/>
              <w:left w:w="20" w:type="dxa"/>
              <w:bottom w:w="0" w:type="dxa"/>
              <w:right w:w="20" w:type="dxa"/>
            </w:tcMar>
          </w:tcPr>
          <w:p w14:paraId="00BB108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8E" w14:textId="77777777" w:rsidR="00871BDF" w:rsidRDefault="00871BDF">
            <w:pPr>
              <w:rPr>
                <w:rFonts w:ascii="宋体"/>
              </w:rPr>
            </w:pPr>
          </w:p>
        </w:tc>
      </w:tr>
      <w:tr w:rsidR="00871BDF" w14:paraId="00BB109D" w14:textId="77777777">
        <w:trPr>
          <w:jc w:val="center"/>
        </w:trPr>
        <w:tc>
          <w:tcPr>
            <w:tcW w:w="0" w:type="auto"/>
            <w:gridSpan w:val="3"/>
            <w:shd w:val="clear" w:color="auto" w:fill="FFFFFF"/>
            <w:tcMar>
              <w:top w:w="40" w:type="dxa"/>
              <w:left w:w="20" w:type="dxa"/>
              <w:bottom w:w="40" w:type="dxa"/>
              <w:right w:w="20" w:type="dxa"/>
            </w:tcMar>
          </w:tcPr>
          <w:p w14:paraId="00BB1090" w14:textId="77777777" w:rsidR="00871BDF" w:rsidRDefault="005C5088">
            <w:pPr>
              <w:jc w:val="center"/>
              <w:textAlignment w:val="top"/>
            </w:pPr>
            <w:hyperlink r:id="rId384" w:history="1">
              <w:r>
                <w:rPr>
                  <w:rStyle w:val="a5"/>
                  <w:rFonts w:ascii="Times New Roman" w:eastAsia="宋体" w:hAnsi="Times New Roman"/>
                  <w:sz w:val="20"/>
                  <w:szCs w:val="20"/>
                </w:rPr>
                <w:t>10.</w:t>
              </w:r>
            </w:hyperlink>
            <w:hyperlink r:id="rId385" w:history="1">
              <w:r>
                <w:rPr>
                  <w:rStyle w:val="a5"/>
                  <w:rFonts w:ascii="Times New Roman" w:eastAsia="宋体" w:hAnsi="Times New Roman"/>
                  <w:sz w:val="20"/>
                  <w:szCs w:val="20"/>
                </w:rPr>
                <w:t>2</w:t>
              </w:r>
            </w:hyperlink>
            <w:hyperlink r:id="rId386" w:history="1">
              <w:r>
                <w:rPr>
                  <w:rStyle w:val="a5"/>
                  <w:rFonts w:ascii="Times New Roman" w:eastAsia="宋体" w:hAnsi="Times New Roman"/>
                  <w:sz w:val="20"/>
                  <w:szCs w:val="20"/>
                </w:rPr>
                <w:t>1</w:t>
              </w:r>
            </w:hyperlink>
            <w:hyperlink r:id="rId387" w:history="1">
              <w:r>
                <w:rPr>
                  <w:rStyle w:val="a5"/>
                  <w:rFonts w:ascii="Times New Roman" w:eastAsia="宋体" w:hAnsi="Times New Roman"/>
                  <w:sz w:val="20"/>
                  <w:szCs w:val="20"/>
                </w:rPr>
                <w:t>*</w:t>
              </w:r>
            </w:hyperlink>
          </w:p>
        </w:tc>
        <w:tc>
          <w:tcPr>
            <w:tcW w:w="0" w:type="auto"/>
            <w:gridSpan w:val="3"/>
            <w:shd w:val="clear" w:color="auto" w:fill="FFFFFF"/>
            <w:tcMar>
              <w:top w:w="0" w:type="dxa"/>
              <w:left w:w="20" w:type="dxa"/>
              <w:bottom w:w="0" w:type="dxa"/>
              <w:right w:w="20" w:type="dxa"/>
            </w:tcMar>
          </w:tcPr>
          <w:p w14:paraId="00BB109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92" w14:textId="77777777" w:rsidR="00871BDF" w:rsidRDefault="005C5088">
            <w:pPr>
              <w:textAlignment w:val="top"/>
            </w:pPr>
            <w:hyperlink r:id="rId388" w:history="1">
              <w:r>
                <w:rPr>
                  <w:rStyle w:val="a5"/>
                  <w:rFonts w:ascii="Times New Roman" w:eastAsia="宋体" w:hAnsi="Times New Roman"/>
                  <w:sz w:val="20"/>
                  <w:szCs w:val="20"/>
                </w:rPr>
                <w:t>Form of Global Key Employee Restricted Stock Unit Grant Agreement</w:t>
              </w:r>
            </w:hyperlink>
          </w:p>
        </w:tc>
        <w:tc>
          <w:tcPr>
            <w:tcW w:w="0" w:type="auto"/>
            <w:gridSpan w:val="3"/>
            <w:shd w:val="clear" w:color="auto" w:fill="FFFFFF"/>
            <w:tcMar>
              <w:top w:w="0" w:type="dxa"/>
              <w:left w:w="20" w:type="dxa"/>
              <w:bottom w:w="0" w:type="dxa"/>
              <w:right w:w="20" w:type="dxa"/>
            </w:tcMar>
          </w:tcPr>
          <w:p w14:paraId="00BB109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94"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tcPr>
          <w:p w14:paraId="00BB109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96"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109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98" w14:textId="77777777" w:rsidR="00871BDF" w:rsidRDefault="005C5088">
            <w:pPr>
              <w:jc w:val="center"/>
              <w:textAlignment w:val="top"/>
            </w:pPr>
            <w:r>
              <w:rPr>
                <w:rFonts w:ascii="Times New Roman" w:eastAsia="宋体" w:hAnsi="Times New Roman"/>
                <w:color w:val="000000"/>
                <w:sz w:val="20"/>
                <w:szCs w:val="20"/>
              </w:rPr>
              <w:t>11/17/2017</w:t>
            </w:r>
          </w:p>
        </w:tc>
        <w:tc>
          <w:tcPr>
            <w:tcW w:w="0" w:type="auto"/>
            <w:gridSpan w:val="3"/>
            <w:shd w:val="clear" w:color="auto" w:fill="FFFFFF"/>
            <w:tcMar>
              <w:top w:w="0" w:type="dxa"/>
              <w:left w:w="20" w:type="dxa"/>
              <w:bottom w:w="0" w:type="dxa"/>
              <w:right w:w="20" w:type="dxa"/>
            </w:tcMar>
          </w:tcPr>
          <w:p w14:paraId="00BB109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9A" w14:textId="77777777" w:rsidR="00871BDF" w:rsidRDefault="005C5088">
            <w:pPr>
              <w:jc w:val="center"/>
              <w:textAlignment w:val="top"/>
            </w:pPr>
            <w:r>
              <w:rPr>
                <w:rFonts w:ascii="Times New Roman" w:eastAsia="宋体" w:hAnsi="Times New Roman"/>
                <w:color w:val="000000"/>
                <w:sz w:val="20"/>
                <w:szCs w:val="20"/>
              </w:rPr>
              <w:t>10.24</w:t>
            </w:r>
          </w:p>
        </w:tc>
        <w:tc>
          <w:tcPr>
            <w:tcW w:w="0" w:type="auto"/>
            <w:gridSpan w:val="3"/>
            <w:shd w:val="clear" w:color="auto" w:fill="FFFFFF"/>
            <w:tcMar>
              <w:top w:w="0" w:type="dxa"/>
              <w:left w:w="20" w:type="dxa"/>
              <w:bottom w:w="0" w:type="dxa"/>
              <w:right w:w="20" w:type="dxa"/>
            </w:tcMar>
          </w:tcPr>
          <w:p w14:paraId="00BB109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9C" w14:textId="77777777" w:rsidR="00871BDF" w:rsidRDefault="00871BDF">
            <w:pPr>
              <w:rPr>
                <w:rFonts w:ascii="宋体"/>
              </w:rPr>
            </w:pPr>
          </w:p>
        </w:tc>
      </w:tr>
      <w:tr w:rsidR="00871BDF" w14:paraId="00BB10AB" w14:textId="77777777">
        <w:trPr>
          <w:jc w:val="center"/>
        </w:trPr>
        <w:tc>
          <w:tcPr>
            <w:tcW w:w="0" w:type="auto"/>
            <w:gridSpan w:val="3"/>
            <w:shd w:val="clear" w:color="auto" w:fill="D7E4BC"/>
            <w:tcMar>
              <w:top w:w="40" w:type="dxa"/>
              <w:left w:w="20" w:type="dxa"/>
              <w:bottom w:w="40" w:type="dxa"/>
              <w:right w:w="20" w:type="dxa"/>
            </w:tcMar>
          </w:tcPr>
          <w:p w14:paraId="00BB109E" w14:textId="77777777" w:rsidR="00871BDF" w:rsidRDefault="005C5088">
            <w:pPr>
              <w:jc w:val="center"/>
              <w:textAlignment w:val="top"/>
            </w:pPr>
            <w:hyperlink r:id="rId389" w:history="1">
              <w:r>
                <w:rPr>
                  <w:rStyle w:val="a5"/>
                  <w:rFonts w:ascii="Times New Roman" w:eastAsia="宋体" w:hAnsi="Times New Roman"/>
                  <w:sz w:val="20"/>
                  <w:szCs w:val="20"/>
                </w:rPr>
                <w:t>10.</w:t>
              </w:r>
            </w:hyperlink>
            <w:hyperlink r:id="rId390" w:history="1">
              <w:r>
                <w:rPr>
                  <w:rStyle w:val="a5"/>
                  <w:rFonts w:ascii="Times New Roman" w:eastAsia="宋体" w:hAnsi="Times New Roman"/>
                  <w:sz w:val="20"/>
                  <w:szCs w:val="20"/>
                </w:rPr>
                <w:t>2</w:t>
              </w:r>
            </w:hyperlink>
            <w:hyperlink r:id="rId391" w:history="1">
              <w:r>
                <w:rPr>
                  <w:rStyle w:val="a5"/>
                  <w:rFonts w:ascii="Times New Roman" w:eastAsia="宋体" w:hAnsi="Times New Roman"/>
                  <w:sz w:val="20"/>
                  <w:szCs w:val="20"/>
                </w:rPr>
                <w:t>2</w:t>
              </w:r>
            </w:hyperlink>
            <w:hyperlink r:id="rId392" w:history="1">
              <w:r>
                <w:rPr>
                  <w:rStyle w:val="a5"/>
                  <w:rFonts w:ascii="Times New Roman" w:eastAsia="宋体" w:hAnsi="Times New Roman"/>
                  <w:sz w:val="20"/>
                  <w:szCs w:val="20"/>
                </w:rPr>
                <w:t>*</w:t>
              </w:r>
            </w:hyperlink>
          </w:p>
        </w:tc>
        <w:tc>
          <w:tcPr>
            <w:tcW w:w="0" w:type="auto"/>
            <w:gridSpan w:val="3"/>
            <w:shd w:val="clear" w:color="auto" w:fill="D7E4BC"/>
            <w:tcMar>
              <w:top w:w="0" w:type="dxa"/>
              <w:left w:w="20" w:type="dxa"/>
              <w:bottom w:w="0" w:type="dxa"/>
              <w:right w:w="20" w:type="dxa"/>
            </w:tcMar>
          </w:tcPr>
          <w:p w14:paraId="00BB109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A0" w14:textId="77777777" w:rsidR="00871BDF" w:rsidRDefault="005C5088">
            <w:pPr>
              <w:textAlignment w:val="top"/>
            </w:pPr>
            <w:hyperlink r:id="rId393" w:history="1">
              <w:r>
                <w:rPr>
                  <w:rStyle w:val="a5"/>
                  <w:rFonts w:ascii="Times New Roman" w:eastAsia="宋体" w:hAnsi="Times New Roman"/>
                  <w:sz w:val="20"/>
                  <w:szCs w:val="20"/>
                </w:rPr>
                <w:t>Form of Global Key Employee Restricted Stock Unit Grant Agreement (Effective November 2019)</w:t>
              </w:r>
            </w:hyperlink>
          </w:p>
        </w:tc>
        <w:tc>
          <w:tcPr>
            <w:tcW w:w="0" w:type="auto"/>
            <w:gridSpan w:val="3"/>
            <w:shd w:val="clear" w:color="auto" w:fill="D7E4BC"/>
            <w:tcMar>
              <w:top w:w="0" w:type="dxa"/>
              <w:left w:w="20" w:type="dxa"/>
              <w:bottom w:w="0" w:type="dxa"/>
              <w:right w:w="20" w:type="dxa"/>
            </w:tcMar>
          </w:tcPr>
          <w:p w14:paraId="00BB10A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A2"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tcPr>
          <w:p w14:paraId="00BB10A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A4"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10A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A6" w14:textId="77777777" w:rsidR="00871BDF" w:rsidRDefault="005C5088">
            <w:pPr>
              <w:jc w:val="center"/>
              <w:textAlignment w:val="top"/>
            </w:pPr>
            <w:r>
              <w:rPr>
                <w:rFonts w:ascii="Times New Roman" w:eastAsia="宋体" w:hAnsi="Times New Roman"/>
                <w:color w:val="000000"/>
                <w:sz w:val="20"/>
                <w:szCs w:val="20"/>
              </w:rPr>
              <w:t>11/15/2019</w:t>
            </w:r>
          </w:p>
        </w:tc>
        <w:tc>
          <w:tcPr>
            <w:tcW w:w="0" w:type="auto"/>
            <w:gridSpan w:val="3"/>
            <w:shd w:val="clear" w:color="auto" w:fill="D7E4BC"/>
            <w:tcMar>
              <w:top w:w="0" w:type="dxa"/>
              <w:left w:w="20" w:type="dxa"/>
              <w:bottom w:w="0" w:type="dxa"/>
              <w:right w:w="20" w:type="dxa"/>
            </w:tcMar>
          </w:tcPr>
          <w:p w14:paraId="00BB10A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A8" w14:textId="77777777" w:rsidR="00871BDF" w:rsidRDefault="005C5088">
            <w:pPr>
              <w:jc w:val="center"/>
              <w:textAlignment w:val="top"/>
            </w:pPr>
            <w:r>
              <w:rPr>
                <w:rFonts w:ascii="Times New Roman" w:eastAsia="宋体" w:hAnsi="Times New Roman"/>
                <w:color w:val="000000"/>
                <w:sz w:val="20"/>
                <w:szCs w:val="20"/>
              </w:rPr>
              <w:t>10.22</w:t>
            </w:r>
          </w:p>
        </w:tc>
        <w:tc>
          <w:tcPr>
            <w:tcW w:w="0" w:type="auto"/>
            <w:gridSpan w:val="3"/>
            <w:shd w:val="clear" w:color="auto" w:fill="D7E4BC"/>
            <w:tcMar>
              <w:top w:w="0" w:type="dxa"/>
              <w:left w:w="20" w:type="dxa"/>
              <w:bottom w:w="0" w:type="dxa"/>
              <w:right w:w="20" w:type="dxa"/>
            </w:tcMar>
          </w:tcPr>
          <w:p w14:paraId="00BB10A9"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AA" w14:textId="77777777" w:rsidR="00871BDF" w:rsidRDefault="00871BDF">
            <w:pPr>
              <w:rPr>
                <w:rFonts w:ascii="宋体"/>
              </w:rPr>
            </w:pPr>
          </w:p>
        </w:tc>
      </w:tr>
      <w:tr w:rsidR="00871BDF" w14:paraId="00BB10B9" w14:textId="77777777">
        <w:trPr>
          <w:jc w:val="center"/>
        </w:trPr>
        <w:tc>
          <w:tcPr>
            <w:tcW w:w="0" w:type="auto"/>
            <w:gridSpan w:val="3"/>
            <w:shd w:val="clear" w:color="auto" w:fill="FFFFFF"/>
            <w:tcMar>
              <w:top w:w="40" w:type="dxa"/>
              <w:left w:w="20" w:type="dxa"/>
              <w:bottom w:w="40" w:type="dxa"/>
              <w:right w:w="20" w:type="dxa"/>
            </w:tcMar>
          </w:tcPr>
          <w:p w14:paraId="00BB10AC" w14:textId="77777777" w:rsidR="00871BDF" w:rsidRDefault="005C5088">
            <w:pPr>
              <w:jc w:val="center"/>
              <w:textAlignment w:val="top"/>
            </w:pPr>
            <w:hyperlink r:id="rId394" w:history="1">
              <w:r>
                <w:rPr>
                  <w:rStyle w:val="a5"/>
                  <w:rFonts w:ascii="Times New Roman" w:eastAsia="宋体" w:hAnsi="Times New Roman"/>
                  <w:sz w:val="20"/>
                  <w:szCs w:val="20"/>
                </w:rPr>
                <w:t>10.23*</w:t>
              </w:r>
            </w:hyperlink>
          </w:p>
        </w:tc>
        <w:tc>
          <w:tcPr>
            <w:tcW w:w="0" w:type="auto"/>
            <w:gridSpan w:val="3"/>
            <w:shd w:val="clear" w:color="auto" w:fill="FFFFFF"/>
            <w:tcMar>
              <w:top w:w="0" w:type="dxa"/>
              <w:left w:w="20" w:type="dxa"/>
              <w:bottom w:w="0" w:type="dxa"/>
              <w:right w:w="20" w:type="dxa"/>
            </w:tcMar>
          </w:tcPr>
          <w:p w14:paraId="00BB10A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AE" w14:textId="77777777" w:rsidR="00871BDF" w:rsidRDefault="005C5088">
            <w:pPr>
              <w:textAlignment w:val="top"/>
            </w:pPr>
            <w:hyperlink r:id="rId395" w:history="1">
              <w:r>
                <w:rPr>
                  <w:rStyle w:val="a5"/>
                  <w:rFonts w:ascii="Times New Roman" w:eastAsia="宋体" w:hAnsi="Times New Roman"/>
                  <w:sz w:val="20"/>
                  <w:szCs w:val="20"/>
                </w:rPr>
                <w:t>Form of Global Key Employee Restricted Stock Unit Grant Agreement - No Retirement Vest</w:t>
              </w:r>
              <w:r>
                <w:rPr>
                  <w:rStyle w:val="a5"/>
                  <w:rFonts w:ascii="Times New Roman" w:eastAsia="宋体" w:hAnsi="Times New Roman"/>
                  <w:sz w:val="20"/>
                  <w:szCs w:val="20"/>
                </w:rPr>
                <w:t>ing (Effective November 2020)</w:t>
              </w:r>
            </w:hyperlink>
          </w:p>
        </w:tc>
        <w:tc>
          <w:tcPr>
            <w:tcW w:w="0" w:type="auto"/>
            <w:gridSpan w:val="3"/>
            <w:shd w:val="clear" w:color="auto" w:fill="FFFFFF"/>
            <w:tcMar>
              <w:top w:w="0" w:type="dxa"/>
              <w:left w:w="20" w:type="dxa"/>
              <w:bottom w:w="0" w:type="dxa"/>
              <w:right w:w="20" w:type="dxa"/>
            </w:tcMar>
          </w:tcPr>
          <w:p w14:paraId="00BB10A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B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B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B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B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B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B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B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B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B8" w14:textId="77777777" w:rsidR="00871BDF" w:rsidRDefault="005C5088">
            <w:pPr>
              <w:jc w:val="center"/>
              <w:textAlignment w:val="top"/>
            </w:pPr>
            <w:r>
              <w:rPr>
                <w:rFonts w:ascii="Times New Roman" w:eastAsia="宋体" w:hAnsi="Times New Roman"/>
                <w:color w:val="000000"/>
                <w:sz w:val="20"/>
                <w:szCs w:val="20"/>
              </w:rPr>
              <w:t>X</w:t>
            </w:r>
          </w:p>
        </w:tc>
      </w:tr>
      <w:tr w:rsidR="00871BDF" w14:paraId="00BB10C7" w14:textId="77777777">
        <w:trPr>
          <w:jc w:val="center"/>
        </w:trPr>
        <w:tc>
          <w:tcPr>
            <w:tcW w:w="0" w:type="auto"/>
            <w:gridSpan w:val="3"/>
            <w:shd w:val="clear" w:color="auto" w:fill="D7E4BC"/>
            <w:tcMar>
              <w:top w:w="40" w:type="dxa"/>
              <w:left w:w="20" w:type="dxa"/>
              <w:bottom w:w="40" w:type="dxa"/>
              <w:right w:w="20" w:type="dxa"/>
            </w:tcMar>
          </w:tcPr>
          <w:p w14:paraId="00BB10BA" w14:textId="77777777" w:rsidR="00871BDF" w:rsidRDefault="005C5088">
            <w:pPr>
              <w:jc w:val="center"/>
              <w:textAlignment w:val="top"/>
            </w:pPr>
            <w:hyperlink r:id="rId396" w:history="1">
              <w:r>
                <w:rPr>
                  <w:rStyle w:val="a5"/>
                  <w:rFonts w:ascii="Times New Roman" w:eastAsia="宋体" w:hAnsi="Times New Roman"/>
                  <w:sz w:val="20"/>
                  <w:szCs w:val="20"/>
                </w:rPr>
                <w:t>10.24*</w:t>
              </w:r>
            </w:hyperlink>
          </w:p>
        </w:tc>
        <w:tc>
          <w:tcPr>
            <w:tcW w:w="0" w:type="auto"/>
            <w:gridSpan w:val="3"/>
            <w:shd w:val="clear" w:color="auto" w:fill="D7E4BC"/>
            <w:tcMar>
              <w:top w:w="0" w:type="dxa"/>
              <w:left w:w="20" w:type="dxa"/>
              <w:bottom w:w="0" w:type="dxa"/>
              <w:right w:w="20" w:type="dxa"/>
            </w:tcMar>
          </w:tcPr>
          <w:p w14:paraId="00BB10B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BC" w14:textId="77777777" w:rsidR="00871BDF" w:rsidRDefault="005C5088">
            <w:pPr>
              <w:textAlignment w:val="top"/>
            </w:pPr>
            <w:hyperlink r:id="rId397" w:history="1">
              <w:r>
                <w:rPr>
                  <w:rStyle w:val="a5"/>
                  <w:rFonts w:ascii="Times New Roman" w:eastAsia="宋体" w:hAnsi="Times New Roman"/>
                  <w:sz w:val="20"/>
                  <w:szCs w:val="20"/>
                </w:rPr>
                <w:t>Form of Global Key Employee Restricted Stock Unit Grant Agreement - Retirement Vesting (Effective November 2020)</w:t>
              </w:r>
            </w:hyperlink>
          </w:p>
        </w:tc>
        <w:tc>
          <w:tcPr>
            <w:tcW w:w="0" w:type="auto"/>
            <w:gridSpan w:val="3"/>
            <w:shd w:val="clear" w:color="auto" w:fill="D7E4BC"/>
            <w:tcMar>
              <w:top w:w="0" w:type="dxa"/>
              <w:left w:w="20" w:type="dxa"/>
              <w:bottom w:w="0" w:type="dxa"/>
              <w:right w:w="20" w:type="dxa"/>
            </w:tcMar>
          </w:tcPr>
          <w:p w14:paraId="00BB10B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BE"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BF"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C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C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C2"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C3"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C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C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C6" w14:textId="77777777" w:rsidR="00871BDF" w:rsidRDefault="005C5088">
            <w:pPr>
              <w:jc w:val="center"/>
              <w:textAlignment w:val="top"/>
            </w:pPr>
            <w:r>
              <w:rPr>
                <w:rFonts w:ascii="Times New Roman" w:eastAsia="宋体" w:hAnsi="Times New Roman"/>
                <w:color w:val="000000"/>
                <w:sz w:val="20"/>
                <w:szCs w:val="20"/>
              </w:rPr>
              <w:t>X</w:t>
            </w:r>
          </w:p>
        </w:tc>
      </w:tr>
      <w:tr w:rsidR="00871BDF" w14:paraId="00BB10D5" w14:textId="77777777">
        <w:trPr>
          <w:jc w:val="center"/>
        </w:trPr>
        <w:tc>
          <w:tcPr>
            <w:tcW w:w="0" w:type="auto"/>
            <w:gridSpan w:val="3"/>
            <w:shd w:val="clear" w:color="auto" w:fill="FFFFFF"/>
            <w:tcMar>
              <w:top w:w="40" w:type="dxa"/>
              <w:left w:w="20" w:type="dxa"/>
              <w:bottom w:w="40" w:type="dxa"/>
              <w:right w:w="20" w:type="dxa"/>
            </w:tcMar>
          </w:tcPr>
          <w:p w14:paraId="00BB10C8" w14:textId="77777777" w:rsidR="00871BDF" w:rsidRDefault="005C5088">
            <w:pPr>
              <w:jc w:val="center"/>
              <w:textAlignment w:val="top"/>
            </w:pPr>
            <w:hyperlink r:id="rId398" w:history="1">
              <w:r>
                <w:rPr>
                  <w:rStyle w:val="a5"/>
                  <w:rFonts w:ascii="Times New Roman" w:eastAsia="宋体" w:hAnsi="Times New Roman"/>
                  <w:sz w:val="20"/>
                  <w:szCs w:val="20"/>
                </w:rPr>
                <w:t>10.</w:t>
              </w:r>
            </w:hyperlink>
            <w:hyperlink r:id="rId399" w:history="1">
              <w:r>
                <w:rPr>
                  <w:rStyle w:val="a5"/>
                  <w:rFonts w:ascii="Times New Roman" w:eastAsia="宋体" w:hAnsi="Times New Roman"/>
                  <w:sz w:val="20"/>
                  <w:szCs w:val="20"/>
                </w:rPr>
                <w:t>2</w:t>
              </w:r>
            </w:hyperlink>
            <w:hyperlink r:id="rId400" w:history="1">
              <w:r>
                <w:rPr>
                  <w:rStyle w:val="a5"/>
                  <w:rFonts w:ascii="Times New Roman" w:eastAsia="宋体" w:hAnsi="Times New Roman"/>
                  <w:sz w:val="20"/>
                  <w:szCs w:val="20"/>
                </w:rPr>
                <w:t>5</w:t>
              </w:r>
            </w:hyperlink>
            <w:hyperlink r:id="rId401" w:history="1">
              <w:r>
                <w:rPr>
                  <w:rStyle w:val="a5"/>
                  <w:rFonts w:ascii="Times New Roman" w:eastAsia="宋体" w:hAnsi="Times New Roman"/>
                  <w:sz w:val="20"/>
                  <w:szCs w:val="20"/>
                </w:rPr>
                <w:t>*</w:t>
              </w:r>
            </w:hyperlink>
          </w:p>
        </w:tc>
        <w:tc>
          <w:tcPr>
            <w:tcW w:w="0" w:type="auto"/>
            <w:gridSpan w:val="3"/>
            <w:shd w:val="clear" w:color="auto" w:fill="FFFFFF"/>
            <w:tcMar>
              <w:top w:w="0" w:type="dxa"/>
              <w:left w:w="20" w:type="dxa"/>
              <w:bottom w:w="0" w:type="dxa"/>
              <w:right w:w="20" w:type="dxa"/>
            </w:tcMar>
          </w:tcPr>
          <w:p w14:paraId="00BB10C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CA" w14:textId="77777777" w:rsidR="00871BDF" w:rsidRDefault="005C5088">
            <w:pPr>
              <w:textAlignment w:val="top"/>
            </w:pPr>
            <w:hyperlink r:id="rId402" w:history="1">
              <w:r>
                <w:rPr>
                  <w:rStyle w:val="a5"/>
                  <w:rFonts w:ascii="Times New Roman" w:eastAsia="宋体" w:hAnsi="Times New Roman"/>
                  <w:sz w:val="20"/>
                  <w:szCs w:val="20"/>
                </w:rPr>
                <w:t>Form of Global Key Employee Stock Option Grant Agreement for Purchase of Stock under the 2005 Long-Term Equity Incentive Plan</w:t>
              </w:r>
            </w:hyperlink>
          </w:p>
        </w:tc>
        <w:tc>
          <w:tcPr>
            <w:tcW w:w="0" w:type="auto"/>
            <w:gridSpan w:val="3"/>
            <w:shd w:val="clear" w:color="auto" w:fill="FFFFFF"/>
            <w:tcMar>
              <w:top w:w="0" w:type="dxa"/>
              <w:left w:w="20" w:type="dxa"/>
              <w:bottom w:w="0" w:type="dxa"/>
              <w:right w:w="20" w:type="dxa"/>
            </w:tcMar>
          </w:tcPr>
          <w:p w14:paraId="00BB10C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CC"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tcPr>
          <w:p w14:paraId="00BB10C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CE"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10C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D0" w14:textId="77777777" w:rsidR="00871BDF" w:rsidRDefault="005C5088">
            <w:pPr>
              <w:jc w:val="center"/>
              <w:textAlignment w:val="top"/>
            </w:pPr>
            <w:r>
              <w:rPr>
                <w:rFonts w:ascii="Times New Roman" w:eastAsia="宋体" w:hAnsi="Times New Roman"/>
                <w:color w:val="000000"/>
                <w:sz w:val="20"/>
                <w:szCs w:val="20"/>
              </w:rPr>
              <w:t>11/17/2017</w:t>
            </w:r>
          </w:p>
        </w:tc>
        <w:tc>
          <w:tcPr>
            <w:tcW w:w="0" w:type="auto"/>
            <w:gridSpan w:val="3"/>
            <w:shd w:val="clear" w:color="auto" w:fill="FFFFFF"/>
            <w:tcMar>
              <w:top w:w="0" w:type="dxa"/>
              <w:left w:w="20" w:type="dxa"/>
              <w:bottom w:w="0" w:type="dxa"/>
              <w:right w:w="20" w:type="dxa"/>
            </w:tcMar>
          </w:tcPr>
          <w:p w14:paraId="00BB10D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D2" w14:textId="77777777" w:rsidR="00871BDF" w:rsidRDefault="005C5088">
            <w:pPr>
              <w:jc w:val="center"/>
              <w:textAlignment w:val="top"/>
            </w:pPr>
            <w:r>
              <w:rPr>
                <w:rFonts w:ascii="Times New Roman" w:eastAsia="宋体" w:hAnsi="Times New Roman"/>
                <w:color w:val="000000"/>
                <w:sz w:val="20"/>
                <w:szCs w:val="20"/>
              </w:rPr>
              <w:t>10.25</w:t>
            </w:r>
          </w:p>
        </w:tc>
        <w:tc>
          <w:tcPr>
            <w:tcW w:w="0" w:type="auto"/>
            <w:gridSpan w:val="3"/>
            <w:shd w:val="clear" w:color="auto" w:fill="FFFFFF"/>
            <w:tcMar>
              <w:top w:w="0" w:type="dxa"/>
              <w:left w:w="20" w:type="dxa"/>
              <w:bottom w:w="0" w:type="dxa"/>
              <w:right w:w="20" w:type="dxa"/>
            </w:tcMar>
          </w:tcPr>
          <w:p w14:paraId="00BB10D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D4" w14:textId="77777777" w:rsidR="00871BDF" w:rsidRDefault="00871BDF">
            <w:pPr>
              <w:rPr>
                <w:rFonts w:ascii="宋体"/>
              </w:rPr>
            </w:pPr>
          </w:p>
        </w:tc>
      </w:tr>
      <w:tr w:rsidR="00871BDF" w14:paraId="00BB10E3" w14:textId="77777777">
        <w:trPr>
          <w:jc w:val="center"/>
        </w:trPr>
        <w:tc>
          <w:tcPr>
            <w:tcW w:w="0" w:type="auto"/>
            <w:gridSpan w:val="3"/>
            <w:shd w:val="clear" w:color="auto" w:fill="D7E4BC"/>
            <w:tcMar>
              <w:top w:w="40" w:type="dxa"/>
              <w:left w:w="20" w:type="dxa"/>
              <w:bottom w:w="40" w:type="dxa"/>
              <w:right w:w="20" w:type="dxa"/>
            </w:tcMar>
          </w:tcPr>
          <w:p w14:paraId="00BB10D6" w14:textId="77777777" w:rsidR="00871BDF" w:rsidRDefault="005C5088">
            <w:pPr>
              <w:jc w:val="center"/>
              <w:textAlignment w:val="top"/>
            </w:pPr>
            <w:hyperlink r:id="rId403" w:history="1">
              <w:r>
                <w:rPr>
                  <w:rStyle w:val="a5"/>
                  <w:rFonts w:ascii="Times New Roman" w:eastAsia="宋体" w:hAnsi="Times New Roman"/>
                  <w:sz w:val="20"/>
                  <w:szCs w:val="20"/>
                </w:rPr>
                <w:t>10.2</w:t>
              </w:r>
            </w:hyperlink>
            <w:hyperlink r:id="rId404" w:history="1">
              <w:r>
                <w:rPr>
                  <w:rStyle w:val="a5"/>
                  <w:rFonts w:ascii="Times New Roman" w:eastAsia="宋体" w:hAnsi="Times New Roman"/>
                  <w:sz w:val="20"/>
                  <w:szCs w:val="20"/>
                </w:rPr>
                <w:t>6</w:t>
              </w:r>
            </w:hyperlink>
            <w:hyperlink r:id="rId405" w:history="1">
              <w:r>
                <w:rPr>
                  <w:rStyle w:val="a5"/>
                  <w:rFonts w:ascii="Times New Roman" w:eastAsia="宋体" w:hAnsi="Times New Roman"/>
                  <w:sz w:val="20"/>
                  <w:szCs w:val="20"/>
                </w:rPr>
                <w:t>*</w:t>
              </w:r>
            </w:hyperlink>
          </w:p>
        </w:tc>
        <w:tc>
          <w:tcPr>
            <w:tcW w:w="0" w:type="auto"/>
            <w:gridSpan w:val="3"/>
            <w:shd w:val="clear" w:color="auto" w:fill="D7E4BC"/>
            <w:tcMar>
              <w:top w:w="0" w:type="dxa"/>
              <w:left w:w="20" w:type="dxa"/>
              <w:bottom w:w="0" w:type="dxa"/>
              <w:right w:w="20" w:type="dxa"/>
            </w:tcMar>
          </w:tcPr>
          <w:p w14:paraId="00BB10D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D8" w14:textId="77777777" w:rsidR="00871BDF" w:rsidRDefault="005C5088">
            <w:pPr>
              <w:textAlignment w:val="top"/>
            </w:pPr>
            <w:hyperlink r:id="rId406" w:history="1">
              <w:r>
                <w:rPr>
                  <w:rStyle w:val="a5"/>
                  <w:rFonts w:ascii="Times New Roman" w:eastAsia="宋体" w:hAnsi="Times New Roman"/>
                  <w:sz w:val="20"/>
                  <w:szCs w:val="20"/>
                </w:rPr>
                <w:t>Form of Global Key Employee Performance-Ba</w:t>
              </w:r>
              <w:r>
                <w:rPr>
                  <w:rStyle w:val="a5"/>
                  <w:rFonts w:ascii="Times New Roman" w:eastAsia="宋体" w:hAnsi="Times New Roman"/>
                  <w:sz w:val="20"/>
                  <w:szCs w:val="20"/>
                </w:rPr>
                <w:t>sed Stock Option Grant Agreement for Purchase of Stock under the 2005 Long-Term Equity Incentive Plan</w:t>
              </w:r>
            </w:hyperlink>
          </w:p>
        </w:tc>
        <w:tc>
          <w:tcPr>
            <w:tcW w:w="0" w:type="auto"/>
            <w:gridSpan w:val="3"/>
            <w:shd w:val="clear" w:color="auto" w:fill="D7E4BC"/>
            <w:tcMar>
              <w:top w:w="0" w:type="dxa"/>
              <w:left w:w="20" w:type="dxa"/>
              <w:bottom w:w="0" w:type="dxa"/>
              <w:right w:w="20" w:type="dxa"/>
            </w:tcMar>
          </w:tcPr>
          <w:p w14:paraId="00BB10D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DA"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tcPr>
          <w:p w14:paraId="00BB10D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DC"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10D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DE" w14:textId="77777777" w:rsidR="00871BDF" w:rsidRDefault="005C5088">
            <w:pPr>
              <w:jc w:val="center"/>
              <w:textAlignment w:val="top"/>
            </w:pPr>
            <w:r>
              <w:rPr>
                <w:rFonts w:ascii="Times New Roman" w:eastAsia="宋体" w:hAnsi="Times New Roman"/>
                <w:color w:val="000000"/>
                <w:sz w:val="20"/>
                <w:szCs w:val="20"/>
              </w:rPr>
              <w:t>11/16/2018</w:t>
            </w:r>
          </w:p>
        </w:tc>
        <w:tc>
          <w:tcPr>
            <w:tcW w:w="0" w:type="auto"/>
            <w:gridSpan w:val="3"/>
            <w:shd w:val="clear" w:color="auto" w:fill="D7E4BC"/>
            <w:tcMar>
              <w:top w:w="0" w:type="dxa"/>
              <w:left w:w="20" w:type="dxa"/>
              <w:bottom w:w="0" w:type="dxa"/>
              <w:right w:w="20" w:type="dxa"/>
            </w:tcMar>
          </w:tcPr>
          <w:p w14:paraId="00BB10D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E0" w14:textId="77777777" w:rsidR="00871BDF" w:rsidRDefault="005C5088">
            <w:pPr>
              <w:jc w:val="center"/>
              <w:textAlignment w:val="top"/>
            </w:pPr>
            <w:r>
              <w:rPr>
                <w:rFonts w:ascii="Times New Roman" w:eastAsia="宋体" w:hAnsi="Times New Roman"/>
                <w:color w:val="000000"/>
                <w:sz w:val="20"/>
                <w:szCs w:val="20"/>
              </w:rPr>
              <w:t>10.23</w:t>
            </w:r>
          </w:p>
        </w:tc>
        <w:tc>
          <w:tcPr>
            <w:tcW w:w="0" w:type="auto"/>
            <w:gridSpan w:val="3"/>
            <w:shd w:val="clear" w:color="auto" w:fill="D7E4BC"/>
            <w:tcMar>
              <w:top w:w="0" w:type="dxa"/>
              <w:left w:w="20" w:type="dxa"/>
              <w:bottom w:w="0" w:type="dxa"/>
              <w:right w:w="20" w:type="dxa"/>
            </w:tcMar>
          </w:tcPr>
          <w:p w14:paraId="00BB10E1"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E2" w14:textId="77777777" w:rsidR="00871BDF" w:rsidRDefault="00871BDF">
            <w:pPr>
              <w:rPr>
                <w:rFonts w:ascii="宋体"/>
              </w:rPr>
            </w:pPr>
          </w:p>
        </w:tc>
      </w:tr>
      <w:tr w:rsidR="00871BDF" w14:paraId="00BB10F1" w14:textId="77777777">
        <w:trPr>
          <w:jc w:val="center"/>
        </w:trPr>
        <w:tc>
          <w:tcPr>
            <w:tcW w:w="0" w:type="auto"/>
            <w:gridSpan w:val="3"/>
            <w:shd w:val="clear" w:color="auto" w:fill="FFFFFF"/>
            <w:tcMar>
              <w:top w:w="40" w:type="dxa"/>
              <w:left w:w="20" w:type="dxa"/>
              <w:bottom w:w="40" w:type="dxa"/>
              <w:right w:w="20" w:type="dxa"/>
            </w:tcMar>
          </w:tcPr>
          <w:p w14:paraId="00BB10E4" w14:textId="77777777" w:rsidR="00871BDF" w:rsidRDefault="005C5088">
            <w:pPr>
              <w:jc w:val="center"/>
              <w:textAlignment w:val="top"/>
            </w:pPr>
            <w:hyperlink r:id="rId407" w:history="1">
              <w:r>
                <w:rPr>
                  <w:rStyle w:val="a5"/>
                  <w:rFonts w:ascii="Times New Roman" w:eastAsia="宋体" w:hAnsi="Times New Roman"/>
                  <w:sz w:val="20"/>
                  <w:szCs w:val="20"/>
                </w:rPr>
                <w:t>10.</w:t>
              </w:r>
            </w:hyperlink>
            <w:hyperlink r:id="rId408" w:history="1">
              <w:r>
                <w:rPr>
                  <w:rStyle w:val="a5"/>
                  <w:rFonts w:ascii="Times New Roman" w:eastAsia="宋体" w:hAnsi="Times New Roman"/>
                  <w:sz w:val="20"/>
                  <w:szCs w:val="20"/>
                </w:rPr>
                <w:t>2</w:t>
              </w:r>
            </w:hyperlink>
            <w:hyperlink r:id="rId409" w:history="1">
              <w:r>
                <w:rPr>
                  <w:rStyle w:val="a5"/>
                  <w:rFonts w:ascii="Times New Roman" w:eastAsia="宋体" w:hAnsi="Times New Roman"/>
                  <w:sz w:val="20"/>
                  <w:szCs w:val="20"/>
                </w:rPr>
                <w:t>7</w:t>
              </w:r>
            </w:hyperlink>
            <w:hyperlink r:id="rId410" w:history="1">
              <w:r>
                <w:rPr>
                  <w:rStyle w:val="a5"/>
                  <w:rFonts w:ascii="Times New Roman" w:eastAsia="宋体" w:hAnsi="Times New Roman"/>
                  <w:sz w:val="20"/>
                  <w:szCs w:val="20"/>
                </w:rPr>
                <w:t>*</w:t>
              </w:r>
            </w:hyperlink>
          </w:p>
        </w:tc>
        <w:tc>
          <w:tcPr>
            <w:tcW w:w="0" w:type="auto"/>
            <w:gridSpan w:val="3"/>
            <w:shd w:val="clear" w:color="auto" w:fill="FFFFFF"/>
            <w:tcMar>
              <w:top w:w="0" w:type="dxa"/>
              <w:left w:w="20" w:type="dxa"/>
              <w:bottom w:w="0" w:type="dxa"/>
              <w:right w:w="20" w:type="dxa"/>
            </w:tcMar>
          </w:tcPr>
          <w:p w14:paraId="00BB10E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E6" w14:textId="77777777" w:rsidR="00871BDF" w:rsidRDefault="005C5088">
            <w:pPr>
              <w:textAlignment w:val="top"/>
            </w:pPr>
            <w:hyperlink r:id="rId411" w:history="1">
              <w:r>
                <w:rPr>
                  <w:rStyle w:val="a5"/>
                  <w:rFonts w:ascii="Times New Roman" w:eastAsia="宋体" w:hAnsi="Times New Roman"/>
                  <w:sz w:val="20"/>
                  <w:szCs w:val="20"/>
                </w:rPr>
                <w:t>Form of Global Key Employee Restricted Stock Unit Grant Agreement (Performance-Based</w:t>
              </w:r>
            </w:hyperlink>
            <w:hyperlink r:id="rId412" w:history="1">
              <w:r>
                <w:rPr>
                  <w:rStyle w:val="a5"/>
                  <w:rFonts w:ascii="Times New Roman" w:eastAsia="宋体" w:hAnsi="Times New Roman"/>
                  <w:sz w:val="20"/>
                  <w:szCs w:val="20"/>
                </w:rPr>
                <w:t xml:space="preserve"> - No Retirement Vesting</w:t>
              </w:r>
            </w:hyperlink>
            <w:hyperlink r:id="rId413" w:history="1">
              <w:r>
                <w:rPr>
                  <w:rStyle w:val="a5"/>
                  <w:rFonts w:ascii="Times New Roman" w:eastAsia="宋体" w:hAnsi="Times New Roman"/>
                  <w:sz w:val="20"/>
                  <w:szCs w:val="20"/>
                </w:rPr>
                <w:t>)</w:t>
              </w:r>
            </w:hyperlink>
          </w:p>
        </w:tc>
        <w:tc>
          <w:tcPr>
            <w:tcW w:w="0" w:type="auto"/>
            <w:gridSpan w:val="3"/>
            <w:shd w:val="clear" w:color="auto" w:fill="FFFFFF"/>
            <w:tcMar>
              <w:top w:w="0" w:type="dxa"/>
              <w:left w:w="20" w:type="dxa"/>
              <w:bottom w:w="0" w:type="dxa"/>
              <w:right w:w="20" w:type="dxa"/>
            </w:tcMar>
          </w:tcPr>
          <w:p w14:paraId="00BB10E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E8"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tcPr>
          <w:p w14:paraId="00BB10E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EA"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10E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EC" w14:textId="77777777" w:rsidR="00871BDF" w:rsidRDefault="005C5088">
            <w:pPr>
              <w:jc w:val="center"/>
              <w:textAlignment w:val="top"/>
            </w:pPr>
            <w:r>
              <w:rPr>
                <w:rFonts w:ascii="Times New Roman" w:eastAsia="宋体" w:hAnsi="Times New Roman"/>
                <w:color w:val="000000"/>
                <w:sz w:val="20"/>
                <w:szCs w:val="20"/>
              </w:rPr>
              <w:t>11/17/2017</w:t>
            </w:r>
          </w:p>
        </w:tc>
        <w:tc>
          <w:tcPr>
            <w:tcW w:w="0" w:type="auto"/>
            <w:gridSpan w:val="3"/>
            <w:shd w:val="clear" w:color="auto" w:fill="FFFFFF"/>
            <w:tcMar>
              <w:top w:w="0" w:type="dxa"/>
              <w:left w:w="20" w:type="dxa"/>
              <w:bottom w:w="0" w:type="dxa"/>
              <w:right w:w="20" w:type="dxa"/>
            </w:tcMar>
          </w:tcPr>
          <w:p w14:paraId="00BB10E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0EE" w14:textId="77777777" w:rsidR="00871BDF" w:rsidRDefault="005C5088">
            <w:pPr>
              <w:jc w:val="center"/>
              <w:textAlignment w:val="top"/>
            </w:pPr>
            <w:r>
              <w:rPr>
                <w:rFonts w:ascii="Times New Roman" w:eastAsia="宋体" w:hAnsi="Times New Roman"/>
                <w:color w:val="000000"/>
                <w:sz w:val="20"/>
                <w:szCs w:val="20"/>
              </w:rPr>
              <w:t>10.26</w:t>
            </w:r>
          </w:p>
        </w:tc>
        <w:tc>
          <w:tcPr>
            <w:tcW w:w="0" w:type="auto"/>
            <w:gridSpan w:val="3"/>
            <w:shd w:val="clear" w:color="auto" w:fill="FFFFFF"/>
            <w:tcMar>
              <w:top w:w="0" w:type="dxa"/>
              <w:left w:w="20" w:type="dxa"/>
              <w:bottom w:w="0" w:type="dxa"/>
              <w:right w:w="20" w:type="dxa"/>
            </w:tcMar>
          </w:tcPr>
          <w:p w14:paraId="00BB10E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0F0" w14:textId="77777777" w:rsidR="00871BDF" w:rsidRDefault="00871BDF">
            <w:pPr>
              <w:rPr>
                <w:rFonts w:ascii="宋体"/>
              </w:rPr>
            </w:pPr>
          </w:p>
        </w:tc>
      </w:tr>
      <w:tr w:rsidR="00871BDF" w14:paraId="00BB10FF" w14:textId="77777777">
        <w:trPr>
          <w:jc w:val="center"/>
        </w:trPr>
        <w:tc>
          <w:tcPr>
            <w:tcW w:w="0" w:type="auto"/>
            <w:gridSpan w:val="3"/>
            <w:shd w:val="clear" w:color="auto" w:fill="D7E4BC"/>
            <w:tcMar>
              <w:top w:w="40" w:type="dxa"/>
              <w:left w:w="20" w:type="dxa"/>
              <w:bottom w:w="40" w:type="dxa"/>
              <w:right w:w="20" w:type="dxa"/>
            </w:tcMar>
          </w:tcPr>
          <w:p w14:paraId="00BB10F2" w14:textId="77777777" w:rsidR="00871BDF" w:rsidRDefault="005C5088">
            <w:pPr>
              <w:jc w:val="center"/>
              <w:textAlignment w:val="top"/>
            </w:pPr>
            <w:hyperlink r:id="rId414" w:history="1">
              <w:r>
                <w:rPr>
                  <w:rStyle w:val="a5"/>
                  <w:rFonts w:ascii="Times New Roman" w:eastAsia="宋体" w:hAnsi="Times New Roman"/>
                  <w:sz w:val="20"/>
                  <w:szCs w:val="20"/>
                </w:rPr>
                <w:t>10.28*</w:t>
              </w:r>
            </w:hyperlink>
          </w:p>
        </w:tc>
        <w:tc>
          <w:tcPr>
            <w:tcW w:w="0" w:type="auto"/>
            <w:gridSpan w:val="3"/>
            <w:shd w:val="clear" w:color="auto" w:fill="D7E4BC"/>
            <w:tcMar>
              <w:top w:w="0" w:type="dxa"/>
              <w:left w:w="20" w:type="dxa"/>
              <w:bottom w:w="0" w:type="dxa"/>
              <w:right w:w="20" w:type="dxa"/>
            </w:tcMar>
          </w:tcPr>
          <w:p w14:paraId="00BB10F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F4" w14:textId="77777777" w:rsidR="00871BDF" w:rsidRDefault="005C5088">
            <w:pPr>
              <w:textAlignment w:val="top"/>
            </w:pPr>
            <w:hyperlink r:id="rId415" w:history="1">
              <w:r>
                <w:rPr>
                  <w:rStyle w:val="a5"/>
                  <w:rFonts w:ascii="Times New Roman" w:eastAsia="宋体" w:hAnsi="Times New Roman"/>
                  <w:sz w:val="20"/>
                  <w:szCs w:val="20"/>
                </w:rPr>
                <w:t>Form of Global Key Employee Restricted Stock Unit Grant Agreement (Performance-Based - Retirement Vesting) (Effective November 2019)</w:t>
              </w:r>
            </w:hyperlink>
          </w:p>
        </w:tc>
        <w:tc>
          <w:tcPr>
            <w:tcW w:w="0" w:type="auto"/>
            <w:gridSpan w:val="3"/>
            <w:shd w:val="clear" w:color="auto" w:fill="D7E4BC"/>
            <w:tcMar>
              <w:top w:w="0" w:type="dxa"/>
              <w:left w:w="20" w:type="dxa"/>
              <w:bottom w:w="0" w:type="dxa"/>
              <w:right w:w="20" w:type="dxa"/>
            </w:tcMar>
          </w:tcPr>
          <w:p w14:paraId="00BB10F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F6"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D7E4BC"/>
            <w:tcMar>
              <w:top w:w="0" w:type="dxa"/>
              <w:left w:w="20" w:type="dxa"/>
              <w:bottom w:w="0" w:type="dxa"/>
              <w:right w:w="20" w:type="dxa"/>
            </w:tcMar>
          </w:tcPr>
          <w:p w14:paraId="00BB10F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F8" w14:textId="77777777" w:rsidR="00871BDF" w:rsidRDefault="005C5088">
            <w:pPr>
              <w:jc w:val="center"/>
              <w:textAlignment w:val="top"/>
            </w:pPr>
            <w:r>
              <w:rPr>
                <w:rFonts w:ascii="Times New Roman" w:eastAsia="宋体" w:hAnsi="Times New Roman"/>
                <w:color w:val="000000"/>
                <w:sz w:val="20"/>
                <w:szCs w:val="20"/>
              </w:rPr>
              <w:t>0-</w:t>
            </w:r>
            <w:r>
              <w:rPr>
                <w:rFonts w:ascii="Times New Roman" w:eastAsia="宋体" w:hAnsi="Times New Roman"/>
                <w:color w:val="000000"/>
                <w:sz w:val="20"/>
                <w:szCs w:val="20"/>
              </w:rPr>
              <w:t>20322</w:t>
            </w:r>
          </w:p>
        </w:tc>
        <w:tc>
          <w:tcPr>
            <w:tcW w:w="0" w:type="auto"/>
            <w:gridSpan w:val="3"/>
            <w:shd w:val="clear" w:color="auto" w:fill="D7E4BC"/>
            <w:tcMar>
              <w:top w:w="0" w:type="dxa"/>
              <w:left w:w="20" w:type="dxa"/>
              <w:bottom w:w="0" w:type="dxa"/>
              <w:right w:w="20" w:type="dxa"/>
            </w:tcMar>
          </w:tcPr>
          <w:p w14:paraId="00BB10F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FA" w14:textId="77777777" w:rsidR="00871BDF" w:rsidRDefault="005C5088">
            <w:pPr>
              <w:jc w:val="center"/>
              <w:textAlignment w:val="top"/>
            </w:pPr>
            <w:r>
              <w:rPr>
                <w:rFonts w:ascii="Times New Roman" w:eastAsia="宋体" w:hAnsi="Times New Roman"/>
                <w:color w:val="000000"/>
                <w:sz w:val="20"/>
                <w:szCs w:val="20"/>
              </w:rPr>
              <w:t>11/15/2019</w:t>
            </w:r>
          </w:p>
        </w:tc>
        <w:tc>
          <w:tcPr>
            <w:tcW w:w="0" w:type="auto"/>
            <w:gridSpan w:val="3"/>
            <w:shd w:val="clear" w:color="auto" w:fill="D7E4BC"/>
            <w:tcMar>
              <w:top w:w="0" w:type="dxa"/>
              <w:left w:w="20" w:type="dxa"/>
              <w:bottom w:w="0" w:type="dxa"/>
              <w:right w:w="20" w:type="dxa"/>
            </w:tcMar>
          </w:tcPr>
          <w:p w14:paraId="00BB10F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0FC" w14:textId="77777777" w:rsidR="00871BDF" w:rsidRDefault="005C5088">
            <w:pPr>
              <w:jc w:val="center"/>
              <w:textAlignment w:val="top"/>
            </w:pPr>
            <w:r>
              <w:rPr>
                <w:rFonts w:ascii="Times New Roman" w:eastAsia="宋体" w:hAnsi="Times New Roman"/>
                <w:color w:val="000000"/>
                <w:sz w:val="20"/>
                <w:szCs w:val="20"/>
              </w:rPr>
              <w:t>10.26</w:t>
            </w:r>
          </w:p>
        </w:tc>
        <w:tc>
          <w:tcPr>
            <w:tcW w:w="0" w:type="auto"/>
            <w:gridSpan w:val="3"/>
            <w:shd w:val="clear" w:color="auto" w:fill="D7E4BC"/>
            <w:tcMar>
              <w:top w:w="0" w:type="dxa"/>
              <w:left w:w="20" w:type="dxa"/>
              <w:bottom w:w="0" w:type="dxa"/>
              <w:right w:w="20" w:type="dxa"/>
            </w:tcMar>
          </w:tcPr>
          <w:p w14:paraId="00BB10FD"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0FE" w14:textId="77777777" w:rsidR="00871BDF" w:rsidRDefault="00871BDF">
            <w:pPr>
              <w:rPr>
                <w:rFonts w:ascii="宋体"/>
              </w:rPr>
            </w:pPr>
          </w:p>
        </w:tc>
      </w:tr>
      <w:tr w:rsidR="00871BDF" w14:paraId="00BB110D" w14:textId="77777777">
        <w:trPr>
          <w:jc w:val="center"/>
        </w:trPr>
        <w:tc>
          <w:tcPr>
            <w:tcW w:w="0" w:type="auto"/>
            <w:gridSpan w:val="3"/>
            <w:shd w:val="clear" w:color="auto" w:fill="FFFFFF"/>
            <w:tcMar>
              <w:top w:w="40" w:type="dxa"/>
              <w:left w:w="20" w:type="dxa"/>
              <w:bottom w:w="40" w:type="dxa"/>
              <w:right w:w="20" w:type="dxa"/>
            </w:tcMar>
          </w:tcPr>
          <w:p w14:paraId="00BB1100" w14:textId="77777777" w:rsidR="00871BDF" w:rsidRDefault="005C5088">
            <w:pPr>
              <w:jc w:val="center"/>
              <w:textAlignment w:val="top"/>
            </w:pPr>
            <w:hyperlink r:id="rId416" w:history="1">
              <w:r>
                <w:rPr>
                  <w:rStyle w:val="a5"/>
                  <w:rFonts w:ascii="Times New Roman" w:eastAsia="宋体" w:hAnsi="Times New Roman"/>
                  <w:sz w:val="20"/>
                  <w:szCs w:val="20"/>
                </w:rPr>
                <w:t>10.29*</w:t>
              </w:r>
            </w:hyperlink>
          </w:p>
        </w:tc>
        <w:tc>
          <w:tcPr>
            <w:tcW w:w="0" w:type="auto"/>
            <w:gridSpan w:val="3"/>
            <w:shd w:val="clear" w:color="auto" w:fill="FFFFFF"/>
            <w:tcMar>
              <w:top w:w="0" w:type="dxa"/>
              <w:left w:w="20" w:type="dxa"/>
              <w:bottom w:w="0" w:type="dxa"/>
              <w:right w:w="20" w:type="dxa"/>
            </w:tcMar>
          </w:tcPr>
          <w:p w14:paraId="00BB110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02" w14:textId="77777777" w:rsidR="00871BDF" w:rsidRDefault="005C5088">
            <w:pPr>
              <w:textAlignment w:val="top"/>
            </w:pPr>
            <w:hyperlink r:id="rId417" w:history="1">
              <w:r>
                <w:rPr>
                  <w:rStyle w:val="a5"/>
                  <w:rFonts w:ascii="Times New Roman" w:eastAsia="宋体" w:hAnsi="Times New Roman"/>
                  <w:sz w:val="20"/>
                  <w:szCs w:val="20"/>
                </w:rPr>
                <w:t xml:space="preserve">Form of Global Key Employee Restricted </w:t>
              </w:r>
              <w:r>
                <w:rPr>
                  <w:rStyle w:val="a5"/>
                  <w:rFonts w:ascii="Times New Roman" w:eastAsia="宋体" w:hAnsi="Times New Roman"/>
                  <w:sz w:val="20"/>
                  <w:szCs w:val="20"/>
                </w:rPr>
                <w:t>Stock Unit Grant Agreement (Performance-Based - Retirement Vesting) (Effective November 2020)</w:t>
              </w:r>
            </w:hyperlink>
          </w:p>
        </w:tc>
        <w:tc>
          <w:tcPr>
            <w:tcW w:w="0" w:type="auto"/>
            <w:gridSpan w:val="3"/>
            <w:shd w:val="clear" w:color="auto" w:fill="FFFFFF"/>
            <w:tcMar>
              <w:top w:w="0" w:type="dxa"/>
              <w:left w:w="20" w:type="dxa"/>
              <w:bottom w:w="0" w:type="dxa"/>
              <w:right w:w="20" w:type="dxa"/>
            </w:tcMar>
          </w:tcPr>
          <w:p w14:paraId="00BB110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0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0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0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0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08"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0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0A"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0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0C" w14:textId="77777777" w:rsidR="00871BDF" w:rsidRDefault="005C5088">
            <w:pPr>
              <w:jc w:val="center"/>
              <w:textAlignment w:val="top"/>
            </w:pPr>
            <w:r>
              <w:rPr>
                <w:rFonts w:ascii="Times New Roman" w:eastAsia="宋体" w:hAnsi="Times New Roman"/>
                <w:color w:val="000000"/>
                <w:sz w:val="20"/>
                <w:szCs w:val="20"/>
              </w:rPr>
              <w:t>X</w:t>
            </w:r>
          </w:p>
        </w:tc>
      </w:tr>
      <w:tr w:rsidR="00871BDF" w14:paraId="00BB111B" w14:textId="77777777">
        <w:trPr>
          <w:trHeight w:val="460"/>
          <w:jc w:val="center"/>
        </w:trPr>
        <w:tc>
          <w:tcPr>
            <w:tcW w:w="0" w:type="auto"/>
            <w:gridSpan w:val="3"/>
            <w:shd w:val="clear" w:color="auto" w:fill="FFFFFF"/>
            <w:tcMar>
              <w:top w:w="0" w:type="dxa"/>
              <w:left w:w="20" w:type="dxa"/>
              <w:bottom w:w="0" w:type="dxa"/>
              <w:right w:w="20" w:type="dxa"/>
            </w:tcMar>
          </w:tcPr>
          <w:p w14:paraId="00BB110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0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1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1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1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1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14"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15"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1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1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18"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1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1A" w14:textId="77777777" w:rsidR="00871BDF" w:rsidRDefault="00871BDF">
            <w:pPr>
              <w:rPr>
                <w:rFonts w:ascii="宋体"/>
              </w:rPr>
            </w:pPr>
          </w:p>
        </w:tc>
      </w:tr>
    </w:tbl>
    <w:p w14:paraId="00BB111C" w14:textId="77777777" w:rsidR="00871BDF" w:rsidRDefault="005C5088">
      <w:pPr>
        <w:jc w:val="center"/>
      </w:pPr>
      <w:r>
        <w:rPr>
          <w:rFonts w:ascii="Times New Roman" w:eastAsia="宋体" w:hAnsi="Times New Roman"/>
          <w:color w:val="000000"/>
          <w:sz w:val="20"/>
          <w:szCs w:val="20"/>
        </w:rPr>
        <w:t>101</w:t>
      </w:r>
    </w:p>
    <w:p w14:paraId="00BB111D" w14:textId="77777777" w:rsidR="00871BDF" w:rsidRDefault="005C5088">
      <w:r>
        <w:pict w14:anchorId="00BB14CA">
          <v:rect id="_x0000_i1128" style="width:415.3pt;height:1.5pt" o:hralign="center" o:hrstd="t" o:hr="t" fillcolor="#a0a0a0" stroked="f"/>
        </w:pict>
      </w:r>
    </w:p>
    <w:p w14:paraId="00BB111E" w14:textId="77777777" w:rsidR="00871BDF" w:rsidRDefault="005C5088">
      <w:hyperlink r:id="rId418" w:anchor="i54ccc64cb5384be5a4849ef1cdef4dde_7" w:history="1">
        <w:r>
          <w:rPr>
            <w:rStyle w:val="a5"/>
            <w:rFonts w:ascii="Times New Roman" w:eastAsia="宋体" w:hAnsi="Times New Roman"/>
            <w:sz w:val="20"/>
            <w:szCs w:val="20"/>
          </w:rPr>
          <w:t>Table of 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83"/>
        <w:gridCol w:w="36"/>
        <w:gridCol w:w="36"/>
        <w:gridCol w:w="36"/>
        <w:gridCol w:w="36"/>
        <w:gridCol w:w="39"/>
        <w:gridCol w:w="2501"/>
        <w:gridCol w:w="37"/>
        <w:gridCol w:w="36"/>
        <w:gridCol w:w="36"/>
        <w:gridCol w:w="36"/>
        <w:gridCol w:w="38"/>
        <w:gridCol w:w="796"/>
        <w:gridCol w:w="37"/>
        <w:gridCol w:w="37"/>
        <w:gridCol w:w="37"/>
        <w:gridCol w:w="37"/>
        <w:gridCol w:w="64"/>
        <w:gridCol w:w="772"/>
        <w:gridCol w:w="37"/>
        <w:gridCol w:w="36"/>
        <w:gridCol w:w="36"/>
        <w:gridCol w:w="36"/>
        <w:gridCol w:w="85"/>
        <w:gridCol w:w="859"/>
        <w:gridCol w:w="38"/>
        <w:gridCol w:w="36"/>
        <w:gridCol w:w="36"/>
        <w:gridCol w:w="36"/>
        <w:gridCol w:w="55"/>
        <w:gridCol w:w="759"/>
        <w:gridCol w:w="36"/>
        <w:gridCol w:w="36"/>
        <w:gridCol w:w="36"/>
        <w:gridCol w:w="36"/>
        <w:gridCol w:w="74"/>
        <w:gridCol w:w="603"/>
        <w:gridCol w:w="36"/>
      </w:tblGrid>
      <w:tr w:rsidR="00871BDF" w14:paraId="00BB1146" w14:textId="77777777">
        <w:trPr>
          <w:jc w:val="center"/>
        </w:trPr>
        <w:tc>
          <w:tcPr>
            <w:tcW w:w="50" w:type="pct"/>
            <w:shd w:val="clear" w:color="auto" w:fill="auto"/>
          </w:tcPr>
          <w:p w14:paraId="00BB111F" w14:textId="77777777" w:rsidR="00871BDF" w:rsidRDefault="00871BDF">
            <w:pPr>
              <w:rPr>
                <w:rFonts w:ascii="宋体"/>
              </w:rPr>
            </w:pPr>
          </w:p>
        </w:tc>
        <w:tc>
          <w:tcPr>
            <w:tcW w:w="436" w:type="pct"/>
            <w:shd w:val="clear" w:color="auto" w:fill="auto"/>
          </w:tcPr>
          <w:p w14:paraId="00BB1120" w14:textId="77777777" w:rsidR="00871BDF" w:rsidRDefault="00871BDF">
            <w:pPr>
              <w:rPr>
                <w:rFonts w:ascii="宋体"/>
              </w:rPr>
            </w:pPr>
          </w:p>
        </w:tc>
        <w:tc>
          <w:tcPr>
            <w:tcW w:w="5" w:type="pct"/>
            <w:shd w:val="clear" w:color="auto" w:fill="auto"/>
          </w:tcPr>
          <w:p w14:paraId="00BB1121" w14:textId="77777777" w:rsidR="00871BDF" w:rsidRDefault="00871BDF">
            <w:pPr>
              <w:rPr>
                <w:rFonts w:ascii="宋体"/>
              </w:rPr>
            </w:pPr>
          </w:p>
        </w:tc>
        <w:tc>
          <w:tcPr>
            <w:tcW w:w="5" w:type="pct"/>
            <w:shd w:val="clear" w:color="auto" w:fill="auto"/>
          </w:tcPr>
          <w:p w14:paraId="00BB1122" w14:textId="77777777" w:rsidR="00871BDF" w:rsidRDefault="00871BDF">
            <w:pPr>
              <w:rPr>
                <w:rFonts w:ascii="宋体"/>
              </w:rPr>
            </w:pPr>
          </w:p>
        </w:tc>
        <w:tc>
          <w:tcPr>
            <w:tcW w:w="26" w:type="pct"/>
            <w:shd w:val="clear" w:color="auto" w:fill="auto"/>
          </w:tcPr>
          <w:p w14:paraId="00BB1123" w14:textId="77777777" w:rsidR="00871BDF" w:rsidRDefault="00871BDF">
            <w:pPr>
              <w:rPr>
                <w:rFonts w:ascii="宋体"/>
              </w:rPr>
            </w:pPr>
          </w:p>
        </w:tc>
        <w:tc>
          <w:tcPr>
            <w:tcW w:w="5" w:type="pct"/>
            <w:shd w:val="clear" w:color="auto" w:fill="auto"/>
          </w:tcPr>
          <w:p w14:paraId="00BB1124" w14:textId="77777777" w:rsidR="00871BDF" w:rsidRDefault="00871BDF">
            <w:pPr>
              <w:rPr>
                <w:rFonts w:ascii="宋体"/>
              </w:rPr>
            </w:pPr>
          </w:p>
        </w:tc>
        <w:tc>
          <w:tcPr>
            <w:tcW w:w="50" w:type="pct"/>
            <w:shd w:val="clear" w:color="auto" w:fill="auto"/>
          </w:tcPr>
          <w:p w14:paraId="00BB1125" w14:textId="77777777" w:rsidR="00871BDF" w:rsidRDefault="00871BDF">
            <w:pPr>
              <w:rPr>
                <w:rFonts w:ascii="宋体"/>
              </w:rPr>
            </w:pPr>
          </w:p>
        </w:tc>
        <w:tc>
          <w:tcPr>
            <w:tcW w:w="1530" w:type="pct"/>
            <w:shd w:val="clear" w:color="auto" w:fill="auto"/>
          </w:tcPr>
          <w:p w14:paraId="00BB1126" w14:textId="77777777" w:rsidR="00871BDF" w:rsidRDefault="00871BDF">
            <w:pPr>
              <w:rPr>
                <w:rFonts w:ascii="宋体"/>
              </w:rPr>
            </w:pPr>
          </w:p>
        </w:tc>
        <w:tc>
          <w:tcPr>
            <w:tcW w:w="5" w:type="pct"/>
            <w:shd w:val="clear" w:color="auto" w:fill="auto"/>
          </w:tcPr>
          <w:p w14:paraId="00BB1127" w14:textId="77777777" w:rsidR="00871BDF" w:rsidRDefault="00871BDF">
            <w:pPr>
              <w:rPr>
                <w:rFonts w:ascii="宋体"/>
              </w:rPr>
            </w:pPr>
          </w:p>
        </w:tc>
        <w:tc>
          <w:tcPr>
            <w:tcW w:w="5" w:type="pct"/>
            <w:shd w:val="clear" w:color="auto" w:fill="auto"/>
          </w:tcPr>
          <w:p w14:paraId="00BB1128" w14:textId="77777777" w:rsidR="00871BDF" w:rsidRDefault="00871BDF">
            <w:pPr>
              <w:rPr>
                <w:rFonts w:ascii="宋体"/>
              </w:rPr>
            </w:pPr>
          </w:p>
        </w:tc>
        <w:tc>
          <w:tcPr>
            <w:tcW w:w="26" w:type="pct"/>
            <w:shd w:val="clear" w:color="auto" w:fill="auto"/>
          </w:tcPr>
          <w:p w14:paraId="00BB1129" w14:textId="77777777" w:rsidR="00871BDF" w:rsidRDefault="00871BDF">
            <w:pPr>
              <w:rPr>
                <w:rFonts w:ascii="宋体"/>
              </w:rPr>
            </w:pPr>
          </w:p>
        </w:tc>
        <w:tc>
          <w:tcPr>
            <w:tcW w:w="5" w:type="pct"/>
            <w:shd w:val="clear" w:color="auto" w:fill="auto"/>
          </w:tcPr>
          <w:p w14:paraId="00BB112A" w14:textId="77777777" w:rsidR="00871BDF" w:rsidRDefault="00871BDF">
            <w:pPr>
              <w:rPr>
                <w:rFonts w:ascii="宋体"/>
              </w:rPr>
            </w:pPr>
          </w:p>
        </w:tc>
        <w:tc>
          <w:tcPr>
            <w:tcW w:w="50" w:type="pct"/>
            <w:shd w:val="clear" w:color="auto" w:fill="auto"/>
          </w:tcPr>
          <w:p w14:paraId="00BB112B" w14:textId="77777777" w:rsidR="00871BDF" w:rsidRDefault="00871BDF">
            <w:pPr>
              <w:rPr>
                <w:rFonts w:ascii="宋体"/>
              </w:rPr>
            </w:pPr>
          </w:p>
        </w:tc>
        <w:tc>
          <w:tcPr>
            <w:tcW w:w="503" w:type="pct"/>
            <w:shd w:val="clear" w:color="auto" w:fill="auto"/>
          </w:tcPr>
          <w:p w14:paraId="00BB112C" w14:textId="77777777" w:rsidR="00871BDF" w:rsidRDefault="00871BDF">
            <w:pPr>
              <w:rPr>
                <w:rFonts w:ascii="宋体"/>
              </w:rPr>
            </w:pPr>
          </w:p>
        </w:tc>
        <w:tc>
          <w:tcPr>
            <w:tcW w:w="5" w:type="pct"/>
            <w:shd w:val="clear" w:color="auto" w:fill="auto"/>
          </w:tcPr>
          <w:p w14:paraId="00BB112D" w14:textId="77777777" w:rsidR="00871BDF" w:rsidRDefault="00871BDF">
            <w:pPr>
              <w:rPr>
                <w:rFonts w:ascii="宋体"/>
              </w:rPr>
            </w:pPr>
          </w:p>
        </w:tc>
        <w:tc>
          <w:tcPr>
            <w:tcW w:w="5" w:type="pct"/>
            <w:shd w:val="clear" w:color="auto" w:fill="auto"/>
          </w:tcPr>
          <w:p w14:paraId="00BB112E" w14:textId="77777777" w:rsidR="00871BDF" w:rsidRDefault="00871BDF">
            <w:pPr>
              <w:rPr>
                <w:rFonts w:ascii="宋体"/>
              </w:rPr>
            </w:pPr>
          </w:p>
        </w:tc>
        <w:tc>
          <w:tcPr>
            <w:tcW w:w="26" w:type="pct"/>
            <w:shd w:val="clear" w:color="auto" w:fill="auto"/>
          </w:tcPr>
          <w:p w14:paraId="00BB112F" w14:textId="77777777" w:rsidR="00871BDF" w:rsidRDefault="00871BDF">
            <w:pPr>
              <w:rPr>
                <w:rFonts w:ascii="宋体"/>
              </w:rPr>
            </w:pPr>
          </w:p>
        </w:tc>
        <w:tc>
          <w:tcPr>
            <w:tcW w:w="5" w:type="pct"/>
            <w:shd w:val="clear" w:color="auto" w:fill="auto"/>
          </w:tcPr>
          <w:p w14:paraId="00BB1130" w14:textId="77777777" w:rsidR="00871BDF" w:rsidRDefault="00871BDF">
            <w:pPr>
              <w:rPr>
                <w:rFonts w:ascii="宋体"/>
              </w:rPr>
            </w:pPr>
          </w:p>
        </w:tc>
        <w:tc>
          <w:tcPr>
            <w:tcW w:w="50" w:type="pct"/>
            <w:shd w:val="clear" w:color="auto" w:fill="auto"/>
          </w:tcPr>
          <w:p w14:paraId="00BB1131" w14:textId="77777777" w:rsidR="00871BDF" w:rsidRDefault="00871BDF">
            <w:pPr>
              <w:rPr>
                <w:rFonts w:ascii="宋体"/>
              </w:rPr>
            </w:pPr>
          </w:p>
        </w:tc>
        <w:tc>
          <w:tcPr>
            <w:tcW w:w="503" w:type="pct"/>
            <w:shd w:val="clear" w:color="auto" w:fill="auto"/>
          </w:tcPr>
          <w:p w14:paraId="00BB1132" w14:textId="77777777" w:rsidR="00871BDF" w:rsidRDefault="00871BDF">
            <w:pPr>
              <w:rPr>
                <w:rFonts w:ascii="宋体"/>
              </w:rPr>
            </w:pPr>
          </w:p>
        </w:tc>
        <w:tc>
          <w:tcPr>
            <w:tcW w:w="5" w:type="pct"/>
            <w:shd w:val="clear" w:color="auto" w:fill="auto"/>
          </w:tcPr>
          <w:p w14:paraId="00BB1133" w14:textId="77777777" w:rsidR="00871BDF" w:rsidRDefault="00871BDF">
            <w:pPr>
              <w:rPr>
                <w:rFonts w:ascii="宋体"/>
              </w:rPr>
            </w:pPr>
          </w:p>
        </w:tc>
        <w:tc>
          <w:tcPr>
            <w:tcW w:w="5" w:type="pct"/>
            <w:shd w:val="clear" w:color="auto" w:fill="auto"/>
          </w:tcPr>
          <w:p w14:paraId="00BB1134" w14:textId="77777777" w:rsidR="00871BDF" w:rsidRDefault="00871BDF">
            <w:pPr>
              <w:rPr>
                <w:rFonts w:ascii="宋体"/>
              </w:rPr>
            </w:pPr>
          </w:p>
        </w:tc>
        <w:tc>
          <w:tcPr>
            <w:tcW w:w="26" w:type="pct"/>
            <w:shd w:val="clear" w:color="auto" w:fill="auto"/>
          </w:tcPr>
          <w:p w14:paraId="00BB1135" w14:textId="77777777" w:rsidR="00871BDF" w:rsidRDefault="00871BDF">
            <w:pPr>
              <w:rPr>
                <w:rFonts w:ascii="宋体"/>
              </w:rPr>
            </w:pPr>
          </w:p>
        </w:tc>
        <w:tc>
          <w:tcPr>
            <w:tcW w:w="5" w:type="pct"/>
            <w:shd w:val="clear" w:color="auto" w:fill="auto"/>
          </w:tcPr>
          <w:p w14:paraId="00BB1136" w14:textId="77777777" w:rsidR="00871BDF" w:rsidRDefault="00871BDF">
            <w:pPr>
              <w:rPr>
                <w:rFonts w:ascii="宋体"/>
              </w:rPr>
            </w:pPr>
          </w:p>
        </w:tc>
        <w:tc>
          <w:tcPr>
            <w:tcW w:w="50" w:type="pct"/>
            <w:shd w:val="clear" w:color="auto" w:fill="auto"/>
          </w:tcPr>
          <w:p w14:paraId="00BB1137" w14:textId="77777777" w:rsidR="00871BDF" w:rsidRDefault="00871BDF">
            <w:pPr>
              <w:rPr>
                <w:rFonts w:ascii="宋体"/>
              </w:rPr>
            </w:pPr>
          </w:p>
        </w:tc>
        <w:tc>
          <w:tcPr>
            <w:tcW w:w="510" w:type="pct"/>
            <w:shd w:val="clear" w:color="auto" w:fill="auto"/>
          </w:tcPr>
          <w:p w14:paraId="00BB1138" w14:textId="77777777" w:rsidR="00871BDF" w:rsidRDefault="00871BDF">
            <w:pPr>
              <w:rPr>
                <w:rFonts w:ascii="宋体"/>
              </w:rPr>
            </w:pPr>
          </w:p>
        </w:tc>
        <w:tc>
          <w:tcPr>
            <w:tcW w:w="5" w:type="pct"/>
            <w:shd w:val="clear" w:color="auto" w:fill="auto"/>
          </w:tcPr>
          <w:p w14:paraId="00BB1139" w14:textId="77777777" w:rsidR="00871BDF" w:rsidRDefault="00871BDF">
            <w:pPr>
              <w:rPr>
                <w:rFonts w:ascii="宋体"/>
              </w:rPr>
            </w:pPr>
          </w:p>
        </w:tc>
        <w:tc>
          <w:tcPr>
            <w:tcW w:w="5" w:type="pct"/>
            <w:shd w:val="clear" w:color="auto" w:fill="auto"/>
          </w:tcPr>
          <w:p w14:paraId="00BB113A" w14:textId="77777777" w:rsidR="00871BDF" w:rsidRDefault="00871BDF">
            <w:pPr>
              <w:rPr>
                <w:rFonts w:ascii="宋体"/>
              </w:rPr>
            </w:pPr>
          </w:p>
        </w:tc>
        <w:tc>
          <w:tcPr>
            <w:tcW w:w="26" w:type="pct"/>
            <w:shd w:val="clear" w:color="auto" w:fill="auto"/>
          </w:tcPr>
          <w:p w14:paraId="00BB113B" w14:textId="77777777" w:rsidR="00871BDF" w:rsidRDefault="00871BDF">
            <w:pPr>
              <w:rPr>
                <w:rFonts w:ascii="宋体"/>
              </w:rPr>
            </w:pPr>
          </w:p>
        </w:tc>
        <w:tc>
          <w:tcPr>
            <w:tcW w:w="5" w:type="pct"/>
            <w:shd w:val="clear" w:color="auto" w:fill="auto"/>
          </w:tcPr>
          <w:p w14:paraId="00BB113C" w14:textId="77777777" w:rsidR="00871BDF" w:rsidRDefault="00871BDF">
            <w:pPr>
              <w:rPr>
                <w:rFonts w:ascii="宋体"/>
              </w:rPr>
            </w:pPr>
          </w:p>
        </w:tc>
        <w:tc>
          <w:tcPr>
            <w:tcW w:w="50" w:type="pct"/>
            <w:shd w:val="clear" w:color="auto" w:fill="auto"/>
          </w:tcPr>
          <w:p w14:paraId="00BB113D" w14:textId="77777777" w:rsidR="00871BDF" w:rsidRDefault="00871BDF">
            <w:pPr>
              <w:rPr>
                <w:rFonts w:ascii="宋体"/>
              </w:rPr>
            </w:pPr>
          </w:p>
        </w:tc>
        <w:tc>
          <w:tcPr>
            <w:tcW w:w="503" w:type="pct"/>
            <w:shd w:val="clear" w:color="auto" w:fill="auto"/>
          </w:tcPr>
          <w:p w14:paraId="00BB113E" w14:textId="77777777" w:rsidR="00871BDF" w:rsidRDefault="00871BDF">
            <w:pPr>
              <w:rPr>
                <w:rFonts w:ascii="宋体"/>
              </w:rPr>
            </w:pPr>
          </w:p>
        </w:tc>
        <w:tc>
          <w:tcPr>
            <w:tcW w:w="5" w:type="pct"/>
            <w:shd w:val="clear" w:color="auto" w:fill="auto"/>
          </w:tcPr>
          <w:p w14:paraId="00BB113F" w14:textId="77777777" w:rsidR="00871BDF" w:rsidRDefault="00871BDF">
            <w:pPr>
              <w:rPr>
                <w:rFonts w:ascii="宋体"/>
              </w:rPr>
            </w:pPr>
          </w:p>
        </w:tc>
        <w:tc>
          <w:tcPr>
            <w:tcW w:w="5" w:type="pct"/>
            <w:shd w:val="clear" w:color="auto" w:fill="auto"/>
          </w:tcPr>
          <w:p w14:paraId="00BB1140" w14:textId="77777777" w:rsidR="00871BDF" w:rsidRDefault="00871BDF">
            <w:pPr>
              <w:rPr>
                <w:rFonts w:ascii="宋体"/>
              </w:rPr>
            </w:pPr>
          </w:p>
        </w:tc>
        <w:tc>
          <w:tcPr>
            <w:tcW w:w="26" w:type="pct"/>
            <w:shd w:val="clear" w:color="auto" w:fill="auto"/>
          </w:tcPr>
          <w:p w14:paraId="00BB1141" w14:textId="77777777" w:rsidR="00871BDF" w:rsidRDefault="00871BDF">
            <w:pPr>
              <w:rPr>
                <w:rFonts w:ascii="宋体"/>
              </w:rPr>
            </w:pPr>
          </w:p>
        </w:tc>
        <w:tc>
          <w:tcPr>
            <w:tcW w:w="5" w:type="pct"/>
            <w:shd w:val="clear" w:color="auto" w:fill="auto"/>
          </w:tcPr>
          <w:p w14:paraId="00BB1142" w14:textId="77777777" w:rsidR="00871BDF" w:rsidRDefault="00871BDF">
            <w:pPr>
              <w:rPr>
                <w:rFonts w:ascii="宋体"/>
              </w:rPr>
            </w:pPr>
          </w:p>
        </w:tc>
        <w:tc>
          <w:tcPr>
            <w:tcW w:w="50" w:type="pct"/>
            <w:shd w:val="clear" w:color="auto" w:fill="auto"/>
          </w:tcPr>
          <w:p w14:paraId="00BB1143" w14:textId="77777777" w:rsidR="00871BDF" w:rsidRDefault="00871BDF">
            <w:pPr>
              <w:rPr>
                <w:rFonts w:ascii="宋体"/>
              </w:rPr>
            </w:pPr>
          </w:p>
        </w:tc>
        <w:tc>
          <w:tcPr>
            <w:tcW w:w="407" w:type="pct"/>
            <w:shd w:val="clear" w:color="auto" w:fill="auto"/>
          </w:tcPr>
          <w:p w14:paraId="00BB1144" w14:textId="77777777" w:rsidR="00871BDF" w:rsidRDefault="00871BDF">
            <w:pPr>
              <w:rPr>
                <w:rFonts w:ascii="宋体"/>
              </w:rPr>
            </w:pPr>
          </w:p>
        </w:tc>
        <w:tc>
          <w:tcPr>
            <w:tcW w:w="5" w:type="pct"/>
            <w:shd w:val="clear" w:color="auto" w:fill="auto"/>
          </w:tcPr>
          <w:p w14:paraId="00BB1145" w14:textId="77777777" w:rsidR="00871BDF" w:rsidRDefault="00871BDF">
            <w:pPr>
              <w:rPr>
                <w:rFonts w:ascii="宋体"/>
              </w:rPr>
            </w:pPr>
          </w:p>
        </w:tc>
      </w:tr>
      <w:tr w:rsidR="00871BDF" w14:paraId="00BB114E" w14:textId="77777777">
        <w:trPr>
          <w:jc w:val="center"/>
        </w:trPr>
        <w:tc>
          <w:tcPr>
            <w:tcW w:w="0" w:type="auto"/>
            <w:gridSpan w:val="3"/>
            <w:shd w:val="clear" w:color="auto" w:fill="FFFFFF"/>
            <w:tcMar>
              <w:top w:w="40" w:type="dxa"/>
              <w:left w:w="20" w:type="dxa"/>
              <w:bottom w:w="40" w:type="dxa"/>
              <w:right w:w="20" w:type="dxa"/>
            </w:tcMar>
            <w:vAlign w:val="bottom"/>
          </w:tcPr>
          <w:p w14:paraId="00BB1147"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FFFFFF"/>
            <w:tcMar>
              <w:top w:w="0" w:type="dxa"/>
              <w:left w:w="20" w:type="dxa"/>
              <w:bottom w:w="0" w:type="dxa"/>
              <w:right w:w="20" w:type="dxa"/>
            </w:tcMar>
          </w:tcPr>
          <w:p w14:paraId="00BB1148"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B1149"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FFFFFF"/>
            <w:tcMar>
              <w:top w:w="0" w:type="dxa"/>
              <w:left w:w="20" w:type="dxa"/>
              <w:bottom w:w="0" w:type="dxa"/>
              <w:right w:w="20" w:type="dxa"/>
            </w:tcMar>
          </w:tcPr>
          <w:p w14:paraId="00BB114A" w14:textId="77777777" w:rsidR="00871BDF" w:rsidRDefault="00871BDF">
            <w:pPr>
              <w:rPr>
                <w:rFonts w:ascii="宋体"/>
              </w:rPr>
            </w:pPr>
          </w:p>
        </w:tc>
        <w:tc>
          <w:tcPr>
            <w:tcW w:w="0" w:type="auto"/>
            <w:gridSpan w:val="21"/>
            <w:shd w:val="clear" w:color="auto" w:fill="00704A"/>
            <w:tcMar>
              <w:top w:w="40" w:type="dxa"/>
              <w:left w:w="20" w:type="dxa"/>
              <w:bottom w:w="40" w:type="dxa"/>
              <w:right w:w="20" w:type="dxa"/>
            </w:tcMar>
            <w:vAlign w:val="bottom"/>
          </w:tcPr>
          <w:p w14:paraId="00BB114B" w14:textId="77777777" w:rsidR="00871BDF" w:rsidRDefault="005C5088">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FFFFFF"/>
            <w:tcMar>
              <w:top w:w="0" w:type="dxa"/>
              <w:left w:w="20" w:type="dxa"/>
              <w:bottom w:w="0" w:type="dxa"/>
              <w:right w:w="20" w:type="dxa"/>
            </w:tcMar>
          </w:tcPr>
          <w:p w14:paraId="00BB114C"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vAlign w:val="bottom"/>
          </w:tcPr>
          <w:p w14:paraId="00BB114D"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871BDF" w14:paraId="00BB115F" w14:textId="77777777">
        <w:trPr>
          <w:jc w:val="center"/>
        </w:trPr>
        <w:tc>
          <w:tcPr>
            <w:tcW w:w="0" w:type="auto"/>
            <w:gridSpan w:val="3"/>
            <w:shd w:val="clear" w:color="auto" w:fill="00704A"/>
            <w:tcMar>
              <w:top w:w="40" w:type="dxa"/>
              <w:left w:w="20" w:type="dxa"/>
              <w:bottom w:w="40" w:type="dxa"/>
              <w:right w:w="20" w:type="dxa"/>
            </w:tcMar>
            <w:vAlign w:val="bottom"/>
          </w:tcPr>
          <w:p w14:paraId="00BB114F" w14:textId="77777777" w:rsidR="00871BDF" w:rsidRDefault="005C5088">
            <w:pPr>
              <w:jc w:val="center"/>
              <w:textAlignment w:val="bottom"/>
            </w:pPr>
            <w:r>
              <w:rPr>
                <w:rFonts w:ascii="Times New Roman" w:eastAsia="宋体" w:hAnsi="Times New Roman"/>
                <w:b/>
                <w:bCs/>
                <w:color w:val="FFFFFF"/>
                <w:sz w:val="16"/>
                <w:szCs w:val="16"/>
              </w:rPr>
              <w:t>Exhibit</w:t>
            </w:r>
          </w:p>
          <w:p w14:paraId="00BB1150"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FFFFFF"/>
            <w:tcMar>
              <w:top w:w="0" w:type="dxa"/>
              <w:left w:w="20" w:type="dxa"/>
              <w:bottom w:w="0" w:type="dxa"/>
              <w:right w:w="20" w:type="dxa"/>
            </w:tcMar>
          </w:tcPr>
          <w:p w14:paraId="00BB1151"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1152" w14:textId="77777777" w:rsidR="00871BDF" w:rsidRDefault="005C5088">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FFFFFF"/>
            <w:tcMar>
              <w:top w:w="0" w:type="dxa"/>
              <w:left w:w="20" w:type="dxa"/>
              <w:bottom w:w="0" w:type="dxa"/>
              <w:right w:w="20" w:type="dxa"/>
            </w:tcMar>
          </w:tcPr>
          <w:p w14:paraId="00BB1153"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1154" w14:textId="77777777" w:rsidR="00871BDF" w:rsidRDefault="005C5088">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FFFFFF"/>
            <w:tcMar>
              <w:top w:w="0" w:type="dxa"/>
              <w:left w:w="20" w:type="dxa"/>
              <w:bottom w:w="0" w:type="dxa"/>
              <w:right w:w="20" w:type="dxa"/>
            </w:tcMar>
          </w:tcPr>
          <w:p w14:paraId="00BB1155"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1156" w14:textId="77777777" w:rsidR="00871BDF" w:rsidRDefault="005C5088">
            <w:pPr>
              <w:jc w:val="center"/>
              <w:textAlignment w:val="bottom"/>
            </w:pPr>
            <w:r>
              <w:rPr>
                <w:rFonts w:ascii="Times New Roman" w:eastAsia="宋体" w:hAnsi="Times New Roman"/>
                <w:b/>
                <w:bCs/>
                <w:color w:val="FFFFFF"/>
                <w:sz w:val="16"/>
                <w:szCs w:val="16"/>
              </w:rPr>
              <w:t xml:space="preserve">File </w:t>
            </w:r>
            <w:r>
              <w:rPr>
                <w:rFonts w:ascii="Times New Roman" w:eastAsia="宋体" w:hAnsi="Times New Roman"/>
                <w:b/>
                <w:bCs/>
                <w:color w:val="FFFFFF"/>
                <w:sz w:val="16"/>
                <w:szCs w:val="16"/>
              </w:rPr>
              <w:t>No.</w:t>
            </w:r>
          </w:p>
        </w:tc>
        <w:tc>
          <w:tcPr>
            <w:tcW w:w="0" w:type="auto"/>
            <w:gridSpan w:val="3"/>
            <w:tcBorders>
              <w:top w:val="single" w:sz="8" w:space="0" w:color="000000"/>
            </w:tcBorders>
            <w:shd w:val="clear" w:color="auto" w:fill="FFFFFF"/>
            <w:tcMar>
              <w:top w:w="0" w:type="dxa"/>
              <w:left w:w="20" w:type="dxa"/>
              <w:bottom w:w="0" w:type="dxa"/>
              <w:right w:w="20" w:type="dxa"/>
            </w:tcMar>
          </w:tcPr>
          <w:p w14:paraId="00BB1157"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1158" w14:textId="77777777" w:rsidR="00871BDF" w:rsidRDefault="005C5088">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FFFFFF"/>
            <w:tcMar>
              <w:top w:w="0" w:type="dxa"/>
              <w:left w:w="20" w:type="dxa"/>
              <w:bottom w:w="0" w:type="dxa"/>
              <w:right w:w="20" w:type="dxa"/>
            </w:tcMar>
          </w:tcPr>
          <w:p w14:paraId="00BB1159"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115A" w14:textId="77777777" w:rsidR="00871BDF" w:rsidRDefault="005C5088">
            <w:pPr>
              <w:jc w:val="center"/>
              <w:textAlignment w:val="bottom"/>
            </w:pPr>
            <w:r>
              <w:rPr>
                <w:rFonts w:ascii="Times New Roman" w:eastAsia="宋体" w:hAnsi="Times New Roman"/>
                <w:b/>
                <w:bCs/>
                <w:color w:val="FFFFFF"/>
                <w:sz w:val="16"/>
                <w:szCs w:val="16"/>
              </w:rPr>
              <w:t>Exhibit</w:t>
            </w:r>
          </w:p>
          <w:p w14:paraId="00BB115B"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FFFFFF"/>
            <w:tcMar>
              <w:top w:w="0" w:type="dxa"/>
              <w:left w:w="20" w:type="dxa"/>
              <w:bottom w:w="0" w:type="dxa"/>
              <w:right w:w="20" w:type="dxa"/>
            </w:tcMar>
          </w:tcPr>
          <w:p w14:paraId="00BB115C"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115D" w14:textId="77777777" w:rsidR="00871BDF" w:rsidRDefault="005C5088">
            <w:pPr>
              <w:jc w:val="center"/>
              <w:textAlignment w:val="bottom"/>
            </w:pPr>
            <w:r>
              <w:rPr>
                <w:rFonts w:ascii="Times New Roman" w:eastAsia="宋体" w:hAnsi="Times New Roman"/>
                <w:b/>
                <w:bCs/>
                <w:color w:val="FFFFFF"/>
                <w:sz w:val="16"/>
                <w:szCs w:val="16"/>
              </w:rPr>
              <w:t>Filed</w:t>
            </w:r>
          </w:p>
          <w:p w14:paraId="00BB115E" w14:textId="77777777" w:rsidR="00871BDF" w:rsidRDefault="005C5088">
            <w:pPr>
              <w:jc w:val="center"/>
              <w:textAlignment w:val="bottom"/>
            </w:pPr>
            <w:r>
              <w:rPr>
                <w:rFonts w:ascii="Times New Roman" w:eastAsia="宋体" w:hAnsi="Times New Roman"/>
                <w:b/>
                <w:bCs/>
                <w:color w:val="FFFFFF"/>
                <w:sz w:val="16"/>
                <w:szCs w:val="16"/>
              </w:rPr>
              <w:t>Herewith</w:t>
            </w:r>
          </w:p>
        </w:tc>
      </w:tr>
      <w:tr w:rsidR="00871BDF" w14:paraId="00BB116D" w14:textId="77777777">
        <w:trPr>
          <w:jc w:val="center"/>
        </w:trPr>
        <w:tc>
          <w:tcPr>
            <w:tcW w:w="0" w:type="auto"/>
            <w:gridSpan w:val="3"/>
            <w:shd w:val="clear" w:color="auto" w:fill="D7E4BC"/>
            <w:tcMar>
              <w:top w:w="40" w:type="dxa"/>
              <w:left w:w="20" w:type="dxa"/>
              <w:bottom w:w="40" w:type="dxa"/>
              <w:right w:w="20" w:type="dxa"/>
            </w:tcMar>
          </w:tcPr>
          <w:p w14:paraId="00BB1160" w14:textId="77777777" w:rsidR="00871BDF" w:rsidRDefault="005C5088">
            <w:pPr>
              <w:jc w:val="center"/>
              <w:textAlignment w:val="top"/>
            </w:pPr>
            <w:hyperlink r:id="rId419" w:history="1">
              <w:r>
                <w:rPr>
                  <w:rStyle w:val="a5"/>
                  <w:rFonts w:ascii="Times New Roman" w:eastAsia="宋体" w:hAnsi="Times New Roman"/>
                  <w:sz w:val="20"/>
                  <w:szCs w:val="20"/>
                </w:rPr>
                <w:t>10.</w:t>
              </w:r>
            </w:hyperlink>
            <w:hyperlink r:id="rId420" w:history="1">
              <w:r>
                <w:rPr>
                  <w:rStyle w:val="a5"/>
                  <w:rFonts w:ascii="Times New Roman" w:eastAsia="宋体" w:hAnsi="Times New Roman"/>
                  <w:sz w:val="20"/>
                  <w:szCs w:val="20"/>
                </w:rPr>
                <w:t>3</w:t>
              </w:r>
            </w:hyperlink>
            <w:hyperlink r:id="rId421" w:history="1">
              <w:r>
                <w:rPr>
                  <w:rStyle w:val="a5"/>
                  <w:rFonts w:ascii="Times New Roman" w:eastAsia="宋体" w:hAnsi="Times New Roman"/>
                  <w:sz w:val="20"/>
                  <w:szCs w:val="20"/>
                </w:rPr>
                <w:t>0</w:t>
              </w:r>
            </w:hyperlink>
            <w:hyperlink r:id="rId422" w:history="1">
              <w:r>
                <w:rPr>
                  <w:rStyle w:val="a5"/>
                  <w:rFonts w:ascii="Times New Roman" w:eastAsia="宋体" w:hAnsi="Times New Roman"/>
                  <w:sz w:val="20"/>
                  <w:szCs w:val="20"/>
                </w:rPr>
                <w:t>*</w:t>
              </w:r>
            </w:hyperlink>
          </w:p>
        </w:tc>
        <w:tc>
          <w:tcPr>
            <w:tcW w:w="0" w:type="auto"/>
            <w:gridSpan w:val="3"/>
            <w:shd w:val="clear" w:color="auto" w:fill="D7E4BC"/>
            <w:tcMar>
              <w:top w:w="0" w:type="dxa"/>
              <w:left w:w="20" w:type="dxa"/>
              <w:bottom w:w="0" w:type="dxa"/>
              <w:right w:w="20" w:type="dxa"/>
            </w:tcMar>
          </w:tcPr>
          <w:p w14:paraId="00BB116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62" w14:textId="77777777" w:rsidR="00871BDF" w:rsidRDefault="005C5088">
            <w:pPr>
              <w:textAlignment w:val="top"/>
            </w:pPr>
            <w:hyperlink r:id="rId423" w:history="1">
              <w:r>
                <w:rPr>
                  <w:rStyle w:val="a5"/>
                  <w:rFonts w:ascii="Times New Roman" w:eastAsia="宋体" w:hAnsi="Times New Roman"/>
                  <w:sz w:val="20"/>
                  <w:szCs w:val="20"/>
                </w:rPr>
                <w:t>Letter Agreement dated November 30, 2009 between Starbucks</w:t>
              </w:r>
              <w:r>
                <w:rPr>
                  <w:rStyle w:val="a5"/>
                  <w:rFonts w:ascii="Times New Roman" w:eastAsia="宋体" w:hAnsi="Times New Roman"/>
                  <w:sz w:val="20"/>
                  <w:szCs w:val="20"/>
                </w:rPr>
                <w:t xml:space="preserve"> Corporation and John Culver</w:t>
              </w:r>
            </w:hyperlink>
          </w:p>
        </w:tc>
        <w:tc>
          <w:tcPr>
            <w:tcW w:w="0" w:type="auto"/>
            <w:gridSpan w:val="3"/>
            <w:shd w:val="clear" w:color="auto" w:fill="D7E4BC"/>
            <w:tcMar>
              <w:top w:w="0" w:type="dxa"/>
              <w:left w:w="20" w:type="dxa"/>
              <w:bottom w:w="0" w:type="dxa"/>
              <w:right w:w="20" w:type="dxa"/>
            </w:tcMar>
          </w:tcPr>
          <w:p w14:paraId="00BB116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64" w14:textId="77777777" w:rsidR="00871BDF" w:rsidRDefault="005C5088">
            <w:pPr>
              <w:jc w:val="center"/>
              <w:textAlignment w:val="top"/>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tcPr>
          <w:p w14:paraId="00BB116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66"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116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68" w14:textId="77777777" w:rsidR="00871BDF" w:rsidRDefault="005C5088">
            <w:pPr>
              <w:jc w:val="center"/>
              <w:textAlignment w:val="top"/>
            </w:pPr>
            <w:r>
              <w:rPr>
                <w:rFonts w:ascii="Times New Roman" w:eastAsia="宋体" w:hAnsi="Times New Roman"/>
                <w:color w:val="000000"/>
                <w:sz w:val="20"/>
                <w:szCs w:val="20"/>
              </w:rPr>
              <w:t>2/2/2010</w:t>
            </w:r>
          </w:p>
        </w:tc>
        <w:tc>
          <w:tcPr>
            <w:tcW w:w="0" w:type="auto"/>
            <w:gridSpan w:val="3"/>
            <w:shd w:val="clear" w:color="auto" w:fill="D7E4BC"/>
            <w:tcMar>
              <w:top w:w="0" w:type="dxa"/>
              <w:left w:w="20" w:type="dxa"/>
              <w:bottom w:w="0" w:type="dxa"/>
              <w:right w:w="20" w:type="dxa"/>
            </w:tcMar>
          </w:tcPr>
          <w:p w14:paraId="00BB116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6A" w14:textId="77777777" w:rsidR="00871BDF" w:rsidRDefault="005C5088">
            <w:pPr>
              <w:jc w:val="center"/>
              <w:textAlignment w:val="top"/>
            </w:pPr>
            <w:r>
              <w:rPr>
                <w:rFonts w:ascii="Times New Roman" w:eastAsia="宋体" w:hAnsi="Times New Roman"/>
                <w:color w:val="000000"/>
                <w:sz w:val="20"/>
                <w:szCs w:val="20"/>
              </w:rPr>
              <w:t>10.3</w:t>
            </w:r>
          </w:p>
        </w:tc>
        <w:tc>
          <w:tcPr>
            <w:tcW w:w="0" w:type="auto"/>
            <w:gridSpan w:val="3"/>
            <w:shd w:val="clear" w:color="auto" w:fill="D7E4BC"/>
            <w:tcMar>
              <w:top w:w="0" w:type="dxa"/>
              <w:left w:w="20" w:type="dxa"/>
              <w:bottom w:w="0" w:type="dxa"/>
              <w:right w:w="20" w:type="dxa"/>
            </w:tcMar>
          </w:tcPr>
          <w:p w14:paraId="00BB116B"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16C" w14:textId="77777777" w:rsidR="00871BDF" w:rsidRDefault="00871BDF">
            <w:pPr>
              <w:rPr>
                <w:rFonts w:ascii="宋体"/>
              </w:rPr>
            </w:pPr>
          </w:p>
        </w:tc>
      </w:tr>
      <w:tr w:rsidR="00871BDF" w14:paraId="00BB117B" w14:textId="77777777">
        <w:trPr>
          <w:jc w:val="center"/>
        </w:trPr>
        <w:tc>
          <w:tcPr>
            <w:tcW w:w="0" w:type="auto"/>
            <w:gridSpan w:val="3"/>
            <w:shd w:val="clear" w:color="auto" w:fill="FFFFFF"/>
            <w:tcMar>
              <w:top w:w="40" w:type="dxa"/>
              <w:left w:w="20" w:type="dxa"/>
              <w:bottom w:w="40" w:type="dxa"/>
              <w:right w:w="20" w:type="dxa"/>
            </w:tcMar>
          </w:tcPr>
          <w:p w14:paraId="00BB116E" w14:textId="77777777" w:rsidR="00871BDF" w:rsidRDefault="005C5088">
            <w:pPr>
              <w:jc w:val="center"/>
              <w:textAlignment w:val="top"/>
            </w:pPr>
            <w:hyperlink r:id="rId424" w:history="1">
              <w:r>
                <w:rPr>
                  <w:rStyle w:val="a5"/>
                  <w:rFonts w:ascii="Times New Roman" w:eastAsia="宋体" w:hAnsi="Times New Roman"/>
                  <w:sz w:val="20"/>
                  <w:szCs w:val="20"/>
                </w:rPr>
                <w:t>10.3</w:t>
              </w:r>
            </w:hyperlink>
            <w:hyperlink r:id="rId425" w:history="1">
              <w:r>
                <w:rPr>
                  <w:rStyle w:val="a5"/>
                  <w:rFonts w:ascii="Times New Roman" w:eastAsia="宋体" w:hAnsi="Times New Roman"/>
                  <w:sz w:val="20"/>
                  <w:szCs w:val="20"/>
                </w:rPr>
                <w:t>1</w:t>
              </w:r>
            </w:hyperlink>
            <w:hyperlink r:id="rId426" w:history="1">
              <w:r>
                <w:rPr>
                  <w:rStyle w:val="a5"/>
                  <w:rFonts w:ascii="Times New Roman" w:eastAsia="宋体" w:hAnsi="Times New Roman"/>
                  <w:sz w:val="20"/>
                  <w:szCs w:val="20"/>
                </w:rPr>
                <w:t>*</w:t>
              </w:r>
            </w:hyperlink>
          </w:p>
        </w:tc>
        <w:tc>
          <w:tcPr>
            <w:tcW w:w="0" w:type="auto"/>
            <w:gridSpan w:val="3"/>
            <w:shd w:val="clear" w:color="auto" w:fill="FFFFFF"/>
            <w:tcMar>
              <w:top w:w="0" w:type="dxa"/>
              <w:left w:w="20" w:type="dxa"/>
              <w:bottom w:w="0" w:type="dxa"/>
              <w:right w:w="20" w:type="dxa"/>
            </w:tcMar>
          </w:tcPr>
          <w:p w14:paraId="00BB116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70" w14:textId="77777777" w:rsidR="00871BDF" w:rsidRDefault="005C5088">
            <w:pPr>
              <w:textAlignment w:val="top"/>
            </w:pPr>
            <w:hyperlink r:id="rId427" w:history="1">
              <w:r>
                <w:rPr>
                  <w:rStyle w:val="a5"/>
                  <w:rFonts w:ascii="Times New Roman" w:eastAsia="宋体" w:hAnsi="Times New Roman"/>
                  <w:sz w:val="20"/>
                  <w:szCs w:val="20"/>
                </w:rPr>
                <w:t xml:space="preserve">Letter Agreement dated May 16, 2012 between Starbucks Corporation and Lucy </w:t>
              </w:r>
              <w:r>
                <w:rPr>
                  <w:rStyle w:val="a5"/>
                  <w:rFonts w:ascii="Times New Roman" w:eastAsia="宋体" w:hAnsi="Times New Roman"/>
                  <w:sz w:val="20"/>
                  <w:szCs w:val="20"/>
                </w:rPr>
                <w:t>Lee Helm</w:t>
              </w:r>
            </w:hyperlink>
          </w:p>
        </w:tc>
        <w:tc>
          <w:tcPr>
            <w:tcW w:w="0" w:type="auto"/>
            <w:gridSpan w:val="3"/>
            <w:shd w:val="clear" w:color="auto" w:fill="FFFFFF"/>
            <w:tcMar>
              <w:top w:w="0" w:type="dxa"/>
              <w:left w:w="20" w:type="dxa"/>
              <w:bottom w:w="0" w:type="dxa"/>
              <w:right w:w="20" w:type="dxa"/>
            </w:tcMar>
          </w:tcPr>
          <w:p w14:paraId="00BB117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72" w14:textId="77777777" w:rsidR="00871BDF" w:rsidRDefault="005C5088">
            <w:pPr>
              <w:jc w:val="center"/>
              <w:textAlignment w:val="top"/>
            </w:pPr>
            <w:r>
              <w:rPr>
                <w:rFonts w:ascii="Times New Roman" w:eastAsia="宋体" w:hAnsi="Times New Roman"/>
                <w:color w:val="000000"/>
                <w:sz w:val="20"/>
                <w:szCs w:val="20"/>
              </w:rPr>
              <w:t>10-K</w:t>
            </w:r>
          </w:p>
        </w:tc>
        <w:tc>
          <w:tcPr>
            <w:tcW w:w="0" w:type="auto"/>
            <w:gridSpan w:val="3"/>
            <w:shd w:val="clear" w:color="auto" w:fill="FFFFFF"/>
            <w:tcMar>
              <w:top w:w="0" w:type="dxa"/>
              <w:left w:w="20" w:type="dxa"/>
              <w:bottom w:w="0" w:type="dxa"/>
              <w:right w:w="20" w:type="dxa"/>
            </w:tcMar>
          </w:tcPr>
          <w:p w14:paraId="00BB117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74"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117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76" w14:textId="77777777" w:rsidR="00871BDF" w:rsidRDefault="005C5088">
            <w:pPr>
              <w:jc w:val="center"/>
              <w:textAlignment w:val="top"/>
            </w:pPr>
            <w:r>
              <w:rPr>
                <w:rFonts w:ascii="Times New Roman" w:eastAsia="宋体" w:hAnsi="Times New Roman"/>
                <w:color w:val="000000"/>
                <w:sz w:val="20"/>
                <w:szCs w:val="20"/>
              </w:rPr>
              <w:t>11/14/2014</w:t>
            </w:r>
          </w:p>
        </w:tc>
        <w:tc>
          <w:tcPr>
            <w:tcW w:w="0" w:type="auto"/>
            <w:gridSpan w:val="3"/>
            <w:shd w:val="clear" w:color="auto" w:fill="FFFFFF"/>
            <w:tcMar>
              <w:top w:w="0" w:type="dxa"/>
              <w:left w:w="20" w:type="dxa"/>
              <w:bottom w:w="0" w:type="dxa"/>
              <w:right w:w="20" w:type="dxa"/>
            </w:tcMar>
          </w:tcPr>
          <w:p w14:paraId="00BB117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78" w14:textId="77777777" w:rsidR="00871BDF" w:rsidRDefault="005C5088">
            <w:pPr>
              <w:jc w:val="center"/>
              <w:textAlignment w:val="top"/>
            </w:pPr>
            <w:r>
              <w:rPr>
                <w:rFonts w:ascii="Times New Roman" w:eastAsia="宋体" w:hAnsi="Times New Roman"/>
                <w:color w:val="000000"/>
                <w:sz w:val="20"/>
                <w:szCs w:val="20"/>
              </w:rPr>
              <w:t>10.33</w:t>
            </w:r>
          </w:p>
        </w:tc>
        <w:tc>
          <w:tcPr>
            <w:tcW w:w="0" w:type="auto"/>
            <w:gridSpan w:val="3"/>
            <w:shd w:val="clear" w:color="auto" w:fill="FFFFFF"/>
            <w:tcMar>
              <w:top w:w="0" w:type="dxa"/>
              <w:left w:w="20" w:type="dxa"/>
              <w:bottom w:w="0" w:type="dxa"/>
              <w:right w:w="20" w:type="dxa"/>
            </w:tcMar>
          </w:tcPr>
          <w:p w14:paraId="00BB1179"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7A" w14:textId="77777777" w:rsidR="00871BDF" w:rsidRDefault="00871BDF">
            <w:pPr>
              <w:rPr>
                <w:rFonts w:ascii="宋体"/>
              </w:rPr>
            </w:pPr>
          </w:p>
        </w:tc>
      </w:tr>
      <w:tr w:rsidR="00871BDF" w14:paraId="00BB118A" w14:textId="77777777">
        <w:trPr>
          <w:jc w:val="center"/>
        </w:trPr>
        <w:tc>
          <w:tcPr>
            <w:tcW w:w="0" w:type="auto"/>
            <w:gridSpan w:val="3"/>
            <w:shd w:val="clear" w:color="auto" w:fill="D7E4BC"/>
            <w:tcMar>
              <w:top w:w="40" w:type="dxa"/>
              <w:left w:w="20" w:type="dxa"/>
              <w:bottom w:w="40" w:type="dxa"/>
              <w:right w:w="20" w:type="dxa"/>
            </w:tcMar>
          </w:tcPr>
          <w:p w14:paraId="00BB117C" w14:textId="77777777" w:rsidR="00871BDF" w:rsidRDefault="005C5088">
            <w:pPr>
              <w:jc w:val="center"/>
              <w:textAlignment w:val="top"/>
            </w:pPr>
            <w:hyperlink r:id="rId428" w:history="1">
              <w:r>
                <w:rPr>
                  <w:rStyle w:val="a5"/>
                  <w:rFonts w:ascii="Times New Roman" w:eastAsia="宋体" w:hAnsi="Times New Roman"/>
                  <w:sz w:val="20"/>
                  <w:szCs w:val="20"/>
                </w:rPr>
                <w:t>10.3</w:t>
              </w:r>
            </w:hyperlink>
            <w:hyperlink r:id="rId429" w:history="1">
              <w:r>
                <w:rPr>
                  <w:rStyle w:val="a5"/>
                  <w:rFonts w:ascii="Times New Roman" w:eastAsia="宋体" w:hAnsi="Times New Roman"/>
                  <w:sz w:val="20"/>
                  <w:szCs w:val="20"/>
                </w:rPr>
                <w:t>2</w:t>
              </w:r>
            </w:hyperlink>
            <w:hyperlink r:id="rId430" w:history="1">
              <w:r>
                <w:rPr>
                  <w:rStyle w:val="a5"/>
                  <w:rFonts w:ascii="Times New Roman" w:eastAsia="宋体" w:hAnsi="Times New Roman"/>
                  <w:sz w:val="20"/>
                  <w:szCs w:val="20"/>
                </w:rPr>
                <w:t>*</w:t>
              </w:r>
            </w:hyperlink>
          </w:p>
        </w:tc>
        <w:tc>
          <w:tcPr>
            <w:tcW w:w="0" w:type="auto"/>
            <w:gridSpan w:val="3"/>
            <w:shd w:val="clear" w:color="auto" w:fill="D7E4BC"/>
            <w:tcMar>
              <w:top w:w="0" w:type="dxa"/>
              <w:left w:w="20" w:type="dxa"/>
              <w:bottom w:w="0" w:type="dxa"/>
              <w:right w:w="20" w:type="dxa"/>
            </w:tcMar>
          </w:tcPr>
          <w:p w14:paraId="00BB117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7E" w14:textId="77777777" w:rsidR="00871BDF" w:rsidRDefault="005C5088">
            <w:pPr>
              <w:textAlignment w:val="top"/>
            </w:pPr>
            <w:hyperlink r:id="rId431" w:history="1">
              <w:r>
                <w:rPr>
                  <w:rStyle w:val="a5"/>
                  <w:rFonts w:ascii="Times New Roman" w:eastAsia="宋体" w:hAnsi="Times New Roman"/>
                  <w:sz w:val="20"/>
                  <w:szCs w:val="20"/>
                </w:rPr>
                <w:t xml:space="preserve">Offer Letter dated March 23, </w:t>
              </w:r>
              <w:r>
                <w:rPr>
                  <w:rStyle w:val="a5"/>
                  <w:rFonts w:ascii="Times New Roman" w:eastAsia="宋体" w:hAnsi="Times New Roman"/>
                  <w:sz w:val="20"/>
                  <w:szCs w:val="20"/>
                </w:rPr>
                <w:t>2017 between Starbucks Corporation and Kevin Johnson</w:t>
              </w:r>
            </w:hyperlink>
          </w:p>
          <w:p w14:paraId="00BB117F" w14:textId="77777777" w:rsidR="00871BDF" w:rsidRDefault="00871BDF">
            <w:pPr>
              <w:textAlignment w:val="top"/>
            </w:pPr>
          </w:p>
        </w:tc>
        <w:tc>
          <w:tcPr>
            <w:tcW w:w="0" w:type="auto"/>
            <w:gridSpan w:val="3"/>
            <w:shd w:val="clear" w:color="auto" w:fill="D7E4BC"/>
            <w:tcMar>
              <w:top w:w="0" w:type="dxa"/>
              <w:left w:w="20" w:type="dxa"/>
              <w:bottom w:w="0" w:type="dxa"/>
              <w:right w:w="20" w:type="dxa"/>
            </w:tcMar>
          </w:tcPr>
          <w:p w14:paraId="00BB1180"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81" w14:textId="77777777" w:rsidR="00871BDF" w:rsidRDefault="005C5088">
            <w:pPr>
              <w:jc w:val="center"/>
              <w:textAlignment w:val="top"/>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tcPr>
          <w:p w14:paraId="00BB1182"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83"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1184"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85" w14:textId="77777777" w:rsidR="00871BDF" w:rsidRDefault="005C5088">
            <w:pPr>
              <w:jc w:val="center"/>
              <w:textAlignment w:val="top"/>
            </w:pPr>
            <w:r>
              <w:rPr>
                <w:rFonts w:ascii="Times New Roman" w:eastAsia="宋体" w:hAnsi="Times New Roman"/>
                <w:color w:val="000000"/>
                <w:sz w:val="20"/>
                <w:szCs w:val="20"/>
              </w:rPr>
              <w:t>5/2/2017</w:t>
            </w:r>
          </w:p>
        </w:tc>
        <w:tc>
          <w:tcPr>
            <w:tcW w:w="0" w:type="auto"/>
            <w:gridSpan w:val="3"/>
            <w:shd w:val="clear" w:color="auto" w:fill="D7E4BC"/>
            <w:tcMar>
              <w:top w:w="0" w:type="dxa"/>
              <w:left w:w="20" w:type="dxa"/>
              <w:bottom w:w="0" w:type="dxa"/>
              <w:right w:w="20" w:type="dxa"/>
            </w:tcMar>
          </w:tcPr>
          <w:p w14:paraId="00BB1186"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87" w14:textId="77777777" w:rsidR="00871BDF" w:rsidRDefault="005C5088">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tcPr>
          <w:p w14:paraId="00BB1188"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189" w14:textId="77777777" w:rsidR="00871BDF" w:rsidRDefault="00871BDF">
            <w:pPr>
              <w:rPr>
                <w:rFonts w:ascii="宋体"/>
              </w:rPr>
            </w:pPr>
          </w:p>
        </w:tc>
      </w:tr>
      <w:tr w:rsidR="00871BDF" w14:paraId="00BB1198" w14:textId="77777777">
        <w:trPr>
          <w:jc w:val="center"/>
        </w:trPr>
        <w:tc>
          <w:tcPr>
            <w:tcW w:w="0" w:type="auto"/>
            <w:gridSpan w:val="3"/>
            <w:shd w:val="clear" w:color="auto" w:fill="FFFFFF"/>
            <w:tcMar>
              <w:top w:w="40" w:type="dxa"/>
              <w:left w:w="20" w:type="dxa"/>
              <w:bottom w:w="40" w:type="dxa"/>
              <w:right w:w="20" w:type="dxa"/>
            </w:tcMar>
          </w:tcPr>
          <w:p w14:paraId="00BB118B" w14:textId="77777777" w:rsidR="00871BDF" w:rsidRDefault="005C5088">
            <w:pPr>
              <w:jc w:val="center"/>
              <w:textAlignment w:val="top"/>
            </w:pPr>
            <w:hyperlink r:id="rId432" w:history="1">
              <w:r>
                <w:rPr>
                  <w:rStyle w:val="a5"/>
                  <w:rFonts w:ascii="Times New Roman" w:eastAsia="宋体" w:hAnsi="Times New Roman"/>
                  <w:sz w:val="20"/>
                  <w:szCs w:val="20"/>
                </w:rPr>
                <w:t>10.33*</w:t>
              </w:r>
            </w:hyperlink>
          </w:p>
        </w:tc>
        <w:tc>
          <w:tcPr>
            <w:tcW w:w="0" w:type="auto"/>
            <w:gridSpan w:val="3"/>
            <w:shd w:val="clear" w:color="auto" w:fill="FFFFFF"/>
            <w:tcMar>
              <w:top w:w="0" w:type="dxa"/>
              <w:left w:w="20" w:type="dxa"/>
              <w:bottom w:w="0" w:type="dxa"/>
              <w:right w:w="20" w:type="dxa"/>
            </w:tcMar>
          </w:tcPr>
          <w:p w14:paraId="00BB118C"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8D" w14:textId="77777777" w:rsidR="00871BDF" w:rsidRDefault="005C5088">
            <w:pPr>
              <w:textAlignment w:val="top"/>
            </w:pPr>
            <w:hyperlink r:id="rId433" w:history="1">
              <w:r>
                <w:rPr>
                  <w:rStyle w:val="a5"/>
                  <w:rFonts w:ascii="Times New Roman" w:eastAsia="宋体" w:hAnsi="Times New Roman"/>
                  <w:sz w:val="20"/>
                  <w:szCs w:val="20"/>
                </w:rPr>
                <w:t>Executive Long-Term Incentive Agreement d</w:t>
              </w:r>
              <w:r>
                <w:rPr>
                  <w:rStyle w:val="a5"/>
                  <w:rFonts w:ascii="Times New Roman" w:eastAsia="宋体" w:hAnsi="Times New Roman"/>
                  <w:sz w:val="20"/>
                  <w:szCs w:val="20"/>
                </w:rPr>
                <w:t>ated December 9, 2019 between Starbucks Corporation and Kevin R. Johnson</w:t>
              </w:r>
            </w:hyperlink>
          </w:p>
        </w:tc>
        <w:tc>
          <w:tcPr>
            <w:tcW w:w="0" w:type="auto"/>
            <w:gridSpan w:val="3"/>
            <w:shd w:val="clear" w:color="auto" w:fill="FFFFFF"/>
            <w:tcMar>
              <w:top w:w="0" w:type="dxa"/>
              <w:left w:w="20" w:type="dxa"/>
              <w:bottom w:w="0" w:type="dxa"/>
              <w:right w:w="20" w:type="dxa"/>
            </w:tcMar>
          </w:tcPr>
          <w:p w14:paraId="00BB118E"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8F" w14:textId="77777777" w:rsidR="00871BDF" w:rsidRDefault="005C5088">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tcPr>
          <w:p w14:paraId="00BB1190"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91"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1192"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93" w14:textId="77777777" w:rsidR="00871BDF" w:rsidRDefault="005C5088">
            <w:pPr>
              <w:jc w:val="center"/>
              <w:textAlignment w:val="top"/>
            </w:pPr>
            <w:r>
              <w:rPr>
                <w:rFonts w:ascii="Times New Roman" w:eastAsia="宋体" w:hAnsi="Times New Roman"/>
                <w:color w:val="000000"/>
                <w:sz w:val="20"/>
                <w:szCs w:val="20"/>
              </w:rPr>
              <w:t>1/28/2020</w:t>
            </w:r>
          </w:p>
        </w:tc>
        <w:tc>
          <w:tcPr>
            <w:tcW w:w="0" w:type="auto"/>
            <w:gridSpan w:val="3"/>
            <w:shd w:val="clear" w:color="auto" w:fill="FFFFFF"/>
            <w:tcMar>
              <w:top w:w="0" w:type="dxa"/>
              <w:left w:w="20" w:type="dxa"/>
              <w:bottom w:w="0" w:type="dxa"/>
              <w:right w:w="20" w:type="dxa"/>
            </w:tcMar>
          </w:tcPr>
          <w:p w14:paraId="00BB1194"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95" w14:textId="77777777" w:rsidR="00871BDF" w:rsidRDefault="005C5088">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tcPr>
          <w:p w14:paraId="00BB1196"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97" w14:textId="77777777" w:rsidR="00871BDF" w:rsidRDefault="00871BDF">
            <w:pPr>
              <w:rPr>
                <w:rFonts w:ascii="宋体"/>
              </w:rPr>
            </w:pPr>
          </w:p>
        </w:tc>
      </w:tr>
      <w:tr w:rsidR="00871BDF" w14:paraId="00BB11A6" w14:textId="77777777">
        <w:trPr>
          <w:jc w:val="center"/>
        </w:trPr>
        <w:tc>
          <w:tcPr>
            <w:tcW w:w="0" w:type="auto"/>
            <w:gridSpan w:val="3"/>
            <w:shd w:val="clear" w:color="auto" w:fill="D7E4BC"/>
            <w:tcMar>
              <w:top w:w="40" w:type="dxa"/>
              <w:left w:w="20" w:type="dxa"/>
              <w:bottom w:w="40" w:type="dxa"/>
              <w:right w:w="20" w:type="dxa"/>
            </w:tcMar>
          </w:tcPr>
          <w:p w14:paraId="00BB1199" w14:textId="77777777" w:rsidR="00871BDF" w:rsidRDefault="005C5088">
            <w:pPr>
              <w:jc w:val="center"/>
              <w:textAlignment w:val="top"/>
            </w:pPr>
            <w:hyperlink r:id="rId434" w:history="1">
              <w:r>
                <w:rPr>
                  <w:rStyle w:val="a5"/>
                  <w:rFonts w:ascii="Times New Roman" w:eastAsia="宋体" w:hAnsi="Times New Roman"/>
                  <w:sz w:val="20"/>
                  <w:szCs w:val="20"/>
                </w:rPr>
                <w:t>10.3</w:t>
              </w:r>
            </w:hyperlink>
            <w:hyperlink r:id="rId435" w:history="1">
              <w:r>
                <w:rPr>
                  <w:rStyle w:val="a5"/>
                  <w:rFonts w:ascii="Times New Roman" w:eastAsia="宋体" w:hAnsi="Times New Roman"/>
                  <w:sz w:val="20"/>
                  <w:szCs w:val="20"/>
                </w:rPr>
                <w:t>4</w:t>
              </w:r>
            </w:hyperlink>
            <w:hyperlink r:id="rId436" w:history="1">
              <w:r>
                <w:rPr>
                  <w:rStyle w:val="a5"/>
                  <w:rFonts w:ascii="Times New Roman" w:eastAsia="宋体" w:hAnsi="Times New Roman"/>
                  <w:sz w:val="20"/>
                  <w:szCs w:val="20"/>
                </w:rPr>
                <w:t>*</w:t>
              </w:r>
            </w:hyperlink>
          </w:p>
        </w:tc>
        <w:tc>
          <w:tcPr>
            <w:tcW w:w="0" w:type="auto"/>
            <w:gridSpan w:val="3"/>
            <w:shd w:val="clear" w:color="auto" w:fill="D7E4BC"/>
            <w:tcMar>
              <w:top w:w="0" w:type="dxa"/>
              <w:left w:w="20" w:type="dxa"/>
              <w:bottom w:w="0" w:type="dxa"/>
              <w:right w:w="20" w:type="dxa"/>
            </w:tcMar>
          </w:tcPr>
          <w:p w14:paraId="00BB119A"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9B" w14:textId="77777777" w:rsidR="00871BDF" w:rsidRDefault="005C5088">
            <w:pPr>
              <w:textAlignment w:val="top"/>
            </w:pPr>
            <w:hyperlink r:id="rId437" w:history="1">
              <w:r>
                <w:rPr>
                  <w:rStyle w:val="a5"/>
                  <w:rFonts w:ascii="Times New Roman" w:eastAsia="宋体" w:hAnsi="Times New Roman"/>
                  <w:sz w:val="20"/>
                  <w:szCs w:val="20"/>
                </w:rPr>
                <w:t>Offer Letter dated August 23, 2017 between Starbucks Corporation and Rosali</w:t>
              </w:r>
              <w:r>
                <w:rPr>
                  <w:rStyle w:val="a5"/>
                  <w:rFonts w:ascii="Times New Roman" w:eastAsia="宋体" w:hAnsi="Times New Roman"/>
                  <w:sz w:val="20"/>
                  <w:szCs w:val="20"/>
                </w:rPr>
                <w:t>nd Brewer</w:t>
              </w:r>
            </w:hyperlink>
          </w:p>
        </w:tc>
        <w:tc>
          <w:tcPr>
            <w:tcW w:w="0" w:type="auto"/>
            <w:gridSpan w:val="3"/>
            <w:shd w:val="clear" w:color="auto" w:fill="D7E4BC"/>
            <w:tcMar>
              <w:top w:w="0" w:type="dxa"/>
              <w:left w:w="20" w:type="dxa"/>
              <w:bottom w:w="0" w:type="dxa"/>
              <w:right w:w="20" w:type="dxa"/>
            </w:tcMar>
          </w:tcPr>
          <w:p w14:paraId="00BB119C"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9D" w14:textId="77777777" w:rsidR="00871BDF" w:rsidRDefault="005C5088">
            <w:pPr>
              <w:jc w:val="center"/>
              <w:textAlignment w:val="top"/>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tcPr>
          <w:p w14:paraId="00BB119E"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9F"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11A0"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A1" w14:textId="77777777" w:rsidR="00871BDF" w:rsidRDefault="005C5088">
            <w:pPr>
              <w:jc w:val="center"/>
              <w:textAlignment w:val="top"/>
            </w:pPr>
            <w:r>
              <w:rPr>
                <w:rFonts w:ascii="Times New Roman" w:eastAsia="宋体" w:hAnsi="Times New Roman"/>
                <w:color w:val="000000"/>
                <w:sz w:val="20"/>
                <w:szCs w:val="20"/>
              </w:rPr>
              <w:t>9/6/2017</w:t>
            </w:r>
          </w:p>
        </w:tc>
        <w:tc>
          <w:tcPr>
            <w:tcW w:w="0" w:type="auto"/>
            <w:gridSpan w:val="3"/>
            <w:shd w:val="clear" w:color="auto" w:fill="D7E4BC"/>
            <w:tcMar>
              <w:top w:w="0" w:type="dxa"/>
              <w:left w:w="20" w:type="dxa"/>
              <w:bottom w:w="0" w:type="dxa"/>
              <w:right w:w="20" w:type="dxa"/>
            </w:tcMar>
          </w:tcPr>
          <w:p w14:paraId="00BB11A2"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A3" w14:textId="77777777" w:rsidR="00871BDF" w:rsidRDefault="005C5088">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tcPr>
          <w:p w14:paraId="00BB11A4"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1A5" w14:textId="77777777" w:rsidR="00871BDF" w:rsidRDefault="00871BDF">
            <w:pPr>
              <w:rPr>
                <w:rFonts w:ascii="宋体"/>
              </w:rPr>
            </w:pPr>
          </w:p>
        </w:tc>
      </w:tr>
      <w:tr w:rsidR="00871BDF" w14:paraId="00BB11B4" w14:textId="77777777">
        <w:trPr>
          <w:jc w:val="center"/>
        </w:trPr>
        <w:tc>
          <w:tcPr>
            <w:tcW w:w="0" w:type="auto"/>
            <w:gridSpan w:val="3"/>
            <w:shd w:val="clear" w:color="auto" w:fill="FFFFFF"/>
            <w:tcMar>
              <w:top w:w="40" w:type="dxa"/>
              <w:left w:w="20" w:type="dxa"/>
              <w:bottom w:w="40" w:type="dxa"/>
              <w:right w:w="20" w:type="dxa"/>
            </w:tcMar>
          </w:tcPr>
          <w:p w14:paraId="00BB11A7" w14:textId="77777777" w:rsidR="00871BDF" w:rsidRDefault="005C5088">
            <w:pPr>
              <w:jc w:val="center"/>
              <w:textAlignment w:val="top"/>
            </w:pPr>
            <w:hyperlink r:id="rId438" w:history="1">
              <w:r>
                <w:rPr>
                  <w:rStyle w:val="a5"/>
                  <w:rFonts w:ascii="Times New Roman" w:eastAsia="宋体" w:hAnsi="Times New Roman"/>
                  <w:sz w:val="20"/>
                  <w:szCs w:val="20"/>
                </w:rPr>
                <w:t>10.35*</w:t>
              </w:r>
            </w:hyperlink>
          </w:p>
        </w:tc>
        <w:tc>
          <w:tcPr>
            <w:tcW w:w="0" w:type="auto"/>
            <w:gridSpan w:val="3"/>
            <w:shd w:val="clear" w:color="auto" w:fill="FFFFFF"/>
            <w:tcMar>
              <w:top w:w="0" w:type="dxa"/>
              <w:left w:w="20" w:type="dxa"/>
              <w:bottom w:w="0" w:type="dxa"/>
              <w:right w:w="20" w:type="dxa"/>
            </w:tcMar>
          </w:tcPr>
          <w:p w14:paraId="00BB11A8"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A9" w14:textId="77777777" w:rsidR="00871BDF" w:rsidRDefault="005C5088">
            <w:pPr>
              <w:textAlignment w:val="top"/>
            </w:pPr>
            <w:hyperlink r:id="rId439" w:history="1">
              <w:r>
                <w:rPr>
                  <w:rStyle w:val="a5"/>
                  <w:rFonts w:ascii="Times New Roman" w:eastAsia="宋体" w:hAnsi="Times New Roman"/>
                  <w:sz w:val="20"/>
                  <w:szCs w:val="20"/>
                </w:rPr>
                <w:t>Executive Long-Term Incentive Agreement</w:t>
              </w:r>
              <w:r>
                <w:rPr>
                  <w:rStyle w:val="a5"/>
                  <w:rFonts w:ascii="Times New Roman" w:eastAsia="宋体" w:hAnsi="Times New Roman"/>
                  <w:sz w:val="20"/>
                  <w:szCs w:val="20"/>
                </w:rPr>
                <w:t xml:space="preserve"> dated December 9, 2019 by and between Starbucks Corporation and Rosalind G. Brewer</w:t>
              </w:r>
            </w:hyperlink>
          </w:p>
        </w:tc>
        <w:tc>
          <w:tcPr>
            <w:tcW w:w="0" w:type="auto"/>
            <w:gridSpan w:val="3"/>
            <w:shd w:val="clear" w:color="auto" w:fill="FFFFFF"/>
            <w:tcMar>
              <w:top w:w="0" w:type="dxa"/>
              <w:left w:w="20" w:type="dxa"/>
              <w:bottom w:w="0" w:type="dxa"/>
              <w:right w:w="20" w:type="dxa"/>
            </w:tcMar>
          </w:tcPr>
          <w:p w14:paraId="00BB11AA"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AB" w14:textId="77777777" w:rsidR="00871BDF" w:rsidRDefault="005C5088">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tcPr>
          <w:p w14:paraId="00BB11AC"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AD"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tcPr>
          <w:p w14:paraId="00BB11AE"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AF" w14:textId="77777777" w:rsidR="00871BDF" w:rsidRDefault="005C5088">
            <w:pPr>
              <w:jc w:val="center"/>
              <w:textAlignment w:val="top"/>
            </w:pPr>
            <w:r>
              <w:rPr>
                <w:rFonts w:ascii="Times New Roman" w:eastAsia="宋体" w:hAnsi="Times New Roman"/>
                <w:color w:val="000000"/>
                <w:sz w:val="20"/>
                <w:szCs w:val="20"/>
              </w:rPr>
              <w:t>1/28/2020</w:t>
            </w:r>
          </w:p>
        </w:tc>
        <w:tc>
          <w:tcPr>
            <w:tcW w:w="0" w:type="auto"/>
            <w:gridSpan w:val="3"/>
            <w:shd w:val="clear" w:color="auto" w:fill="FFFFFF"/>
            <w:tcMar>
              <w:top w:w="0" w:type="dxa"/>
              <w:left w:w="20" w:type="dxa"/>
              <w:bottom w:w="0" w:type="dxa"/>
              <w:right w:w="20" w:type="dxa"/>
            </w:tcMar>
          </w:tcPr>
          <w:p w14:paraId="00BB11B0"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1B1" w14:textId="77777777" w:rsidR="00871BDF" w:rsidRDefault="005C5088">
            <w:pPr>
              <w:jc w:val="center"/>
              <w:textAlignment w:val="top"/>
            </w:pPr>
            <w:r>
              <w:rPr>
                <w:rFonts w:ascii="Times New Roman" w:eastAsia="宋体" w:hAnsi="Times New Roman"/>
                <w:color w:val="000000"/>
                <w:sz w:val="20"/>
                <w:szCs w:val="20"/>
              </w:rPr>
              <w:t>10.2</w:t>
            </w:r>
          </w:p>
        </w:tc>
        <w:tc>
          <w:tcPr>
            <w:tcW w:w="0" w:type="auto"/>
            <w:gridSpan w:val="3"/>
            <w:shd w:val="clear" w:color="auto" w:fill="FFFFFF"/>
            <w:tcMar>
              <w:top w:w="0" w:type="dxa"/>
              <w:left w:w="20" w:type="dxa"/>
              <w:bottom w:w="0" w:type="dxa"/>
              <w:right w:w="20" w:type="dxa"/>
            </w:tcMar>
          </w:tcPr>
          <w:p w14:paraId="00BB11B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1B3" w14:textId="77777777" w:rsidR="00871BDF" w:rsidRDefault="00871BDF">
            <w:pPr>
              <w:rPr>
                <w:rFonts w:ascii="宋体"/>
              </w:rPr>
            </w:pPr>
          </w:p>
        </w:tc>
      </w:tr>
      <w:tr w:rsidR="00871BDF" w14:paraId="00BB11C2" w14:textId="77777777">
        <w:trPr>
          <w:jc w:val="center"/>
        </w:trPr>
        <w:tc>
          <w:tcPr>
            <w:tcW w:w="0" w:type="auto"/>
            <w:gridSpan w:val="3"/>
            <w:shd w:val="clear" w:color="auto" w:fill="D7E4BC"/>
            <w:tcMar>
              <w:top w:w="40" w:type="dxa"/>
              <w:left w:w="20" w:type="dxa"/>
              <w:bottom w:w="40" w:type="dxa"/>
              <w:right w:w="20" w:type="dxa"/>
            </w:tcMar>
          </w:tcPr>
          <w:p w14:paraId="00BB11B5" w14:textId="77777777" w:rsidR="00871BDF" w:rsidRDefault="005C5088">
            <w:pPr>
              <w:jc w:val="center"/>
              <w:textAlignment w:val="top"/>
            </w:pPr>
            <w:hyperlink r:id="rId440" w:history="1">
              <w:r>
                <w:rPr>
                  <w:rStyle w:val="a5"/>
                  <w:rFonts w:ascii="Times New Roman" w:eastAsia="宋体" w:hAnsi="Times New Roman"/>
                  <w:sz w:val="20"/>
                  <w:szCs w:val="20"/>
                </w:rPr>
                <w:t>10.3</w:t>
              </w:r>
            </w:hyperlink>
            <w:hyperlink r:id="rId441" w:history="1">
              <w:r>
                <w:rPr>
                  <w:rStyle w:val="a5"/>
                  <w:rFonts w:ascii="Times New Roman" w:eastAsia="宋体" w:hAnsi="Times New Roman"/>
                  <w:sz w:val="20"/>
                  <w:szCs w:val="20"/>
                </w:rPr>
                <w:t>6</w:t>
              </w:r>
            </w:hyperlink>
            <w:hyperlink r:id="rId442" w:history="1">
              <w:r>
                <w:rPr>
                  <w:rStyle w:val="a5"/>
                  <w:rFonts w:ascii="Times New Roman" w:eastAsia="宋体" w:hAnsi="Times New Roman"/>
                  <w:sz w:val="20"/>
                  <w:szCs w:val="20"/>
                </w:rPr>
                <w:t>*</w:t>
              </w:r>
            </w:hyperlink>
          </w:p>
        </w:tc>
        <w:tc>
          <w:tcPr>
            <w:tcW w:w="0" w:type="auto"/>
            <w:gridSpan w:val="3"/>
            <w:shd w:val="clear" w:color="auto" w:fill="D7E4BC"/>
            <w:tcMar>
              <w:top w:w="0" w:type="dxa"/>
              <w:left w:w="20" w:type="dxa"/>
              <w:bottom w:w="0" w:type="dxa"/>
              <w:right w:w="20" w:type="dxa"/>
            </w:tcMar>
          </w:tcPr>
          <w:p w14:paraId="00BB11B6"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B7" w14:textId="77777777" w:rsidR="00871BDF" w:rsidRDefault="005C5088">
            <w:pPr>
              <w:textAlignment w:val="top"/>
            </w:pPr>
            <w:hyperlink r:id="rId443" w:history="1">
              <w:r>
                <w:rPr>
                  <w:rStyle w:val="a5"/>
                  <w:rFonts w:ascii="Times New Roman" w:eastAsia="宋体" w:hAnsi="Times New Roman"/>
                  <w:sz w:val="20"/>
                  <w:szCs w:val="20"/>
                </w:rPr>
                <w:t>Offer Letter dated October 5, 2018 between Starbucks Corporation and Patrick J. Grismer</w:t>
              </w:r>
            </w:hyperlink>
          </w:p>
        </w:tc>
        <w:tc>
          <w:tcPr>
            <w:tcW w:w="0" w:type="auto"/>
            <w:gridSpan w:val="3"/>
            <w:shd w:val="clear" w:color="auto" w:fill="D7E4BC"/>
            <w:tcMar>
              <w:top w:w="0" w:type="dxa"/>
              <w:left w:w="20" w:type="dxa"/>
              <w:bottom w:w="0" w:type="dxa"/>
              <w:right w:w="20" w:type="dxa"/>
            </w:tcMar>
          </w:tcPr>
          <w:p w14:paraId="00BB11B8"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B9" w14:textId="77777777" w:rsidR="00871BDF" w:rsidRDefault="005C5088">
            <w:pPr>
              <w:jc w:val="center"/>
              <w:textAlignment w:val="top"/>
            </w:pPr>
            <w:r>
              <w:rPr>
                <w:rFonts w:ascii="Times New Roman" w:eastAsia="宋体" w:hAnsi="Times New Roman"/>
                <w:color w:val="000000"/>
                <w:sz w:val="20"/>
                <w:szCs w:val="20"/>
              </w:rPr>
              <w:t xml:space="preserve">8-K </w:t>
            </w:r>
          </w:p>
        </w:tc>
        <w:tc>
          <w:tcPr>
            <w:tcW w:w="0" w:type="auto"/>
            <w:gridSpan w:val="3"/>
            <w:shd w:val="clear" w:color="auto" w:fill="D7E4BC"/>
            <w:tcMar>
              <w:top w:w="0" w:type="dxa"/>
              <w:left w:w="20" w:type="dxa"/>
              <w:bottom w:w="0" w:type="dxa"/>
              <w:right w:w="20" w:type="dxa"/>
            </w:tcMar>
          </w:tcPr>
          <w:p w14:paraId="00BB11BA"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BB" w14:textId="77777777" w:rsidR="00871BDF" w:rsidRDefault="005C5088">
            <w:pPr>
              <w:jc w:val="center"/>
              <w:textAlignment w:val="top"/>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tcPr>
          <w:p w14:paraId="00BB11BC"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BD" w14:textId="77777777" w:rsidR="00871BDF" w:rsidRDefault="005C5088">
            <w:pPr>
              <w:jc w:val="center"/>
              <w:textAlignment w:val="top"/>
            </w:pPr>
            <w:r>
              <w:rPr>
                <w:rFonts w:ascii="Times New Roman" w:eastAsia="宋体" w:hAnsi="Times New Roman"/>
                <w:color w:val="000000"/>
                <w:sz w:val="20"/>
                <w:szCs w:val="20"/>
              </w:rPr>
              <w:t>10/9/2018</w:t>
            </w:r>
          </w:p>
        </w:tc>
        <w:tc>
          <w:tcPr>
            <w:tcW w:w="0" w:type="auto"/>
            <w:gridSpan w:val="3"/>
            <w:shd w:val="clear" w:color="auto" w:fill="D7E4BC"/>
            <w:tcMar>
              <w:top w:w="0" w:type="dxa"/>
              <w:left w:w="20" w:type="dxa"/>
              <w:bottom w:w="0" w:type="dxa"/>
              <w:right w:w="20" w:type="dxa"/>
            </w:tcMar>
          </w:tcPr>
          <w:p w14:paraId="00BB11BE"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1BF" w14:textId="77777777" w:rsidR="00871BDF" w:rsidRDefault="005C5088">
            <w:pPr>
              <w:jc w:val="center"/>
              <w:textAlignment w:val="top"/>
            </w:pPr>
            <w:r>
              <w:rPr>
                <w:rFonts w:ascii="Times New Roman" w:eastAsia="宋体" w:hAnsi="Times New Roman"/>
                <w:color w:val="000000"/>
                <w:sz w:val="20"/>
                <w:szCs w:val="20"/>
              </w:rPr>
              <w:t>1</w:t>
            </w:r>
            <w:r>
              <w:rPr>
                <w:rFonts w:ascii="Times New Roman" w:eastAsia="宋体" w:hAnsi="Times New Roman"/>
                <w:color w:val="000000"/>
                <w:sz w:val="20"/>
                <w:szCs w:val="20"/>
              </w:rPr>
              <w:t>0.1</w:t>
            </w:r>
          </w:p>
        </w:tc>
        <w:tc>
          <w:tcPr>
            <w:tcW w:w="0" w:type="auto"/>
            <w:gridSpan w:val="3"/>
            <w:shd w:val="clear" w:color="auto" w:fill="D7E4BC"/>
            <w:tcMar>
              <w:top w:w="0" w:type="dxa"/>
              <w:left w:w="20" w:type="dxa"/>
              <w:bottom w:w="0" w:type="dxa"/>
              <w:right w:w="20" w:type="dxa"/>
            </w:tcMar>
          </w:tcPr>
          <w:p w14:paraId="00BB11C0" w14:textId="77777777" w:rsidR="00871BDF" w:rsidRDefault="00871BDF">
            <w:pPr>
              <w:rPr>
                <w:rFonts w:ascii="宋体"/>
              </w:rPr>
            </w:pPr>
          </w:p>
        </w:tc>
        <w:tc>
          <w:tcPr>
            <w:tcW w:w="0" w:type="auto"/>
            <w:gridSpan w:val="3"/>
            <w:shd w:val="clear" w:color="auto" w:fill="D7E4BC"/>
            <w:tcMar>
              <w:top w:w="0" w:type="dxa"/>
              <w:left w:w="20" w:type="dxa"/>
              <w:bottom w:w="0" w:type="dxa"/>
              <w:right w:w="20" w:type="dxa"/>
            </w:tcMar>
          </w:tcPr>
          <w:p w14:paraId="00BB11C1" w14:textId="77777777" w:rsidR="00871BDF" w:rsidRDefault="00871BDF">
            <w:pPr>
              <w:rPr>
                <w:rFonts w:ascii="宋体"/>
              </w:rPr>
            </w:pPr>
          </w:p>
        </w:tc>
      </w:tr>
      <w:tr w:rsidR="00871BDF" w14:paraId="00BB11D0" w14:textId="77777777">
        <w:trPr>
          <w:jc w:val="center"/>
          <w:hidden/>
        </w:trPr>
        <w:tc>
          <w:tcPr>
            <w:tcW w:w="0" w:type="auto"/>
            <w:gridSpan w:val="3"/>
            <w:shd w:val="clear" w:color="auto" w:fill="auto"/>
          </w:tcPr>
          <w:p w14:paraId="00BB11C3" w14:textId="77777777" w:rsidR="00871BDF" w:rsidRDefault="00871BDF">
            <w:pPr>
              <w:rPr>
                <w:rFonts w:ascii="宋体"/>
                <w:vanish/>
              </w:rPr>
            </w:pPr>
          </w:p>
        </w:tc>
        <w:tc>
          <w:tcPr>
            <w:tcW w:w="0" w:type="auto"/>
            <w:gridSpan w:val="3"/>
            <w:shd w:val="clear" w:color="auto" w:fill="auto"/>
          </w:tcPr>
          <w:p w14:paraId="00BB11C4" w14:textId="77777777" w:rsidR="00871BDF" w:rsidRDefault="00871BDF">
            <w:pPr>
              <w:rPr>
                <w:rFonts w:ascii="宋体"/>
                <w:vanish/>
              </w:rPr>
            </w:pPr>
          </w:p>
        </w:tc>
        <w:tc>
          <w:tcPr>
            <w:tcW w:w="0" w:type="auto"/>
            <w:gridSpan w:val="3"/>
            <w:shd w:val="clear" w:color="auto" w:fill="auto"/>
          </w:tcPr>
          <w:p w14:paraId="00BB11C5" w14:textId="77777777" w:rsidR="00871BDF" w:rsidRDefault="00871BDF">
            <w:pPr>
              <w:rPr>
                <w:rFonts w:ascii="宋体"/>
                <w:vanish/>
              </w:rPr>
            </w:pPr>
          </w:p>
        </w:tc>
        <w:tc>
          <w:tcPr>
            <w:tcW w:w="0" w:type="auto"/>
            <w:gridSpan w:val="3"/>
            <w:shd w:val="clear" w:color="auto" w:fill="auto"/>
          </w:tcPr>
          <w:p w14:paraId="00BB11C6" w14:textId="77777777" w:rsidR="00871BDF" w:rsidRDefault="00871BDF">
            <w:pPr>
              <w:rPr>
                <w:rFonts w:ascii="宋体"/>
                <w:vanish/>
              </w:rPr>
            </w:pPr>
          </w:p>
        </w:tc>
        <w:tc>
          <w:tcPr>
            <w:tcW w:w="0" w:type="auto"/>
            <w:gridSpan w:val="3"/>
            <w:shd w:val="clear" w:color="auto" w:fill="auto"/>
          </w:tcPr>
          <w:p w14:paraId="00BB11C7" w14:textId="77777777" w:rsidR="00871BDF" w:rsidRDefault="00871BDF">
            <w:pPr>
              <w:rPr>
                <w:rFonts w:ascii="宋体"/>
                <w:vanish/>
              </w:rPr>
            </w:pPr>
          </w:p>
        </w:tc>
        <w:tc>
          <w:tcPr>
            <w:tcW w:w="0" w:type="auto"/>
            <w:gridSpan w:val="3"/>
            <w:shd w:val="clear" w:color="auto" w:fill="auto"/>
          </w:tcPr>
          <w:p w14:paraId="00BB11C8" w14:textId="77777777" w:rsidR="00871BDF" w:rsidRDefault="00871BDF">
            <w:pPr>
              <w:rPr>
                <w:rFonts w:ascii="宋体"/>
                <w:vanish/>
              </w:rPr>
            </w:pPr>
          </w:p>
        </w:tc>
        <w:tc>
          <w:tcPr>
            <w:tcW w:w="0" w:type="auto"/>
            <w:gridSpan w:val="3"/>
            <w:shd w:val="clear" w:color="auto" w:fill="auto"/>
          </w:tcPr>
          <w:p w14:paraId="00BB11C9" w14:textId="77777777" w:rsidR="00871BDF" w:rsidRDefault="00871BDF">
            <w:pPr>
              <w:rPr>
                <w:rFonts w:ascii="宋体"/>
                <w:vanish/>
              </w:rPr>
            </w:pPr>
          </w:p>
        </w:tc>
        <w:tc>
          <w:tcPr>
            <w:tcW w:w="0" w:type="auto"/>
            <w:gridSpan w:val="3"/>
            <w:shd w:val="clear" w:color="auto" w:fill="auto"/>
          </w:tcPr>
          <w:p w14:paraId="00BB11CA" w14:textId="77777777" w:rsidR="00871BDF" w:rsidRDefault="00871BDF">
            <w:pPr>
              <w:rPr>
                <w:rFonts w:ascii="宋体"/>
                <w:vanish/>
              </w:rPr>
            </w:pPr>
          </w:p>
        </w:tc>
        <w:tc>
          <w:tcPr>
            <w:tcW w:w="0" w:type="auto"/>
            <w:gridSpan w:val="3"/>
            <w:shd w:val="clear" w:color="auto" w:fill="auto"/>
          </w:tcPr>
          <w:p w14:paraId="00BB11CB" w14:textId="77777777" w:rsidR="00871BDF" w:rsidRDefault="00871BDF">
            <w:pPr>
              <w:rPr>
                <w:rFonts w:ascii="宋体"/>
                <w:vanish/>
              </w:rPr>
            </w:pPr>
          </w:p>
        </w:tc>
        <w:tc>
          <w:tcPr>
            <w:tcW w:w="0" w:type="auto"/>
            <w:gridSpan w:val="3"/>
            <w:shd w:val="clear" w:color="auto" w:fill="auto"/>
          </w:tcPr>
          <w:p w14:paraId="00BB11CC" w14:textId="77777777" w:rsidR="00871BDF" w:rsidRDefault="00871BDF">
            <w:pPr>
              <w:rPr>
                <w:rFonts w:ascii="宋体"/>
                <w:vanish/>
              </w:rPr>
            </w:pPr>
          </w:p>
        </w:tc>
        <w:tc>
          <w:tcPr>
            <w:tcW w:w="0" w:type="auto"/>
            <w:gridSpan w:val="3"/>
            <w:shd w:val="clear" w:color="auto" w:fill="auto"/>
          </w:tcPr>
          <w:p w14:paraId="00BB11CD" w14:textId="77777777" w:rsidR="00871BDF" w:rsidRDefault="00871BDF">
            <w:pPr>
              <w:rPr>
                <w:rFonts w:ascii="宋体"/>
                <w:vanish/>
              </w:rPr>
            </w:pPr>
          </w:p>
        </w:tc>
        <w:tc>
          <w:tcPr>
            <w:tcW w:w="0" w:type="auto"/>
            <w:gridSpan w:val="3"/>
            <w:shd w:val="clear" w:color="auto" w:fill="auto"/>
          </w:tcPr>
          <w:p w14:paraId="00BB11CE" w14:textId="77777777" w:rsidR="00871BDF" w:rsidRDefault="00871BDF">
            <w:pPr>
              <w:rPr>
                <w:rFonts w:ascii="宋体"/>
                <w:vanish/>
              </w:rPr>
            </w:pPr>
          </w:p>
        </w:tc>
        <w:tc>
          <w:tcPr>
            <w:tcW w:w="0" w:type="auto"/>
            <w:gridSpan w:val="3"/>
            <w:shd w:val="clear" w:color="auto" w:fill="auto"/>
          </w:tcPr>
          <w:p w14:paraId="00BB11CF" w14:textId="77777777" w:rsidR="00871BDF" w:rsidRDefault="00871BDF">
            <w:pPr>
              <w:rPr>
                <w:rFonts w:ascii="宋体"/>
                <w:vanish/>
              </w:rPr>
            </w:pPr>
          </w:p>
        </w:tc>
      </w:tr>
      <w:tr w:rsidR="00871BDF" w14:paraId="00BB11DE" w14:textId="77777777">
        <w:trPr>
          <w:jc w:val="center"/>
          <w:hidden/>
        </w:trPr>
        <w:tc>
          <w:tcPr>
            <w:tcW w:w="0" w:type="auto"/>
            <w:gridSpan w:val="3"/>
            <w:shd w:val="clear" w:color="auto" w:fill="auto"/>
          </w:tcPr>
          <w:p w14:paraId="00BB11D1" w14:textId="77777777" w:rsidR="00871BDF" w:rsidRDefault="00871BDF">
            <w:pPr>
              <w:rPr>
                <w:rFonts w:ascii="宋体"/>
                <w:vanish/>
              </w:rPr>
            </w:pPr>
          </w:p>
        </w:tc>
        <w:tc>
          <w:tcPr>
            <w:tcW w:w="0" w:type="auto"/>
            <w:gridSpan w:val="3"/>
            <w:shd w:val="clear" w:color="auto" w:fill="auto"/>
          </w:tcPr>
          <w:p w14:paraId="00BB11D2" w14:textId="77777777" w:rsidR="00871BDF" w:rsidRDefault="00871BDF">
            <w:pPr>
              <w:rPr>
                <w:rFonts w:ascii="宋体"/>
                <w:vanish/>
              </w:rPr>
            </w:pPr>
          </w:p>
        </w:tc>
        <w:tc>
          <w:tcPr>
            <w:tcW w:w="0" w:type="auto"/>
            <w:gridSpan w:val="3"/>
            <w:shd w:val="clear" w:color="auto" w:fill="auto"/>
          </w:tcPr>
          <w:p w14:paraId="00BB11D3" w14:textId="77777777" w:rsidR="00871BDF" w:rsidRDefault="00871BDF">
            <w:pPr>
              <w:rPr>
                <w:rFonts w:ascii="宋体"/>
                <w:vanish/>
              </w:rPr>
            </w:pPr>
          </w:p>
        </w:tc>
        <w:tc>
          <w:tcPr>
            <w:tcW w:w="0" w:type="auto"/>
            <w:gridSpan w:val="3"/>
            <w:shd w:val="clear" w:color="auto" w:fill="auto"/>
          </w:tcPr>
          <w:p w14:paraId="00BB11D4" w14:textId="77777777" w:rsidR="00871BDF" w:rsidRDefault="00871BDF">
            <w:pPr>
              <w:rPr>
                <w:rFonts w:ascii="宋体"/>
                <w:vanish/>
              </w:rPr>
            </w:pPr>
          </w:p>
        </w:tc>
        <w:tc>
          <w:tcPr>
            <w:tcW w:w="0" w:type="auto"/>
            <w:gridSpan w:val="3"/>
            <w:shd w:val="clear" w:color="auto" w:fill="auto"/>
          </w:tcPr>
          <w:p w14:paraId="00BB11D5" w14:textId="77777777" w:rsidR="00871BDF" w:rsidRDefault="00871BDF">
            <w:pPr>
              <w:rPr>
                <w:rFonts w:ascii="宋体"/>
                <w:vanish/>
              </w:rPr>
            </w:pPr>
          </w:p>
        </w:tc>
        <w:tc>
          <w:tcPr>
            <w:tcW w:w="0" w:type="auto"/>
            <w:gridSpan w:val="3"/>
            <w:shd w:val="clear" w:color="auto" w:fill="auto"/>
          </w:tcPr>
          <w:p w14:paraId="00BB11D6" w14:textId="77777777" w:rsidR="00871BDF" w:rsidRDefault="00871BDF">
            <w:pPr>
              <w:rPr>
                <w:rFonts w:ascii="宋体"/>
                <w:vanish/>
              </w:rPr>
            </w:pPr>
          </w:p>
        </w:tc>
        <w:tc>
          <w:tcPr>
            <w:tcW w:w="0" w:type="auto"/>
            <w:gridSpan w:val="3"/>
            <w:shd w:val="clear" w:color="auto" w:fill="auto"/>
          </w:tcPr>
          <w:p w14:paraId="00BB11D7" w14:textId="77777777" w:rsidR="00871BDF" w:rsidRDefault="00871BDF">
            <w:pPr>
              <w:rPr>
                <w:rFonts w:ascii="宋体"/>
                <w:vanish/>
              </w:rPr>
            </w:pPr>
          </w:p>
        </w:tc>
        <w:tc>
          <w:tcPr>
            <w:tcW w:w="0" w:type="auto"/>
            <w:gridSpan w:val="3"/>
            <w:shd w:val="clear" w:color="auto" w:fill="auto"/>
          </w:tcPr>
          <w:p w14:paraId="00BB11D8" w14:textId="77777777" w:rsidR="00871BDF" w:rsidRDefault="00871BDF">
            <w:pPr>
              <w:rPr>
                <w:rFonts w:ascii="宋体"/>
                <w:vanish/>
              </w:rPr>
            </w:pPr>
          </w:p>
        </w:tc>
        <w:tc>
          <w:tcPr>
            <w:tcW w:w="0" w:type="auto"/>
            <w:gridSpan w:val="3"/>
            <w:shd w:val="clear" w:color="auto" w:fill="auto"/>
          </w:tcPr>
          <w:p w14:paraId="00BB11D9" w14:textId="77777777" w:rsidR="00871BDF" w:rsidRDefault="00871BDF">
            <w:pPr>
              <w:rPr>
                <w:rFonts w:ascii="宋体"/>
                <w:vanish/>
              </w:rPr>
            </w:pPr>
          </w:p>
        </w:tc>
        <w:tc>
          <w:tcPr>
            <w:tcW w:w="0" w:type="auto"/>
            <w:gridSpan w:val="3"/>
            <w:shd w:val="clear" w:color="auto" w:fill="auto"/>
          </w:tcPr>
          <w:p w14:paraId="00BB11DA" w14:textId="77777777" w:rsidR="00871BDF" w:rsidRDefault="00871BDF">
            <w:pPr>
              <w:rPr>
                <w:rFonts w:ascii="宋体"/>
                <w:vanish/>
              </w:rPr>
            </w:pPr>
          </w:p>
        </w:tc>
        <w:tc>
          <w:tcPr>
            <w:tcW w:w="0" w:type="auto"/>
            <w:gridSpan w:val="3"/>
            <w:shd w:val="clear" w:color="auto" w:fill="auto"/>
          </w:tcPr>
          <w:p w14:paraId="00BB11DB" w14:textId="77777777" w:rsidR="00871BDF" w:rsidRDefault="00871BDF">
            <w:pPr>
              <w:rPr>
                <w:rFonts w:ascii="宋体"/>
                <w:vanish/>
              </w:rPr>
            </w:pPr>
          </w:p>
        </w:tc>
        <w:tc>
          <w:tcPr>
            <w:tcW w:w="0" w:type="auto"/>
            <w:gridSpan w:val="3"/>
            <w:shd w:val="clear" w:color="auto" w:fill="auto"/>
          </w:tcPr>
          <w:p w14:paraId="00BB11DC" w14:textId="77777777" w:rsidR="00871BDF" w:rsidRDefault="00871BDF">
            <w:pPr>
              <w:rPr>
                <w:rFonts w:ascii="宋体"/>
                <w:vanish/>
              </w:rPr>
            </w:pPr>
          </w:p>
        </w:tc>
        <w:tc>
          <w:tcPr>
            <w:tcW w:w="0" w:type="auto"/>
            <w:gridSpan w:val="3"/>
            <w:shd w:val="clear" w:color="auto" w:fill="auto"/>
          </w:tcPr>
          <w:p w14:paraId="00BB11DD" w14:textId="77777777" w:rsidR="00871BDF" w:rsidRDefault="00871BDF">
            <w:pPr>
              <w:rPr>
                <w:rFonts w:ascii="宋体"/>
                <w:vanish/>
              </w:rPr>
            </w:pPr>
          </w:p>
        </w:tc>
      </w:tr>
    </w:tbl>
    <w:p w14:paraId="00BB11DF" w14:textId="77777777" w:rsidR="00871BDF" w:rsidRDefault="00871BDF">
      <w:pPr>
        <w:jc w:val="center"/>
      </w:pPr>
    </w:p>
    <w:p w14:paraId="00BB11E0" w14:textId="77777777" w:rsidR="00871BDF" w:rsidRDefault="00871BDF">
      <w:pPr>
        <w:jc w:val="center"/>
      </w:pPr>
    </w:p>
    <w:p w14:paraId="00BB11E1" w14:textId="77777777" w:rsidR="00871BDF" w:rsidRDefault="00871BDF">
      <w:pPr>
        <w:jc w:val="center"/>
      </w:pPr>
    </w:p>
    <w:p w14:paraId="00BB11E2" w14:textId="77777777" w:rsidR="00871BDF" w:rsidRDefault="005C5088">
      <w:pPr>
        <w:jc w:val="center"/>
      </w:pPr>
      <w:r>
        <w:rPr>
          <w:rFonts w:ascii="Times New Roman" w:eastAsia="宋体" w:hAnsi="Times New Roman"/>
          <w:color w:val="000000"/>
          <w:sz w:val="20"/>
          <w:szCs w:val="20"/>
        </w:rPr>
        <w:t>102</w:t>
      </w:r>
    </w:p>
    <w:p w14:paraId="00BB11E3" w14:textId="77777777" w:rsidR="00871BDF" w:rsidRDefault="005C5088">
      <w:r>
        <w:pict w14:anchorId="00BB14CB">
          <v:rect id="_x0000_i1129" style="width:415.3pt;height:1.5pt" o:hralign="center" o:hrstd="t" o:hr="t" fillcolor="#a0a0a0" stroked="f"/>
        </w:pict>
      </w:r>
    </w:p>
    <w:p w14:paraId="00BB11E4" w14:textId="77777777" w:rsidR="00871BDF" w:rsidRDefault="005C5088">
      <w:hyperlink r:id="rId444" w:anchor="i54ccc64cb5384be5a4849ef1cdef4dde_7" w:history="1">
        <w:r>
          <w:rPr>
            <w:rStyle w:val="a5"/>
            <w:rFonts w:ascii="Times New Roman" w:eastAsia="宋体" w:hAnsi="Times New Roman"/>
            <w:sz w:val="20"/>
            <w:szCs w:val="20"/>
          </w:rPr>
          <w:t>Table of Contents</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63"/>
        <w:gridCol w:w="691"/>
        <w:gridCol w:w="36"/>
        <w:gridCol w:w="36"/>
        <w:gridCol w:w="36"/>
        <w:gridCol w:w="36"/>
        <w:gridCol w:w="42"/>
        <w:gridCol w:w="2510"/>
        <w:gridCol w:w="38"/>
        <w:gridCol w:w="36"/>
        <w:gridCol w:w="36"/>
        <w:gridCol w:w="36"/>
        <w:gridCol w:w="38"/>
        <w:gridCol w:w="808"/>
        <w:gridCol w:w="37"/>
        <w:gridCol w:w="37"/>
        <w:gridCol w:w="37"/>
        <w:gridCol w:w="37"/>
        <w:gridCol w:w="37"/>
        <w:gridCol w:w="808"/>
        <w:gridCol w:w="37"/>
        <w:gridCol w:w="36"/>
        <w:gridCol w:w="36"/>
        <w:gridCol w:w="36"/>
        <w:gridCol w:w="40"/>
        <w:gridCol w:w="817"/>
        <w:gridCol w:w="36"/>
        <w:gridCol w:w="36"/>
        <w:gridCol w:w="36"/>
        <w:gridCol w:w="36"/>
        <w:gridCol w:w="55"/>
        <w:gridCol w:w="794"/>
        <w:gridCol w:w="36"/>
        <w:gridCol w:w="36"/>
        <w:gridCol w:w="36"/>
        <w:gridCol w:w="36"/>
        <w:gridCol w:w="74"/>
        <w:gridCol w:w="615"/>
        <w:gridCol w:w="36"/>
      </w:tblGrid>
      <w:tr w:rsidR="00871BDF" w14:paraId="00BB120C" w14:textId="77777777">
        <w:trPr>
          <w:jc w:val="center"/>
        </w:trPr>
        <w:tc>
          <w:tcPr>
            <w:tcW w:w="50" w:type="pct"/>
            <w:shd w:val="clear" w:color="auto" w:fill="auto"/>
          </w:tcPr>
          <w:p w14:paraId="00BB11E5" w14:textId="77777777" w:rsidR="00871BDF" w:rsidRDefault="00871BDF">
            <w:pPr>
              <w:rPr>
                <w:rFonts w:ascii="宋体"/>
              </w:rPr>
            </w:pPr>
          </w:p>
        </w:tc>
        <w:tc>
          <w:tcPr>
            <w:tcW w:w="436" w:type="pct"/>
            <w:shd w:val="clear" w:color="auto" w:fill="auto"/>
          </w:tcPr>
          <w:p w14:paraId="00BB11E6" w14:textId="77777777" w:rsidR="00871BDF" w:rsidRDefault="00871BDF">
            <w:pPr>
              <w:rPr>
                <w:rFonts w:ascii="宋体"/>
              </w:rPr>
            </w:pPr>
          </w:p>
        </w:tc>
        <w:tc>
          <w:tcPr>
            <w:tcW w:w="5" w:type="pct"/>
            <w:shd w:val="clear" w:color="auto" w:fill="auto"/>
          </w:tcPr>
          <w:p w14:paraId="00BB11E7" w14:textId="77777777" w:rsidR="00871BDF" w:rsidRDefault="00871BDF">
            <w:pPr>
              <w:rPr>
                <w:rFonts w:ascii="宋体"/>
              </w:rPr>
            </w:pPr>
          </w:p>
        </w:tc>
        <w:tc>
          <w:tcPr>
            <w:tcW w:w="5" w:type="pct"/>
            <w:shd w:val="clear" w:color="auto" w:fill="auto"/>
          </w:tcPr>
          <w:p w14:paraId="00BB11E8" w14:textId="77777777" w:rsidR="00871BDF" w:rsidRDefault="00871BDF">
            <w:pPr>
              <w:rPr>
                <w:rFonts w:ascii="宋体"/>
              </w:rPr>
            </w:pPr>
          </w:p>
        </w:tc>
        <w:tc>
          <w:tcPr>
            <w:tcW w:w="26" w:type="pct"/>
            <w:shd w:val="clear" w:color="auto" w:fill="auto"/>
          </w:tcPr>
          <w:p w14:paraId="00BB11E9" w14:textId="77777777" w:rsidR="00871BDF" w:rsidRDefault="00871BDF">
            <w:pPr>
              <w:rPr>
                <w:rFonts w:ascii="宋体"/>
              </w:rPr>
            </w:pPr>
          </w:p>
        </w:tc>
        <w:tc>
          <w:tcPr>
            <w:tcW w:w="5" w:type="pct"/>
            <w:shd w:val="clear" w:color="auto" w:fill="auto"/>
          </w:tcPr>
          <w:p w14:paraId="00BB11EA" w14:textId="77777777" w:rsidR="00871BDF" w:rsidRDefault="00871BDF">
            <w:pPr>
              <w:rPr>
                <w:rFonts w:ascii="宋体"/>
              </w:rPr>
            </w:pPr>
          </w:p>
        </w:tc>
        <w:tc>
          <w:tcPr>
            <w:tcW w:w="50" w:type="pct"/>
            <w:shd w:val="clear" w:color="auto" w:fill="auto"/>
          </w:tcPr>
          <w:p w14:paraId="00BB11EB" w14:textId="77777777" w:rsidR="00871BDF" w:rsidRDefault="00871BDF">
            <w:pPr>
              <w:rPr>
                <w:rFonts w:ascii="宋体"/>
              </w:rPr>
            </w:pPr>
          </w:p>
        </w:tc>
        <w:tc>
          <w:tcPr>
            <w:tcW w:w="1530" w:type="pct"/>
            <w:shd w:val="clear" w:color="auto" w:fill="auto"/>
          </w:tcPr>
          <w:p w14:paraId="00BB11EC" w14:textId="77777777" w:rsidR="00871BDF" w:rsidRDefault="00871BDF">
            <w:pPr>
              <w:rPr>
                <w:rFonts w:ascii="宋体"/>
              </w:rPr>
            </w:pPr>
          </w:p>
        </w:tc>
        <w:tc>
          <w:tcPr>
            <w:tcW w:w="5" w:type="pct"/>
            <w:shd w:val="clear" w:color="auto" w:fill="auto"/>
          </w:tcPr>
          <w:p w14:paraId="00BB11ED" w14:textId="77777777" w:rsidR="00871BDF" w:rsidRDefault="00871BDF">
            <w:pPr>
              <w:rPr>
                <w:rFonts w:ascii="宋体"/>
              </w:rPr>
            </w:pPr>
          </w:p>
        </w:tc>
        <w:tc>
          <w:tcPr>
            <w:tcW w:w="5" w:type="pct"/>
            <w:shd w:val="clear" w:color="auto" w:fill="auto"/>
          </w:tcPr>
          <w:p w14:paraId="00BB11EE" w14:textId="77777777" w:rsidR="00871BDF" w:rsidRDefault="00871BDF">
            <w:pPr>
              <w:rPr>
                <w:rFonts w:ascii="宋体"/>
              </w:rPr>
            </w:pPr>
          </w:p>
        </w:tc>
        <w:tc>
          <w:tcPr>
            <w:tcW w:w="26" w:type="pct"/>
            <w:shd w:val="clear" w:color="auto" w:fill="auto"/>
          </w:tcPr>
          <w:p w14:paraId="00BB11EF" w14:textId="77777777" w:rsidR="00871BDF" w:rsidRDefault="00871BDF">
            <w:pPr>
              <w:rPr>
                <w:rFonts w:ascii="宋体"/>
              </w:rPr>
            </w:pPr>
          </w:p>
        </w:tc>
        <w:tc>
          <w:tcPr>
            <w:tcW w:w="5" w:type="pct"/>
            <w:shd w:val="clear" w:color="auto" w:fill="auto"/>
          </w:tcPr>
          <w:p w14:paraId="00BB11F0" w14:textId="77777777" w:rsidR="00871BDF" w:rsidRDefault="00871BDF">
            <w:pPr>
              <w:rPr>
                <w:rFonts w:ascii="宋体"/>
              </w:rPr>
            </w:pPr>
          </w:p>
        </w:tc>
        <w:tc>
          <w:tcPr>
            <w:tcW w:w="50" w:type="pct"/>
            <w:shd w:val="clear" w:color="auto" w:fill="auto"/>
          </w:tcPr>
          <w:p w14:paraId="00BB11F1" w14:textId="77777777" w:rsidR="00871BDF" w:rsidRDefault="00871BDF">
            <w:pPr>
              <w:rPr>
                <w:rFonts w:ascii="宋体"/>
              </w:rPr>
            </w:pPr>
          </w:p>
        </w:tc>
        <w:tc>
          <w:tcPr>
            <w:tcW w:w="503" w:type="pct"/>
            <w:shd w:val="clear" w:color="auto" w:fill="auto"/>
          </w:tcPr>
          <w:p w14:paraId="00BB11F2" w14:textId="77777777" w:rsidR="00871BDF" w:rsidRDefault="00871BDF">
            <w:pPr>
              <w:rPr>
                <w:rFonts w:ascii="宋体"/>
              </w:rPr>
            </w:pPr>
          </w:p>
        </w:tc>
        <w:tc>
          <w:tcPr>
            <w:tcW w:w="5" w:type="pct"/>
            <w:shd w:val="clear" w:color="auto" w:fill="auto"/>
          </w:tcPr>
          <w:p w14:paraId="00BB11F3" w14:textId="77777777" w:rsidR="00871BDF" w:rsidRDefault="00871BDF">
            <w:pPr>
              <w:rPr>
                <w:rFonts w:ascii="宋体"/>
              </w:rPr>
            </w:pPr>
          </w:p>
        </w:tc>
        <w:tc>
          <w:tcPr>
            <w:tcW w:w="5" w:type="pct"/>
            <w:shd w:val="clear" w:color="auto" w:fill="auto"/>
          </w:tcPr>
          <w:p w14:paraId="00BB11F4" w14:textId="77777777" w:rsidR="00871BDF" w:rsidRDefault="00871BDF">
            <w:pPr>
              <w:rPr>
                <w:rFonts w:ascii="宋体"/>
              </w:rPr>
            </w:pPr>
          </w:p>
        </w:tc>
        <w:tc>
          <w:tcPr>
            <w:tcW w:w="26" w:type="pct"/>
            <w:shd w:val="clear" w:color="auto" w:fill="auto"/>
          </w:tcPr>
          <w:p w14:paraId="00BB11F5" w14:textId="77777777" w:rsidR="00871BDF" w:rsidRDefault="00871BDF">
            <w:pPr>
              <w:rPr>
                <w:rFonts w:ascii="宋体"/>
              </w:rPr>
            </w:pPr>
          </w:p>
        </w:tc>
        <w:tc>
          <w:tcPr>
            <w:tcW w:w="5" w:type="pct"/>
            <w:shd w:val="clear" w:color="auto" w:fill="auto"/>
          </w:tcPr>
          <w:p w14:paraId="00BB11F6" w14:textId="77777777" w:rsidR="00871BDF" w:rsidRDefault="00871BDF">
            <w:pPr>
              <w:rPr>
                <w:rFonts w:ascii="宋体"/>
              </w:rPr>
            </w:pPr>
          </w:p>
        </w:tc>
        <w:tc>
          <w:tcPr>
            <w:tcW w:w="50" w:type="pct"/>
            <w:shd w:val="clear" w:color="auto" w:fill="auto"/>
          </w:tcPr>
          <w:p w14:paraId="00BB11F7" w14:textId="77777777" w:rsidR="00871BDF" w:rsidRDefault="00871BDF">
            <w:pPr>
              <w:rPr>
                <w:rFonts w:ascii="宋体"/>
              </w:rPr>
            </w:pPr>
          </w:p>
        </w:tc>
        <w:tc>
          <w:tcPr>
            <w:tcW w:w="503" w:type="pct"/>
            <w:shd w:val="clear" w:color="auto" w:fill="auto"/>
          </w:tcPr>
          <w:p w14:paraId="00BB11F8" w14:textId="77777777" w:rsidR="00871BDF" w:rsidRDefault="00871BDF">
            <w:pPr>
              <w:rPr>
                <w:rFonts w:ascii="宋体"/>
              </w:rPr>
            </w:pPr>
          </w:p>
        </w:tc>
        <w:tc>
          <w:tcPr>
            <w:tcW w:w="5" w:type="pct"/>
            <w:shd w:val="clear" w:color="auto" w:fill="auto"/>
          </w:tcPr>
          <w:p w14:paraId="00BB11F9" w14:textId="77777777" w:rsidR="00871BDF" w:rsidRDefault="00871BDF">
            <w:pPr>
              <w:rPr>
                <w:rFonts w:ascii="宋体"/>
              </w:rPr>
            </w:pPr>
          </w:p>
        </w:tc>
        <w:tc>
          <w:tcPr>
            <w:tcW w:w="5" w:type="pct"/>
            <w:shd w:val="clear" w:color="auto" w:fill="auto"/>
          </w:tcPr>
          <w:p w14:paraId="00BB11FA" w14:textId="77777777" w:rsidR="00871BDF" w:rsidRDefault="00871BDF">
            <w:pPr>
              <w:rPr>
                <w:rFonts w:ascii="宋体"/>
              </w:rPr>
            </w:pPr>
          </w:p>
        </w:tc>
        <w:tc>
          <w:tcPr>
            <w:tcW w:w="26" w:type="pct"/>
            <w:shd w:val="clear" w:color="auto" w:fill="auto"/>
          </w:tcPr>
          <w:p w14:paraId="00BB11FB" w14:textId="77777777" w:rsidR="00871BDF" w:rsidRDefault="00871BDF">
            <w:pPr>
              <w:rPr>
                <w:rFonts w:ascii="宋体"/>
              </w:rPr>
            </w:pPr>
          </w:p>
        </w:tc>
        <w:tc>
          <w:tcPr>
            <w:tcW w:w="5" w:type="pct"/>
            <w:shd w:val="clear" w:color="auto" w:fill="auto"/>
          </w:tcPr>
          <w:p w14:paraId="00BB11FC" w14:textId="77777777" w:rsidR="00871BDF" w:rsidRDefault="00871BDF">
            <w:pPr>
              <w:rPr>
                <w:rFonts w:ascii="宋体"/>
              </w:rPr>
            </w:pPr>
          </w:p>
        </w:tc>
        <w:tc>
          <w:tcPr>
            <w:tcW w:w="50" w:type="pct"/>
            <w:shd w:val="clear" w:color="auto" w:fill="auto"/>
          </w:tcPr>
          <w:p w14:paraId="00BB11FD" w14:textId="77777777" w:rsidR="00871BDF" w:rsidRDefault="00871BDF">
            <w:pPr>
              <w:rPr>
                <w:rFonts w:ascii="宋体"/>
              </w:rPr>
            </w:pPr>
          </w:p>
        </w:tc>
        <w:tc>
          <w:tcPr>
            <w:tcW w:w="510" w:type="pct"/>
            <w:shd w:val="clear" w:color="auto" w:fill="auto"/>
          </w:tcPr>
          <w:p w14:paraId="00BB11FE" w14:textId="77777777" w:rsidR="00871BDF" w:rsidRDefault="00871BDF">
            <w:pPr>
              <w:rPr>
                <w:rFonts w:ascii="宋体"/>
              </w:rPr>
            </w:pPr>
          </w:p>
        </w:tc>
        <w:tc>
          <w:tcPr>
            <w:tcW w:w="5" w:type="pct"/>
            <w:shd w:val="clear" w:color="auto" w:fill="auto"/>
          </w:tcPr>
          <w:p w14:paraId="00BB11FF" w14:textId="77777777" w:rsidR="00871BDF" w:rsidRDefault="00871BDF">
            <w:pPr>
              <w:rPr>
                <w:rFonts w:ascii="宋体"/>
              </w:rPr>
            </w:pPr>
          </w:p>
        </w:tc>
        <w:tc>
          <w:tcPr>
            <w:tcW w:w="5" w:type="pct"/>
            <w:shd w:val="clear" w:color="auto" w:fill="auto"/>
          </w:tcPr>
          <w:p w14:paraId="00BB1200" w14:textId="77777777" w:rsidR="00871BDF" w:rsidRDefault="00871BDF">
            <w:pPr>
              <w:rPr>
                <w:rFonts w:ascii="宋体"/>
              </w:rPr>
            </w:pPr>
          </w:p>
        </w:tc>
        <w:tc>
          <w:tcPr>
            <w:tcW w:w="26" w:type="pct"/>
            <w:shd w:val="clear" w:color="auto" w:fill="auto"/>
          </w:tcPr>
          <w:p w14:paraId="00BB1201" w14:textId="77777777" w:rsidR="00871BDF" w:rsidRDefault="00871BDF">
            <w:pPr>
              <w:rPr>
                <w:rFonts w:ascii="宋体"/>
              </w:rPr>
            </w:pPr>
          </w:p>
        </w:tc>
        <w:tc>
          <w:tcPr>
            <w:tcW w:w="5" w:type="pct"/>
            <w:shd w:val="clear" w:color="auto" w:fill="auto"/>
          </w:tcPr>
          <w:p w14:paraId="00BB1202" w14:textId="77777777" w:rsidR="00871BDF" w:rsidRDefault="00871BDF">
            <w:pPr>
              <w:rPr>
                <w:rFonts w:ascii="宋体"/>
              </w:rPr>
            </w:pPr>
          </w:p>
        </w:tc>
        <w:tc>
          <w:tcPr>
            <w:tcW w:w="50" w:type="pct"/>
            <w:shd w:val="clear" w:color="auto" w:fill="auto"/>
          </w:tcPr>
          <w:p w14:paraId="00BB1203" w14:textId="77777777" w:rsidR="00871BDF" w:rsidRDefault="00871BDF">
            <w:pPr>
              <w:rPr>
                <w:rFonts w:ascii="宋体"/>
              </w:rPr>
            </w:pPr>
          </w:p>
        </w:tc>
        <w:tc>
          <w:tcPr>
            <w:tcW w:w="503" w:type="pct"/>
            <w:shd w:val="clear" w:color="auto" w:fill="auto"/>
          </w:tcPr>
          <w:p w14:paraId="00BB1204" w14:textId="77777777" w:rsidR="00871BDF" w:rsidRDefault="00871BDF">
            <w:pPr>
              <w:rPr>
                <w:rFonts w:ascii="宋体"/>
              </w:rPr>
            </w:pPr>
          </w:p>
        </w:tc>
        <w:tc>
          <w:tcPr>
            <w:tcW w:w="5" w:type="pct"/>
            <w:shd w:val="clear" w:color="auto" w:fill="auto"/>
          </w:tcPr>
          <w:p w14:paraId="00BB1205" w14:textId="77777777" w:rsidR="00871BDF" w:rsidRDefault="00871BDF">
            <w:pPr>
              <w:rPr>
                <w:rFonts w:ascii="宋体"/>
              </w:rPr>
            </w:pPr>
          </w:p>
        </w:tc>
        <w:tc>
          <w:tcPr>
            <w:tcW w:w="5" w:type="pct"/>
            <w:shd w:val="clear" w:color="auto" w:fill="auto"/>
          </w:tcPr>
          <w:p w14:paraId="00BB1206" w14:textId="77777777" w:rsidR="00871BDF" w:rsidRDefault="00871BDF">
            <w:pPr>
              <w:rPr>
                <w:rFonts w:ascii="宋体"/>
              </w:rPr>
            </w:pPr>
          </w:p>
        </w:tc>
        <w:tc>
          <w:tcPr>
            <w:tcW w:w="26" w:type="pct"/>
            <w:shd w:val="clear" w:color="auto" w:fill="auto"/>
          </w:tcPr>
          <w:p w14:paraId="00BB1207" w14:textId="77777777" w:rsidR="00871BDF" w:rsidRDefault="00871BDF">
            <w:pPr>
              <w:rPr>
                <w:rFonts w:ascii="宋体"/>
              </w:rPr>
            </w:pPr>
          </w:p>
        </w:tc>
        <w:tc>
          <w:tcPr>
            <w:tcW w:w="5" w:type="pct"/>
            <w:shd w:val="clear" w:color="auto" w:fill="auto"/>
          </w:tcPr>
          <w:p w14:paraId="00BB1208" w14:textId="77777777" w:rsidR="00871BDF" w:rsidRDefault="00871BDF">
            <w:pPr>
              <w:rPr>
                <w:rFonts w:ascii="宋体"/>
              </w:rPr>
            </w:pPr>
          </w:p>
        </w:tc>
        <w:tc>
          <w:tcPr>
            <w:tcW w:w="50" w:type="pct"/>
            <w:shd w:val="clear" w:color="auto" w:fill="auto"/>
          </w:tcPr>
          <w:p w14:paraId="00BB1209" w14:textId="77777777" w:rsidR="00871BDF" w:rsidRDefault="00871BDF">
            <w:pPr>
              <w:rPr>
                <w:rFonts w:ascii="宋体"/>
              </w:rPr>
            </w:pPr>
          </w:p>
        </w:tc>
        <w:tc>
          <w:tcPr>
            <w:tcW w:w="407" w:type="pct"/>
            <w:shd w:val="clear" w:color="auto" w:fill="auto"/>
          </w:tcPr>
          <w:p w14:paraId="00BB120A" w14:textId="77777777" w:rsidR="00871BDF" w:rsidRDefault="00871BDF">
            <w:pPr>
              <w:rPr>
                <w:rFonts w:ascii="宋体"/>
              </w:rPr>
            </w:pPr>
          </w:p>
        </w:tc>
        <w:tc>
          <w:tcPr>
            <w:tcW w:w="5" w:type="pct"/>
            <w:shd w:val="clear" w:color="auto" w:fill="auto"/>
          </w:tcPr>
          <w:p w14:paraId="00BB120B" w14:textId="77777777" w:rsidR="00871BDF" w:rsidRDefault="00871BDF">
            <w:pPr>
              <w:rPr>
                <w:rFonts w:ascii="宋体"/>
              </w:rPr>
            </w:pPr>
          </w:p>
        </w:tc>
      </w:tr>
      <w:tr w:rsidR="00871BDF" w14:paraId="00BB1214" w14:textId="77777777">
        <w:trPr>
          <w:jc w:val="center"/>
        </w:trPr>
        <w:tc>
          <w:tcPr>
            <w:tcW w:w="0" w:type="auto"/>
            <w:gridSpan w:val="3"/>
            <w:shd w:val="clear" w:color="auto" w:fill="auto"/>
            <w:tcMar>
              <w:top w:w="40" w:type="dxa"/>
              <w:left w:w="20" w:type="dxa"/>
              <w:bottom w:w="40" w:type="dxa"/>
              <w:right w:w="20" w:type="dxa"/>
            </w:tcMar>
            <w:vAlign w:val="bottom"/>
          </w:tcPr>
          <w:p w14:paraId="00BB120D"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B120E"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20F"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B1210" w14:textId="77777777" w:rsidR="00871BDF" w:rsidRDefault="00871BDF">
            <w:pPr>
              <w:rPr>
                <w:rFonts w:ascii="宋体"/>
              </w:rPr>
            </w:pPr>
          </w:p>
        </w:tc>
        <w:tc>
          <w:tcPr>
            <w:tcW w:w="0" w:type="auto"/>
            <w:gridSpan w:val="21"/>
            <w:shd w:val="clear" w:color="auto" w:fill="00704A"/>
            <w:tcMar>
              <w:top w:w="40" w:type="dxa"/>
              <w:left w:w="20" w:type="dxa"/>
              <w:bottom w:w="40" w:type="dxa"/>
              <w:right w:w="20" w:type="dxa"/>
            </w:tcMar>
            <w:vAlign w:val="bottom"/>
          </w:tcPr>
          <w:p w14:paraId="00BB1211" w14:textId="77777777" w:rsidR="00871BDF" w:rsidRDefault="005C5088">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tcPr>
          <w:p w14:paraId="00BB1212"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213"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r>
      <w:tr w:rsidR="00871BDF" w14:paraId="00BB1225" w14:textId="77777777">
        <w:trPr>
          <w:jc w:val="center"/>
        </w:trPr>
        <w:tc>
          <w:tcPr>
            <w:tcW w:w="0" w:type="auto"/>
            <w:gridSpan w:val="3"/>
            <w:shd w:val="clear" w:color="auto" w:fill="00704A"/>
            <w:tcMar>
              <w:top w:w="40" w:type="dxa"/>
              <w:left w:w="20" w:type="dxa"/>
              <w:bottom w:w="40" w:type="dxa"/>
              <w:right w:w="20" w:type="dxa"/>
            </w:tcMar>
            <w:vAlign w:val="bottom"/>
          </w:tcPr>
          <w:p w14:paraId="00BB1215" w14:textId="77777777" w:rsidR="00871BDF" w:rsidRDefault="005C5088">
            <w:pPr>
              <w:jc w:val="center"/>
              <w:textAlignment w:val="bottom"/>
            </w:pPr>
            <w:r>
              <w:rPr>
                <w:rFonts w:ascii="Times New Roman" w:eastAsia="宋体" w:hAnsi="Times New Roman"/>
                <w:b/>
                <w:bCs/>
                <w:color w:val="FFFFFF"/>
                <w:sz w:val="16"/>
                <w:szCs w:val="16"/>
              </w:rPr>
              <w:t>Exhibit</w:t>
            </w:r>
          </w:p>
          <w:p w14:paraId="00BB1216"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tcPr>
          <w:p w14:paraId="00BB1217"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1218" w14:textId="77777777" w:rsidR="00871BDF" w:rsidRDefault="005C5088">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tcPr>
          <w:p w14:paraId="00BB1219"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121A" w14:textId="77777777" w:rsidR="00871BDF" w:rsidRDefault="005C5088">
            <w:pPr>
              <w:jc w:val="center"/>
              <w:textAlignment w:val="bottom"/>
            </w:pPr>
            <w:r>
              <w:rPr>
                <w:rFonts w:ascii="Times New Roman" w:eastAsia="宋体" w:hAnsi="Times New Roman"/>
                <w:b/>
                <w:bCs/>
                <w:color w:val="FFFFFF"/>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tcPr>
          <w:p w14:paraId="00BB121B"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121C" w14:textId="77777777" w:rsidR="00871BDF" w:rsidRDefault="005C5088">
            <w:pPr>
              <w:jc w:val="center"/>
              <w:textAlignment w:val="bottom"/>
            </w:pPr>
            <w:r>
              <w:rPr>
                <w:rFonts w:ascii="Times New Roman" w:eastAsia="宋体" w:hAnsi="Times New Roman"/>
                <w:b/>
                <w:bCs/>
                <w:color w:val="FFFFFF"/>
                <w:sz w:val="16"/>
                <w:szCs w:val="16"/>
              </w:rPr>
              <w:t xml:space="preserve">File </w:t>
            </w:r>
            <w:r>
              <w:rPr>
                <w:rFonts w:ascii="Times New Roman" w:eastAsia="宋体" w:hAnsi="Times New Roman"/>
                <w:b/>
                <w:bCs/>
                <w:color w:val="FFFFFF"/>
                <w:sz w:val="16"/>
                <w:szCs w:val="16"/>
              </w:rPr>
              <w:t>No.</w:t>
            </w:r>
          </w:p>
        </w:tc>
        <w:tc>
          <w:tcPr>
            <w:tcW w:w="0" w:type="auto"/>
            <w:gridSpan w:val="3"/>
            <w:tcBorders>
              <w:top w:val="single" w:sz="8" w:space="0" w:color="000000"/>
            </w:tcBorders>
            <w:shd w:val="clear" w:color="auto" w:fill="auto"/>
            <w:tcMar>
              <w:top w:w="0" w:type="dxa"/>
              <w:left w:w="20" w:type="dxa"/>
              <w:bottom w:w="0" w:type="dxa"/>
              <w:right w:w="20" w:type="dxa"/>
            </w:tcMar>
          </w:tcPr>
          <w:p w14:paraId="00BB121D"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121E" w14:textId="77777777" w:rsidR="00871BDF" w:rsidRDefault="005C5088">
            <w:pPr>
              <w:jc w:val="center"/>
              <w:textAlignment w:val="bottom"/>
            </w:pPr>
            <w:r>
              <w:rPr>
                <w:rFonts w:ascii="Times New Roman" w:eastAsia="宋体" w:hAnsi="Times New Roman"/>
                <w:b/>
                <w:bCs/>
                <w:color w:val="FFFFFF"/>
                <w:sz w:val="16"/>
                <w:szCs w:val="16"/>
              </w:rPr>
              <w:t>Date of Filing</w:t>
            </w:r>
          </w:p>
        </w:tc>
        <w:tc>
          <w:tcPr>
            <w:tcW w:w="0" w:type="auto"/>
            <w:gridSpan w:val="3"/>
            <w:tcBorders>
              <w:top w:val="single" w:sz="8" w:space="0" w:color="000000"/>
            </w:tcBorders>
            <w:shd w:val="clear" w:color="auto" w:fill="auto"/>
            <w:tcMar>
              <w:top w:w="0" w:type="dxa"/>
              <w:left w:w="20" w:type="dxa"/>
              <w:bottom w:w="0" w:type="dxa"/>
              <w:right w:w="20" w:type="dxa"/>
            </w:tcMar>
          </w:tcPr>
          <w:p w14:paraId="00BB121F" w14:textId="77777777" w:rsidR="00871BDF" w:rsidRDefault="00871BDF">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00BB1220" w14:textId="77777777" w:rsidR="00871BDF" w:rsidRDefault="005C5088">
            <w:pPr>
              <w:jc w:val="center"/>
              <w:textAlignment w:val="bottom"/>
            </w:pPr>
            <w:r>
              <w:rPr>
                <w:rFonts w:ascii="Times New Roman" w:eastAsia="宋体" w:hAnsi="Times New Roman"/>
                <w:b/>
                <w:bCs/>
                <w:color w:val="FFFFFF"/>
                <w:sz w:val="16"/>
                <w:szCs w:val="16"/>
              </w:rPr>
              <w:t>Exhibit</w:t>
            </w:r>
          </w:p>
          <w:p w14:paraId="00BB1221" w14:textId="77777777" w:rsidR="00871BDF" w:rsidRDefault="005C5088">
            <w:pPr>
              <w:jc w:val="center"/>
              <w:textAlignment w:val="bottom"/>
            </w:pPr>
            <w:r>
              <w:rPr>
                <w:rFonts w:ascii="Times New Roman" w:eastAsia="宋体" w:hAnsi="Times New Roman"/>
                <w:b/>
                <w:bCs/>
                <w:color w:val="FFFFFF"/>
                <w:sz w:val="16"/>
                <w:szCs w:val="16"/>
              </w:rPr>
              <w:t>Number</w:t>
            </w:r>
          </w:p>
        </w:tc>
        <w:tc>
          <w:tcPr>
            <w:tcW w:w="0" w:type="auto"/>
            <w:gridSpan w:val="3"/>
            <w:shd w:val="clear" w:color="auto" w:fill="auto"/>
            <w:tcMar>
              <w:top w:w="0" w:type="dxa"/>
              <w:left w:w="20" w:type="dxa"/>
              <w:bottom w:w="0" w:type="dxa"/>
              <w:right w:w="20" w:type="dxa"/>
            </w:tcMar>
          </w:tcPr>
          <w:p w14:paraId="00BB1222" w14:textId="77777777" w:rsidR="00871BDF" w:rsidRDefault="00871BDF">
            <w:pPr>
              <w:rPr>
                <w:rFonts w:ascii="宋体"/>
              </w:rPr>
            </w:pPr>
          </w:p>
        </w:tc>
        <w:tc>
          <w:tcPr>
            <w:tcW w:w="0" w:type="auto"/>
            <w:gridSpan w:val="3"/>
            <w:shd w:val="clear" w:color="auto" w:fill="00704A"/>
            <w:tcMar>
              <w:top w:w="40" w:type="dxa"/>
              <w:left w:w="20" w:type="dxa"/>
              <w:bottom w:w="40" w:type="dxa"/>
              <w:right w:w="20" w:type="dxa"/>
            </w:tcMar>
            <w:vAlign w:val="bottom"/>
          </w:tcPr>
          <w:p w14:paraId="00BB1223" w14:textId="77777777" w:rsidR="00871BDF" w:rsidRDefault="005C5088">
            <w:pPr>
              <w:jc w:val="center"/>
              <w:textAlignment w:val="bottom"/>
            </w:pPr>
            <w:r>
              <w:rPr>
                <w:rFonts w:ascii="Times New Roman" w:eastAsia="宋体" w:hAnsi="Times New Roman"/>
                <w:b/>
                <w:bCs/>
                <w:color w:val="FFFFFF"/>
                <w:sz w:val="16"/>
                <w:szCs w:val="16"/>
              </w:rPr>
              <w:t>Filed</w:t>
            </w:r>
          </w:p>
          <w:p w14:paraId="00BB1224" w14:textId="77777777" w:rsidR="00871BDF" w:rsidRDefault="005C5088">
            <w:pPr>
              <w:jc w:val="center"/>
              <w:textAlignment w:val="bottom"/>
            </w:pPr>
            <w:r>
              <w:rPr>
                <w:rFonts w:ascii="Times New Roman" w:eastAsia="宋体" w:hAnsi="Times New Roman"/>
                <w:b/>
                <w:bCs/>
                <w:color w:val="FFFFFF"/>
                <w:sz w:val="16"/>
                <w:szCs w:val="16"/>
              </w:rPr>
              <w:t>Herewith</w:t>
            </w:r>
          </w:p>
        </w:tc>
      </w:tr>
      <w:tr w:rsidR="00871BDF" w14:paraId="00BB1233"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tcPr>
          <w:p w14:paraId="00BB1226" w14:textId="77777777" w:rsidR="00871BDF" w:rsidRDefault="005C5088">
            <w:pPr>
              <w:jc w:val="center"/>
              <w:textAlignment w:val="top"/>
            </w:pPr>
            <w:hyperlink r:id="rId445" w:history="1">
              <w:r>
                <w:rPr>
                  <w:rStyle w:val="a5"/>
                  <w:rFonts w:ascii="Times New Roman" w:eastAsia="宋体" w:hAnsi="Times New Roman"/>
                  <w:sz w:val="20"/>
                  <w:szCs w:val="20"/>
                </w:rPr>
                <w:t>21</w:t>
              </w:r>
            </w:hyperlink>
          </w:p>
        </w:tc>
        <w:tc>
          <w:tcPr>
            <w:tcW w:w="0" w:type="auto"/>
            <w:gridSpan w:val="3"/>
            <w:shd w:val="clear" w:color="auto" w:fill="D7E4BC"/>
            <w:tcMar>
              <w:top w:w="0" w:type="dxa"/>
              <w:left w:w="20" w:type="dxa"/>
              <w:bottom w:w="0" w:type="dxa"/>
              <w:right w:w="20" w:type="dxa"/>
            </w:tcMar>
          </w:tcPr>
          <w:p w14:paraId="00BB1227"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B1228" w14:textId="77777777" w:rsidR="00871BDF" w:rsidRDefault="005C5088">
            <w:pPr>
              <w:textAlignment w:val="top"/>
            </w:pPr>
            <w:hyperlink r:id="rId446" w:history="1">
              <w:r>
                <w:rPr>
                  <w:rStyle w:val="a5"/>
                  <w:rFonts w:ascii="Times New Roman" w:eastAsia="宋体" w:hAnsi="Times New Roman"/>
                  <w:sz w:val="20"/>
                  <w:szCs w:val="20"/>
                </w:rPr>
                <w:t>Subsidiaries of Starbucks Corporation</w:t>
              </w:r>
            </w:hyperlink>
          </w:p>
        </w:tc>
        <w:tc>
          <w:tcPr>
            <w:tcW w:w="0" w:type="auto"/>
            <w:gridSpan w:val="3"/>
            <w:shd w:val="clear" w:color="auto" w:fill="D7E4BC"/>
            <w:tcMar>
              <w:top w:w="0" w:type="dxa"/>
              <w:left w:w="20" w:type="dxa"/>
              <w:bottom w:w="0" w:type="dxa"/>
              <w:right w:w="20" w:type="dxa"/>
            </w:tcMar>
          </w:tcPr>
          <w:p w14:paraId="00BB1229"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B122A"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122B"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B122C"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122D"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B122E"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122F"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B1230"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1231" w14:textId="77777777" w:rsidR="00871BDF" w:rsidRDefault="00871BDF">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0BB1232" w14:textId="77777777" w:rsidR="00871BDF" w:rsidRDefault="005C5088">
            <w:pPr>
              <w:jc w:val="center"/>
              <w:textAlignment w:val="top"/>
            </w:pPr>
            <w:r>
              <w:rPr>
                <w:rFonts w:ascii="Times New Roman" w:eastAsia="宋体" w:hAnsi="Times New Roman"/>
                <w:color w:val="000000"/>
                <w:sz w:val="20"/>
                <w:szCs w:val="20"/>
              </w:rPr>
              <w:t>X</w:t>
            </w:r>
          </w:p>
        </w:tc>
      </w:tr>
      <w:tr w:rsidR="00871BDF" w14:paraId="00BB1241" w14:textId="77777777">
        <w:trPr>
          <w:jc w:val="center"/>
        </w:trPr>
        <w:tc>
          <w:tcPr>
            <w:tcW w:w="0" w:type="auto"/>
            <w:gridSpan w:val="3"/>
            <w:shd w:val="clear" w:color="auto" w:fill="FFFFFF"/>
            <w:tcMar>
              <w:top w:w="40" w:type="dxa"/>
              <w:left w:w="20" w:type="dxa"/>
              <w:bottom w:w="40" w:type="dxa"/>
              <w:right w:w="20" w:type="dxa"/>
            </w:tcMar>
          </w:tcPr>
          <w:p w14:paraId="00BB1234" w14:textId="77777777" w:rsidR="00871BDF" w:rsidRDefault="005C5088">
            <w:pPr>
              <w:jc w:val="center"/>
              <w:textAlignment w:val="top"/>
            </w:pPr>
            <w:hyperlink r:id="rId447" w:history="1">
              <w:r>
                <w:rPr>
                  <w:rStyle w:val="a5"/>
                  <w:rFonts w:ascii="Times New Roman" w:eastAsia="宋体" w:hAnsi="Times New Roman"/>
                  <w:sz w:val="20"/>
                  <w:szCs w:val="20"/>
                </w:rPr>
                <w:t>23</w:t>
              </w:r>
            </w:hyperlink>
          </w:p>
        </w:tc>
        <w:tc>
          <w:tcPr>
            <w:tcW w:w="0" w:type="auto"/>
            <w:gridSpan w:val="3"/>
            <w:shd w:val="clear" w:color="auto" w:fill="FFFFFF"/>
            <w:tcMar>
              <w:top w:w="0" w:type="dxa"/>
              <w:left w:w="20" w:type="dxa"/>
              <w:bottom w:w="0" w:type="dxa"/>
              <w:right w:w="20" w:type="dxa"/>
            </w:tcMar>
          </w:tcPr>
          <w:p w14:paraId="00BB123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36" w14:textId="77777777" w:rsidR="00871BDF" w:rsidRDefault="005C5088">
            <w:pPr>
              <w:textAlignment w:val="top"/>
            </w:pPr>
            <w:hyperlink r:id="rId448" w:history="1">
              <w:r>
                <w:rPr>
                  <w:rStyle w:val="a5"/>
                  <w:rFonts w:ascii="Times New Roman" w:eastAsia="宋体" w:hAnsi="Times New Roman"/>
                  <w:sz w:val="20"/>
                  <w:szCs w:val="20"/>
                </w:rPr>
                <w:t>Consent of Independent Registered Public Accounting Firm</w:t>
              </w:r>
            </w:hyperlink>
          </w:p>
        </w:tc>
        <w:tc>
          <w:tcPr>
            <w:tcW w:w="0" w:type="auto"/>
            <w:gridSpan w:val="3"/>
            <w:shd w:val="clear" w:color="auto" w:fill="FFFFFF"/>
            <w:tcMar>
              <w:top w:w="0" w:type="dxa"/>
              <w:left w:w="20" w:type="dxa"/>
              <w:bottom w:w="0" w:type="dxa"/>
              <w:right w:w="20" w:type="dxa"/>
            </w:tcMar>
          </w:tcPr>
          <w:p w14:paraId="00BB123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38"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123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3A"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123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3C"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123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3E"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123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40" w14:textId="77777777" w:rsidR="00871BDF" w:rsidRDefault="005C5088">
            <w:pPr>
              <w:jc w:val="center"/>
              <w:textAlignment w:val="top"/>
            </w:pPr>
            <w:r>
              <w:rPr>
                <w:rFonts w:ascii="Times New Roman" w:eastAsia="宋体" w:hAnsi="Times New Roman"/>
                <w:color w:val="000000"/>
                <w:sz w:val="20"/>
                <w:szCs w:val="20"/>
              </w:rPr>
              <w:t>X</w:t>
            </w:r>
          </w:p>
        </w:tc>
      </w:tr>
      <w:tr w:rsidR="00871BDF" w14:paraId="00BB124F" w14:textId="77777777">
        <w:trPr>
          <w:jc w:val="center"/>
        </w:trPr>
        <w:tc>
          <w:tcPr>
            <w:tcW w:w="0" w:type="auto"/>
            <w:gridSpan w:val="3"/>
            <w:shd w:val="clear" w:color="auto" w:fill="D7E4BC"/>
            <w:tcMar>
              <w:top w:w="40" w:type="dxa"/>
              <w:left w:w="20" w:type="dxa"/>
              <w:bottom w:w="40" w:type="dxa"/>
              <w:right w:w="20" w:type="dxa"/>
            </w:tcMar>
          </w:tcPr>
          <w:p w14:paraId="00BB1242" w14:textId="77777777" w:rsidR="00871BDF" w:rsidRDefault="005C5088">
            <w:pPr>
              <w:jc w:val="center"/>
              <w:textAlignment w:val="top"/>
            </w:pPr>
            <w:hyperlink r:id="rId449" w:anchor="i54ccc64cb5384be5a4849ef1cdef4dde_253" w:history="1">
              <w:r>
                <w:rPr>
                  <w:rStyle w:val="a5"/>
                  <w:rFonts w:ascii="Times New Roman" w:eastAsia="宋体" w:hAnsi="Times New Roman"/>
                  <w:sz w:val="20"/>
                  <w:szCs w:val="20"/>
                </w:rPr>
                <w:t>24</w:t>
              </w:r>
            </w:hyperlink>
          </w:p>
        </w:tc>
        <w:tc>
          <w:tcPr>
            <w:tcW w:w="0" w:type="auto"/>
            <w:gridSpan w:val="3"/>
            <w:shd w:val="clear" w:color="auto" w:fill="D7E4BC"/>
            <w:tcMar>
              <w:top w:w="0" w:type="dxa"/>
              <w:left w:w="20" w:type="dxa"/>
              <w:bottom w:w="0" w:type="dxa"/>
              <w:right w:w="20" w:type="dxa"/>
            </w:tcMar>
          </w:tcPr>
          <w:p w14:paraId="00BB124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44" w14:textId="77777777" w:rsidR="00871BDF" w:rsidRDefault="005C5088">
            <w:pPr>
              <w:textAlignment w:val="top"/>
            </w:pPr>
            <w:hyperlink r:id="rId450" w:anchor="i54ccc64cb5384be5a4849ef1cdef4dde_253" w:history="1">
              <w:r>
                <w:rPr>
                  <w:rStyle w:val="a5"/>
                  <w:rFonts w:ascii="Times New Roman" w:eastAsia="宋体" w:hAnsi="Times New Roman"/>
                  <w:sz w:val="20"/>
                  <w:szCs w:val="20"/>
                </w:rPr>
                <w:t>Power of Attorney (included on the Signatures page of this Annual Report on Form 10-K)</w:t>
              </w:r>
            </w:hyperlink>
          </w:p>
        </w:tc>
        <w:tc>
          <w:tcPr>
            <w:tcW w:w="0" w:type="auto"/>
            <w:gridSpan w:val="3"/>
            <w:shd w:val="clear" w:color="auto" w:fill="D7E4BC"/>
            <w:tcMar>
              <w:top w:w="0" w:type="dxa"/>
              <w:left w:w="20" w:type="dxa"/>
              <w:bottom w:w="0" w:type="dxa"/>
              <w:right w:w="20" w:type="dxa"/>
            </w:tcMar>
          </w:tcPr>
          <w:p w14:paraId="00BB124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46" w14:textId="77777777" w:rsidR="00871BDF" w:rsidRDefault="005C5088">
            <w:pPr>
              <w:jc w:val="center"/>
              <w:textAlignment w:val="top"/>
            </w:pPr>
            <w:r>
              <w:rPr>
                <w:rFonts w:ascii="Times New Roman" w:eastAsia="宋体" w:hAnsi="Times New Roman"/>
                <w:color w:val="000000"/>
                <w:sz w:val="20"/>
                <w:szCs w:val="20"/>
              </w:rPr>
              <w:t>__</w:t>
            </w:r>
          </w:p>
        </w:tc>
        <w:tc>
          <w:tcPr>
            <w:tcW w:w="0" w:type="auto"/>
            <w:gridSpan w:val="3"/>
            <w:shd w:val="clear" w:color="auto" w:fill="D7E4BC"/>
            <w:tcMar>
              <w:top w:w="0" w:type="dxa"/>
              <w:left w:w="20" w:type="dxa"/>
              <w:bottom w:w="0" w:type="dxa"/>
              <w:right w:w="20" w:type="dxa"/>
            </w:tcMar>
          </w:tcPr>
          <w:p w14:paraId="00BB124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48" w14:textId="77777777" w:rsidR="00871BDF" w:rsidRDefault="005C5088">
            <w:pPr>
              <w:jc w:val="center"/>
              <w:textAlignment w:val="top"/>
            </w:pPr>
            <w:r>
              <w:rPr>
                <w:rFonts w:ascii="Times New Roman" w:eastAsia="宋体" w:hAnsi="Times New Roman"/>
                <w:color w:val="000000"/>
                <w:sz w:val="20"/>
                <w:szCs w:val="20"/>
              </w:rPr>
              <w:t>__</w:t>
            </w:r>
          </w:p>
        </w:tc>
        <w:tc>
          <w:tcPr>
            <w:tcW w:w="0" w:type="auto"/>
            <w:gridSpan w:val="3"/>
            <w:shd w:val="clear" w:color="auto" w:fill="D7E4BC"/>
            <w:tcMar>
              <w:top w:w="0" w:type="dxa"/>
              <w:left w:w="20" w:type="dxa"/>
              <w:bottom w:w="0" w:type="dxa"/>
              <w:right w:w="20" w:type="dxa"/>
            </w:tcMar>
          </w:tcPr>
          <w:p w14:paraId="00BB124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4A" w14:textId="77777777" w:rsidR="00871BDF" w:rsidRDefault="005C5088">
            <w:pPr>
              <w:jc w:val="center"/>
              <w:textAlignment w:val="top"/>
            </w:pPr>
            <w:r>
              <w:rPr>
                <w:rFonts w:ascii="Times New Roman" w:eastAsia="宋体" w:hAnsi="Times New Roman"/>
                <w:color w:val="000000"/>
                <w:sz w:val="20"/>
                <w:szCs w:val="20"/>
              </w:rPr>
              <w:t>__</w:t>
            </w:r>
          </w:p>
        </w:tc>
        <w:tc>
          <w:tcPr>
            <w:tcW w:w="0" w:type="auto"/>
            <w:gridSpan w:val="3"/>
            <w:shd w:val="clear" w:color="auto" w:fill="D7E4BC"/>
            <w:tcMar>
              <w:top w:w="0" w:type="dxa"/>
              <w:left w:w="20" w:type="dxa"/>
              <w:bottom w:w="0" w:type="dxa"/>
              <w:right w:w="20" w:type="dxa"/>
            </w:tcMar>
          </w:tcPr>
          <w:p w14:paraId="00BB124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4C" w14:textId="77777777" w:rsidR="00871BDF" w:rsidRDefault="005C5088">
            <w:pPr>
              <w:jc w:val="center"/>
              <w:textAlignment w:val="top"/>
            </w:pPr>
            <w:r>
              <w:rPr>
                <w:rFonts w:ascii="Times New Roman" w:eastAsia="宋体" w:hAnsi="Times New Roman"/>
                <w:color w:val="000000"/>
                <w:sz w:val="20"/>
                <w:szCs w:val="20"/>
              </w:rPr>
              <w:t>__</w:t>
            </w:r>
          </w:p>
        </w:tc>
        <w:tc>
          <w:tcPr>
            <w:tcW w:w="0" w:type="auto"/>
            <w:gridSpan w:val="3"/>
            <w:shd w:val="clear" w:color="auto" w:fill="D7E4BC"/>
            <w:tcMar>
              <w:top w:w="0" w:type="dxa"/>
              <w:left w:w="20" w:type="dxa"/>
              <w:bottom w:w="0" w:type="dxa"/>
              <w:right w:w="20" w:type="dxa"/>
            </w:tcMar>
          </w:tcPr>
          <w:p w14:paraId="00BB124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4E" w14:textId="77777777" w:rsidR="00871BDF" w:rsidRDefault="005C5088">
            <w:pPr>
              <w:jc w:val="center"/>
              <w:textAlignment w:val="top"/>
            </w:pPr>
            <w:r>
              <w:rPr>
                <w:rFonts w:ascii="Times New Roman" w:eastAsia="宋体" w:hAnsi="Times New Roman"/>
                <w:color w:val="000000"/>
                <w:sz w:val="20"/>
                <w:szCs w:val="20"/>
              </w:rPr>
              <w:t>X</w:t>
            </w:r>
          </w:p>
        </w:tc>
      </w:tr>
      <w:tr w:rsidR="00871BDF" w14:paraId="00BB125D" w14:textId="77777777">
        <w:trPr>
          <w:jc w:val="center"/>
        </w:trPr>
        <w:tc>
          <w:tcPr>
            <w:tcW w:w="0" w:type="auto"/>
            <w:gridSpan w:val="3"/>
            <w:shd w:val="clear" w:color="auto" w:fill="FFFFFF"/>
            <w:tcMar>
              <w:top w:w="40" w:type="dxa"/>
              <w:left w:w="20" w:type="dxa"/>
              <w:bottom w:w="40" w:type="dxa"/>
              <w:right w:w="20" w:type="dxa"/>
            </w:tcMar>
          </w:tcPr>
          <w:p w14:paraId="00BB1250" w14:textId="77777777" w:rsidR="00871BDF" w:rsidRDefault="005C5088">
            <w:pPr>
              <w:jc w:val="center"/>
              <w:textAlignment w:val="top"/>
            </w:pPr>
            <w:hyperlink r:id="rId451" w:history="1">
              <w:r>
                <w:rPr>
                  <w:rStyle w:val="a5"/>
                  <w:rFonts w:ascii="Times New Roman" w:eastAsia="宋体" w:hAnsi="Times New Roman"/>
                  <w:sz w:val="20"/>
                  <w:szCs w:val="20"/>
                </w:rPr>
                <w:t>31.1</w:t>
              </w:r>
            </w:hyperlink>
          </w:p>
        </w:tc>
        <w:tc>
          <w:tcPr>
            <w:tcW w:w="0" w:type="auto"/>
            <w:gridSpan w:val="3"/>
            <w:shd w:val="clear" w:color="auto" w:fill="FFFFFF"/>
            <w:tcMar>
              <w:top w:w="0" w:type="dxa"/>
              <w:left w:w="20" w:type="dxa"/>
              <w:bottom w:w="0" w:type="dxa"/>
              <w:right w:w="20" w:type="dxa"/>
            </w:tcMar>
          </w:tcPr>
          <w:p w14:paraId="00BB125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52" w14:textId="77777777" w:rsidR="00871BDF" w:rsidRDefault="005C5088">
            <w:pPr>
              <w:textAlignment w:val="top"/>
            </w:pPr>
            <w:hyperlink r:id="rId452" w:history="1">
              <w:r>
                <w:rPr>
                  <w:rStyle w:val="a5"/>
                  <w:rFonts w:ascii="Times New Roman" w:eastAsia="宋体" w:hAnsi="Times New Roman"/>
                  <w:sz w:val="20"/>
                  <w:szCs w:val="20"/>
                </w:rPr>
                <w:t>Certification of P</w:t>
              </w:r>
              <w:r>
                <w:rPr>
                  <w:rStyle w:val="a5"/>
                  <w:rFonts w:ascii="Times New Roman" w:eastAsia="宋体" w:hAnsi="Times New Roman"/>
                  <w:sz w:val="20"/>
                  <w:szCs w:val="20"/>
                </w:rPr>
                <w:t>rincipal Executive Officer Pursuant to Rule 13a-14(a) of the Securities Exchange Act of 1934, As Adopted Pursuant to Section 302 of the Sarbanes-Oxley Act of 2002</w:t>
              </w:r>
            </w:hyperlink>
          </w:p>
        </w:tc>
        <w:tc>
          <w:tcPr>
            <w:tcW w:w="0" w:type="auto"/>
            <w:gridSpan w:val="3"/>
            <w:shd w:val="clear" w:color="auto" w:fill="FFFFFF"/>
            <w:tcMar>
              <w:top w:w="0" w:type="dxa"/>
              <w:left w:w="20" w:type="dxa"/>
              <w:bottom w:w="0" w:type="dxa"/>
              <w:right w:w="20" w:type="dxa"/>
            </w:tcMar>
          </w:tcPr>
          <w:p w14:paraId="00BB125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54"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125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56"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1257"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58"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125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5A"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125B"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5C" w14:textId="77777777" w:rsidR="00871BDF" w:rsidRDefault="005C5088">
            <w:pPr>
              <w:jc w:val="center"/>
              <w:textAlignment w:val="top"/>
            </w:pPr>
            <w:r>
              <w:rPr>
                <w:rFonts w:ascii="Times New Roman" w:eastAsia="宋体" w:hAnsi="Times New Roman"/>
                <w:color w:val="000000"/>
                <w:sz w:val="20"/>
                <w:szCs w:val="20"/>
              </w:rPr>
              <w:t>X</w:t>
            </w:r>
          </w:p>
        </w:tc>
      </w:tr>
      <w:tr w:rsidR="00871BDF" w14:paraId="00BB126B" w14:textId="77777777">
        <w:trPr>
          <w:jc w:val="center"/>
        </w:trPr>
        <w:tc>
          <w:tcPr>
            <w:tcW w:w="0" w:type="auto"/>
            <w:gridSpan w:val="3"/>
            <w:shd w:val="clear" w:color="auto" w:fill="D7E4BC"/>
            <w:tcMar>
              <w:top w:w="40" w:type="dxa"/>
              <w:left w:w="20" w:type="dxa"/>
              <w:bottom w:w="40" w:type="dxa"/>
              <w:right w:w="20" w:type="dxa"/>
            </w:tcMar>
          </w:tcPr>
          <w:p w14:paraId="00BB125E" w14:textId="77777777" w:rsidR="00871BDF" w:rsidRDefault="005C5088">
            <w:pPr>
              <w:jc w:val="center"/>
              <w:textAlignment w:val="top"/>
            </w:pPr>
            <w:hyperlink r:id="rId453" w:history="1">
              <w:r>
                <w:rPr>
                  <w:rStyle w:val="a5"/>
                  <w:rFonts w:ascii="Times New Roman" w:eastAsia="宋体" w:hAnsi="Times New Roman"/>
                  <w:sz w:val="20"/>
                  <w:szCs w:val="20"/>
                </w:rPr>
                <w:t>31.2</w:t>
              </w:r>
            </w:hyperlink>
          </w:p>
        </w:tc>
        <w:tc>
          <w:tcPr>
            <w:tcW w:w="0" w:type="auto"/>
            <w:gridSpan w:val="3"/>
            <w:shd w:val="clear" w:color="auto" w:fill="D7E4BC"/>
            <w:tcMar>
              <w:top w:w="0" w:type="dxa"/>
              <w:left w:w="20" w:type="dxa"/>
              <w:bottom w:w="0" w:type="dxa"/>
              <w:right w:w="20" w:type="dxa"/>
            </w:tcMar>
          </w:tcPr>
          <w:p w14:paraId="00BB125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60" w14:textId="77777777" w:rsidR="00871BDF" w:rsidRDefault="005C5088">
            <w:pPr>
              <w:textAlignment w:val="top"/>
            </w:pPr>
            <w:hyperlink r:id="rId454" w:history="1">
              <w:r>
                <w:rPr>
                  <w:rStyle w:val="a5"/>
                  <w:rFonts w:ascii="Times New Roman" w:eastAsia="宋体" w:hAnsi="Times New Roman"/>
                  <w:sz w:val="20"/>
                  <w:szCs w:val="20"/>
                </w:rPr>
                <w:t>Certification of Principa</w:t>
              </w:r>
              <w:r>
                <w:rPr>
                  <w:rStyle w:val="a5"/>
                  <w:rFonts w:ascii="Times New Roman" w:eastAsia="宋体" w:hAnsi="Times New Roman"/>
                  <w:sz w:val="20"/>
                  <w:szCs w:val="20"/>
                </w:rPr>
                <w:t>l Financial Officer Pursuant to Rule 13a-14(a) of the Securities Exchange Act of 1934, As Adopted Pursuant to Section 302 of the Sarbanes-Oxley Act of 2002</w:t>
              </w:r>
            </w:hyperlink>
          </w:p>
        </w:tc>
        <w:tc>
          <w:tcPr>
            <w:tcW w:w="0" w:type="auto"/>
            <w:gridSpan w:val="3"/>
            <w:shd w:val="clear" w:color="auto" w:fill="D7E4BC"/>
            <w:tcMar>
              <w:top w:w="0" w:type="dxa"/>
              <w:left w:w="20" w:type="dxa"/>
              <w:bottom w:w="0" w:type="dxa"/>
              <w:right w:w="20" w:type="dxa"/>
            </w:tcMar>
          </w:tcPr>
          <w:p w14:paraId="00BB126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62"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126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64"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126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66"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1267"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68"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1269"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6A" w14:textId="77777777" w:rsidR="00871BDF" w:rsidRDefault="005C5088">
            <w:pPr>
              <w:jc w:val="center"/>
              <w:textAlignment w:val="top"/>
            </w:pPr>
            <w:r>
              <w:rPr>
                <w:rFonts w:ascii="Times New Roman" w:eastAsia="宋体" w:hAnsi="Times New Roman"/>
                <w:color w:val="000000"/>
                <w:sz w:val="20"/>
                <w:szCs w:val="20"/>
              </w:rPr>
              <w:t>X</w:t>
            </w:r>
          </w:p>
        </w:tc>
      </w:tr>
      <w:tr w:rsidR="00871BDF" w14:paraId="00BB1279" w14:textId="77777777">
        <w:trPr>
          <w:jc w:val="center"/>
        </w:trPr>
        <w:tc>
          <w:tcPr>
            <w:tcW w:w="0" w:type="auto"/>
            <w:gridSpan w:val="3"/>
            <w:shd w:val="clear" w:color="auto" w:fill="FFFFFF"/>
            <w:tcMar>
              <w:top w:w="40" w:type="dxa"/>
              <w:left w:w="20" w:type="dxa"/>
              <w:bottom w:w="40" w:type="dxa"/>
              <w:right w:w="20" w:type="dxa"/>
            </w:tcMar>
          </w:tcPr>
          <w:p w14:paraId="00BB126C" w14:textId="77777777" w:rsidR="00871BDF" w:rsidRDefault="005C5088">
            <w:pPr>
              <w:jc w:val="center"/>
              <w:textAlignment w:val="top"/>
            </w:pPr>
            <w:hyperlink r:id="rId455" w:history="1">
              <w:r>
                <w:rPr>
                  <w:rStyle w:val="a5"/>
                  <w:rFonts w:ascii="Times New Roman" w:eastAsia="宋体" w:hAnsi="Times New Roman"/>
                  <w:sz w:val="20"/>
                  <w:szCs w:val="20"/>
                </w:rPr>
                <w:t>32**</w:t>
              </w:r>
            </w:hyperlink>
          </w:p>
        </w:tc>
        <w:tc>
          <w:tcPr>
            <w:tcW w:w="0" w:type="auto"/>
            <w:gridSpan w:val="3"/>
            <w:shd w:val="clear" w:color="auto" w:fill="FFFFFF"/>
            <w:tcMar>
              <w:top w:w="0" w:type="dxa"/>
              <w:left w:w="20" w:type="dxa"/>
              <w:bottom w:w="0" w:type="dxa"/>
              <w:right w:w="20" w:type="dxa"/>
            </w:tcMar>
          </w:tcPr>
          <w:p w14:paraId="00BB126D"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6E" w14:textId="77777777" w:rsidR="00871BDF" w:rsidRDefault="005C5088">
            <w:pPr>
              <w:textAlignment w:val="top"/>
            </w:pPr>
            <w:hyperlink r:id="rId456" w:history="1">
              <w:r>
                <w:rPr>
                  <w:rStyle w:val="a5"/>
                  <w:rFonts w:ascii="Times New Roman" w:eastAsia="宋体" w:hAnsi="Times New Roman"/>
                  <w:sz w:val="20"/>
                  <w:szCs w:val="20"/>
                </w:rPr>
                <w:t>Certifications of Principa</w:t>
              </w:r>
              <w:r>
                <w:rPr>
                  <w:rStyle w:val="a5"/>
                  <w:rFonts w:ascii="Times New Roman" w:eastAsia="宋体" w:hAnsi="Times New Roman"/>
                  <w:sz w:val="20"/>
                  <w:szCs w:val="20"/>
                </w:rPr>
                <w:t>l Executive Officer and Principal Financial Officer Pursuant to 18 U.S.C.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tcPr>
          <w:p w14:paraId="00BB126F"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70"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1271"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72"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1273"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74"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1275"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76"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tcPr>
          <w:p w14:paraId="00BB1277"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278" w14:textId="77777777" w:rsidR="00871BDF" w:rsidRDefault="00871BDF">
            <w:pPr>
              <w:rPr>
                <w:rFonts w:ascii="宋体"/>
              </w:rPr>
            </w:pPr>
          </w:p>
        </w:tc>
      </w:tr>
      <w:tr w:rsidR="00871BDF" w14:paraId="00BB1287" w14:textId="77777777">
        <w:trPr>
          <w:jc w:val="center"/>
        </w:trPr>
        <w:tc>
          <w:tcPr>
            <w:tcW w:w="0" w:type="auto"/>
            <w:gridSpan w:val="3"/>
            <w:shd w:val="clear" w:color="auto" w:fill="D7E4BC"/>
            <w:tcMar>
              <w:top w:w="40" w:type="dxa"/>
              <w:left w:w="20" w:type="dxa"/>
              <w:bottom w:w="40" w:type="dxa"/>
              <w:right w:w="20" w:type="dxa"/>
            </w:tcMar>
          </w:tcPr>
          <w:p w14:paraId="00BB127A" w14:textId="77777777" w:rsidR="00871BDF" w:rsidRDefault="005C5088">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tcPr>
          <w:p w14:paraId="00BB127B"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7C" w14:textId="77777777" w:rsidR="00871BDF" w:rsidRDefault="005C5088">
            <w:pPr>
              <w:textAlignment w:val="top"/>
            </w:pPr>
            <w:r>
              <w:rPr>
                <w:rFonts w:ascii="Times New Roman" w:eastAsia="宋体" w:hAnsi="Times New Roman"/>
                <w:color w:val="000000"/>
                <w:sz w:val="20"/>
                <w:szCs w:val="20"/>
              </w:rPr>
              <w:t>The</w:t>
            </w:r>
            <w:r>
              <w:rPr>
                <w:rFonts w:ascii="Times New Roman" w:eastAsia="宋体" w:hAnsi="Times New Roman"/>
                <w:color w:val="000000"/>
                <w:sz w:val="20"/>
                <w:szCs w:val="20"/>
              </w:rPr>
              <w:t xml:space="preserve"> following financial statements from the Company’s 10-K for the fiscal year ended September 27, 2020, formatted in iXBRL: (i) Consolidated Statements of Earnings, (ii) Consolidated Statements of Comprehensive Income, (iii) Consolidated Balance Sheets, (iv)</w:t>
            </w:r>
            <w:r>
              <w:rPr>
                <w:rFonts w:ascii="Times New Roman" w:eastAsia="宋体" w:hAnsi="Times New Roman"/>
                <w:color w:val="000000"/>
                <w:sz w:val="20"/>
                <w:szCs w:val="20"/>
              </w:rPr>
              <w:t xml:space="preserve"> Consolidated Statements of Cash Flows, (v) Consolidated Statements of Equity, and (vi) Notes to Consolidated Financial Statements</w:t>
            </w:r>
          </w:p>
        </w:tc>
        <w:tc>
          <w:tcPr>
            <w:tcW w:w="0" w:type="auto"/>
            <w:gridSpan w:val="3"/>
            <w:shd w:val="clear" w:color="auto" w:fill="D7E4BC"/>
            <w:tcMar>
              <w:top w:w="0" w:type="dxa"/>
              <w:left w:w="20" w:type="dxa"/>
              <w:bottom w:w="0" w:type="dxa"/>
              <w:right w:w="20" w:type="dxa"/>
            </w:tcMar>
          </w:tcPr>
          <w:p w14:paraId="00BB127D"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7E"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127F"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80"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1281"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82"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1283"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84" w14:textId="77777777" w:rsidR="00871BDF" w:rsidRDefault="005C5088">
            <w:pPr>
              <w:jc w:val="center"/>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tcPr>
          <w:p w14:paraId="00BB1285" w14:textId="77777777" w:rsidR="00871BDF" w:rsidRDefault="00871BDF">
            <w:pPr>
              <w:rPr>
                <w:rFonts w:ascii="宋体"/>
              </w:rPr>
            </w:pPr>
          </w:p>
        </w:tc>
        <w:tc>
          <w:tcPr>
            <w:tcW w:w="0" w:type="auto"/>
            <w:gridSpan w:val="3"/>
            <w:shd w:val="clear" w:color="auto" w:fill="D7E4BC"/>
            <w:tcMar>
              <w:top w:w="40" w:type="dxa"/>
              <w:left w:w="20" w:type="dxa"/>
              <w:bottom w:w="40" w:type="dxa"/>
              <w:right w:w="20" w:type="dxa"/>
            </w:tcMar>
          </w:tcPr>
          <w:p w14:paraId="00BB1286" w14:textId="77777777" w:rsidR="00871BDF" w:rsidRDefault="005C5088">
            <w:pPr>
              <w:jc w:val="center"/>
              <w:textAlignment w:val="top"/>
            </w:pPr>
            <w:r>
              <w:rPr>
                <w:rFonts w:ascii="Times New Roman" w:eastAsia="宋体" w:hAnsi="Times New Roman"/>
                <w:color w:val="000000"/>
                <w:sz w:val="20"/>
                <w:szCs w:val="20"/>
              </w:rPr>
              <w:t>X</w:t>
            </w:r>
          </w:p>
        </w:tc>
      </w:tr>
      <w:tr w:rsidR="00871BDF" w14:paraId="00BB1295" w14:textId="77777777">
        <w:trPr>
          <w:jc w:val="center"/>
        </w:trPr>
        <w:tc>
          <w:tcPr>
            <w:tcW w:w="0" w:type="auto"/>
            <w:gridSpan w:val="3"/>
            <w:shd w:val="clear" w:color="auto" w:fill="FFFFFF"/>
            <w:tcMar>
              <w:top w:w="40" w:type="dxa"/>
              <w:left w:w="20" w:type="dxa"/>
              <w:bottom w:w="40" w:type="dxa"/>
              <w:right w:w="20" w:type="dxa"/>
            </w:tcMar>
          </w:tcPr>
          <w:p w14:paraId="00BB1288" w14:textId="77777777" w:rsidR="00871BDF" w:rsidRDefault="005C5088">
            <w:pPr>
              <w:jc w:val="center"/>
              <w:textAlignment w:val="top"/>
            </w:pPr>
            <w:r>
              <w:rPr>
                <w:rFonts w:ascii="Times New Roman" w:eastAsia="宋体" w:hAnsi="Times New Roman"/>
                <w:color w:val="000000"/>
                <w:sz w:val="20"/>
                <w:szCs w:val="20"/>
              </w:rPr>
              <w:t>104</w:t>
            </w:r>
          </w:p>
        </w:tc>
        <w:tc>
          <w:tcPr>
            <w:tcW w:w="0" w:type="auto"/>
            <w:gridSpan w:val="3"/>
            <w:shd w:val="clear" w:color="auto" w:fill="FFFFFF"/>
            <w:tcMar>
              <w:top w:w="0" w:type="dxa"/>
              <w:left w:w="20" w:type="dxa"/>
              <w:bottom w:w="0" w:type="dxa"/>
              <w:right w:w="20" w:type="dxa"/>
            </w:tcMar>
          </w:tcPr>
          <w:p w14:paraId="00BB1289" w14:textId="77777777" w:rsidR="00871BDF" w:rsidRDefault="00871BDF">
            <w:pPr>
              <w:rPr>
                <w:rFonts w:ascii="宋体"/>
              </w:rPr>
            </w:pPr>
          </w:p>
        </w:tc>
        <w:tc>
          <w:tcPr>
            <w:tcW w:w="0" w:type="auto"/>
            <w:gridSpan w:val="3"/>
            <w:shd w:val="clear" w:color="auto" w:fill="FFFFFF"/>
            <w:tcMar>
              <w:top w:w="40" w:type="dxa"/>
              <w:left w:w="20" w:type="dxa"/>
              <w:bottom w:w="40" w:type="dxa"/>
              <w:right w:w="20" w:type="dxa"/>
            </w:tcMar>
          </w:tcPr>
          <w:p w14:paraId="00BB128A" w14:textId="77777777" w:rsidR="00871BDF" w:rsidRDefault="005C5088">
            <w:pPr>
              <w:textAlignment w:val="top"/>
            </w:pPr>
            <w:r>
              <w:rPr>
                <w:rFonts w:ascii="Times New Roman" w:eastAsia="宋体" w:hAnsi="Times New Roman"/>
                <w:color w:val="000000"/>
                <w:sz w:val="20"/>
                <w:szCs w:val="20"/>
              </w:rPr>
              <w:t>Cover Page Interactive Data File (formatted in iXBRL and contained in Exhibit 101)</w:t>
            </w:r>
          </w:p>
        </w:tc>
        <w:tc>
          <w:tcPr>
            <w:tcW w:w="0" w:type="auto"/>
            <w:gridSpan w:val="3"/>
            <w:shd w:val="clear" w:color="auto" w:fill="FFFFFF"/>
            <w:tcMar>
              <w:top w:w="0" w:type="dxa"/>
              <w:left w:w="20" w:type="dxa"/>
              <w:bottom w:w="0" w:type="dxa"/>
              <w:right w:w="20" w:type="dxa"/>
            </w:tcMar>
          </w:tcPr>
          <w:p w14:paraId="00BB128B"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28C"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28D"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28E"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28F"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290"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291"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292"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293" w14:textId="77777777" w:rsidR="00871BDF" w:rsidRDefault="00871BDF">
            <w:pPr>
              <w:rPr>
                <w:rFonts w:ascii="宋体"/>
              </w:rPr>
            </w:pPr>
          </w:p>
        </w:tc>
        <w:tc>
          <w:tcPr>
            <w:tcW w:w="0" w:type="auto"/>
            <w:gridSpan w:val="3"/>
            <w:shd w:val="clear" w:color="auto" w:fill="FFFFFF"/>
            <w:tcMar>
              <w:top w:w="0" w:type="dxa"/>
              <w:left w:w="20" w:type="dxa"/>
              <w:bottom w:w="0" w:type="dxa"/>
              <w:right w:w="20" w:type="dxa"/>
            </w:tcMar>
          </w:tcPr>
          <w:p w14:paraId="00BB1294" w14:textId="77777777" w:rsidR="00871BDF" w:rsidRDefault="00871BDF">
            <w:pPr>
              <w:rPr>
                <w:rFonts w:ascii="宋体"/>
              </w:rPr>
            </w:pPr>
          </w:p>
        </w:tc>
      </w:tr>
    </w:tbl>
    <w:p w14:paraId="00BB1296" w14:textId="77777777" w:rsidR="00871BDF" w:rsidRDefault="00871BDF">
      <w:pPr>
        <w:ind w:hanging="450"/>
        <w:jc w:val="center"/>
      </w:pPr>
    </w:p>
    <w:p w14:paraId="00BB1297" w14:textId="77777777" w:rsidR="00871BDF" w:rsidRDefault="005C5088">
      <w:pPr>
        <w:spacing w:before="60"/>
        <w:ind w:hanging="450"/>
      </w:pPr>
      <w:r>
        <w:rPr>
          <w:rFonts w:ascii="Times New Roman" w:eastAsia="宋体" w:hAnsi="Times New Roman"/>
          <w:color w:val="000000"/>
          <w:sz w:val="20"/>
          <w:szCs w:val="20"/>
        </w:rPr>
        <w:t>*    Denotes a management contract or compensatory plan or arrangement.</w:t>
      </w:r>
    </w:p>
    <w:p w14:paraId="00BB1298" w14:textId="77777777" w:rsidR="00871BDF" w:rsidRDefault="005C5088">
      <w:pPr>
        <w:spacing w:before="60"/>
        <w:ind w:hanging="450"/>
      </w:pPr>
      <w:r>
        <w:rPr>
          <w:rFonts w:ascii="Times New Roman" w:eastAsia="宋体" w:hAnsi="Times New Roman"/>
          <w:color w:val="000000"/>
          <w:sz w:val="20"/>
          <w:szCs w:val="20"/>
        </w:rPr>
        <w:t>**    Furnished herewith.</w:t>
      </w:r>
    </w:p>
    <w:p w14:paraId="00BB1299" w14:textId="77777777" w:rsidR="00871BDF" w:rsidRDefault="005C5088">
      <w:r>
        <w:rPr>
          <w:rFonts w:ascii="Times New Roman" w:eastAsia="宋体" w:hAnsi="Times New Roman"/>
          <w:color w:val="000000"/>
          <w:sz w:val="20"/>
          <w:szCs w:val="20"/>
        </w:rPr>
        <w:t> </w:t>
      </w:r>
    </w:p>
    <w:p w14:paraId="00BB129A" w14:textId="77777777" w:rsidR="00871BDF" w:rsidRDefault="00871BDF"/>
    <w:p w14:paraId="00BB129B" w14:textId="77777777" w:rsidR="00871BDF" w:rsidRDefault="005C5088">
      <w:pPr>
        <w:jc w:val="center"/>
      </w:pPr>
      <w:r>
        <w:rPr>
          <w:rFonts w:ascii="Times New Roman" w:eastAsia="宋体" w:hAnsi="Times New Roman"/>
          <w:color w:val="000000"/>
          <w:sz w:val="20"/>
          <w:szCs w:val="20"/>
        </w:rPr>
        <w:t>103</w:t>
      </w:r>
    </w:p>
    <w:p w14:paraId="00BB129C" w14:textId="77777777" w:rsidR="00871BDF" w:rsidRDefault="005C5088">
      <w:r>
        <w:pict w14:anchorId="00BB14CC">
          <v:rect id="_x0000_i1130" style="width:415.3pt;height:1.5pt" o:hralign="center" o:hrstd="t" o:hr="t" fillcolor="#a0a0a0" stroked="f"/>
        </w:pict>
      </w:r>
    </w:p>
    <w:p w14:paraId="00BB129D" w14:textId="77777777" w:rsidR="00871BDF" w:rsidRDefault="005C5088">
      <w:hyperlink r:id="rId457" w:anchor="i54ccc64cb5384be5a4849ef1cdef4dde_7" w:history="1">
        <w:r>
          <w:rPr>
            <w:rStyle w:val="a5"/>
            <w:rFonts w:ascii="Times New Roman" w:eastAsia="宋体" w:hAnsi="Times New Roman"/>
            <w:sz w:val="20"/>
            <w:szCs w:val="20"/>
          </w:rPr>
          <w:t>Table of Contents</w:t>
        </w:r>
      </w:hyperlink>
    </w:p>
    <w:p w14:paraId="00BB129E" w14:textId="77777777" w:rsidR="00871BDF" w:rsidRDefault="005C5088">
      <w:pPr>
        <w:jc w:val="center"/>
      </w:pPr>
      <w:r>
        <w:rPr>
          <w:rFonts w:ascii="Times New Roman" w:eastAsia="宋体" w:hAnsi="Times New Roman"/>
          <w:b/>
          <w:bCs/>
          <w:color w:val="000000"/>
          <w:sz w:val="20"/>
          <w:szCs w:val="20"/>
        </w:rPr>
        <w:t>SIGNATURES</w:t>
      </w:r>
    </w:p>
    <w:p w14:paraId="00BB129F" w14:textId="77777777" w:rsidR="00871BDF" w:rsidRDefault="005C5088">
      <w:pPr>
        <w:spacing w:before="120"/>
      </w:pPr>
      <w:r>
        <w:rPr>
          <w:rFonts w:ascii="Times New Roman" w:eastAsia="宋体" w:hAnsi="Times New Roman"/>
          <w:color w:val="000000"/>
          <w:sz w:val="20"/>
          <w:szCs w:val="20"/>
        </w:rPr>
        <w:t>Pursuant to the requirements of Section 13 or 15(d) of the Securities Exch</w:t>
      </w:r>
      <w:r>
        <w:rPr>
          <w:rFonts w:ascii="Times New Roman" w:eastAsia="宋体" w:hAnsi="Times New Roman"/>
          <w:color w:val="000000"/>
          <w:sz w:val="20"/>
          <w:szCs w:val="20"/>
        </w:rPr>
        <w:t>ange Act of 1934, the registrant has duly caused this report to be signed on its behalf by the undersigned, thereunto duly authorized.</w:t>
      </w:r>
    </w:p>
    <w:tbl>
      <w:tblPr>
        <w:tblW w:w="4993" w:type="pct"/>
        <w:tblCellMar>
          <w:top w:w="15" w:type="dxa"/>
          <w:left w:w="15" w:type="dxa"/>
          <w:bottom w:w="15" w:type="dxa"/>
          <w:right w:w="15" w:type="dxa"/>
        </w:tblCellMar>
        <w:tblLook w:val="04A0" w:firstRow="1" w:lastRow="0" w:firstColumn="1" w:lastColumn="0" w:noHBand="0" w:noVBand="1"/>
      </w:tblPr>
      <w:tblGrid>
        <w:gridCol w:w="69"/>
        <w:gridCol w:w="3977"/>
        <w:gridCol w:w="36"/>
        <w:gridCol w:w="71"/>
        <w:gridCol w:w="282"/>
        <w:gridCol w:w="37"/>
        <w:gridCol w:w="70"/>
        <w:gridCol w:w="3746"/>
        <w:gridCol w:w="36"/>
      </w:tblGrid>
      <w:tr w:rsidR="00871BDF" w14:paraId="00BB12A9" w14:textId="77777777">
        <w:tc>
          <w:tcPr>
            <w:tcW w:w="50" w:type="pct"/>
            <w:shd w:val="clear" w:color="auto" w:fill="auto"/>
          </w:tcPr>
          <w:p w14:paraId="00BB12A0" w14:textId="77777777" w:rsidR="00871BDF" w:rsidRDefault="00871BDF">
            <w:pPr>
              <w:rPr>
                <w:rFonts w:ascii="宋体"/>
              </w:rPr>
            </w:pPr>
          </w:p>
        </w:tc>
        <w:tc>
          <w:tcPr>
            <w:tcW w:w="2397" w:type="pct"/>
            <w:shd w:val="clear" w:color="auto" w:fill="auto"/>
          </w:tcPr>
          <w:p w14:paraId="00BB12A1" w14:textId="77777777" w:rsidR="00871BDF" w:rsidRDefault="00871BDF">
            <w:pPr>
              <w:rPr>
                <w:rFonts w:ascii="宋体"/>
              </w:rPr>
            </w:pPr>
          </w:p>
        </w:tc>
        <w:tc>
          <w:tcPr>
            <w:tcW w:w="5" w:type="pct"/>
            <w:shd w:val="clear" w:color="auto" w:fill="auto"/>
          </w:tcPr>
          <w:p w14:paraId="00BB12A2" w14:textId="77777777" w:rsidR="00871BDF" w:rsidRDefault="00871BDF">
            <w:pPr>
              <w:rPr>
                <w:rFonts w:ascii="宋体"/>
              </w:rPr>
            </w:pPr>
          </w:p>
        </w:tc>
        <w:tc>
          <w:tcPr>
            <w:tcW w:w="50" w:type="pct"/>
            <w:shd w:val="clear" w:color="auto" w:fill="auto"/>
          </w:tcPr>
          <w:p w14:paraId="00BB12A3" w14:textId="77777777" w:rsidR="00871BDF" w:rsidRDefault="00871BDF">
            <w:pPr>
              <w:rPr>
                <w:rFonts w:ascii="宋体"/>
              </w:rPr>
            </w:pPr>
          </w:p>
        </w:tc>
        <w:tc>
          <w:tcPr>
            <w:tcW w:w="179" w:type="pct"/>
            <w:shd w:val="clear" w:color="auto" w:fill="auto"/>
          </w:tcPr>
          <w:p w14:paraId="00BB12A4" w14:textId="77777777" w:rsidR="00871BDF" w:rsidRDefault="00871BDF">
            <w:pPr>
              <w:rPr>
                <w:rFonts w:ascii="宋体"/>
              </w:rPr>
            </w:pPr>
          </w:p>
        </w:tc>
        <w:tc>
          <w:tcPr>
            <w:tcW w:w="5" w:type="pct"/>
            <w:shd w:val="clear" w:color="auto" w:fill="auto"/>
          </w:tcPr>
          <w:p w14:paraId="00BB12A5" w14:textId="77777777" w:rsidR="00871BDF" w:rsidRDefault="00871BDF">
            <w:pPr>
              <w:rPr>
                <w:rFonts w:ascii="宋体"/>
              </w:rPr>
            </w:pPr>
          </w:p>
        </w:tc>
        <w:tc>
          <w:tcPr>
            <w:tcW w:w="50" w:type="pct"/>
            <w:shd w:val="clear" w:color="auto" w:fill="auto"/>
          </w:tcPr>
          <w:p w14:paraId="00BB12A6" w14:textId="77777777" w:rsidR="00871BDF" w:rsidRDefault="00871BDF">
            <w:pPr>
              <w:rPr>
                <w:rFonts w:ascii="宋体"/>
              </w:rPr>
            </w:pPr>
          </w:p>
        </w:tc>
        <w:tc>
          <w:tcPr>
            <w:tcW w:w="2258" w:type="pct"/>
            <w:shd w:val="clear" w:color="auto" w:fill="auto"/>
          </w:tcPr>
          <w:p w14:paraId="00BB12A7" w14:textId="77777777" w:rsidR="00871BDF" w:rsidRDefault="00871BDF">
            <w:pPr>
              <w:rPr>
                <w:rFonts w:ascii="宋体"/>
              </w:rPr>
            </w:pPr>
          </w:p>
        </w:tc>
        <w:tc>
          <w:tcPr>
            <w:tcW w:w="5" w:type="pct"/>
            <w:shd w:val="clear" w:color="auto" w:fill="auto"/>
          </w:tcPr>
          <w:p w14:paraId="00BB12A8" w14:textId="77777777" w:rsidR="00871BDF" w:rsidRDefault="00871BDF">
            <w:pPr>
              <w:rPr>
                <w:rFonts w:ascii="宋体"/>
              </w:rPr>
            </w:pPr>
          </w:p>
        </w:tc>
      </w:tr>
      <w:tr w:rsidR="00871BDF" w14:paraId="00BB12AD" w14:textId="77777777">
        <w:trPr>
          <w:trHeight w:val="300"/>
        </w:trPr>
        <w:tc>
          <w:tcPr>
            <w:tcW w:w="0" w:type="auto"/>
            <w:gridSpan w:val="3"/>
            <w:shd w:val="clear" w:color="auto" w:fill="auto"/>
            <w:tcMar>
              <w:top w:w="0" w:type="dxa"/>
              <w:left w:w="20" w:type="dxa"/>
              <w:bottom w:w="0" w:type="dxa"/>
              <w:right w:w="20" w:type="dxa"/>
            </w:tcMar>
          </w:tcPr>
          <w:p w14:paraId="00BB12AA"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AB"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AC" w14:textId="77777777" w:rsidR="00871BDF" w:rsidRDefault="00871BDF">
            <w:pPr>
              <w:rPr>
                <w:rFonts w:ascii="宋体"/>
              </w:rPr>
            </w:pPr>
          </w:p>
        </w:tc>
      </w:tr>
      <w:tr w:rsidR="00871BDF" w14:paraId="00BB12B0" w14:textId="77777777">
        <w:tc>
          <w:tcPr>
            <w:tcW w:w="0" w:type="auto"/>
            <w:gridSpan w:val="3"/>
            <w:shd w:val="clear" w:color="auto" w:fill="auto"/>
            <w:tcMar>
              <w:top w:w="0" w:type="dxa"/>
              <w:left w:w="20" w:type="dxa"/>
              <w:bottom w:w="0" w:type="dxa"/>
              <w:right w:w="20" w:type="dxa"/>
            </w:tcMar>
          </w:tcPr>
          <w:p w14:paraId="00BB12AE" w14:textId="77777777" w:rsidR="00871BDF" w:rsidRDefault="00871BDF">
            <w:pPr>
              <w:rPr>
                <w:rFonts w:ascii="宋体"/>
              </w:rPr>
            </w:pPr>
          </w:p>
        </w:tc>
        <w:tc>
          <w:tcPr>
            <w:tcW w:w="0" w:type="auto"/>
            <w:gridSpan w:val="6"/>
            <w:shd w:val="clear" w:color="auto" w:fill="auto"/>
            <w:tcMar>
              <w:top w:w="40" w:type="dxa"/>
              <w:left w:w="20" w:type="dxa"/>
              <w:bottom w:w="40" w:type="dxa"/>
              <w:right w:w="20" w:type="dxa"/>
            </w:tcMar>
            <w:vAlign w:val="bottom"/>
          </w:tcPr>
          <w:p w14:paraId="00BB12AF" w14:textId="77777777" w:rsidR="00871BDF" w:rsidRDefault="005C5088">
            <w:pPr>
              <w:textAlignment w:val="bottom"/>
            </w:pPr>
            <w:r>
              <w:rPr>
                <w:rFonts w:ascii="Times New Roman" w:eastAsia="宋体" w:hAnsi="Times New Roman"/>
                <w:b/>
                <w:bCs/>
                <w:color w:val="000000"/>
                <w:sz w:val="20"/>
                <w:szCs w:val="20"/>
              </w:rPr>
              <w:t>STARBUCKS CORPORATION</w:t>
            </w:r>
          </w:p>
        </w:tc>
      </w:tr>
      <w:tr w:rsidR="00871BDF" w14:paraId="00BB12B3" w14:textId="77777777">
        <w:trPr>
          <w:trHeight w:val="240"/>
        </w:trPr>
        <w:tc>
          <w:tcPr>
            <w:tcW w:w="0" w:type="auto"/>
            <w:gridSpan w:val="3"/>
            <w:shd w:val="clear" w:color="auto" w:fill="auto"/>
            <w:tcMar>
              <w:top w:w="0" w:type="dxa"/>
              <w:left w:w="20" w:type="dxa"/>
              <w:bottom w:w="0" w:type="dxa"/>
              <w:right w:w="20" w:type="dxa"/>
            </w:tcMar>
          </w:tcPr>
          <w:p w14:paraId="00BB12B1" w14:textId="77777777" w:rsidR="00871BDF" w:rsidRDefault="00871BDF">
            <w:pPr>
              <w:rPr>
                <w:rFonts w:ascii="宋体"/>
              </w:rPr>
            </w:pPr>
          </w:p>
        </w:tc>
        <w:tc>
          <w:tcPr>
            <w:tcW w:w="0" w:type="auto"/>
            <w:gridSpan w:val="6"/>
            <w:shd w:val="clear" w:color="auto" w:fill="auto"/>
            <w:tcMar>
              <w:top w:w="0" w:type="dxa"/>
              <w:left w:w="20" w:type="dxa"/>
              <w:bottom w:w="0" w:type="dxa"/>
              <w:right w:w="20" w:type="dxa"/>
            </w:tcMar>
          </w:tcPr>
          <w:p w14:paraId="00BB12B2" w14:textId="77777777" w:rsidR="00871BDF" w:rsidRDefault="00871BDF">
            <w:pPr>
              <w:rPr>
                <w:rFonts w:ascii="宋体"/>
              </w:rPr>
            </w:pPr>
          </w:p>
        </w:tc>
      </w:tr>
      <w:tr w:rsidR="00871BDF" w14:paraId="00BB12B7" w14:textId="77777777">
        <w:trPr>
          <w:trHeight w:val="240"/>
        </w:trPr>
        <w:tc>
          <w:tcPr>
            <w:tcW w:w="0" w:type="auto"/>
            <w:gridSpan w:val="3"/>
            <w:shd w:val="clear" w:color="auto" w:fill="auto"/>
            <w:tcMar>
              <w:top w:w="0" w:type="dxa"/>
              <w:left w:w="20" w:type="dxa"/>
              <w:bottom w:w="0" w:type="dxa"/>
              <w:right w:w="20" w:type="dxa"/>
            </w:tcMar>
          </w:tcPr>
          <w:p w14:paraId="00BB12B4"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B5"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B6" w14:textId="77777777" w:rsidR="00871BDF" w:rsidRDefault="00871BDF">
            <w:pPr>
              <w:rPr>
                <w:rFonts w:ascii="宋体"/>
              </w:rPr>
            </w:pPr>
          </w:p>
        </w:tc>
      </w:tr>
      <w:tr w:rsidR="00871BDF" w14:paraId="00BB12BB" w14:textId="77777777">
        <w:trPr>
          <w:trHeight w:val="240"/>
        </w:trPr>
        <w:tc>
          <w:tcPr>
            <w:tcW w:w="0" w:type="auto"/>
            <w:gridSpan w:val="3"/>
            <w:shd w:val="clear" w:color="auto" w:fill="auto"/>
            <w:tcMar>
              <w:top w:w="0" w:type="dxa"/>
              <w:left w:w="20" w:type="dxa"/>
              <w:bottom w:w="0" w:type="dxa"/>
              <w:right w:w="20" w:type="dxa"/>
            </w:tcMar>
          </w:tcPr>
          <w:p w14:paraId="00BB12B8"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B9"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BA" w14:textId="77777777" w:rsidR="00871BDF" w:rsidRDefault="00871BDF">
            <w:pPr>
              <w:rPr>
                <w:rFonts w:ascii="宋体"/>
              </w:rPr>
            </w:pPr>
          </w:p>
        </w:tc>
      </w:tr>
      <w:tr w:rsidR="00871BDF" w14:paraId="00BB12BF" w14:textId="77777777">
        <w:trPr>
          <w:trHeight w:val="240"/>
        </w:trPr>
        <w:tc>
          <w:tcPr>
            <w:tcW w:w="0" w:type="auto"/>
            <w:gridSpan w:val="3"/>
            <w:shd w:val="clear" w:color="auto" w:fill="auto"/>
            <w:tcMar>
              <w:top w:w="0" w:type="dxa"/>
              <w:left w:w="20" w:type="dxa"/>
              <w:bottom w:w="0" w:type="dxa"/>
              <w:right w:w="20" w:type="dxa"/>
            </w:tcMar>
          </w:tcPr>
          <w:p w14:paraId="00BB12BC"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BD"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BE" w14:textId="77777777" w:rsidR="00871BDF" w:rsidRDefault="00871BDF">
            <w:pPr>
              <w:rPr>
                <w:rFonts w:ascii="宋体"/>
              </w:rPr>
            </w:pPr>
          </w:p>
        </w:tc>
      </w:tr>
      <w:tr w:rsidR="00871BDF" w14:paraId="00BB12C3" w14:textId="77777777">
        <w:tc>
          <w:tcPr>
            <w:tcW w:w="0" w:type="auto"/>
            <w:gridSpan w:val="3"/>
            <w:shd w:val="clear" w:color="auto" w:fill="auto"/>
            <w:tcMar>
              <w:top w:w="0" w:type="dxa"/>
              <w:left w:w="20" w:type="dxa"/>
              <w:bottom w:w="0" w:type="dxa"/>
              <w:right w:w="20" w:type="dxa"/>
            </w:tcMar>
          </w:tcPr>
          <w:p w14:paraId="00BB12C0"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2C1" w14:textId="77777777" w:rsidR="00871BDF" w:rsidRDefault="005C5088">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00BB12C2" w14:textId="77777777" w:rsidR="00871BDF" w:rsidRDefault="005C5088">
            <w:pPr>
              <w:textAlignment w:val="bottom"/>
            </w:pPr>
            <w:r>
              <w:rPr>
                <w:rFonts w:ascii="Times New Roman" w:eastAsia="宋体" w:hAnsi="Times New Roman"/>
                <w:color w:val="000000"/>
                <w:sz w:val="20"/>
                <w:szCs w:val="20"/>
              </w:rPr>
              <w:t>/s/    Kevin R. Johnson</w:t>
            </w:r>
          </w:p>
        </w:tc>
      </w:tr>
      <w:tr w:rsidR="00871BDF" w14:paraId="00BB12C8" w14:textId="77777777">
        <w:trPr>
          <w:trHeight w:val="300"/>
        </w:trPr>
        <w:tc>
          <w:tcPr>
            <w:tcW w:w="0" w:type="auto"/>
            <w:gridSpan w:val="3"/>
            <w:shd w:val="clear" w:color="auto" w:fill="auto"/>
            <w:tcMar>
              <w:top w:w="0" w:type="dxa"/>
              <w:left w:w="20" w:type="dxa"/>
              <w:bottom w:w="0" w:type="dxa"/>
              <w:right w:w="20" w:type="dxa"/>
            </w:tcMar>
          </w:tcPr>
          <w:p w14:paraId="00BB12C4"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2C5" w14:textId="77777777" w:rsidR="00871BDF" w:rsidRDefault="005C5088">
            <w:pPr>
              <w:textAlignment w:val="bottom"/>
            </w:pPr>
            <w:r>
              <w:rPr>
                <w:rFonts w:ascii="Times New Roman" w:eastAsia="宋体" w:hAnsi="Times New Roman"/>
                <w:color w:val="000000"/>
                <w:sz w:val="16"/>
                <w:szCs w:val="16"/>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center"/>
          </w:tcPr>
          <w:p w14:paraId="00BB12C6" w14:textId="77777777" w:rsidR="00871BDF" w:rsidRDefault="005C5088">
            <w:pPr>
              <w:textAlignment w:val="center"/>
            </w:pPr>
            <w:r>
              <w:rPr>
                <w:rFonts w:ascii="Times New Roman" w:eastAsia="宋体" w:hAnsi="Times New Roman"/>
                <w:color w:val="000000"/>
                <w:sz w:val="20"/>
                <w:szCs w:val="20"/>
              </w:rPr>
              <w:t>Kevin R. Johnson</w:t>
            </w:r>
          </w:p>
          <w:p w14:paraId="00BB12C7" w14:textId="77777777" w:rsidR="00871BDF" w:rsidRDefault="005C5088">
            <w:pPr>
              <w:textAlignment w:val="center"/>
            </w:pPr>
            <w:r>
              <w:rPr>
                <w:rFonts w:ascii="Times New Roman" w:eastAsia="宋体" w:hAnsi="Times New Roman"/>
                <w:color w:val="000000"/>
                <w:sz w:val="20"/>
                <w:szCs w:val="20"/>
              </w:rPr>
              <w:t xml:space="preserve">president and </w:t>
            </w:r>
            <w:r>
              <w:rPr>
                <w:rFonts w:ascii="Times New Roman" w:eastAsia="宋体" w:hAnsi="Times New Roman"/>
                <w:color w:val="000000"/>
                <w:sz w:val="20"/>
                <w:szCs w:val="20"/>
              </w:rPr>
              <w:t>chief executive officer</w:t>
            </w:r>
          </w:p>
        </w:tc>
      </w:tr>
      <w:tr w:rsidR="00871BDF" w14:paraId="00BB12CC" w14:textId="77777777">
        <w:trPr>
          <w:trHeight w:val="240"/>
        </w:trPr>
        <w:tc>
          <w:tcPr>
            <w:tcW w:w="0" w:type="auto"/>
            <w:gridSpan w:val="3"/>
            <w:shd w:val="clear" w:color="auto" w:fill="auto"/>
            <w:tcMar>
              <w:top w:w="0" w:type="dxa"/>
              <w:left w:w="20" w:type="dxa"/>
              <w:bottom w:w="0" w:type="dxa"/>
              <w:right w:w="20" w:type="dxa"/>
            </w:tcMar>
          </w:tcPr>
          <w:p w14:paraId="00BB12C9"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2CA" w14:textId="77777777" w:rsidR="00871BDF" w:rsidRDefault="005C5088">
            <w:pPr>
              <w:textAlignment w:val="bottom"/>
            </w:pPr>
            <w:r>
              <w:rPr>
                <w:rFonts w:ascii="Times New Roman" w:eastAsia="宋体" w:hAnsi="Times New Roman"/>
                <w:color w:val="000000"/>
                <w:sz w:val="16"/>
                <w:szCs w:val="16"/>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center"/>
          </w:tcPr>
          <w:p w14:paraId="00BB12CB" w14:textId="77777777" w:rsidR="00871BDF" w:rsidRDefault="00871BDF">
            <w:pPr>
              <w:rPr>
                <w:rFonts w:ascii="宋体"/>
              </w:rPr>
            </w:pPr>
          </w:p>
        </w:tc>
      </w:tr>
    </w:tbl>
    <w:p w14:paraId="00BB12CD" w14:textId="77777777" w:rsidR="00871BDF" w:rsidRDefault="005C5088">
      <w:pPr>
        <w:spacing w:before="120"/>
      </w:pPr>
      <w:r>
        <w:rPr>
          <w:rFonts w:ascii="Times New Roman" w:eastAsia="宋体" w:hAnsi="Times New Roman"/>
          <w:color w:val="000000"/>
          <w:sz w:val="20"/>
          <w:szCs w:val="20"/>
        </w:rPr>
        <w:t xml:space="preserve">November 12, 2020 </w:t>
      </w:r>
    </w:p>
    <w:p w14:paraId="00BB12CE" w14:textId="77777777" w:rsidR="00871BDF" w:rsidRDefault="005C5088">
      <w:pPr>
        <w:spacing w:before="120"/>
        <w:jc w:val="center"/>
      </w:pPr>
      <w:r>
        <w:rPr>
          <w:rFonts w:ascii="Times New Roman" w:eastAsia="宋体" w:hAnsi="Times New Roman"/>
          <w:b/>
          <w:bCs/>
          <w:color w:val="000000"/>
          <w:sz w:val="20"/>
          <w:szCs w:val="20"/>
        </w:rPr>
        <w:t>POWER OF ATTORNEY</w:t>
      </w:r>
    </w:p>
    <w:p w14:paraId="00BB12CF" w14:textId="77777777" w:rsidR="00871BDF" w:rsidRDefault="005C5088">
      <w:pPr>
        <w:spacing w:before="120"/>
      </w:pPr>
      <w:r>
        <w:rPr>
          <w:rFonts w:ascii="Times New Roman" w:eastAsia="宋体" w:hAnsi="Times New Roman"/>
          <w:color w:val="000000"/>
          <w:sz w:val="20"/>
          <w:szCs w:val="20"/>
        </w:rPr>
        <w:t xml:space="preserve">Know all persons by these presents, that each person whose signature appears below constitutes and appoints Kevin R. Johnson, Patrick J. Grismer and Rachel A. Gonzalez, and each of </w:t>
      </w:r>
      <w:r>
        <w:rPr>
          <w:rFonts w:ascii="Times New Roman" w:eastAsia="宋体" w:hAnsi="Times New Roman"/>
          <w:color w:val="000000"/>
          <w:sz w:val="20"/>
          <w:szCs w:val="20"/>
        </w:rPr>
        <w:t>them, as such person’s true and lawful attorneys-in-fact and agents, with full power of substitution and resubstitution, for such person and in such person’s name, place and stead, in any and all capacities, to sign any and all amendments to this report, a</w:t>
      </w:r>
      <w:r>
        <w:rPr>
          <w:rFonts w:ascii="Times New Roman" w:eastAsia="宋体" w:hAnsi="Times New Roman"/>
          <w:color w:val="000000"/>
          <w:sz w:val="20"/>
          <w:szCs w:val="20"/>
        </w:rPr>
        <w:t>nd to file the same, with all exhibits thereto, and other documents in connection therewith, with the Securities and Exchange Commission, granting unto said attorneys-in-fact and agents, and each of them, full power and authority to do and perform each and</w:t>
      </w:r>
      <w:r>
        <w:rPr>
          <w:rFonts w:ascii="Times New Roman" w:eastAsia="宋体" w:hAnsi="Times New Roman"/>
          <w:color w:val="000000"/>
          <w:sz w:val="20"/>
          <w:szCs w:val="20"/>
        </w:rPr>
        <w:t xml:space="preserve"> every act and thing requisite and necessary to be done in connection therewith, as fully to all intents and purposes as such person might or could do in person, hereby ratifying and confirming all that said attorneys-in-fact and agents, or any of them or </w:t>
      </w:r>
      <w:r>
        <w:rPr>
          <w:rFonts w:ascii="Times New Roman" w:eastAsia="宋体" w:hAnsi="Times New Roman"/>
          <w:color w:val="000000"/>
          <w:sz w:val="20"/>
          <w:szCs w:val="20"/>
        </w:rPr>
        <w:t>their or such person’s substitute or substitutes, may lawfully do or cause to be done by virtue thereof.</w:t>
      </w:r>
    </w:p>
    <w:p w14:paraId="00BB12D0" w14:textId="77777777" w:rsidR="00871BDF" w:rsidRDefault="005C5088">
      <w:pPr>
        <w:spacing w:before="120"/>
      </w:pPr>
      <w:r>
        <w:rPr>
          <w:rFonts w:ascii="Times New Roman" w:eastAsia="宋体" w:hAnsi="Times New Roman"/>
          <w:color w:val="000000"/>
          <w:sz w:val="20"/>
          <w:szCs w:val="20"/>
        </w:rPr>
        <w:t>Pursuant to the requirements of the Securities Exchange Act of 1934, this report has been signed below by the following persons on behalf of the regist</w:t>
      </w:r>
      <w:r>
        <w:rPr>
          <w:rFonts w:ascii="Times New Roman" w:eastAsia="宋体" w:hAnsi="Times New Roman"/>
          <w:color w:val="000000"/>
          <w:sz w:val="20"/>
          <w:szCs w:val="20"/>
        </w:rPr>
        <w:t>rant and in the capacities indicated as of November 12, 2020.</w:t>
      </w:r>
    </w:p>
    <w:p w14:paraId="00BB12D1" w14:textId="77777777" w:rsidR="00871BDF" w:rsidRDefault="005C5088">
      <w:pPr>
        <w:jc w:val="center"/>
      </w:pPr>
      <w:r>
        <w:rPr>
          <w:rFonts w:ascii="Times New Roman" w:eastAsia="宋体" w:hAnsi="Times New Roman"/>
          <w:color w:val="000000"/>
          <w:sz w:val="20"/>
          <w:szCs w:val="20"/>
        </w:rPr>
        <w:t>104</w:t>
      </w:r>
    </w:p>
    <w:p w14:paraId="00BB12D2" w14:textId="77777777" w:rsidR="00871BDF" w:rsidRDefault="005C5088">
      <w:r>
        <w:pict w14:anchorId="00BB14CD">
          <v:rect id="_x0000_i1131" style="width:415.3pt;height:1.5pt" o:hralign="center" o:hrstd="t" o:hr="t" fillcolor="#a0a0a0" stroked="f"/>
        </w:pict>
      </w:r>
    </w:p>
    <w:p w14:paraId="00BB12D3" w14:textId="77777777" w:rsidR="00871BDF" w:rsidRDefault="005C5088">
      <w:hyperlink r:id="rId458" w:anchor="i54ccc64cb5384be5a4849ef1cdef4dde_7" w:history="1">
        <w:r>
          <w:rPr>
            <w:rStyle w:val="a5"/>
            <w:rFonts w:ascii="Times New Roman" w:eastAsia="宋体" w:hAnsi="Times New Roman"/>
            <w:sz w:val="20"/>
            <w:szCs w:val="20"/>
          </w:rPr>
          <w:t>Table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78"/>
        <w:gridCol w:w="244"/>
        <w:gridCol w:w="36"/>
        <w:gridCol w:w="36"/>
        <w:gridCol w:w="36"/>
        <w:gridCol w:w="36"/>
        <w:gridCol w:w="41"/>
        <w:gridCol w:w="3696"/>
        <w:gridCol w:w="39"/>
        <w:gridCol w:w="36"/>
        <w:gridCol w:w="191"/>
        <w:gridCol w:w="36"/>
        <w:gridCol w:w="59"/>
        <w:gridCol w:w="3723"/>
        <w:gridCol w:w="37"/>
      </w:tblGrid>
      <w:tr w:rsidR="00871BDF" w14:paraId="00BB12E3" w14:textId="77777777">
        <w:tc>
          <w:tcPr>
            <w:tcW w:w="50" w:type="pct"/>
            <w:shd w:val="clear" w:color="auto" w:fill="auto"/>
          </w:tcPr>
          <w:p w14:paraId="00BB12D4" w14:textId="77777777" w:rsidR="00871BDF" w:rsidRDefault="00871BDF">
            <w:pPr>
              <w:rPr>
                <w:rFonts w:ascii="宋体"/>
              </w:rPr>
            </w:pPr>
          </w:p>
        </w:tc>
        <w:tc>
          <w:tcPr>
            <w:tcW w:w="157" w:type="pct"/>
            <w:shd w:val="clear" w:color="auto" w:fill="auto"/>
          </w:tcPr>
          <w:p w14:paraId="00BB12D5" w14:textId="77777777" w:rsidR="00871BDF" w:rsidRDefault="00871BDF">
            <w:pPr>
              <w:rPr>
                <w:rFonts w:ascii="宋体"/>
              </w:rPr>
            </w:pPr>
          </w:p>
        </w:tc>
        <w:tc>
          <w:tcPr>
            <w:tcW w:w="5" w:type="pct"/>
            <w:shd w:val="clear" w:color="auto" w:fill="auto"/>
          </w:tcPr>
          <w:p w14:paraId="00BB12D6" w14:textId="77777777" w:rsidR="00871BDF" w:rsidRDefault="00871BDF">
            <w:pPr>
              <w:rPr>
                <w:rFonts w:ascii="宋体"/>
              </w:rPr>
            </w:pPr>
          </w:p>
        </w:tc>
        <w:tc>
          <w:tcPr>
            <w:tcW w:w="5" w:type="pct"/>
            <w:shd w:val="clear" w:color="auto" w:fill="auto"/>
          </w:tcPr>
          <w:p w14:paraId="00BB12D7" w14:textId="77777777" w:rsidR="00871BDF" w:rsidRDefault="00871BDF">
            <w:pPr>
              <w:rPr>
                <w:rFonts w:ascii="宋体"/>
              </w:rPr>
            </w:pPr>
          </w:p>
        </w:tc>
        <w:tc>
          <w:tcPr>
            <w:tcW w:w="26" w:type="pct"/>
            <w:shd w:val="clear" w:color="auto" w:fill="auto"/>
          </w:tcPr>
          <w:p w14:paraId="00BB12D8" w14:textId="77777777" w:rsidR="00871BDF" w:rsidRDefault="00871BDF">
            <w:pPr>
              <w:rPr>
                <w:rFonts w:ascii="宋体"/>
              </w:rPr>
            </w:pPr>
          </w:p>
        </w:tc>
        <w:tc>
          <w:tcPr>
            <w:tcW w:w="5" w:type="pct"/>
            <w:shd w:val="clear" w:color="auto" w:fill="auto"/>
          </w:tcPr>
          <w:p w14:paraId="00BB12D9" w14:textId="77777777" w:rsidR="00871BDF" w:rsidRDefault="00871BDF">
            <w:pPr>
              <w:rPr>
                <w:rFonts w:ascii="宋体"/>
              </w:rPr>
            </w:pPr>
          </w:p>
        </w:tc>
        <w:tc>
          <w:tcPr>
            <w:tcW w:w="50" w:type="pct"/>
            <w:shd w:val="clear" w:color="auto" w:fill="auto"/>
          </w:tcPr>
          <w:p w14:paraId="00BB12DA" w14:textId="77777777" w:rsidR="00871BDF" w:rsidRDefault="00871BDF">
            <w:pPr>
              <w:rPr>
                <w:rFonts w:ascii="宋体"/>
              </w:rPr>
            </w:pPr>
          </w:p>
        </w:tc>
        <w:tc>
          <w:tcPr>
            <w:tcW w:w="2251" w:type="pct"/>
            <w:shd w:val="clear" w:color="auto" w:fill="auto"/>
          </w:tcPr>
          <w:p w14:paraId="00BB12DB" w14:textId="77777777" w:rsidR="00871BDF" w:rsidRDefault="00871BDF">
            <w:pPr>
              <w:rPr>
                <w:rFonts w:ascii="宋体"/>
              </w:rPr>
            </w:pPr>
          </w:p>
        </w:tc>
        <w:tc>
          <w:tcPr>
            <w:tcW w:w="5" w:type="pct"/>
            <w:shd w:val="clear" w:color="auto" w:fill="auto"/>
          </w:tcPr>
          <w:p w14:paraId="00BB12DC" w14:textId="77777777" w:rsidR="00871BDF" w:rsidRDefault="00871BDF">
            <w:pPr>
              <w:rPr>
                <w:rFonts w:ascii="宋体"/>
              </w:rPr>
            </w:pPr>
          </w:p>
        </w:tc>
        <w:tc>
          <w:tcPr>
            <w:tcW w:w="5" w:type="pct"/>
            <w:shd w:val="clear" w:color="auto" w:fill="auto"/>
          </w:tcPr>
          <w:p w14:paraId="00BB12DD" w14:textId="77777777" w:rsidR="00871BDF" w:rsidRDefault="00871BDF">
            <w:pPr>
              <w:rPr>
                <w:rFonts w:ascii="宋体"/>
              </w:rPr>
            </w:pPr>
          </w:p>
        </w:tc>
        <w:tc>
          <w:tcPr>
            <w:tcW w:w="129" w:type="pct"/>
            <w:shd w:val="clear" w:color="auto" w:fill="auto"/>
          </w:tcPr>
          <w:p w14:paraId="00BB12DE" w14:textId="77777777" w:rsidR="00871BDF" w:rsidRDefault="00871BDF">
            <w:pPr>
              <w:rPr>
                <w:rFonts w:ascii="宋体"/>
              </w:rPr>
            </w:pPr>
          </w:p>
        </w:tc>
        <w:tc>
          <w:tcPr>
            <w:tcW w:w="5" w:type="pct"/>
            <w:shd w:val="clear" w:color="auto" w:fill="auto"/>
          </w:tcPr>
          <w:p w14:paraId="00BB12DF" w14:textId="77777777" w:rsidR="00871BDF" w:rsidRDefault="00871BDF">
            <w:pPr>
              <w:rPr>
                <w:rFonts w:ascii="宋体"/>
              </w:rPr>
            </w:pPr>
          </w:p>
        </w:tc>
        <w:tc>
          <w:tcPr>
            <w:tcW w:w="50" w:type="pct"/>
            <w:shd w:val="clear" w:color="auto" w:fill="auto"/>
          </w:tcPr>
          <w:p w14:paraId="00BB12E0" w14:textId="77777777" w:rsidR="00871BDF" w:rsidRDefault="00871BDF">
            <w:pPr>
              <w:rPr>
                <w:rFonts w:ascii="宋体"/>
              </w:rPr>
            </w:pPr>
          </w:p>
        </w:tc>
        <w:tc>
          <w:tcPr>
            <w:tcW w:w="2251" w:type="pct"/>
            <w:shd w:val="clear" w:color="auto" w:fill="auto"/>
          </w:tcPr>
          <w:p w14:paraId="00BB12E1" w14:textId="77777777" w:rsidR="00871BDF" w:rsidRDefault="00871BDF">
            <w:pPr>
              <w:rPr>
                <w:rFonts w:ascii="宋体"/>
              </w:rPr>
            </w:pPr>
          </w:p>
        </w:tc>
        <w:tc>
          <w:tcPr>
            <w:tcW w:w="5" w:type="pct"/>
            <w:shd w:val="clear" w:color="auto" w:fill="auto"/>
          </w:tcPr>
          <w:p w14:paraId="00BB12E2" w14:textId="77777777" w:rsidR="00871BDF" w:rsidRDefault="00871BDF">
            <w:pPr>
              <w:rPr>
                <w:rFonts w:ascii="宋体"/>
              </w:rPr>
            </w:pPr>
          </w:p>
        </w:tc>
      </w:tr>
      <w:tr w:rsidR="00871BDF" w14:paraId="00BB12E9" w14:textId="77777777">
        <w:tc>
          <w:tcPr>
            <w:tcW w:w="0" w:type="auto"/>
            <w:gridSpan w:val="3"/>
            <w:shd w:val="clear" w:color="auto" w:fill="auto"/>
            <w:tcMar>
              <w:top w:w="40" w:type="dxa"/>
              <w:left w:w="20" w:type="dxa"/>
              <w:bottom w:w="40" w:type="dxa"/>
              <w:right w:w="20" w:type="dxa"/>
            </w:tcMar>
            <w:vAlign w:val="bottom"/>
          </w:tcPr>
          <w:p w14:paraId="00BB12E4"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B12E5"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2E6" w14:textId="77777777" w:rsidR="00871BDF" w:rsidRDefault="005C5088">
            <w:pPr>
              <w:jc w:val="center"/>
              <w:textAlignment w:val="bottom"/>
            </w:pPr>
            <w:r>
              <w:rPr>
                <w:rFonts w:ascii="Times New Roman" w:eastAsia="宋体" w:hAnsi="Times New Roman"/>
                <w:b/>
                <w:bCs/>
                <w:color w:val="000000"/>
                <w:sz w:val="16"/>
                <w:szCs w:val="16"/>
                <w:u w:val="single"/>
              </w:rPr>
              <w:t>Signature</w:t>
            </w:r>
          </w:p>
        </w:tc>
        <w:tc>
          <w:tcPr>
            <w:tcW w:w="0" w:type="auto"/>
            <w:gridSpan w:val="3"/>
            <w:shd w:val="clear" w:color="auto" w:fill="auto"/>
            <w:tcMar>
              <w:top w:w="40" w:type="dxa"/>
              <w:left w:w="20" w:type="dxa"/>
              <w:bottom w:w="40" w:type="dxa"/>
              <w:right w:w="20" w:type="dxa"/>
            </w:tcMar>
            <w:vAlign w:val="bottom"/>
          </w:tcPr>
          <w:p w14:paraId="00BB12E7"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0BB12E8" w14:textId="77777777" w:rsidR="00871BDF" w:rsidRDefault="005C5088">
            <w:pPr>
              <w:jc w:val="center"/>
              <w:textAlignment w:val="bottom"/>
            </w:pPr>
            <w:r>
              <w:rPr>
                <w:rFonts w:ascii="Times New Roman" w:eastAsia="宋体" w:hAnsi="Times New Roman"/>
                <w:b/>
                <w:bCs/>
                <w:color w:val="000000"/>
                <w:sz w:val="16"/>
                <w:szCs w:val="16"/>
                <w:u w:val="single"/>
              </w:rPr>
              <w:t>Title</w:t>
            </w:r>
          </w:p>
        </w:tc>
      </w:tr>
      <w:tr w:rsidR="00871BDF" w14:paraId="00BB12EF" w14:textId="77777777">
        <w:trPr>
          <w:trHeight w:val="280"/>
        </w:trPr>
        <w:tc>
          <w:tcPr>
            <w:tcW w:w="0" w:type="auto"/>
            <w:gridSpan w:val="3"/>
            <w:shd w:val="clear" w:color="auto" w:fill="auto"/>
            <w:tcMar>
              <w:top w:w="0" w:type="dxa"/>
              <w:left w:w="20" w:type="dxa"/>
              <w:bottom w:w="0" w:type="dxa"/>
              <w:right w:w="20" w:type="dxa"/>
            </w:tcMar>
          </w:tcPr>
          <w:p w14:paraId="00BB12EA"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EB"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EC"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ED"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EE" w14:textId="77777777" w:rsidR="00871BDF" w:rsidRDefault="00871BDF">
            <w:pPr>
              <w:rPr>
                <w:rFonts w:ascii="宋体"/>
              </w:rPr>
            </w:pPr>
          </w:p>
        </w:tc>
      </w:tr>
      <w:tr w:rsidR="00871BDF" w14:paraId="00BB12F6" w14:textId="77777777">
        <w:trPr>
          <w:trHeight w:val="300"/>
        </w:trPr>
        <w:tc>
          <w:tcPr>
            <w:tcW w:w="0" w:type="auto"/>
            <w:gridSpan w:val="3"/>
            <w:shd w:val="clear" w:color="auto" w:fill="auto"/>
            <w:tcMar>
              <w:top w:w="40" w:type="dxa"/>
              <w:left w:w="20" w:type="dxa"/>
              <w:bottom w:w="40" w:type="dxa"/>
              <w:right w:w="20" w:type="dxa"/>
            </w:tcMar>
          </w:tcPr>
          <w:p w14:paraId="00BB12F0" w14:textId="77777777" w:rsidR="00871BDF" w:rsidRDefault="005C5088">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00BB12F1"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2F2" w14:textId="77777777" w:rsidR="00871BDF" w:rsidRDefault="005C5088">
            <w:pPr>
              <w:textAlignment w:val="bottom"/>
            </w:pPr>
            <w:r>
              <w:rPr>
                <w:rFonts w:ascii="Times New Roman" w:eastAsia="宋体" w:hAnsi="Times New Roman"/>
                <w:color w:val="000000"/>
                <w:sz w:val="20"/>
                <w:szCs w:val="20"/>
              </w:rPr>
              <w:t>/s/    Kevin R. Johnson</w:t>
            </w:r>
          </w:p>
        </w:tc>
        <w:tc>
          <w:tcPr>
            <w:tcW w:w="0" w:type="auto"/>
            <w:gridSpan w:val="3"/>
            <w:shd w:val="clear" w:color="auto" w:fill="auto"/>
            <w:tcMar>
              <w:top w:w="40" w:type="dxa"/>
              <w:left w:w="20" w:type="dxa"/>
              <w:bottom w:w="40" w:type="dxa"/>
              <w:right w:w="20" w:type="dxa"/>
            </w:tcMar>
            <w:vAlign w:val="bottom"/>
          </w:tcPr>
          <w:p w14:paraId="00BB12F3" w14:textId="77777777" w:rsidR="00871BDF" w:rsidRDefault="005C5088">
            <w:pPr>
              <w:textAlignment w:val="bottom"/>
            </w:pPr>
            <w:r>
              <w:rPr>
                <w:rFonts w:ascii="Times New Roman" w:eastAsia="宋体" w:hAnsi="Times New Roman"/>
                <w:color w:val="000000"/>
                <w:sz w:val="16"/>
                <w:szCs w:val="16"/>
              </w:rPr>
              <w:t> </w:t>
            </w:r>
          </w:p>
        </w:tc>
        <w:tc>
          <w:tcPr>
            <w:tcW w:w="0" w:type="auto"/>
            <w:gridSpan w:val="3"/>
            <w:vMerge w:val="restart"/>
            <w:shd w:val="clear" w:color="auto" w:fill="auto"/>
            <w:tcMar>
              <w:top w:w="40" w:type="dxa"/>
              <w:left w:w="20" w:type="dxa"/>
              <w:bottom w:w="40" w:type="dxa"/>
              <w:right w:w="20" w:type="dxa"/>
            </w:tcMar>
          </w:tcPr>
          <w:p w14:paraId="00BB12F4" w14:textId="77777777" w:rsidR="00871BDF" w:rsidRDefault="005C5088">
            <w:pPr>
              <w:jc w:val="center"/>
              <w:textAlignment w:val="top"/>
            </w:pPr>
            <w:r>
              <w:rPr>
                <w:rFonts w:ascii="Times New Roman" w:eastAsia="宋体" w:hAnsi="Times New Roman"/>
                <w:color w:val="000000"/>
                <w:sz w:val="20"/>
                <w:szCs w:val="20"/>
              </w:rPr>
              <w:t xml:space="preserve">president and chief executive officer, director </w:t>
            </w:r>
          </w:p>
          <w:p w14:paraId="00BB12F5" w14:textId="77777777" w:rsidR="00871BDF" w:rsidRDefault="005C5088">
            <w:pPr>
              <w:jc w:val="center"/>
              <w:textAlignment w:val="top"/>
            </w:pPr>
            <w:r>
              <w:rPr>
                <w:rFonts w:ascii="Times New Roman" w:eastAsia="宋体" w:hAnsi="Times New Roman"/>
                <w:color w:val="000000"/>
                <w:sz w:val="20"/>
                <w:szCs w:val="20"/>
              </w:rPr>
              <w:t>(principal executive officer)</w:t>
            </w:r>
          </w:p>
        </w:tc>
      </w:tr>
      <w:tr w:rsidR="00871BDF" w14:paraId="00BB12FC" w14:textId="77777777">
        <w:trPr>
          <w:trHeight w:val="300"/>
        </w:trPr>
        <w:tc>
          <w:tcPr>
            <w:tcW w:w="0" w:type="auto"/>
            <w:gridSpan w:val="3"/>
            <w:shd w:val="clear" w:color="auto" w:fill="auto"/>
            <w:tcMar>
              <w:top w:w="0" w:type="dxa"/>
              <w:left w:w="20" w:type="dxa"/>
              <w:bottom w:w="0" w:type="dxa"/>
              <w:right w:w="20" w:type="dxa"/>
            </w:tcMar>
          </w:tcPr>
          <w:p w14:paraId="00BB12F7"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F8"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B12F9" w14:textId="77777777" w:rsidR="00871BDF" w:rsidRDefault="005C5088">
            <w:pPr>
              <w:textAlignment w:val="bottom"/>
            </w:pPr>
            <w:r>
              <w:rPr>
                <w:rFonts w:ascii="Times New Roman" w:eastAsia="宋体" w:hAnsi="Times New Roman"/>
                <w:color w:val="000000"/>
                <w:sz w:val="20"/>
                <w:szCs w:val="20"/>
              </w:rPr>
              <w:t>Kevin R. Johnson</w:t>
            </w:r>
          </w:p>
        </w:tc>
        <w:tc>
          <w:tcPr>
            <w:tcW w:w="0" w:type="auto"/>
            <w:gridSpan w:val="3"/>
            <w:shd w:val="clear" w:color="auto" w:fill="auto"/>
            <w:tcMar>
              <w:top w:w="0" w:type="dxa"/>
              <w:left w:w="20" w:type="dxa"/>
              <w:bottom w:w="0" w:type="dxa"/>
              <w:right w:w="20" w:type="dxa"/>
            </w:tcMar>
          </w:tcPr>
          <w:p w14:paraId="00BB12FA" w14:textId="77777777" w:rsidR="00871BDF" w:rsidRDefault="00871BDF">
            <w:pPr>
              <w:rPr>
                <w:rFonts w:ascii="宋体"/>
              </w:rPr>
            </w:pPr>
          </w:p>
        </w:tc>
        <w:tc>
          <w:tcPr>
            <w:tcW w:w="0" w:type="auto"/>
            <w:gridSpan w:val="3"/>
            <w:vMerge/>
            <w:shd w:val="clear" w:color="auto" w:fill="auto"/>
            <w:tcMar>
              <w:top w:w="40" w:type="dxa"/>
              <w:left w:w="20" w:type="dxa"/>
              <w:bottom w:w="40" w:type="dxa"/>
              <w:right w:w="20" w:type="dxa"/>
            </w:tcMar>
          </w:tcPr>
          <w:p w14:paraId="00BB12FB" w14:textId="77777777" w:rsidR="00871BDF" w:rsidRDefault="00871BDF">
            <w:pPr>
              <w:rPr>
                <w:rFonts w:ascii="宋体"/>
              </w:rPr>
            </w:pPr>
          </w:p>
        </w:tc>
      </w:tr>
      <w:tr w:rsidR="00871BDF" w14:paraId="00BB1302" w14:textId="77777777">
        <w:trPr>
          <w:trHeight w:val="300"/>
        </w:trPr>
        <w:tc>
          <w:tcPr>
            <w:tcW w:w="0" w:type="auto"/>
            <w:gridSpan w:val="3"/>
            <w:shd w:val="clear" w:color="auto" w:fill="auto"/>
            <w:tcMar>
              <w:top w:w="0" w:type="dxa"/>
              <w:left w:w="20" w:type="dxa"/>
              <w:bottom w:w="0" w:type="dxa"/>
              <w:right w:w="20" w:type="dxa"/>
            </w:tcMar>
          </w:tcPr>
          <w:p w14:paraId="00BB12FD"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FE"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2FF"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00"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01" w14:textId="77777777" w:rsidR="00871BDF" w:rsidRDefault="00871BDF">
            <w:pPr>
              <w:rPr>
                <w:rFonts w:ascii="宋体"/>
              </w:rPr>
            </w:pPr>
          </w:p>
        </w:tc>
      </w:tr>
      <w:tr w:rsidR="00871BDF" w14:paraId="00BB1309" w14:textId="77777777">
        <w:trPr>
          <w:trHeight w:val="300"/>
        </w:trPr>
        <w:tc>
          <w:tcPr>
            <w:tcW w:w="0" w:type="auto"/>
            <w:gridSpan w:val="3"/>
            <w:shd w:val="clear" w:color="auto" w:fill="auto"/>
            <w:tcMar>
              <w:top w:w="40" w:type="dxa"/>
              <w:left w:w="20" w:type="dxa"/>
              <w:bottom w:w="40" w:type="dxa"/>
              <w:right w:w="20" w:type="dxa"/>
            </w:tcMar>
          </w:tcPr>
          <w:p w14:paraId="00BB1303" w14:textId="77777777" w:rsidR="00871BDF" w:rsidRDefault="005C5088">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00BB1304"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tcPr>
          <w:p w14:paraId="00BB1305" w14:textId="77777777" w:rsidR="00871BDF" w:rsidRDefault="005C5088">
            <w:pPr>
              <w:textAlignment w:val="top"/>
            </w:pPr>
            <w:r>
              <w:rPr>
                <w:rFonts w:ascii="Times New Roman" w:eastAsia="宋体" w:hAnsi="Times New Roman"/>
                <w:color w:val="000000"/>
                <w:sz w:val="20"/>
                <w:szCs w:val="20"/>
              </w:rPr>
              <w:t>/s/    Patrick J. Grismer</w:t>
            </w:r>
          </w:p>
        </w:tc>
        <w:tc>
          <w:tcPr>
            <w:tcW w:w="0" w:type="auto"/>
            <w:gridSpan w:val="3"/>
            <w:shd w:val="clear" w:color="auto" w:fill="auto"/>
            <w:tcMar>
              <w:top w:w="0" w:type="dxa"/>
              <w:left w:w="20" w:type="dxa"/>
              <w:bottom w:w="0" w:type="dxa"/>
              <w:right w:w="20" w:type="dxa"/>
            </w:tcMar>
          </w:tcPr>
          <w:p w14:paraId="00BB1306" w14:textId="77777777" w:rsidR="00871BDF" w:rsidRDefault="00871BDF">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00BB1307" w14:textId="77777777" w:rsidR="00871BDF" w:rsidRDefault="005C5088">
            <w:pPr>
              <w:jc w:val="center"/>
              <w:textAlignment w:val="center"/>
            </w:pPr>
            <w:r>
              <w:rPr>
                <w:rFonts w:ascii="Times New Roman" w:eastAsia="宋体" w:hAnsi="Times New Roman"/>
                <w:color w:val="000000"/>
                <w:sz w:val="20"/>
                <w:szCs w:val="20"/>
              </w:rPr>
              <w:t xml:space="preserve">executive vice president, chief financial officer </w:t>
            </w:r>
          </w:p>
          <w:p w14:paraId="00BB1308" w14:textId="77777777" w:rsidR="00871BDF" w:rsidRDefault="005C5088">
            <w:pPr>
              <w:jc w:val="center"/>
              <w:textAlignment w:val="center"/>
            </w:pPr>
            <w:r>
              <w:rPr>
                <w:rFonts w:ascii="Times New Roman" w:eastAsia="宋体" w:hAnsi="Times New Roman"/>
                <w:color w:val="000000"/>
                <w:sz w:val="20"/>
                <w:szCs w:val="20"/>
              </w:rPr>
              <w:t>(principal financial officer)</w:t>
            </w:r>
          </w:p>
        </w:tc>
      </w:tr>
      <w:tr w:rsidR="00871BDF" w14:paraId="00BB130F" w14:textId="77777777">
        <w:trPr>
          <w:trHeight w:val="360"/>
        </w:trPr>
        <w:tc>
          <w:tcPr>
            <w:tcW w:w="0" w:type="auto"/>
            <w:gridSpan w:val="3"/>
            <w:shd w:val="clear" w:color="auto" w:fill="auto"/>
            <w:tcMar>
              <w:top w:w="0" w:type="dxa"/>
              <w:left w:w="20" w:type="dxa"/>
              <w:bottom w:w="0" w:type="dxa"/>
              <w:right w:w="20" w:type="dxa"/>
            </w:tcMar>
          </w:tcPr>
          <w:p w14:paraId="00BB130A"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0B"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0BB130C" w14:textId="77777777" w:rsidR="00871BDF" w:rsidRDefault="005C5088">
            <w:pPr>
              <w:textAlignment w:val="top"/>
            </w:pPr>
            <w:r>
              <w:rPr>
                <w:rFonts w:ascii="Times New Roman" w:eastAsia="宋体" w:hAnsi="Times New Roman"/>
                <w:color w:val="000000"/>
                <w:sz w:val="20"/>
                <w:szCs w:val="20"/>
              </w:rPr>
              <w:t>Patrick J. Grismer</w:t>
            </w:r>
          </w:p>
        </w:tc>
        <w:tc>
          <w:tcPr>
            <w:tcW w:w="0" w:type="auto"/>
            <w:gridSpan w:val="3"/>
            <w:shd w:val="clear" w:color="auto" w:fill="auto"/>
            <w:tcMar>
              <w:top w:w="0" w:type="dxa"/>
              <w:left w:w="20" w:type="dxa"/>
              <w:bottom w:w="0" w:type="dxa"/>
              <w:right w:w="20" w:type="dxa"/>
            </w:tcMar>
          </w:tcPr>
          <w:p w14:paraId="00BB130D" w14:textId="77777777" w:rsidR="00871BDF" w:rsidRDefault="00871BDF">
            <w:pPr>
              <w:rPr>
                <w:rFonts w:ascii="宋体"/>
              </w:rPr>
            </w:pPr>
          </w:p>
        </w:tc>
        <w:tc>
          <w:tcPr>
            <w:tcW w:w="0" w:type="auto"/>
            <w:gridSpan w:val="3"/>
            <w:vMerge/>
            <w:shd w:val="clear" w:color="auto" w:fill="auto"/>
            <w:tcMar>
              <w:top w:w="40" w:type="dxa"/>
              <w:left w:w="20" w:type="dxa"/>
              <w:bottom w:w="40" w:type="dxa"/>
              <w:right w:w="20" w:type="dxa"/>
            </w:tcMar>
            <w:vAlign w:val="center"/>
          </w:tcPr>
          <w:p w14:paraId="00BB130E" w14:textId="77777777" w:rsidR="00871BDF" w:rsidRDefault="00871BDF">
            <w:pPr>
              <w:rPr>
                <w:rFonts w:ascii="宋体"/>
              </w:rPr>
            </w:pPr>
          </w:p>
        </w:tc>
      </w:tr>
      <w:tr w:rsidR="00871BDF" w14:paraId="00BB1315" w14:textId="77777777">
        <w:trPr>
          <w:trHeight w:val="300"/>
        </w:trPr>
        <w:tc>
          <w:tcPr>
            <w:tcW w:w="0" w:type="auto"/>
            <w:gridSpan w:val="3"/>
            <w:shd w:val="clear" w:color="auto" w:fill="auto"/>
            <w:tcMar>
              <w:top w:w="0" w:type="dxa"/>
              <w:left w:w="20" w:type="dxa"/>
              <w:bottom w:w="0" w:type="dxa"/>
              <w:right w:w="20" w:type="dxa"/>
            </w:tcMar>
          </w:tcPr>
          <w:p w14:paraId="00BB1310"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11"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12"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13"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14" w14:textId="77777777" w:rsidR="00871BDF" w:rsidRDefault="00871BDF">
            <w:pPr>
              <w:rPr>
                <w:rFonts w:ascii="宋体"/>
              </w:rPr>
            </w:pPr>
          </w:p>
        </w:tc>
      </w:tr>
      <w:tr w:rsidR="00871BDF" w14:paraId="00BB131B" w14:textId="77777777">
        <w:trPr>
          <w:trHeight w:val="300"/>
        </w:trPr>
        <w:tc>
          <w:tcPr>
            <w:tcW w:w="0" w:type="auto"/>
            <w:gridSpan w:val="3"/>
            <w:shd w:val="clear" w:color="auto" w:fill="auto"/>
            <w:tcMar>
              <w:top w:w="40" w:type="dxa"/>
              <w:left w:w="20" w:type="dxa"/>
              <w:bottom w:w="40" w:type="dxa"/>
              <w:right w:w="20" w:type="dxa"/>
            </w:tcMar>
          </w:tcPr>
          <w:p w14:paraId="00BB1316" w14:textId="77777777" w:rsidR="00871BDF" w:rsidRDefault="005C5088">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00BB1317"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tcPr>
          <w:p w14:paraId="00BB1318" w14:textId="77777777" w:rsidR="00871BDF" w:rsidRDefault="005C5088">
            <w:pPr>
              <w:textAlignment w:val="top"/>
            </w:pPr>
            <w:r>
              <w:rPr>
                <w:rFonts w:ascii="Times New Roman" w:eastAsia="宋体" w:hAnsi="Times New Roman"/>
                <w:color w:val="000000"/>
                <w:sz w:val="20"/>
                <w:szCs w:val="20"/>
              </w:rPr>
              <w:t>/s/    Jill L. Walker</w:t>
            </w:r>
          </w:p>
        </w:tc>
        <w:tc>
          <w:tcPr>
            <w:tcW w:w="0" w:type="auto"/>
            <w:gridSpan w:val="3"/>
            <w:shd w:val="clear" w:color="auto" w:fill="auto"/>
            <w:tcMar>
              <w:top w:w="0" w:type="dxa"/>
              <w:left w:w="20" w:type="dxa"/>
              <w:bottom w:w="0" w:type="dxa"/>
              <w:right w:w="20" w:type="dxa"/>
            </w:tcMar>
          </w:tcPr>
          <w:p w14:paraId="00BB1319" w14:textId="77777777" w:rsidR="00871BDF" w:rsidRDefault="00871BDF">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00BB131A" w14:textId="77777777" w:rsidR="00871BDF" w:rsidRDefault="005C5088">
            <w:pPr>
              <w:jc w:val="center"/>
              <w:textAlignment w:val="center"/>
            </w:pPr>
            <w:r>
              <w:rPr>
                <w:rFonts w:ascii="Times New Roman" w:eastAsia="宋体" w:hAnsi="Times New Roman"/>
                <w:color w:val="000000"/>
                <w:sz w:val="20"/>
                <w:szCs w:val="20"/>
              </w:rPr>
              <w:t xml:space="preserve">senior vice president, Corporate Financial Services, and chief accounting officer (principal accounting </w:t>
            </w:r>
            <w:r>
              <w:rPr>
                <w:rFonts w:ascii="Times New Roman" w:eastAsia="宋体" w:hAnsi="Times New Roman"/>
                <w:color w:val="000000"/>
                <w:sz w:val="20"/>
                <w:szCs w:val="20"/>
              </w:rPr>
              <w:t>officer)</w:t>
            </w:r>
          </w:p>
        </w:tc>
      </w:tr>
      <w:tr w:rsidR="00871BDF" w14:paraId="00BB1321" w14:textId="77777777">
        <w:trPr>
          <w:trHeight w:val="300"/>
        </w:trPr>
        <w:tc>
          <w:tcPr>
            <w:tcW w:w="0" w:type="auto"/>
            <w:gridSpan w:val="3"/>
            <w:shd w:val="clear" w:color="auto" w:fill="auto"/>
            <w:tcMar>
              <w:top w:w="0" w:type="dxa"/>
              <w:left w:w="20" w:type="dxa"/>
              <w:bottom w:w="0" w:type="dxa"/>
              <w:right w:w="20" w:type="dxa"/>
            </w:tcMar>
          </w:tcPr>
          <w:p w14:paraId="00BB131C"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1D"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0BB131E" w14:textId="77777777" w:rsidR="00871BDF" w:rsidRDefault="005C5088">
            <w:pPr>
              <w:textAlignment w:val="top"/>
            </w:pPr>
            <w:r>
              <w:rPr>
                <w:rFonts w:ascii="Times New Roman" w:eastAsia="宋体" w:hAnsi="Times New Roman"/>
                <w:color w:val="000000"/>
                <w:sz w:val="20"/>
                <w:szCs w:val="20"/>
              </w:rPr>
              <w:t>Jill L. Walker</w:t>
            </w:r>
          </w:p>
        </w:tc>
        <w:tc>
          <w:tcPr>
            <w:tcW w:w="0" w:type="auto"/>
            <w:gridSpan w:val="3"/>
            <w:shd w:val="clear" w:color="auto" w:fill="auto"/>
            <w:tcMar>
              <w:top w:w="0" w:type="dxa"/>
              <w:left w:w="20" w:type="dxa"/>
              <w:bottom w:w="0" w:type="dxa"/>
              <w:right w:w="20" w:type="dxa"/>
            </w:tcMar>
          </w:tcPr>
          <w:p w14:paraId="00BB131F" w14:textId="77777777" w:rsidR="00871BDF" w:rsidRDefault="00871BDF">
            <w:pPr>
              <w:rPr>
                <w:rFonts w:ascii="宋体"/>
              </w:rPr>
            </w:pPr>
          </w:p>
        </w:tc>
        <w:tc>
          <w:tcPr>
            <w:tcW w:w="0" w:type="auto"/>
            <w:gridSpan w:val="3"/>
            <w:vMerge/>
            <w:shd w:val="clear" w:color="auto" w:fill="auto"/>
            <w:tcMar>
              <w:top w:w="40" w:type="dxa"/>
              <w:left w:w="20" w:type="dxa"/>
              <w:bottom w:w="40" w:type="dxa"/>
              <w:right w:w="20" w:type="dxa"/>
            </w:tcMar>
            <w:vAlign w:val="center"/>
          </w:tcPr>
          <w:p w14:paraId="00BB1320" w14:textId="77777777" w:rsidR="00871BDF" w:rsidRDefault="00871BDF">
            <w:pPr>
              <w:jc w:val="center"/>
              <w:rPr>
                <w:rFonts w:ascii="宋体"/>
              </w:rPr>
            </w:pPr>
          </w:p>
        </w:tc>
      </w:tr>
      <w:tr w:rsidR="00871BDF" w14:paraId="00BB1327" w14:textId="77777777">
        <w:trPr>
          <w:trHeight w:val="300"/>
        </w:trPr>
        <w:tc>
          <w:tcPr>
            <w:tcW w:w="0" w:type="auto"/>
            <w:gridSpan w:val="3"/>
            <w:shd w:val="clear" w:color="auto" w:fill="auto"/>
            <w:tcMar>
              <w:top w:w="0" w:type="dxa"/>
              <w:left w:w="20" w:type="dxa"/>
              <w:bottom w:w="0" w:type="dxa"/>
              <w:right w:w="20" w:type="dxa"/>
            </w:tcMar>
          </w:tcPr>
          <w:p w14:paraId="00BB1322"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23"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24"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25"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26" w14:textId="77777777" w:rsidR="00871BDF" w:rsidRDefault="00871BDF">
            <w:pPr>
              <w:rPr>
                <w:rFonts w:ascii="宋体"/>
              </w:rPr>
            </w:pPr>
          </w:p>
        </w:tc>
      </w:tr>
      <w:tr w:rsidR="00871BDF" w14:paraId="00BB132D" w14:textId="77777777">
        <w:tc>
          <w:tcPr>
            <w:tcW w:w="0" w:type="auto"/>
            <w:gridSpan w:val="3"/>
            <w:shd w:val="clear" w:color="auto" w:fill="auto"/>
            <w:tcMar>
              <w:top w:w="40" w:type="dxa"/>
              <w:left w:w="20" w:type="dxa"/>
              <w:bottom w:w="40" w:type="dxa"/>
              <w:right w:w="20" w:type="dxa"/>
            </w:tcMar>
          </w:tcPr>
          <w:p w14:paraId="00BB1328" w14:textId="77777777" w:rsidR="00871BDF" w:rsidRDefault="005C5088">
            <w:pPr>
              <w:jc w:val="center"/>
              <w:textAlignment w:val="top"/>
            </w:pPr>
            <w:r>
              <w:rPr>
                <w:rFonts w:ascii="Times New Roman" w:eastAsia="宋体" w:hAnsi="Times New Roman"/>
                <w:color w:val="000000"/>
                <w:sz w:val="20"/>
                <w:szCs w:val="20"/>
              </w:rPr>
              <w:t xml:space="preserve">By: </w:t>
            </w:r>
          </w:p>
        </w:tc>
        <w:tc>
          <w:tcPr>
            <w:tcW w:w="0" w:type="auto"/>
            <w:gridSpan w:val="3"/>
            <w:shd w:val="clear" w:color="auto" w:fill="auto"/>
            <w:tcMar>
              <w:top w:w="0" w:type="dxa"/>
              <w:left w:w="20" w:type="dxa"/>
              <w:bottom w:w="0" w:type="dxa"/>
              <w:right w:w="20" w:type="dxa"/>
            </w:tcMar>
          </w:tcPr>
          <w:p w14:paraId="00BB1329"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32A" w14:textId="77777777" w:rsidR="00871BDF" w:rsidRDefault="005C5088">
            <w:pPr>
              <w:textAlignment w:val="bottom"/>
            </w:pPr>
            <w:r>
              <w:rPr>
                <w:rFonts w:ascii="Times New Roman" w:eastAsia="宋体" w:hAnsi="Times New Roman"/>
                <w:color w:val="000000"/>
                <w:sz w:val="20"/>
                <w:szCs w:val="20"/>
              </w:rPr>
              <w:t>/s/    Richard E. Allison, Jr.</w:t>
            </w:r>
          </w:p>
        </w:tc>
        <w:tc>
          <w:tcPr>
            <w:tcW w:w="0" w:type="auto"/>
            <w:gridSpan w:val="3"/>
            <w:shd w:val="clear" w:color="auto" w:fill="auto"/>
            <w:tcMar>
              <w:top w:w="0" w:type="dxa"/>
              <w:left w:w="20" w:type="dxa"/>
              <w:bottom w:w="0" w:type="dxa"/>
              <w:right w:w="20" w:type="dxa"/>
            </w:tcMar>
          </w:tcPr>
          <w:p w14:paraId="00BB132B"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tcPr>
          <w:p w14:paraId="00BB132C" w14:textId="77777777" w:rsidR="00871BDF" w:rsidRDefault="005C5088">
            <w:pPr>
              <w:jc w:val="center"/>
              <w:textAlignment w:val="top"/>
            </w:pPr>
            <w:r>
              <w:rPr>
                <w:rFonts w:ascii="Times New Roman" w:eastAsia="宋体" w:hAnsi="Times New Roman"/>
                <w:color w:val="000000"/>
                <w:sz w:val="20"/>
                <w:szCs w:val="20"/>
              </w:rPr>
              <w:t xml:space="preserve">director </w:t>
            </w:r>
          </w:p>
        </w:tc>
      </w:tr>
      <w:tr w:rsidR="00871BDF" w14:paraId="00BB1333" w14:textId="77777777">
        <w:tc>
          <w:tcPr>
            <w:tcW w:w="0" w:type="auto"/>
            <w:gridSpan w:val="3"/>
            <w:shd w:val="clear" w:color="auto" w:fill="auto"/>
            <w:tcMar>
              <w:top w:w="0" w:type="dxa"/>
              <w:left w:w="20" w:type="dxa"/>
              <w:bottom w:w="0" w:type="dxa"/>
              <w:right w:w="20" w:type="dxa"/>
            </w:tcMar>
          </w:tcPr>
          <w:p w14:paraId="00BB132E"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2F"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B1330" w14:textId="77777777" w:rsidR="00871BDF" w:rsidRDefault="005C5088">
            <w:pPr>
              <w:textAlignment w:val="bottom"/>
            </w:pPr>
            <w:r>
              <w:rPr>
                <w:rFonts w:ascii="Times New Roman" w:eastAsia="宋体" w:hAnsi="Times New Roman"/>
                <w:color w:val="000000"/>
                <w:sz w:val="20"/>
                <w:szCs w:val="20"/>
              </w:rPr>
              <w:t xml:space="preserve">Richard E. Allison, Jr. </w:t>
            </w:r>
          </w:p>
        </w:tc>
        <w:tc>
          <w:tcPr>
            <w:tcW w:w="0" w:type="auto"/>
            <w:gridSpan w:val="3"/>
            <w:shd w:val="clear" w:color="auto" w:fill="auto"/>
            <w:tcMar>
              <w:top w:w="0" w:type="dxa"/>
              <w:left w:w="20" w:type="dxa"/>
              <w:bottom w:w="0" w:type="dxa"/>
              <w:right w:w="20" w:type="dxa"/>
            </w:tcMar>
          </w:tcPr>
          <w:p w14:paraId="00BB1331"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32" w14:textId="77777777" w:rsidR="00871BDF" w:rsidRDefault="00871BDF">
            <w:pPr>
              <w:rPr>
                <w:rFonts w:ascii="宋体"/>
              </w:rPr>
            </w:pPr>
          </w:p>
        </w:tc>
      </w:tr>
      <w:tr w:rsidR="00871BDF" w14:paraId="00BB1339" w14:textId="77777777">
        <w:trPr>
          <w:trHeight w:val="300"/>
        </w:trPr>
        <w:tc>
          <w:tcPr>
            <w:tcW w:w="0" w:type="auto"/>
            <w:gridSpan w:val="3"/>
            <w:shd w:val="clear" w:color="auto" w:fill="auto"/>
            <w:tcMar>
              <w:top w:w="0" w:type="dxa"/>
              <w:left w:w="20" w:type="dxa"/>
              <w:bottom w:w="0" w:type="dxa"/>
              <w:right w:w="20" w:type="dxa"/>
            </w:tcMar>
          </w:tcPr>
          <w:p w14:paraId="00BB1334"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35"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36"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37"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38" w14:textId="77777777" w:rsidR="00871BDF" w:rsidRDefault="00871BDF">
            <w:pPr>
              <w:rPr>
                <w:rFonts w:ascii="宋体"/>
              </w:rPr>
            </w:pPr>
          </w:p>
        </w:tc>
      </w:tr>
      <w:tr w:rsidR="00871BDF" w14:paraId="00BB133F" w14:textId="77777777">
        <w:tc>
          <w:tcPr>
            <w:tcW w:w="0" w:type="auto"/>
            <w:gridSpan w:val="3"/>
            <w:shd w:val="clear" w:color="auto" w:fill="auto"/>
            <w:tcMar>
              <w:top w:w="40" w:type="dxa"/>
              <w:left w:w="20" w:type="dxa"/>
              <w:bottom w:w="40" w:type="dxa"/>
              <w:right w:w="20" w:type="dxa"/>
            </w:tcMar>
          </w:tcPr>
          <w:p w14:paraId="00BB133A" w14:textId="77777777" w:rsidR="00871BDF" w:rsidRDefault="005C5088">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00BB133B"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33C" w14:textId="77777777" w:rsidR="00871BDF" w:rsidRDefault="005C5088">
            <w:pPr>
              <w:textAlignment w:val="bottom"/>
            </w:pPr>
            <w:r>
              <w:rPr>
                <w:rFonts w:ascii="Times New Roman" w:eastAsia="宋体" w:hAnsi="Times New Roman"/>
                <w:color w:val="000000"/>
                <w:sz w:val="20"/>
                <w:szCs w:val="20"/>
              </w:rPr>
              <w:t>/s/    Rosalind G. Brewer</w:t>
            </w:r>
          </w:p>
        </w:tc>
        <w:tc>
          <w:tcPr>
            <w:tcW w:w="0" w:type="auto"/>
            <w:gridSpan w:val="3"/>
            <w:shd w:val="clear" w:color="auto" w:fill="auto"/>
            <w:tcMar>
              <w:top w:w="40" w:type="dxa"/>
              <w:left w:w="20" w:type="dxa"/>
              <w:bottom w:w="40" w:type="dxa"/>
              <w:right w:w="20" w:type="dxa"/>
            </w:tcMar>
            <w:vAlign w:val="bottom"/>
          </w:tcPr>
          <w:p w14:paraId="00BB133D"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00BB133E" w14:textId="77777777" w:rsidR="00871BDF" w:rsidRDefault="005C5088">
            <w:pPr>
              <w:jc w:val="center"/>
              <w:textAlignment w:val="top"/>
            </w:pPr>
            <w:r>
              <w:rPr>
                <w:rFonts w:ascii="Times New Roman" w:eastAsia="宋体" w:hAnsi="Times New Roman"/>
                <w:color w:val="000000"/>
                <w:sz w:val="20"/>
                <w:szCs w:val="20"/>
              </w:rPr>
              <w:t>director</w:t>
            </w:r>
          </w:p>
        </w:tc>
      </w:tr>
      <w:tr w:rsidR="00871BDF" w14:paraId="00BB1345" w14:textId="77777777">
        <w:tc>
          <w:tcPr>
            <w:tcW w:w="0" w:type="auto"/>
            <w:gridSpan w:val="3"/>
            <w:shd w:val="clear" w:color="auto" w:fill="auto"/>
            <w:tcMar>
              <w:top w:w="0" w:type="dxa"/>
              <w:left w:w="20" w:type="dxa"/>
              <w:bottom w:w="0" w:type="dxa"/>
              <w:right w:w="20" w:type="dxa"/>
            </w:tcMar>
          </w:tcPr>
          <w:p w14:paraId="00BB1340"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41"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B1342" w14:textId="77777777" w:rsidR="00871BDF" w:rsidRDefault="005C5088">
            <w:pPr>
              <w:textAlignment w:val="bottom"/>
            </w:pPr>
            <w:r>
              <w:rPr>
                <w:rFonts w:ascii="Times New Roman" w:eastAsia="宋体" w:hAnsi="Times New Roman"/>
                <w:color w:val="000000"/>
                <w:sz w:val="20"/>
                <w:szCs w:val="20"/>
              </w:rPr>
              <w:t>Rosalind G. Brewer</w:t>
            </w:r>
          </w:p>
        </w:tc>
        <w:tc>
          <w:tcPr>
            <w:tcW w:w="0" w:type="auto"/>
            <w:gridSpan w:val="3"/>
            <w:shd w:val="clear" w:color="auto" w:fill="auto"/>
            <w:tcMar>
              <w:top w:w="0" w:type="dxa"/>
              <w:left w:w="20" w:type="dxa"/>
              <w:bottom w:w="0" w:type="dxa"/>
              <w:right w:w="20" w:type="dxa"/>
            </w:tcMar>
          </w:tcPr>
          <w:p w14:paraId="00BB1343"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44" w14:textId="77777777" w:rsidR="00871BDF" w:rsidRDefault="00871BDF">
            <w:pPr>
              <w:rPr>
                <w:rFonts w:ascii="宋体"/>
              </w:rPr>
            </w:pPr>
          </w:p>
        </w:tc>
      </w:tr>
      <w:tr w:rsidR="00871BDF" w14:paraId="00BB134B" w14:textId="77777777">
        <w:trPr>
          <w:trHeight w:val="300"/>
        </w:trPr>
        <w:tc>
          <w:tcPr>
            <w:tcW w:w="0" w:type="auto"/>
            <w:gridSpan w:val="3"/>
            <w:shd w:val="clear" w:color="auto" w:fill="auto"/>
            <w:tcMar>
              <w:top w:w="0" w:type="dxa"/>
              <w:left w:w="20" w:type="dxa"/>
              <w:bottom w:w="0" w:type="dxa"/>
              <w:right w:w="20" w:type="dxa"/>
            </w:tcMar>
          </w:tcPr>
          <w:p w14:paraId="00BB1346"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47"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48"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49"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4A" w14:textId="77777777" w:rsidR="00871BDF" w:rsidRDefault="00871BDF">
            <w:pPr>
              <w:rPr>
                <w:rFonts w:ascii="宋体"/>
              </w:rPr>
            </w:pPr>
          </w:p>
        </w:tc>
      </w:tr>
      <w:tr w:rsidR="00871BDF" w14:paraId="00BB1351" w14:textId="77777777">
        <w:tc>
          <w:tcPr>
            <w:tcW w:w="0" w:type="auto"/>
            <w:gridSpan w:val="3"/>
            <w:shd w:val="clear" w:color="auto" w:fill="auto"/>
            <w:tcMar>
              <w:top w:w="40" w:type="dxa"/>
              <w:left w:w="20" w:type="dxa"/>
              <w:bottom w:w="40" w:type="dxa"/>
              <w:right w:w="20" w:type="dxa"/>
            </w:tcMar>
          </w:tcPr>
          <w:p w14:paraId="00BB134C" w14:textId="77777777" w:rsidR="00871BDF" w:rsidRDefault="005C5088">
            <w:pPr>
              <w:jc w:val="center"/>
              <w:textAlignment w:val="top"/>
            </w:pPr>
            <w:r>
              <w:rPr>
                <w:rFonts w:ascii="Times New Roman" w:eastAsia="宋体" w:hAnsi="Times New Roman"/>
                <w:color w:val="000000"/>
                <w:sz w:val="20"/>
                <w:szCs w:val="20"/>
              </w:rPr>
              <w:t xml:space="preserve">By: </w:t>
            </w:r>
          </w:p>
        </w:tc>
        <w:tc>
          <w:tcPr>
            <w:tcW w:w="0" w:type="auto"/>
            <w:gridSpan w:val="3"/>
            <w:shd w:val="clear" w:color="auto" w:fill="auto"/>
            <w:tcMar>
              <w:top w:w="0" w:type="dxa"/>
              <w:left w:w="20" w:type="dxa"/>
              <w:bottom w:w="0" w:type="dxa"/>
              <w:right w:w="20" w:type="dxa"/>
            </w:tcMar>
          </w:tcPr>
          <w:p w14:paraId="00BB134D"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34E" w14:textId="77777777" w:rsidR="00871BDF" w:rsidRDefault="005C5088">
            <w:pPr>
              <w:textAlignment w:val="bottom"/>
            </w:pPr>
            <w:r>
              <w:rPr>
                <w:rFonts w:ascii="Times New Roman" w:eastAsia="宋体" w:hAnsi="Times New Roman"/>
                <w:color w:val="000000"/>
                <w:sz w:val="20"/>
                <w:szCs w:val="20"/>
              </w:rPr>
              <w:t>/s/    Andrew Campion</w:t>
            </w:r>
          </w:p>
        </w:tc>
        <w:tc>
          <w:tcPr>
            <w:tcW w:w="0" w:type="auto"/>
            <w:gridSpan w:val="3"/>
            <w:shd w:val="clear" w:color="auto" w:fill="auto"/>
            <w:tcMar>
              <w:top w:w="0" w:type="dxa"/>
              <w:left w:w="20" w:type="dxa"/>
              <w:bottom w:w="0" w:type="dxa"/>
              <w:right w:w="20" w:type="dxa"/>
            </w:tcMar>
          </w:tcPr>
          <w:p w14:paraId="00BB134F"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tcPr>
          <w:p w14:paraId="00BB1350" w14:textId="77777777" w:rsidR="00871BDF" w:rsidRDefault="005C5088">
            <w:pPr>
              <w:jc w:val="center"/>
              <w:textAlignment w:val="top"/>
            </w:pPr>
            <w:r>
              <w:rPr>
                <w:rFonts w:ascii="Times New Roman" w:eastAsia="宋体" w:hAnsi="Times New Roman"/>
                <w:color w:val="000000"/>
                <w:sz w:val="20"/>
                <w:szCs w:val="20"/>
              </w:rPr>
              <w:t>director</w:t>
            </w:r>
          </w:p>
        </w:tc>
      </w:tr>
      <w:tr w:rsidR="00871BDF" w14:paraId="00BB1357" w14:textId="77777777">
        <w:tc>
          <w:tcPr>
            <w:tcW w:w="0" w:type="auto"/>
            <w:gridSpan w:val="3"/>
            <w:shd w:val="clear" w:color="auto" w:fill="auto"/>
            <w:tcMar>
              <w:top w:w="0" w:type="dxa"/>
              <w:left w:w="20" w:type="dxa"/>
              <w:bottom w:w="0" w:type="dxa"/>
              <w:right w:w="20" w:type="dxa"/>
            </w:tcMar>
          </w:tcPr>
          <w:p w14:paraId="00BB1352"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53"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B1354" w14:textId="77777777" w:rsidR="00871BDF" w:rsidRDefault="005C5088">
            <w:pPr>
              <w:textAlignment w:val="bottom"/>
            </w:pPr>
            <w:r>
              <w:rPr>
                <w:rFonts w:ascii="Times New Roman" w:eastAsia="宋体" w:hAnsi="Times New Roman"/>
                <w:color w:val="000000"/>
                <w:sz w:val="20"/>
                <w:szCs w:val="20"/>
              </w:rPr>
              <w:t>Andrew Campion</w:t>
            </w:r>
          </w:p>
        </w:tc>
        <w:tc>
          <w:tcPr>
            <w:tcW w:w="0" w:type="auto"/>
            <w:gridSpan w:val="3"/>
            <w:shd w:val="clear" w:color="auto" w:fill="auto"/>
            <w:tcMar>
              <w:top w:w="0" w:type="dxa"/>
              <w:left w:w="20" w:type="dxa"/>
              <w:bottom w:w="0" w:type="dxa"/>
              <w:right w:w="20" w:type="dxa"/>
            </w:tcMar>
          </w:tcPr>
          <w:p w14:paraId="00BB1355"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56" w14:textId="77777777" w:rsidR="00871BDF" w:rsidRDefault="00871BDF">
            <w:pPr>
              <w:rPr>
                <w:rFonts w:ascii="宋体"/>
              </w:rPr>
            </w:pPr>
          </w:p>
        </w:tc>
      </w:tr>
      <w:tr w:rsidR="00871BDF" w14:paraId="00BB135D" w14:textId="77777777">
        <w:trPr>
          <w:trHeight w:val="300"/>
        </w:trPr>
        <w:tc>
          <w:tcPr>
            <w:tcW w:w="0" w:type="auto"/>
            <w:gridSpan w:val="3"/>
            <w:shd w:val="clear" w:color="auto" w:fill="auto"/>
            <w:tcMar>
              <w:top w:w="0" w:type="dxa"/>
              <w:left w:w="20" w:type="dxa"/>
              <w:bottom w:w="0" w:type="dxa"/>
              <w:right w:w="20" w:type="dxa"/>
            </w:tcMar>
          </w:tcPr>
          <w:p w14:paraId="00BB1358"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59"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5A"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5B"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5C" w14:textId="77777777" w:rsidR="00871BDF" w:rsidRDefault="00871BDF">
            <w:pPr>
              <w:rPr>
                <w:rFonts w:ascii="宋体"/>
              </w:rPr>
            </w:pPr>
          </w:p>
        </w:tc>
      </w:tr>
      <w:tr w:rsidR="00871BDF" w14:paraId="00BB1363" w14:textId="77777777">
        <w:tc>
          <w:tcPr>
            <w:tcW w:w="0" w:type="auto"/>
            <w:gridSpan w:val="3"/>
            <w:shd w:val="clear" w:color="auto" w:fill="auto"/>
            <w:tcMar>
              <w:top w:w="40" w:type="dxa"/>
              <w:left w:w="20" w:type="dxa"/>
              <w:bottom w:w="40" w:type="dxa"/>
              <w:right w:w="20" w:type="dxa"/>
            </w:tcMar>
          </w:tcPr>
          <w:p w14:paraId="00BB135E" w14:textId="77777777" w:rsidR="00871BDF" w:rsidRDefault="005C5088">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00BB135F"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360" w14:textId="77777777" w:rsidR="00871BDF" w:rsidRDefault="005C5088">
            <w:pPr>
              <w:textAlignment w:val="bottom"/>
            </w:pPr>
            <w:r>
              <w:rPr>
                <w:rFonts w:ascii="Times New Roman" w:eastAsia="宋体" w:hAnsi="Times New Roman"/>
                <w:color w:val="000000"/>
                <w:sz w:val="20"/>
                <w:szCs w:val="20"/>
              </w:rPr>
              <w:t>/s/    Mary N. Dillon</w:t>
            </w:r>
          </w:p>
        </w:tc>
        <w:tc>
          <w:tcPr>
            <w:tcW w:w="0" w:type="auto"/>
            <w:gridSpan w:val="3"/>
            <w:shd w:val="clear" w:color="auto" w:fill="auto"/>
            <w:tcMar>
              <w:top w:w="40" w:type="dxa"/>
              <w:left w:w="20" w:type="dxa"/>
              <w:bottom w:w="40" w:type="dxa"/>
              <w:right w:w="20" w:type="dxa"/>
            </w:tcMar>
            <w:vAlign w:val="bottom"/>
          </w:tcPr>
          <w:p w14:paraId="00BB1361"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00BB1362" w14:textId="77777777" w:rsidR="00871BDF" w:rsidRDefault="005C5088">
            <w:pPr>
              <w:jc w:val="center"/>
              <w:textAlignment w:val="top"/>
            </w:pPr>
            <w:r>
              <w:rPr>
                <w:rFonts w:ascii="Times New Roman" w:eastAsia="宋体" w:hAnsi="Times New Roman"/>
                <w:color w:val="000000"/>
                <w:sz w:val="20"/>
                <w:szCs w:val="20"/>
              </w:rPr>
              <w:t>director</w:t>
            </w:r>
          </w:p>
        </w:tc>
      </w:tr>
      <w:tr w:rsidR="00871BDF" w14:paraId="00BB1369" w14:textId="77777777">
        <w:tc>
          <w:tcPr>
            <w:tcW w:w="0" w:type="auto"/>
            <w:gridSpan w:val="3"/>
            <w:shd w:val="clear" w:color="auto" w:fill="auto"/>
            <w:tcMar>
              <w:top w:w="0" w:type="dxa"/>
              <w:left w:w="20" w:type="dxa"/>
              <w:bottom w:w="0" w:type="dxa"/>
              <w:right w:w="20" w:type="dxa"/>
            </w:tcMar>
          </w:tcPr>
          <w:p w14:paraId="00BB1364"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65"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B1366" w14:textId="77777777" w:rsidR="00871BDF" w:rsidRDefault="005C5088">
            <w:pPr>
              <w:textAlignment w:val="bottom"/>
            </w:pPr>
            <w:r>
              <w:rPr>
                <w:rFonts w:ascii="Times New Roman" w:eastAsia="宋体" w:hAnsi="Times New Roman"/>
                <w:color w:val="000000"/>
                <w:sz w:val="20"/>
                <w:szCs w:val="20"/>
              </w:rPr>
              <w:t>Mary N. Dillon</w:t>
            </w:r>
          </w:p>
        </w:tc>
        <w:tc>
          <w:tcPr>
            <w:tcW w:w="0" w:type="auto"/>
            <w:gridSpan w:val="3"/>
            <w:shd w:val="clear" w:color="auto" w:fill="auto"/>
            <w:tcMar>
              <w:top w:w="0" w:type="dxa"/>
              <w:left w:w="20" w:type="dxa"/>
              <w:bottom w:w="0" w:type="dxa"/>
              <w:right w:w="20" w:type="dxa"/>
            </w:tcMar>
          </w:tcPr>
          <w:p w14:paraId="00BB1367"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68" w14:textId="77777777" w:rsidR="00871BDF" w:rsidRDefault="00871BDF">
            <w:pPr>
              <w:rPr>
                <w:rFonts w:ascii="宋体"/>
              </w:rPr>
            </w:pPr>
          </w:p>
        </w:tc>
      </w:tr>
      <w:tr w:rsidR="00871BDF" w14:paraId="00BB136F" w14:textId="77777777">
        <w:trPr>
          <w:trHeight w:val="300"/>
        </w:trPr>
        <w:tc>
          <w:tcPr>
            <w:tcW w:w="0" w:type="auto"/>
            <w:gridSpan w:val="3"/>
            <w:shd w:val="clear" w:color="auto" w:fill="auto"/>
            <w:tcMar>
              <w:top w:w="0" w:type="dxa"/>
              <w:left w:w="20" w:type="dxa"/>
              <w:bottom w:w="0" w:type="dxa"/>
              <w:right w:w="20" w:type="dxa"/>
            </w:tcMar>
          </w:tcPr>
          <w:p w14:paraId="00BB136A"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6B"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6C"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6D"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6E" w14:textId="77777777" w:rsidR="00871BDF" w:rsidRDefault="00871BDF">
            <w:pPr>
              <w:rPr>
                <w:rFonts w:ascii="宋体"/>
              </w:rPr>
            </w:pPr>
          </w:p>
        </w:tc>
      </w:tr>
      <w:tr w:rsidR="00871BDF" w14:paraId="00BB1375" w14:textId="77777777">
        <w:tc>
          <w:tcPr>
            <w:tcW w:w="0" w:type="auto"/>
            <w:gridSpan w:val="3"/>
            <w:shd w:val="clear" w:color="auto" w:fill="auto"/>
            <w:tcMar>
              <w:top w:w="40" w:type="dxa"/>
              <w:left w:w="20" w:type="dxa"/>
              <w:bottom w:w="40" w:type="dxa"/>
              <w:right w:w="20" w:type="dxa"/>
            </w:tcMar>
          </w:tcPr>
          <w:p w14:paraId="00BB1370" w14:textId="77777777" w:rsidR="00871BDF" w:rsidRDefault="005C5088">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00BB1371"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372" w14:textId="77777777" w:rsidR="00871BDF" w:rsidRDefault="005C5088">
            <w:pPr>
              <w:textAlignment w:val="bottom"/>
            </w:pPr>
            <w:r>
              <w:rPr>
                <w:rFonts w:ascii="Times New Roman" w:eastAsia="宋体" w:hAnsi="Times New Roman"/>
                <w:color w:val="000000"/>
                <w:sz w:val="20"/>
                <w:szCs w:val="20"/>
              </w:rPr>
              <w:t>/s/    Mellody Hobson</w:t>
            </w:r>
          </w:p>
        </w:tc>
        <w:tc>
          <w:tcPr>
            <w:tcW w:w="0" w:type="auto"/>
            <w:gridSpan w:val="3"/>
            <w:shd w:val="clear" w:color="auto" w:fill="auto"/>
            <w:tcMar>
              <w:top w:w="40" w:type="dxa"/>
              <w:left w:w="20" w:type="dxa"/>
              <w:bottom w:w="40" w:type="dxa"/>
              <w:right w:w="20" w:type="dxa"/>
            </w:tcMar>
            <w:vAlign w:val="bottom"/>
          </w:tcPr>
          <w:p w14:paraId="00BB1373"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00BB1374" w14:textId="77777777" w:rsidR="00871BDF" w:rsidRDefault="005C5088">
            <w:pPr>
              <w:jc w:val="center"/>
              <w:textAlignment w:val="top"/>
            </w:pPr>
            <w:r>
              <w:rPr>
                <w:rFonts w:ascii="Times New Roman" w:eastAsia="宋体" w:hAnsi="Times New Roman"/>
                <w:color w:val="000000"/>
                <w:sz w:val="20"/>
                <w:szCs w:val="20"/>
              </w:rPr>
              <w:t>director</w:t>
            </w:r>
          </w:p>
        </w:tc>
      </w:tr>
      <w:tr w:rsidR="00871BDF" w14:paraId="00BB137B" w14:textId="77777777">
        <w:tc>
          <w:tcPr>
            <w:tcW w:w="0" w:type="auto"/>
            <w:gridSpan w:val="3"/>
            <w:shd w:val="clear" w:color="auto" w:fill="auto"/>
            <w:tcMar>
              <w:top w:w="0" w:type="dxa"/>
              <w:left w:w="20" w:type="dxa"/>
              <w:bottom w:w="0" w:type="dxa"/>
              <w:right w:w="20" w:type="dxa"/>
            </w:tcMar>
          </w:tcPr>
          <w:p w14:paraId="00BB1376"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77"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B1378" w14:textId="77777777" w:rsidR="00871BDF" w:rsidRDefault="005C5088">
            <w:pPr>
              <w:textAlignment w:val="bottom"/>
            </w:pPr>
            <w:r>
              <w:rPr>
                <w:rFonts w:ascii="Times New Roman" w:eastAsia="宋体" w:hAnsi="Times New Roman"/>
                <w:color w:val="000000"/>
                <w:sz w:val="20"/>
                <w:szCs w:val="20"/>
              </w:rPr>
              <w:t>Mellody Hobson</w:t>
            </w:r>
          </w:p>
        </w:tc>
        <w:tc>
          <w:tcPr>
            <w:tcW w:w="0" w:type="auto"/>
            <w:gridSpan w:val="3"/>
            <w:shd w:val="clear" w:color="auto" w:fill="auto"/>
            <w:tcMar>
              <w:top w:w="0" w:type="dxa"/>
              <w:left w:w="20" w:type="dxa"/>
              <w:bottom w:w="0" w:type="dxa"/>
              <w:right w:w="20" w:type="dxa"/>
            </w:tcMar>
          </w:tcPr>
          <w:p w14:paraId="00BB1379"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7A" w14:textId="77777777" w:rsidR="00871BDF" w:rsidRDefault="00871BDF">
            <w:pPr>
              <w:rPr>
                <w:rFonts w:ascii="宋体"/>
              </w:rPr>
            </w:pPr>
          </w:p>
        </w:tc>
      </w:tr>
      <w:tr w:rsidR="00871BDF" w14:paraId="00BB1381" w14:textId="77777777">
        <w:trPr>
          <w:trHeight w:val="300"/>
        </w:trPr>
        <w:tc>
          <w:tcPr>
            <w:tcW w:w="0" w:type="auto"/>
            <w:gridSpan w:val="3"/>
            <w:shd w:val="clear" w:color="auto" w:fill="auto"/>
            <w:tcMar>
              <w:top w:w="0" w:type="dxa"/>
              <w:left w:w="20" w:type="dxa"/>
              <w:bottom w:w="0" w:type="dxa"/>
              <w:right w:w="20" w:type="dxa"/>
            </w:tcMar>
          </w:tcPr>
          <w:p w14:paraId="00BB137C"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7D"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7E"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7F"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80" w14:textId="77777777" w:rsidR="00871BDF" w:rsidRDefault="00871BDF">
            <w:pPr>
              <w:rPr>
                <w:rFonts w:ascii="宋体"/>
              </w:rPr>
            </w:pPr>
          </w:p>
        </w:tc>
      </w:tr>
      <w:tr w:rsidR="00871BDF" w14:paraId="00BB1387" w14:textId="77777777">
        <w:tc>
          <w:tcPr>
            <w:tcW w:w="0" w:type="auto"/>
            <w:gridSpan w:val="3"/>
            <w:shd w:val="clear" w:color="auto" w:fill="auto"/>
            <w:tcMar>
              <w:top w:w="40" w:type="dxa"/>
              <w:left w:w="20" w:type="dxa"/>
              <w:bottom w:w="40" w:type="dxa"/>
              <w:right w:w="20" w:type="dxa"/>
            </w:tcMar>
          </w:tcPr>
          <w:p w14:paraId="00BB1382" w14:textId="77777777" w:rsidR="00871BDF" w:rsidRDefault="005C5088">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00BB1383"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384" w14:textId="77777777" w:rsidR="00871BDF" w:rsidRDefault="005C5088">
            <w:pPr>
              <w:textAlignment w:val="bottom"/>
            </w:pPr>
            <w:r>
              <w:rPr>
                <w:rFonts w:ascii="Times New Roman" w:eastAsia="宋体" w:hAnsi="Times New Roman"/>
                <w:color w:val="000000"/>
                <w:sz w:val="20"/>
                <w:szCs w:val="20"/>
              </w:rPr>
              <w:t>/s/    Jørgen Vig Knudstorp</w:t>
            </w:r>
          </w:p>
        </w:tc>
        <w:tc>
          <w:tcPr>
            <w:tcW w:w="0" w:type="auto"/>
            <w:gridSpan w:val="3"/>
            <w:shd w:val="clear" w:color="auto" w:fill="auto"/>
            <w:tcMar>
              <w:top w:w="40" w:type="dxa"/>
              <w:left w:w="20" w:type="dxa"/>
              <w:bottom w:w="40" w:type="dxa"/>
              <w:right w:w="20" w:type="dxa"/>
            </w:tcMar>
            <w:vAlign w:val="bottom"/>
          </w:tcPr>
          <w:p w14:paraId="00BB1385"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00BB1386" w14:textId="77777777" w:rsidR="00871BDF" w:rsidRDefault="005C5088">
            <w:pPr>
              <w:jc w:val="center"/>
              <w:textAlignment w:val="top"/>
            </w:pPr>
            <w:r>
              <w:rPr>
                <w:rFonts w:ascii="Times New Roman" w:eastAsia="宋体" w:hAnsi="Times New Roman"/>
                <w:color w:val="000000"/>
                <w:sz w:val="20"/>
                <w:szCs w:val="20"/>
              </w:rPr>
              <w:t>director</w:t>
            </w:r>
          </w:p>
        </w:tc>
      </w:tr>
      <w:tr w:rsidR="00871BDF" w14:paraId="00BB138D" w14:textId="77777777">
        <w:tc>
          <w:tcPr>
            <w:tcW w:w="0" w:type="auto"/>
            <w:gridSpan w:val="3"/>
            <w:shd w:val="clear" w:color="auto" w:fill="auto"/>
            <w:tcMar>
              <w:top w:w="0" w:type="dxa"/>
              <w:left w:w="20" w:type="dxa"/>
              <w:bottom w:w="0" w:type="dxa"/>
              <w:right w:w="20" w:type="dxa"/>
            </w:tcMar>
          </w:tcPr>
          <w:p w14:paraId="00BB1388"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89"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B138A" w14:textId="77777777" w:rsidR="00871BDF" w:rsidRDefault="005C5088">
            <w:pPr>
              <w:textAlignment w:val="bottom"/>
            </w:pPr>
            <w:r>
              <w:rPr>
                <w:rFonts w:ascii="Times New Roman" w:eastAsia="宋体" w:hAnsi="Times New Roman"/>
                <w:color w:val="000000"/>
                <w:sz w:val="20"/>
                <w:szCs w:val="20"/>
              </w:rPr>
              <w:t>Jørgen Vig Knudstorp</w:t>
            </w:r>
          </w:p>
        </w:tc>
        <w:tc>
          <w:tcPr>
            <w:tcW w:w="0" w:type="auto"/>
            <w:gridSpan w:val="3"/>
            <w:shd w:val="clear" w:color="auto" w:fill="auto"/>
            <w:tcMar>
              <w:top w:w="0" w:type="dxa"/>
              <w:left w:w="20" w:type="dxa"/>
              <w:bottom w:w="0" w:type="dxa"/>
              <w:right w:w="20" w:type="dxa"/>
            </w:tcMar>
          </w:tcPr>
          <w:p w14:paraId="00BB138B"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8C" w14:textId="77777777" w:rsidR="00871BDF" w:rsidRDefault="00871BDF">
            <w:pPr>
              <w:rPr>
                <w:rFonts w:ascii="宋体"/>
              </w:rPr>
            </w:pPr>
          </w:p>
        </w:tc>
      </w:tr>
      <w:tr w:rsidR="00871BDF" w14:paraId="00BB1393" w14:textId="77777777">
        <w:trPr>
          <w:trHeight w:val="300"/>
        </w:trPr>
        <w:tc>
          <w:tcPr>
            <w:tcW w:w="0" w:type="auto"/>
            <w:gridSpan w:val="3"/>
            <w:shd w:val="clear" w:color="auto" w:fill="auto"/>
            <w:tcMar>
              <w:top w:w="0" w:type="dxa"/>
              <w:left w:w="20" w:type="dxa"/>
              <w:bottom w:w="0" w:type="dxa"/>
              <w:right w:w="20" w:type="dxa"/>
            </w:tcMar>
          </w:tcPr>
          <w:p w14:paraId="00BB138E"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8F"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90"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91"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92" w14:textId="77777777" w:rsidR="00871BDF" w:rsidRDefault="00871BDF">
            <w:pPr>
              <w:rPr>
                <w:rFonts w:ascii="宋体"/>
              </w:rPr>
            </w:pPr>
          </w:p>
        </w:tc>
      </w:tr>
      <w:tr w:rsidR="00871BDF" w14:paraId="00BB1399" w14:textId="77777777">
        <w:tc>
          <w:tcPr>
            <w:tcW w:w="0" w:type="auto"/>
            <w:gridSpan w:val="3"/>
            <w:shd w:val="clear" w:color="auto" w:fill="auto"/>
            <w:tcMar>
              <w:top w:w="40" w:type="dxa"/>
              <w:left w:w="20" w:type="dxa"/>
              <w:bottom w:w="40" w:type="dxa"/>
              <w:right w:w="20" w:type="dxa"/>
            </w:tcMar>
          </w:tcPr>
          <w:p w14:paraId="00BB1394" w14:textId="77777777" w:rsidR="00871BDF" w:rsidRDefault="005C5088">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00BB1395"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396" w14:textId="77777777" w:rsidR="00871BDF" w:rsidRDefault="005C5088">
            <w:pPr>
              <w:textAlignment w:val="bottom"/>
            </w:pPr>
            <w:r>
              <w:rPr>
                <w:rFonts w:ascii="Times New Roman" w:eastAsia="宋体" w:hAnsi="Times New Roman"/>
                <w:color w:val="000000"/>
                <w:sz w:val="20"/>
                <w:szCs w:val="20"/>
              </w:rPr>
              <w:t>/s/    Isabel Ge Mahe</w:t>
            </w:r>
          </w:p>
        </w:tc>
        <w:tc>
          <w:tcPr>
            <w:tcW w:w="0" w:type="auto"/>
            <w:gridSpan w:val="3"/>
            <w:shd w:val="clear" w:color="auto" w:fill="auto"/>
            <w:tcMar>
              <w:top w:w="40" w:type="dxa"/>
              <w:left w:w="20" w:type="dxa"/>
              <w:bottom w:w="40" w:type="dxa"/>
              <w:right w:w="20" w:type="dxa"/>
            </w:tcMar>
            <w:vAlign w:val="bottom"/>
          </w:tcPr>
          <w:p w14:paraId="00BB1397"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00BB1398" w14:textId="77777777" w:rsidR="00871BDF" w:rsidRDefault="005C5088">
            <w:pPr>
              <w:jc w:val="center"/>
              <w:textAlignment w:val="top"/>
            </w:pPr>
            <w:r>
              <w:rPr>
                <w:rFonts w:ascii="Times New Roman" w:eastAsia="宋体" w:hAnsi="Times New Roman"/>
                <w:color w:val="000000"/>
                <w:sz w:val="20"/>
                <w:szCs w:val="20"/>
              </w:rPr>
              <w:t>director</w:t>
            </w:r>
          </w:p>
        </w:tc>
      </w:tr>
      <w:tr w:rsidR="00871BDF" w14:paraId="00BB139F" w14:textId="77777777">
        <w:tc>
          <w:tcPr>
            <w:tcW w:w="0" w:type="auto"/>
            <w:gridSpan w:val="3"/>
            <w:shd w:val="clear" w:color="auto" w:fill="auto"/>
            <w:tcMar>
              <w:top w:w="0" w:type="dxa"/>
              <w:left w:w="20" w:type="dxa"/>
              <w:bottom w:w="0" w:type="dxa"/>
              <w:right w:w="20" w:type="dxa"/>
            </w:tcMar>
          </w:tcPr>
          <w:p w14:paraId="00BB139A"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9B"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B139C" w14:textId="77777777" w:rsidR="00871BDF" w:rsidRDefault="005C5088">
            <w:pPr>
              <w:textAlignment w:val="bottom"/>
            </w:pPr>
            <w:r>
              <w:rPr>
                <w:rFonts w:ascii="Times New Roman" w:eastAsia="宋体" w:hAnsi="Times New Roman"/>
                <w:color w:val="000000"/>
                <w:sz w:val="20"/>
                <w:szCs w:val="20"/>
              </w:rPr>
              <w:t>Isabel Ge Mahe</w:t>
            </w:r>
          </w:p>
        </w:tc>
        <w:tc>
          <w:tcPr>
            <w:tcW w:w="0" w:type="auto"/>
            <w:gridSpan w:val="3"/>
            <w:shd w:val="clear" w:color="auto" w:fill="auto"/>
            <w:tcMar>
              <w:top w:w="0" w:type="dxa"/>
              <w:left w:w="20" w:type="dxa"/>
              <w:bottom w:w="0" w:type="dxa"/>
              <w:right w:w="20" w:type="dxa"/>
            </w:tcMar>
          </w:tcPr>
          <w:p w14:paraId="00BB139D"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9E" w14:textId="77777777" w:rsidR="00871BDF" w:rsidRDefault="00871BDF">
            <w:pPr>
              <w:rPr>
                <w:rFonts w:ascii="宋体"/>
              </w:rPr>
            </w:pPr>
          </w:p>
        </w:tc>
      </w:tr>
      <w:tr w:rsidR="00871BDF" w14:paraId="00BB13A5" w14:textId="77777777">
        <w:trPr>
          <w:trHeight w:val="300"/>
        </w:trPr>
        <w:tc>
          <w:tcPr>
            <w:tcW w:w="0" w:type="auto"/>
            <w:gridSpan w:val="3"/>
            <w:shd w:val="clear" w:color="auto" w:fill="auto"/>
            <w:tcMar>
              <w:top w:w="0" w:type="dxa"/>
              <w:left w:w="20" w:type="dxa"/>
              <w:bottom w:w="0" w:type="dxa"/>
              <w:right w:w="20" w:type="dxa"/>
            </w:tcMar>
          </w:tcPr>
          <w:p w14:paraId="00BB13A0"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A1"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A2"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A3"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A4" w14:textId="77777777" w:rsidR="00871BDF" w:rsidRDefault="00871BDF">
            <w:pPr>
              <w:rPr>
                <w:rFonts w:ascii="宋体"/>
              </w:rPr>
            </w:pPr>
          </w:p>
        </w:tc>
      </w:tr>
    </w:tbl>
    <w:p w14:paraId="00BB13A6" w14:textId="77777777" w:rsidR="00871BDF" w:rsidRDefault="00871BDF">
      <w:pPr>
        <w:spacing w:before="120"/>
      </w:pPr>
    </w:p>
    <w:p w14:paraId="00BB13A7" w14:textId="77777777" w:rsidR="00871BDF" w:rsidRDefault="005C5088">
      <w:pPr>
        <w:jc w:val="center"/>
      </w:pPr>
      <w:r>
        <w:rPr>
          <w:rFonts w:ascii="Times New Roman" w:eastAsia="宋体" w:hAnsi="Times New Roman"/>
          <w:color w:val="000000"/>
          <w:sz w:val="20"/>
          <w:szCs w:val="20"/>
        </w:rPr>
        <w:t>105</w:t>
      </w:r>
    </w:p>
    <w:p w14:paraId="00BB13A8" w14:textId="77777777" w:rsidR="00871BDF" w:rsidRDefault="005C5088">
      <w:r>
        <w:pict w14:anchorId="00BB14CE">
          <v:rect id="_x0000_i1132" style="width:415.3pt;height:1.5pt" o:hralign="center" o:hrstd="t" o:hr="t" fillcolor="#a0a0a0" stroked="f"/>
        </w:pict>
      </w:r>
    </w:p>
    <w:p w14:paraId="00BB13A9" w14:textId="77777777" w:rsidR="00871BDF" w:rsidRDefault="005C5088">
      <w:hyperlink r:id="rId459" w:anchor="i54ccc64cb5384be5a4849ef1cdef4dde_7" w:history="1">
        <w:r>
          <w:rPr>
            <w:rStyle w:val="a5"/>
            <w:rFonts w:ascii="Times New Roman" w:eastAsia="宋体" w:hAnsi="Times New Roman"/>
            <w:sz w:val="20"/>
            <w:szCs w:val="20"/>
          </w:rPr>
          <w:t>Table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78"/>
        <w:gridCol w:w="244"/>
        <w:gridCol w:w="36"/>
        <w:gridCol w:w="36"/>
        <w:gridCol w:w="36"/>
        <w:gridCol w:w="36"/>
        <w:gridCol w:w="39"/>
        <w:gridCol w:w="3700"/>
        <w:gridCol w:w="37"/>
        <w:gridCol w:w="36"/>
        <w:gridCol w:w="191"/>
        <w:gridCol w:w="36"/>
        <w:gridCol w:w="59"/>
        <w:gridCol w:w="3724"/>
        <w:gridCol w:w="36"/>
      </w:tblGrid>
      <w:tr w:rsidR="00871BDF" w14:paraId="00BB13B9" w14:textId="77777777">
        <w:tc>
          <w:tcPr>
            <w:tcW w:w="50" w:type="pct"/>
            <w:shd w:val="clear" w:color="auto" w:fill="auto"/>
          </w:tcPr>
          <w:p w14:paraId="00BB13AA" w14:textId="77777777" w:rsidR="00871BDF" w:rsidRDefault="00871BDF">
            <w:pPr>
              <w:rPr>
                <w:rFonts w:ascii="宋体"/>
              </w:rPr>
            </w:pPr>
          </w:p>
        </w:tc>
        <w:tc>
          <w:tcPr>
            <w:tcW w:w="157" w:type="pct"/>
            <w:shd w:val="clear" w:color="auto" w:fill="auto"/>
          </w:tcPr>
          <w:p w14:paraId="00BB13AB" w14:textId="77777777" w:rsidR="00871BDF" w:rsidRDefault="00871BDF">
            <w:pPr>
              <w:rPr>
                <w:rFonts w:ascii="宋体"/>
              </w:rPr>
            </w:pPr>
          </w:p>
        </w:tc>
        <w:tc>
          <w:tcPr>
            <w:tcW w:w="5" w:type="pct"/>
            <w:shd w:val="clear" w:color="auto" w:fill="auto"/>
          </w:tcPr>
          <w:p w14:paraId="00BB13AC" w14:textId="77777777" w:rsidR="00871BDF" w:rsidRDefault="00871BDF">
            <w:pPr>
              <w:rPr>
                <w:rFonts w:ascii="宋体"/>
              </w:rPr>
            </w:pPr>
          </w:p>
        </w:tc>
        <w:tc>
          <w:tcPr>
            <w:tcW w:w="5" w:type="pct"/>
            <w:shd w:val="clear" w:color="auto" w:fill="auto"/>
          </w:tcPr>
          <w:p w14:paraId="00BB13AD" w14:textId="77777777" w:rsidR="00871BDF" w:rsidRDefault="00871BDF">
            <w:pPr>
              <w:rPr>
                <w:rFonts w:ascii="宋体"/>
              </w:rPr>
            </w:pPr>
          </w:p>
        </w:tc>
        <w:tc>
          <w:tcPr>
            <w:tcW w:w="26" w:type="pct"/>
            <w:shd w:val="clear" w:color="auto" w:fill="auto"/>
          </w:tcPr>
          <w:p w14:paraId="00BB13AE" w14:textId="77777777" w:rsidR="00871BDF" w:rsidRDefault="00871BDF">
            <w:pPr>
              <w:rPr>
                <w:rFonts w:ascii="宋体"/>
              </w:rPr>
            </w:pPr>
          </w:p>
        </w:tc>
        <w:tc>
          <w:tcPr>
            <w:tcW w:w="5" w:type="pct"/>
            <w:shd w:val="clear" w:color="auto" w:fill="auto"/>
          </w:tcPr>
          <w:p w14:paraId="00BB13AF" w14:textId="77777777" w:rsidR="00871BDF" w:rsidRDefault="00871BDF">
            <w:pPr>
              <w:rPr>
                <w:rFonts w:ascii="宋体"/>
              </w:rPr>
            </w:pPr>
          </w:p>
        </w:tc>
        <w:tc>
          <w:tcPr>
            <w:tcW w:w="50" w:type="pct"/>
            <w:shd w:val="clear" w:color="auto" w:fill="auto"/>
          </w:tcPr>
          <w:p w14:paraId="00BB13B0" w14:textId="77777777" w:rsidR="00871BDF" w:rsidRDefault="00871BDF">
            <w:pPr>
              <w:rPr>
                <w:rFonts w:ascii="宋体"/>
              </w:rPr>
            </w:pPr>
          </w:p>
        </w:tc>
        <w:tc>
          <w:tcPr>
            <w:tcW w:w="2251" w:type="pct"/>
            <w:shd w:val="clear" w:color="auto" w:fill="auto"/>
          </w:tcPr>
          <w:p w14:paraId="00BB13B1" w14:textId="77777777" w:rsidR="00871BDF" w:rsidRDefault="00871BDF">
            <w:pPr>
              <w:rPr>
                <w:rFonts w:ascii="宋体"/>
              </w:rPr>
            </w:pPr>
          </w:p>
        </w:tc>
        <w:tc>
          <w:tcPr>
            <w:tcW w:w="5" w:type="pct"/>
            <w:shd w:val="clear" w:color="auto" w:fill="auto"/>
          </w:tcPr>
          <w:p w14:paraId="00BB13B2" w14:textId="77777777" w:rsidR="00871BDF" w:rsidRDefault="00871BDF">
            <w:pPr>
              <w:rPr>
                <w:rFonts w:ascii="宋体"/>
              </w:rPr>
            </w:pPr>
          </w:p>
        </w:tc>
        <w:tc>
          <w:tcPr>
            <w:tcW w:w="5" w:type="pct"/>
            <w:shd w:val="clear" w:color="auto" w:fill="auto"/>
          </w:tcPr>
          <w:p w14:paraId="00BB13B3" w14:textId="77777777" w:rsidR="00871BDF" w:rsidRDefault="00871BDF">
            <w:pPr>
              <w:rPr>
                <w:rFonts w:ascii="宋体"/>
              </w:rPr>
            </w:pPr>
          </w:p>
        </w:tc>
        <w:tc>
          <w:tcPr>
            <w:tcW w:w="129" w:type="pct"/>
            <w:shd w:val="clear" w:color="auto" w:fill="auto"/>
          </w:tcPr>
          <w:p w14:paraId="00BB13B4" w14:textId="77777777" w:rsidR="00871BDF" w:rsidRDefault="00871BDF">
            <w:pPr>
              <w:rPr>
                <w:rFonts w:ascii="宋体"/>
              </w:rPr>
            </w:pPr>
          </w:p>
        </w:tc>
        <w:tc>
          <w:tcPr>
            <w:tcW w:w="5" w:type="pct"/>
            <w:shd w:val="clear" w:color="auto" w:fill="auto"/>
          </w:tcPr>
          <w:p w14:paraId="00BB13B5" w14:textId="77777777" w:rsidR="00871BDF" w:rsidRDefault="00871BDF">
            <w:pPr>
              <w:rPr>
                <w:rFonts w:ascii="宋体"/>
              </w:rPr>
            </w:pPr>
          </w:p>
        </w:tc>
        <w:tc>
          <w:tcPr>
            <w:tcW w:w="50" w:type="pct"/>
            <w:shd w:val="clear" w:color="auto" w:fill="auto"/>
          </w:tcPr>
          <w:p w14:paraId="00BB13B6" w14:textId="77777777" w:rsidR="00871BDF" w:rsidRDefault="00871BDF">
            <w:pPr>
              <w:rPr>
                <w:rFonts w:ascii="宋体"/>
              </w:rPr>
            </w:pPr>
          </w:p>
        </w:tc>
        <w:tc>
          <w:tcPr>
            <w:tcW w:w="2251" w:type="pct"/>
            <w:shd w:val="clear" w:color="auto" w:fill="auto"/>
          </w:tcPr>
          <w:p w14:paraId="00BB13B7" w14:textId="77777777" w:rsidR="00871BDF" w:rsidRDefault="00871BDF">
            <w:pPr>
              <w:rPr>
                <w:rFonts w:ascii="宋体"/>
              </w:rPr>
            </w:pPr>
          </w:p>
        </w:tc>
        <w:tc>
          <w:tcPr>
            <w:tcW w:w="5" w:type="pct"/>
            <w:shd w:val="clear" w:color="auto" w:fill="auto"/>
          </w:tcPr>
          <w:p w14:paraId="00BB13B8" w14:textId="77777777" w:rsidR="00871BDF" w:rsidRDefault="00871BDF">
            <w:pPr>
              <w:rPr>
                <w:rFonts w:ascii="宋体"/>
              </w:rPr>
            </w:pPr>
          </w:p>
        </w:tc>
      </w:tr>
      <w:tr w:rsidR="00871BDF" w14:paraId="00BB13BF" w14:textId="77777777">
        <w:tc>
          <w:tcPr>
            <w:tcW w:w="0" w:type="auto"/>
            <w:gridSpan w:val="3"/>
            <w:shd w:val="clear" w:color="auto" w:fill="auto"/>
            <w:tcMar>
              <w:top w:w="40" w:type="dxa"/>
              <w:left w:w="20" w:type="dxa"/>
              <w:bottom w:w="40" w:type="dxa"/>
              <w:right w:w="20" w:type="dxa"/>
            </w:tcMar>
            <w:vAlign w:val="bottom"/>
          </w:tcPr>
          <w:p w14:paraId="00BB13BA" w14:textId="77777777" w:rsidR="00871BDF" w:rsidRDefault="005C5088">
            <w:pPr>
              <w:textAlignment w:val="bottom"/>
            </w:pPr>
            <w:r>
              <w:rPr>
                <w:rFonts w:ascii="Times New Roman" w:eastAsia="宋体" w:hAnsi="Times New Roman"/>
                <w:color w:val="000000"/>
                <w:sz w:val="20"/>
                <w:szCs w:val="20"/>
              </w:rPr>
              <w:t> </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tcPr>
          <w:p w14:paraId="00BB13BB"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3BC" w14:textId="77777777" w:rsidR="00871BDF" w:rsidRDefault="005C5088">
            <w:pPr>
              <w:jc w:val="center"/>
              <w:textAlignment w:val="bottom"/>
            </w:pPr>
            <w:r>
              <w:rPr>
                <w:rFonts w:ascii="Times New Roman" w:eastAsia="宋体" w:hAnsi="Times New Roman"/>
                <w:b/>
                <w:bCs/>
                <w:color w:val="000000"/>
                <w:sz w:val="16"/>
                <w:szCs w:val="16"/>
                <w:u w:val="single"/>
              </w:rPr>
              <w:t>Signature</w:t>
            </w:r>
          </w:p>
        </w:tc>
        <w:tc>
          <w:tcPr>
            <w:tcW w:w="0" w:type="auto"/>
            <w:gridSpan w:val="3"/>
            <w:shd w:val="clear" w:color="auto" w:fill="auto"/>
            <w:tcMar>
              <w:top w:w="40" w:type="dxa"/>
              <w:left w:w="20" w:type="dxa"/>
              <w:bottom w:w="40" w:type="dxa"/>
              <w:right w:w="20" w:type="dxa"/>
            </w:tcMar>
            <w:vAlign w:val="bottom"/>
          </w:tcPr>
          <w:p w14:paraId="00BB13BD"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0BB13BE" w14:textId="77777777" w:rsidR="00871BDF" w:rsidRDefault="005C5088">
            <w:pPr>
              <w:jc w:val="center"/>
              <w:textAlignment w:val="bottom"/>
            </w:pPr>
            <w:r>
              <w:rPr>
                <w:rFonts w:ascii="Times New Roman" w:eastAsia="宋体" w:hAnsi="Times New Roman"/>
                <w:b/>
                <w:bCs/>
                <w:color w:val="000000"/>
                <w:sz w:val="16"/>
                <w:szCs w:val="16"/>
                <w:u w:val="single"/>
              </w:rPr>
              <w:t>Title</w:t>
            </w:r>
          </w:p>
        </w:tc>
      </w:tr>
      <w:tr w:rsidR="00871BDF" w14:paraId="00BB13C5" w14:textId="77777777">
        <w:trPr>
          <w:trHeight w:val="300"/>
        </w:trPr>
        <w:tc>
          <w:tcPr>
            <w:tcW w:w="0" w:type="auto"/>
            <w:gridSpan w:val="3"/>
            <w:shd w:val="clear" w:color="auto" w:fill="auto"/>
            <w:tcMar>
              <w:top w:w="0" w:type="dxa"/>
              <w:left w:w="20" w:type="dxa"/>
              <w:bottom w:w="0" w:type="dxa"/>
              <w:right w:w="20" w:type="dxa"/>
            </w:tcMar>
          </w:tcPr>
          <w:p w14:paraId="00BB13C0"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C1"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C2"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C3"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C4" w14:textId="77777777" w:rsidR="00871BDF" w:rsidRDefault="00871BDF">
            <w:pPr>
              <w:rPr>
                <w:rFonts w:ascii="宋体"/>
              </w:rPr>
            </w:pPr>
          </w:p>
        </w:tc>
      </w:tr>
      <w:tr w:rsidR="00871BDF" w14:paraId="00BB13CB" w14:textId="77777777">
        <w:tc>
          <w:tcPr>
            <w:tcW w:w="0" w:type="auto"/>
            <w:gridSpan w:val="3"/>
            <w:shd w:val="clear" w:color="auto" w:fill="auto"/>
            <w:tcMar>
              <w:top w:w="40" w:type="dxa"/>
              <w:left w:w="20" w:type="dxa"/>
              <w:bottom w:w="40" w:type="dxa"/>
              <w:right w:w="20" w:type="dxa"/>
            </w:tcMar>
          </w:tcPr>
          <w:p w14:paraId="00BB13C6" w14:textId="77777777" w:rsidR="00871BDF" w:rsidRDefault="005C5088">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00BB13C7"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3C8" w14:textId="77777777" w:rsidR="00871BDF" w:rsidRDefault="005C5088">
            <w:pPr>
              <w:textAlignment w:val="bottom"/>
            </w:pPr>
            <w:r>
              <w:rPr>
                <w:rFonts w:ascii="Times New Roman" w:eastAsia="宋体" w:hAnsi="Times New Roman"/>
                <w:color w:val="000000"/>
                <w:sz w:val="20"/>
                <w:szCs w:val="20"/>
              </w:rPr>
              <w:t>/s/    Satya Nadella</w:t>
            </w:r>
          </w:p>
        </w:tc>
        <w:tc>
          <w:tcPr>
            <w:tcW w:w="0" w:type="auto"/>
            <w:gridSpan w:val="3"/>
            <w:shd w:val="clear" w:color="auto" w:fill="auto"/>
            <w:tcMar>
              <w:top w:w="40" w:type="dxa"/>
              <w:left w:w="20" w:type="dxa"/>
              <w:bottom w:w="40" w:type="dxa"/>
              <w:right w:w="20" w:type="dxa"/>
            </w:tcMar>
            <w:vAlign w:val="bottom"/>
          </w:tcPr>
          <w:p w14:paraId="00BB13C9"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00BB13CA" w14:textId="77777777" w:rsidR="00871BDF" w:rsidRDefault="005C5088">
            <w:pPr>
              <w:jc w:val="center"/>
              <w:textAlignment w:val="top"/>
            </w:pPr>
            <w:r>
              <w:rPr>
                <w:rFonts w:ascii="Times New Roman" w:eastAsia="宋体" w:hAnsi="Times New Roman"/>
                <w:color w:val="000000"/>
                <w:sz w:val="20"/>
                <w:szCs w:val="20"/>
              </w:rPr>
              <w:t>director</w:t>
            </w:r>
          </w:p>
        </w:tc>
      </w:tr>
      <w:tr w:rsidR="00871BDF" w14:paraId="00BB13D1" w14:textId="77777777">
        <w:tc>
          <w:tcPr>
            <w:tcW w:w="0" w:type="auto"/>
            <w:gridSpan w:val="3"/>
            <w:shd w:val="clear" w:color="auto" w:fill="auto"/>
            <w:tcMar>
              <w:top w:w="0" w:type="dxa"/>
              <w:left w:w="20" w:type="dxa"/>
              <w:bottom w:w="0" w:type="dxa"/>
              <w:right w:w="20" w:type="dxa"/>
            </w:tcMar>
          </w:tcPr>
          <w:p w14:paraId="00BB13CC"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CD"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B13CE" w14:textId="77777777" w:rsidR="00871BDF" w:rsidRDefault="005C5088">
            <w:pPr>
              <w:textAlignment w:val="bottom"/>
            </w:pPr>
            <w:r>
              <w:rPr>
                <w:rFonts w:ascii="Times New Roman" w:eastAsia="宋体" w:hAnsi="Times New Roman"/>
                <w:color w:val="000000"/>
                <w:sz w:val="20"/>
                <w:szCs w:val="20"/>
              </w:rPr>
              <w:t>Satya Nadella</w:t>
            </w:r>
          </w:p>
        </w:tc>
        <w:tc>
          <w:tcPr>
            <w:tcW w:w="0" w:type="auto"/>
            <w:gridSpan w:val="3"/>
            <w:shd w:val="clear" w:color="auto" w:fill="auto"/>
            <w:tcMar>
              <w:top w:w="0" w:type="dxa"/>
              <w:left w:w="20" w:type="dxa"/>
              <w:bottom w:w="0" w:type="dxa"/>
              <w:right w:w="20" w:type="dxa"/>
            </w:tcMar>
          </w:tcPr>
          <w:p w14:paraId="00BB13CF"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D0" w14:textId="77777777" w:rsidR="00871BDF" w:rsidRDefault="00871BDF">
            <w:pPr>
              <w:rPr>
                <w:rFonts w:ascii="宋体"/>
              </w:rPr>
            </w:pPr>
          </w:p>
        </w:tc>
      </w:tr>
      <w:tr w:rsidR="00871BDF" w14:paraId="00BB13D7" w14:textId="77777777">
        <w:trPr>
          <w:trHeight w:val="300"/>
        </w:trPr>
        <w:tc>
          <w:tcPr>
            <w:tcW w:w="0" w:type="auto"/>
            <w:gridSpan w:val="3"/>
            <w:shd w:val="clear" w:color="auto" w:fill="auto"/>
            <w:tcMar>
              <w:top w:w="0" w:type="dxa"/>
              <w:left w:w="20" w:type="dxa"/>
              <w:bottom w:w="0" w:type="dxa"/>
              <w:right w:w="20" w:type="dxa"/>
            </w:tcMar>
          </w:tcPr>
          <w:p w14:paraId="00BB13D2"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D3"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D4"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D5"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D6" w14:textId="77777777" w:rsidR="00871BDF" w:rsidRDefault="00871BDF">
            <w:pPr>
              <w:rPr>
                <w:rFonts w:ascii="宋体"/>
              </w:rPr>
            </w:pPr>
          </w:p>
        </w:tc>
      </w:tr>
      <w:tr w:rsidR="00871BDF" w14:paraId="00BB13DD" w14:textId="77777777">
        <w:tc>
          <w:tcPr>
            <w:tcW w:w="0" w:type="auto"/>
            <w:gridSpan w:val="3"/>
            <w:shd w:val="clear" w:color="auto" w:fill="auto"/>
            <w:tcMar>
              <w:top w:w="40" w:type="dxa"/>
              <w:left w:w="20" w:type="dxa"/>
              <w:bottom w:w="40" w:type="dxa"/>
              <w:right w:w="20" w:type="dxa"/>
            </w:tcMar>
          </w:tcPr>
          <w:p w14:paraId="00BB13D8" w14:textId="77777777" w:rsidR="00871BDF" w:rsidRDefault="005C5088">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00BB13D9"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3DA" w14:textId="77777777" w:rsidR="00871BDF" w:rsidRDefault="005C5088">
            <w:pPr>
              <w:textAlignment w:val="bottom"/>
            </w:pPr>
            <w:r>
              <w:rPr>
                <w:rFonts w:ascii="Times New Roman" w:eastAsia="宋体" w:hAnsi="Times New Roman"/>
                <w:color w:val="000000"/>
                <w:sz w:val="20"/>
                <w:szCs w:val="20"/>
              </w:rPr>
              <w:t>/s/    Joshua Cooper Ramo</w:t>
            </w:r>
          </w:p>
        </w:tc>
        <w:tc>
          <w:tcPr>
            <w:tcW w:w="0" w:type="auto"/>
            <w:gridSpan w:val="3"/>
            <w:shd w:val="clear" w:color="auto" w:fill="auto"/>
            <w:tcMar>
              <w:top w:w="40" w:type="dxa"/>
              <w:left w:w="20" w:type="dxa"/>
              <w:bottom w:w="40" w:type="dxa"/>
              <w:right w:w="20" w:type="dxa"/>
            </w:tcMar>
            <w:vAlign w:val="bottom"/>
          </w:tcPr>
          <w:p w14:paraId="00BB13DB"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00BB13DC" w14:textId="77777777" w:rsidR="00871BDF" w:rsidRDefault="005C5088">
            <w:pPr>
              <w:jc w:val="center"/>
              <w:textAlignment w:val="top"/>
            </w:pPr>
            <w:r>
              <w:rPr>
                <w:rFonts w:ascii="Times New Roman" w:eastAsia="宋体" w:hAnsi="Times New Roman"/>
                <w:color w:val="000000"/>
                <w:sz w:val="20"/>
                <w:szCs w:val="20"/>
              </w:rPr>
              <w:t>director</w:t>
            </w:r>
          </w:p>
        </w:tc>
      </w:tr>
      <w:tr w:rsidR="00871BDF" w14:paraId="00BB13E3" w14:textId="77777777">
        <w:tc>
          <w:tcPr>
            <w:tcW w:w="0" w:type="auto"/>
            <w:gridSpan w:val="3"/>
            <w:shd w:val="clear" w:color="auto" w:fill="auto"/>
            <w:tcMar>
              <w:top w:w="0" w:type="dxa"/>
              <w:left w:w="20" w:type="dxa"/>
              <w:bottom w:w="0" w:type="dxa"/>
              <w:right w:w="20" w:type="dxa"/>
            </w:tcMar>
          </w:tcPr>
          <w:p w14:paraId="00BB13DE"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DF"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B13E0" w14:textId="77777777" w:rsidR="00871BDF" w:rsidRDefault="005C5088">
            <w:pPr>
              <w:textAlignment w:val="bottom"/>
            </w:pPr>
            <w:r>
              <w:rPr>
                <w:rFonts w:ascii="Times New Roman" w:eastAsia="宋体" w:hAnsi="Times New Roman"/>
                <w:color w:val="000000"/>
                <w:sz w:val="20"/>
                <w:szCs w:val="20"/>
              </w:rPr>
              <w:t>Joshua Cooper Ramo</w:t>
            </w:r>
          </w:p>
        </w:tc>
        <w:tc>
          <w:tcPr>
            <w:tcW w:w="0" w:type="auto"/>
            <w:gridSpan w:val="3"/>
            <w:shd w:val="clear" w:color="auto" w:fill="auto"/>
            <w:tcMar>
              <w:top w:w="0" w:type="dxa"/>
              <w:left w:w="20" w:type="dxa"/>
              <w:bottom w:w="0" w:type="dxa"/>
              <w:right w:w="20" w:type="dxa"/>
            </w:tcMar>
          </w:tcPr>
          <w:p w14:paraId="00BB13E1"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E2" w14:textId="77777777" w:rsidR="00871BDF" w:rsidRDefault="00871BDF">
            <w:pPr>
              <w:rPr>
                <w:rFonts w:ascii="宋体"/>
              </w:rPr>
            </w:pPr>
          </w:p>
        </w:tc>
      </w:tr>
      <w:tr w:rsidR="00871BDF" w14:paraId="00BB13E9" w14:textId="77777777">
        <w:trPr>
          <w:trHeight w:val="300"/>
        </w:trPr>
        <w:tc>
          <w:tcPr>
            <w:tcW w:w="0" w:type="auto"/>
            <w:gridSpan w:val="3"/>
            <w:shd w:val="clear" w:color="auto" w:fill="auto"/>
            <w:tcMar>
              <w:top w:w="0" w:type="dxa"/>
              <w:left w:w="20" w:type="dxa"/>
              <w:bottom w:w="0" w:type="dxa"/>
              <w:right w:w="20" w:type="dxa"/>
            </w:tcMar>
          </w:tcPr>
          <w:p w14:paraId="00BB13E4"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E5"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E6"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E7"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E8" w14:textId="77777777" w:rsidR="00871BDF" w:rsidRDefault="00871BDF">
            <w:pPr>
              <w:rPr>
                <w:rFonts w:ascii="宋体"/>
              </w:rPr>
            </w:pPr>
          </w:p>
        </w:tc>
      </w:tr>
      <w:tr w:rsidR="00871BDF" w14:paraId="00BB13EF" w14:textId="77777777">
        <w:tc>
          <w:tcPr>
            <w:tcW w:w="0" w:type="auto"/>
            <w:gridSpan w:val="3"/>
            <w:shd w:val="clear" w:color="auto" w:fill="auto"/>
            <w:tcMar>
              <w:top w:w="40" w:type="dxa"/>
              <w:left w:w="20" w:type="dxa"/>
              <w:bottom w:w="40" w:type="dxa"/>
              <w:right w:w="20" w:type="dxa"/>
            </w:tcMar>
          </w:tcPr>
          <w:p w14:paraId="00BB13EA" w14:textId="77777777" w:rsidR="00871BDF" w:rsidRDefault="005C5088">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00BB13EB"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3EC" w14:textId="77777777" w:rsidR="00871BDF" w:rsidRDefault="005C5088">
            <w:pPr>
              <w:textAlignment w:val="bottom"/>
            </w:pPr>
            <w:r>
              <w:rPr>
                <w:rFonts w:ascii="Times New Roman" w:eastAsia="宋体" w:hAnsi="Times New Roman"/>
                <w:color w:val="000000"/>
                <w:sz w:val="20"/>
                <w:szCs w:val="20"/>
              </w:rPr>
              <w:t>/s/    Clara Shih</w:t>
            </w:r>
          </w:p>
        </w:tc>
        <w:tc>
          <w:tcPr>
            <w:tcW w:w="0" w:type="auto"/>
            <w:gridSpan w:val="3"/>
            <w:shd w:val="clear" w:color="auto" w:fill="auto"/>
            <w:tcMar>
              <w:top w:w="40" w:type="dxa"/>
              <w:left w:w="20" w:type="dxa"/>
              <w:bottom w:w="40" w:type="dxa"/>
              <w:right w:w="20" w:type="dxa"/>
            </w:tcMar>
            <w:vAlign w:val="bottom"/>
          </w:tcPr>
          <w:p w14:paraId="00BB13ED"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00BB13EE" w14:textId="77777777" w:rsidR="00871BDF" w:rsidRDefault="005C5088">
            <w:pPr>
              <w:jc w:val="center"/>
              <w:textAlignment w:val="top"/>
            </w:pPr>
            <w:r>
              <w:rPr>
                <w:rFonts w:ascii="Times New Roman" w:eastAsia="宋体" w:hAnsi="Times New Roman"/>
                <w:color w:val="000000"/>
                <w:sz w:val="20"/>
                <w:szCs w:val="20"/>
              </w:rPr>
              <w:t>director</w:t>
            </w:r>
          </w:p>
        </w:tc>
      </w:tr>
      <w:tr w:rsidR="00871BDF" w14:paraId="00BB13F5" w14:textId="77777777">
        <w:tc>
          <w:tcPr>
            <w:tcW w:w="0" w:type="auto"/>
            <w:gridSpan w:val="3"/>
            <w:shd w:val="clear" w:color="auto" w:fill="auto"/>
            <w:tcMar>
              <w:top w:w="0" w:type="dxa"/>
              <w:left w:w="20" w:type="dxa"/>
              <w:bottom w:w="0" w:type="dxa"/>
              <w:right w:w="20" w:type="dxa"/>
            </w:tcMar>
          </w:tcPr>
          <w:p w14:paraId="00BB13F0"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F1"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B13F2" w14:textId="77777777" w:rsidR="00871BDF" w:rsidRDefault="005C5088">
            <w:pPr>
              <w:textAlignment w:val="bottom"/>
            </w:pPr>
            <w:r>
              <w:rPr>
                <w:rFonts w:ascii="Times New Roman" w:eastAsia="宋体" w:hAnsi="Times New Roman"/>
                <w:color w:val="000000"/>
                <w:sz w:val="20"/>
                <w:szCs w:val="20"/>
              </w:rPr>
              <w:t>Clara Shih</w:t>
            </w:r>
          </w:p>
        </w:tc>
        <w:tc>
          <w:tcPr>
            <w:tcW w:w="0" w:type="auto"/>
            <w:gridSpan w:val="3"/>
            <w:shd w:val="clear" w:color="auto" w:fill="auto"/>
            <w:tcMar>
              <w:top w:w="0" w:type="dxa"/>
              <w:left w:w="20" w:type="dxa"/>
              <w:bottom w:w="0" w:type="dxa"/>
              <w:right w:w="20" w:type="dxa"/>
            </w:tcMar>
          </w:tcPr>
          <w:p w14:paraId="00BB13F3"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F4" w14:textId="77777777" w:rsidR="00871BDF" w:rsidRDefault="00871BDF">
            <w:pPr>
              <w:rPr>
                <w:rFonts w:ascii="宋体"/>
              </w:rPr>
            </w:pPr>
          </w:p>
        </w:tc>
      </w:tr>
      <w:tr w:rsidR="00871BDF" w14:paraId="00BB13FB" w14:textId="77777777">
        <w:trPr>
          <w:trHeight w:val="300"/>
        </w:trPr>
        <w:tc>
          <w:tcPr>
            <w:tcW w:w="0" w:type="auto"/>
            <w:gridSpan w:val="3"/>
            <w:shd w:val="clear" w:color="auto" w:fill="auto"/>
            <w:tcMar>
              <w:top w:w="0" w:type="dxa"/>
              <w:left w:w="20" w:type="dxa"/>
              <w:bottom w:w="0" w:type="dxa"/>
              <w:right w:w="20" w:type="dxa"/>
            </w:tcMar>
          </w:tcPr>
          <w:p w14:paraId="00BB13F6"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F7"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F8"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F9"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3FA" w14:textId="77777777" w:rsidR="00871BDF" w:rsidRDefault="00871BDF">
            <w:pPr>
              <w:rPr>
                <w:rFonts w:ascii="宋体"/>
              </w:rPr>
            </w:pPr>
          </w:p>
        </w:tc>
      </w:tr>
      <w:tr w:rsidR="00871BDF" w14:paraId="00BB1401" w14:textId="77777777">
        <w:tc>
          <w:tcPr>
            <w:tcW w:w="0" w:type="auto"/>
            <w:gridSpan w:val="3"/>
            <w:shd w:val="clear" w:color="auto" w:fill="auto"/>
            <w:tcMar>
              <w:top w:w="40" w:type="dxa"/>
              <w:left w:w="20" w:type="dxa"/>
              <w:bottom w:w="40" w:type="dxa"/>
              <w:right w:w="20" w:type="dxa"/>
            </w:tcMar>
          </w:tcPr>
          <w:p w14:paraId="00BB13FC" w14:textId="77777777" w:rsidR="00871BDF" w:rsidRDefault="005C5088">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00BB13FD"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3FE" w14:textId="77777777" w:rsidR="00871BDF" w:rsidRDefault="005C5088">
            <w:pPr>
              <w:textAlignment w:val="bottom"/>
            </w:pPr>
            <w:r>
              <w:rPr>
                <w:rFonts w:ascii="Times New Roman" w:eastAsia="宋体" w:hAnsi="Times New Roman"/>
                <w:color w:val="000000"/>
                <w:sz w:val="20"/>
                <w:szCs w:val="20"/>
              </w:rPr>
              <w:t>/s/    Javier G. Teruel</w:t>
            </w:r>
          </w:p>
        </w:tc>
        <w:tc>
          <w:tcPr>
            <w:tcW w:w="0" w:type="auto"/>
            <w:gridSpan w:val="3"/>
            <w:shd w:val="clear" w:color="auto" w:fill="auto"/>
            <w:tcMar>
              <w:top w:w="40" w:type="dxa"/>
              <w:left w:w="20" w:type="dxa"/>
              <w:bottom w:w="40" w:type="dxa"/>
              <w:right w:w="20" w:type="dxa"/>
            </w:tcMar>
            <w:vAlign w:val="bottom"/>
          </w:tcPr>
          <w:p w14:paraId="00BB13FF"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00BB1400" w14:textId="77777777" w:rsidR="00871BDF" w:rsidRDefault="005C5088">
            <w:pPr>
              <w:jc w:val="center"/>
              <w:textAlignment w:val="top"/>
            </w:pPr>
            <w:r>
              <w:rPr>
                <w:rFonts w:ascii="Times New Roman" w:eastAsia="宋体" w:hAnsi="Times New Roman"/>
                <w:color w:val="000000"/>
                <w:sz w:val="20"/>
                <w:szCs w:val="20"/>
              </w:rPr>
              <w:t>director</w:t>
            </w:r>
          </w:p>
        </w:tc>
      </w:tr>
      <w:tr w:rsidR="00871BDF" w14:paraId="00BB1407" w14:textId="77777777">
        <w:tc>
          <w:tcPr>
            <w:tcW w:w="0" w:type="auto"/>
            <w:gridSpan w:val="3"/>
            <w:shd w:val="clear" w:color="auto" w:fill="auto"/>
            <w:tcMar>
              <w:top w:w="0" w:type="dxa"/>
              <w:left w:w="20" w:type="dxa"/>
              <w:bottom w:w="0" w:type="dxa"/>
              <w:right w:w="20" w:type="dxa"/>
            </w:tcMar>
          </w:tcPr>
          <w:p w14:paraId="00BB1402"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403"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B1404" w14:textId="77777777" w:rsidR="00871BDF" w:rsidRDefault="005C5088">
            <w:pPr>
              <w:textAlignment w:val="bottom"/>
            </w:pPr>
            <w:r>
              <w:rPr>
                <w:rFonts w:ascii="Times New Roman" w:eastAsia="宋体" w:hAnsi="Times New Roman"/>
                <w:color w:val="000000"/>
                <w:sz w:val="20"/>
                <w:szCs w:val="20"/>
              </w:rPr>
              <w:t>Javier G. Teruel</w:t>
            </w:r>
          </w:p>
        </w:tc>
        <w:tc>
          <w:tcPr>
            <w:tcW w:w="0" w:type="auto"/>
            <w:gridSpan w:val="3"/>
            <w:shd w:val="clear" w:color="auto" w:fill="auto"/>
            <w:tcMar>
              <w:top w:w="0" w:type="dxa"/>
              <w:left w:w="20" w:type="dxa"/>
              <w:bottom w:w="0" w:type="dxa"/>
              <w:right w:w="20" w:type="dxa"/>
            </w:tcMar>
          </w:tcPr>
          <w:p w14:paraId="00BB1405"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406" w14:textId="77777777" w:rsidR="00871BDF" w:rsidRDefault="00871BDF">
            <w:pPr>
              <w:rPr>
                <w:rFonts w:ascii="宋体"/>
              </w:rPr>
            </w:pPr>
          </w:p>
        </w:tc>
      </w:tr>
      <w:tr w:rsidR="00871BDF" w14:paraId="00BB140D" w14:textId="77777777">
        <w:trPr>
          <w:trHeight w:val="300"/>
        </w:trPr>
        <w:tc>
          <w:tcPr>
            <w:tcW w:w="0" w:type="auto"/>
            <w:gridSpan w:val="3"/>
            <w:shd w:val="clear" w:color="auto" w:fill="auto"/>
            <w:tcMar>
              <w:top w:w="0" w:type="dxa"/>
              <w:left w:w="20" w:type="dxa"/>
              <w:bottom w:w="0" w:type="dxa"/>
              <w:right w:w="20" w:type="dxa"/>
            </w:tcMar>
          </w:tcPr>
          <w:p w14:paraId="00BB1408"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409"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40A"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40B"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40C" w14:textId="77777777" w:rsidR="00871BDF" w:rsidRDefault="00871BDF">
            <w:pPr>
              <w:rPr>
                <w:rFonts w:ascii="宋体"/>
              </w:rPr>
            </w:pPr>
          </w:p>
        </w:tc>
      </w:tr>
      <w:tr w:rsidR="00871BDF" w14:paraId="00BB1413" w14:textId="77777777">
        <w:tc>
          <w:tcPr>
            <w:tcW w:w="0" w:type="auto"/>
            <w:gridSpan w:val="3"/>
            <w:shd w:val="clear" w:color="auto" w:fill="auto"/>
            <w:tcMar>
              <w:top w:w="40" w:type="dxa"/>
              <w:left w:w="20" w:type="dxa"/>
              <w:bottom w:w="40" w:type="dxa"/>
              <w:right w:w="20" w:type="dxa"/>
            </w:tcMar>
          </w:tcPr>
          <w:p w14:paraId="00BB140E" w14:textId="77777777" w:rsidR="00871BDF" w:rsidRDefault="005C5088">
            <w:pPr>
              <w:jc w:val="cente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tcPr>
          <w:p w14:paraId="00BB140F" w14:textId="77777777" w:rsidR="00871BDF" w:rsidRDefault="00871BDF">
            <w:pPr>
              <w:rPr>
                <w:rFonts w:ascii="宋体"/>
              </w:rPr>
            </w:pPr>
          </w:p>
        </w:tc>
        <w:tc>
          <w:tcPr>
            <w:tcW w:w="0" w:type="auto"/>
            <w:gridSpan w:val="3"/>
            <w:shd w:val="clear" w:color="auto" w:fill="auto"/>
            <w:tcMar>
              <w:top w:w="40" w:type="dxa"/>
              <w:left w:w="20" w:type="dxa"/>
              <w:bottom w:w="40" w:type="dxa"/>
              <w:right w:w="20" w:type="dxa"/>
            </w:tcMar>
            <w:vAlign w:val="bottom"/>
          </w:tcPr>
          <w:p w14:paraId="00BB1410" w14:textId="77777777" w:rsidR="00871BDF" w:rsidRDefault="005C5088">
            <w:pPr>
              <w:textAlignment w:val="bottom"/>
            </w:pPr>
            <w:r>
              <w:rPr>
                <w:rFonts w:ascii="Times New Roman" w:eastAsia="宋体" w:hAnsi="Times New Roman"/>
                <w:color w:val="000000"/>
                <w:sz w:val="20"/>
                <w:szCs w:val="20"/>
              </w:rPr>
              <w:t>/s/    Myron E. Ullman, III</w:t>
            </w:r>
          </w:p>
        </w:tc>
        <w:tc>
          <w:tcPr>
            <w:tcW w:w="0" w:type="auto"/>
            <w:gridSpan w:val="3"/>
            <w:shd w:val="clear" w:color="auto" w:fill="auto"/>
            <w:tcMar>
              <w:top w:w="40" w:type="dxa"/>
              <w:left w:w="20" w:type="dxa"/>
              <w:bottom w:w="40" w:type="dxa"/>
              <w:right w:w="20" w:type="dxa"/>
            </w:tcMar>
            <w:vAlign w:val="bottom"/>
          </w:tcPr>
          <w:p w14:paraId="00BB1411" w14:textId="77777777" w:rsidR="00871BDF" w:rsidRDefault="005C5088">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00BB1412" w14:textId="77777777" w:rsidR="00871BDF" w:rsidRDefault="005C5088">
            <w:pPr>
              <w:jc w:val="center"/>
              <w:textAlignment w:val="top"/>
            </w:pPr>
            <w:r>
              <w:rPr>
                <w:rFonts w:ascii="Times New Roman" w:eastAsia="宋体" w:hAnsi="Times New Roman"/>
                <w:color w:val="000000"/>
                <w:sz w:val="20"/>
                <w:szCs w:val="20"/>
              </w:rPr>
              <w:t>director</w:t>
            </w:r>
          </w:p>
        </w:tc>
      </w:tr>
      <w:tr w:rsidR="00871BDF" w14:paraId="00BB1419" w14:textId="77777777">
        <w:tc>
          <w:tcPr>
            <w:tcW w:w="0" w:type="auto"/>
            <w:gridSpan w:val="3"/>
            <w:shd w:val="clear" w:color="auto" w:fill="auto"/>
            <w:tcMar>
              <w:top w:w="0" w:type="dxa"/>
              <w:left w:w="20" w:type="dxa"/>
              <w:bottom w:w="0" w:type="dxa"/>
              <w:right w:w="20" w:type="dxa"/>
            </w:tcMar>
          </w:tcPr>
          <w:p w14:paraId="00BB1414"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415" w14:textId="77777777" w:rsidR="00871BDF" w:rsidRDefault="00871BD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0BB1416" w14:textId="77777777" w:rsidR="00871BDF" w:rsidRDefault="005C5088">
            <w:pPr>
              <w:textAlignment w:val="bottom"/>
            </w:pPr>
            <w:r>
              <w:rPr>
                <w:rFonts w:ascii="Times New Roman" w:eastAsia="宋体" w:hAnsi="Times New Roman"/>
                <w:color w:val="000000"/>
                <w:sz w:val="20"/>
                <w:szCs w:val="20"/>
              </w:rPr>
              <w:t>Myron E. Ullman, III</w:t>
            </w:r>
          </w:p>
        </w:tc>
        <w:tc>
          <w:tcPr>
            <w:tcW w:w="0" w:type="auto"/>
            <w:gridSpan w:val="3"/>
            <w:shd w:val="clear" w:color="auto" w:fill="auto"/>
            <w:tcMar>
              <w:top w:w="0" w:type="dxa"/>
              <w:left w:w="20" w:type="dxa"/>
              <w:bottom w:w="0" w:type="dxa"/>
              <w:right w:w="20" w:type="dxa"/>
            </w:tcMar>
          </w:tcPr>
          <w:p w14:paraId="00BB1417" w14:textId="77777777" w:rsidR="00871BDF" w:rsidRDefault="00871BDF">
            <w:pPr>
              <w:rPr>
                <w:rFonts w:ascii="宋体"/>
              </w:rPr>
            </w:pPr>
          </w:p>
        </w:tc>
        <w:tc>
          <w:tcPr>
            <w:tcW w:w="0" w:type="auto"/>
            <w:gridSpan w:val="3"/>
            <w:shd w:val="clear" w:color="auto" w:fill="auto"/>
            <w:tcMar>
              <w:top w:w="0" w:type="dxa"/>
              <w:left w:w="20" w:type="dxa"/>
              <w:bottom w:w="0" w:type="dxa"/>
              <w:right w:w="20" w:type="dxa"/>
            </w:tcMar>
          </w:tcPr>
          <w:p w14:paraId="00BB1418" w14:textId="77777777" w:rsidR="00871BDF" w:rsidRDefault="00871BDF">
            <w:pPr>
              <w:rPr>
                <w:rFonts w:ascii="宋体"/>
              </w:rPr>
            </w:pPr>
          </w:p>
        </w:tc>
      </w:tr>
    </w:tbl>
    <w:p w14:paraId="00BB141A" w14:textId="77777777" w:rsidR="00871BDF" w:rsidRDefault="00871BDF">
      <w:pPr>
        <w:spacing w:before="120"/>
      </w:pPr>
    </w:p>
    <w:p w14:paraId="00BB141B" w14:textId="77777777" w:rsidR="00871BDF" w:rsidRDefault="005C5088">
      <w:pPr>
        <w:jc w:val="center"/>
      </w:pPr>
      <w:r>
        <w:rPr>
          <w:rFonts w:ascii="Times New Roman" w:eastAsia="宋体" w:hAnsi="Times New Roman"/>
          <w:color w:val="000000"/>
          <w:sz w:val="20"/>
          <w:szCs w:val="20"/>
        </w:rPr>
        <w:t>106</w:t>
      </w:r>
    </w:p>
    <w:p w14:paraId="00BB141C" w14:textId="77777777" w:rsidR="00871BDF" w:rsidRDefault="005C508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0BB14CF" wp14:editId="00BB14D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BDF" w14:paraId="00BB141E" w14:textId="77777777">
        <w:trPr>
          <w:tblCellSpacing w:w="15" w:type="dxa"/>
        </w:trPr>
        <w:tc>
          <w:tcPr>
            <w:tcW w:w="0" w:type="auto"/>
            <w:shd w:val="clear" w:color="auto" w:fill="auto"/>
            <w:vAlign w:val="center"/>
          </w:tcPr>
          <w:p w14:paraId="00BB141D" w14:textId="77777777" w:rsidR="00871BDF" w:rsidRDefault="00871BDF">
            <w:pPr>
              <w:rPr>
                <w:rFonts w:ascii="宋体"/>
              </w:rPr>
            </w:pPr>
          </w:p>
        </w:tc>
      </w:tr>
    </w:tbl>
    <w:p w14:paraId="00BB141F" w14:textId="77777777" w:rsidR="00871BDF" w:rsidRDefault="00871B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BDF" w14:paraId="00BB1421" w14:textId="77777777">
        <w:trPr>
          <w:tblCellSpacing w:w="15" w:type="dxa"/>
        </w:trPr>
        <w:tc>
          <w:tcPr>
            <w:tcW w:w="0" w:type="auto"/>
            <w:shd w:val="clear" w:color="auto" w:fill="auto"/>
            <w:vAlign w:val="center"/>
          </w:tcPr>
          <w:p w14:paraId="00BB1420" w14:textId="77777777" w:rsidR="00871BDF" w:rsidRDefault="00871BDF">
            <w:pPr>
              <w:rPr>
                <w:rFonts w:ascii="宋体"/>
              </w:rPr>
            </w:pPr>
          </w:p>
        </w:tc>
      </w:tr>
    </w:tbl>
    <w:p w14:paraId="00BB1422" w14:textId="77777777" w:rsidR="00871BDF" w:rsidRDefault="00871B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BDF" w14:paraId="00BB1424" w14:textId="77777777">
        <w:trPr>
          <w:tblCellSpacing w:w="15" w:type="dxa"/>
        </w:trPr>
        <w:tc>
          <w:tcPr>
            <w:tcW w:w="0" w:type="auto"/>
            <w:shd w:val="clear" w:color="auto" w:fill="auto"/>
            <w:vAlign w:val="center"/>
          </w:tcPr>
          <w:p w14:paraId="00BB1423" w14:textId="77777777" w:rsidR="00871BDF" w:rsidRDefault="00871BDF">
            <w:pPr>
              <w:rPr>
                <w:rFonts w:ascii="宋体"/>
              </w:rPr>
            </w:pPr>
          </w:p>
        </w:tc>
      </w:tr>
    </w:tbl>
    <w:p w14:paraId="00BB1425" w14:textId="77777777" w:rsidR="00871BDF" w:rsidRDefault="00871B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BDF" w14:paraId="00BB1427" w14:textId="77777777">
        <w:trPr>
          <w:tblCellSpacing w:w="15" w:type="dxa"/>
        </w:trPr>
        <w:tc>
          <w:tcPr>
            <w:tcW w:w="0" w:type="auto"/>
            <w:shd w:val="clear" w:color="auto" w:fill="auto"/>
            <w:vAlign w:val="center"/>
          </w:tcPr>
          <w:p w14:paraId="00BB1426" w14:textId="77777777" w:rsidR="00871BDF" w:rsidRDefault="00871BDF">
            <w:pPr>
              <w:rPr>
                <w:rFonts w:ascii="宋体"/>
              </w:rPr>
            </w:pPr>
          </w:p>
        </w:tc>
      </w:tr>
    </w:tbl>
    <w:p w14:paraId="00BB1428" w14:textId="77777777" w:rsidR="00871BDF" w:rsidRDefault="005C5088">
      <w:r>
        <w:rPr>
          <w:rFonts w:ascii="宋体" w:eastAsia="宋体" w:hAnsi="宋体" w:cs="宋体"/>
        </w:rPr>
        <w:t xml:space="preserve">Previous Next </w:t>
      </w:r>
    </w:p>
    <w:p w14:paraId="00BB1429" w14:textId="77777777" w:rsidR="00871BDF" w:rsidRDefault="005C5088">
      <w:pPr>
        <w:pStyle w:val="a3"/>
      </w:pPr>
      <w:r>
        <w:t>Settings</w:t>
      </w:r>
    </w:p>
    <w:p w14:paraId="00BB142A" w14:textId="77777777" w:rsidR="00871BDF" w:rsidRDefault="005C5088">
      <w:pPr>
        <w:pStyle w:val="Style4"/>
      </w:pPr>
      <w:r>
        <w:t>窗体顶端</w:t>
      </w:r>
    </w:p>
    <w:p w14:paraId="00BB142B" w14:textId="77777777" w:rsidR="00871BDF" w:rsidRDefault="005C508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0BB14D1" wp14:editId="00BB14D2">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00BB142C" w14:textId="77777777" w:rsidR="00871BDF" w:rsidRDefault="005C508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0BB14D3" wp14:editId="00BB14D4">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00BB142D" w14:textId="77777777" w:rsidR="00871BDF" w:rsidRDefault="005C5088">
      <w:r>
        <w:pict w14:anchorId="00BB14D5">
          <v:rect id="_x0000_i1133" style="width:415.3pt;height:1.5pt" o:hralign="center" o:hrstd="t" o:hr="t" fillcolor="#a0a0a0" stroked="f"/>
        </w:pict>
      </w:r>
    </w:p>
    <w:p w14:paraId="00BB142E" w14:textId="77777777" w:rsidR="00871BDF" w:rsidRDefault="005C5088">
      <w:r>
        <w:rPr>
          <w:rFonts w:ascii="宋体" w:eastAsia="宋体" w:hAnsi="宋体" w:cs="宋体"/>
        </w:rPr>
        <w:t xml:space="preserve">Tagged Data </w:t>
      </w:r>
    </w:p>
    <w:p w14:paraId="00BB142F" w14:textId="77777777" w:rsidR="00871BDF" w:rsidRDefault="005C5088">
      <w:r>
        <w:rPr>
          <w:rFonts w:ascii="monospace" w:eastAsia="monospace" w:hAnsi="monospace" w:cs="monospace"/>
          <w:noProof/>
        </w:rPr>
        <mc:AlternateContent>
          <mc:Choice Requires="wps">
            <w:drawing>
              <wp:inline distT="0" distB="0" distL="114300" distR="114300" wp14:anchorId="00BB14D6" wp14:editId="00BB14D7">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00BB1430" w14:textId="77777777" w:rsidR="00871BDF" w:rsidRDefault="005C5088">
      <w:r>
        <w:rPr>
          <w:rFonts w:ascii="宋体" w:eastAsia="宋体" w:hAnsi="宋体" w:cs="宋体"/>
        </w:rPr>
        <w:t>Save</w:t>
      </w:r>
    </w:p>
    <w:p w14:paraId="00BB1431" w14:textId="77777777" w:rsidR="00871BDF" w:rsidRDefault="005C5088">
      <w:r>
        <w:rPr>
          <w:rFonts w:ascii="宋体" w:eastAsia="宋体" w:hAnsi="宋体" w:cs="宋体"/>
        </w:rPr>
        <w:t>Reset</w:t>
      </w:r>
    </w:p>
    <w:p w14:paraId="00BB1432" w14:textId="77777777" w:rsidR="00871BDF" w:rsidRDefault="005C5088">
      <w:r>
        <w:pict w14:anchorId="00BB14D8">
          <v:rect id="_x0000_i1134" style="width:415.3pt;height:1.5pt" o:hralign="center" o:hrstd="t" o:hr="t" fillcolor="#a0a0a0" stroked="f"/>
        </w:pict>
      </w:r>
    </w:p>
    <w:p w14:paraId="00BB1433" w14:textId="77777777" w:rsidR="00871BDF" w:rsidRDefault="005C5088">
      <w:r>
        <w:rPr>
          <w:rFonts w:ascii="宋体" w:eastAsia="宋体" w:hAnsi="宋体" w:cs="宋体"/>
        </w:rPr>
        <w:t xml:space="preserve">Search Results </w:t>
      </w:r>
    </w:p>
    <w:p w14:paraId="00BB1434" w14:textId="77777777" w:rsidR="00871BDF" w:rsidRDefault="005C5088">
      <w:r>
        <w:rPr>
          <w:rFonts w:ascii="monospace" w:eastAsia="monospace" w:hAnsi="monospace" w:cs="monospace"/>
          <w:noProof/>
        </w:rPr>
        <mc:AlternateContent>
          <mc:Choice Requires="wps">
            <w:drawing>
              <wp:inline distT="0" distB="0" distL="114300" distR="114300" wp14:anchorId="00BB14D9" wp14:editId="00BB14DA">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00BB1435" w14:textId="77777777" w:rsidR="00871BDF" w:rsidRDefault="005C5088">
      <w:r>
        <w:rPr>
          <w:rFonts w:ascii="宋体" w:eastAsia="宋体" w:hAnsi="宋体" w:cs="宋体"/>
        </w:rPr>
        <w:t>Save</w:t>
      </w:r>
    </w:p>
    <w:p w14:paraId="00BB1436" w14:textId="77777777" w:rsidR="00871BDF" w:rsidRDefault="005C5088">
      <w:r>
        <w:rPr>
          <w:rFonts w:ascii="宋体" w:eastAsia="宋体" w:hAnsi="宋体" w:cs="宋体"/>
        </w:rPr>
        <w:t>Reset</w:t>
      </w:r>
    </w:p>
    <w:p w14:paraId="00BB1437" w14:textId="77777777" w:rsidR="00871BDF" w:rsidRDefault="005C5088">
      <w:r>
        <w:pict w14:anchorId="00BB14DB">
          <v:rect id="_x0000_i1135" style="width:415.3pt;height:1.5pt" o:hralign="center" o:hrstd="t" o:hr="t" fillcolor="#a0a0a0" stroked="f"/>
        </w:pict>
      </w:r>
    </w:p>
    <w:p w14:paraId="00BB1438" w14:textId="77777777" w:rsidR="00871BDF" w:rsidRDefault="005C5088">
      <w:r>
        <w:rPr>
          <w:rFonts w:ascii="宋体" w:eastAsia="宋体" w:hAnsi="宋体" w:cs="宋体"/>
        </w:rPr>
        <w:t xml:space="preserve">Selected Fact </w:t>
      </w:r>
    </w:p>
    <w:p w14:paraId="00BB1439" w14:textId="77777777" w:rsidR="00871BDF" w:rsidRDefault="005C5088">
      <w:r>
        <w:rPr>
          <w:rFonts w:ascii="monospace" w:eastAsia="monospace" w:hAnsi="monospace" w:cs="monospace"/>
          <w:noProof/>
        </w:rPr>
        <mc:AlternateContent>
          <mc:Choice Requires="wps">
            <w:drawing>
              <wp:inline distT="0" distB="0" distL="114300" distR="114300" wp14:anchorId="00BB14DC" wp14:editId="00BB14DD">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00BB143A" w14:textId="77777777" w:rsidR="00871BDF" w:rsidRDefault="005C5088">
      <w:r>
        <w:rPr>
          <w:rFonts w:ascii="宋体" w:eastAsia="宋体" w:hAnsi="宋体" w:cs="宋体"/>
        </w:rPr>
        <w:t>Save</w:t>
      </w:r>
    </w:p>
    <w:p w14:paraId="00BB143B" w14:textId="77777777" w:rsidR="00871BDF" w:rsidRDefault="005C5088">
      <w:r>
        <w:rPr>
          <w:rFonts w:ascii="宋体" w:eastAsia="宋体" w:hAnsi="宋体" w:cs="宋体"/>
        </w:rPr>
        <w:t>Reset</w:t>
      </w:r>
    </w:p>
    <w:p w14:paraId="00BB143C" w14:textId="77777777" w:rsidR="00871BDF" w:rsidRDefault="005C5088">
      <w:r>
        <w:pict w14:anchorId="00BB14DE">
          <v:rect id="_x0000_i1136" style="width:415.3pt;height:1.5pt" o:hralign="center" o:hrstd="t" o:hr="t" fillcolor="#a0a0a0" stroked="f"/>
        </w:pict>
      </w:r>
    </w:p>
    <w:p w14:paraId="00BB143D" w14:textId="77777777" w:rsidR="00871BDF" w:rsidRDefault="005C5088">
      <w:r>
        <w:rPr>
          <w:rFonts w:ascii="宋体" w:eastAsia="宋体" w:hAnsi="宋体" w:cs="宋体"/>
        </w:rPr>
        <w:t xml:space="preserve">Tag Shading (hover) </w:t>
      </w:r>
    </w:p>
    <w:p w14:paraId="00BB143E" w14:textId="77777777" w:rsidR="00871BDF" w:rsidRDefault="005C5088">
      <w:r>
        <w:rPr>
          <w:rFonts w:ascii="monospace" w:eastAsia="monospace" w:hAnsi="monospace" w:cs="monospace"/>
          <w:noProof/>
        </w:rPr>
        <mc:AlternateContent>
          <mc:Choice Requires="wps">
            <w:drawing>
              <wp:inline distT="0" distB="0" distL="114300" distR="114300" wp14:anchorId="00BB14DF" wp14:editId="00BB14E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00BB143F" w14:textId="77777777" w:rsidR="00871BDF" w:rsidRDefault="005C5088">
      <w:r>
        <w:rPr>
          <w:rFonts w:ascii="宋体" w:eastAsia="宋体" w:hAnsi="宋体" w:cs="宋体"/>
        </w:rPr>
        <w:t>Save</w:t>
      </w:r>
    </w:p>
    <w:p w14:paraId="00BB1440" w14:textId="77777777" w:rsidR="00871BDF" w:rsidRDefault="005C5088">
      <w:r>
        <w:rPr>
          <w:rFonts w:ascii="宋体" w:eastAsia="宋体" w:hAnsi="宋体" w:cs="宋体"/>
        </w:rPr>
        <w:t>Reset</w:t>
      </w:r>
    </w:p>
    <w:p w14:paraId="00BB1441" w14:textId="77777777" w:rsidR="00871BDF" w:rsidRDefault="005C5088">
      <w:pPr>
        <w:pStyle w:val="Style5"/>
      </w:pPr>
      <w:r>
        <w:t>窗体底端</w:t>
      </w:r>
    </w:p>
    <w:p w14:paraId="00BB1442" w14:textId="77777777" w:rsidR="00871BDF" w:rsidRDefault="005C508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0BB14E1" wp14:editId="00BB14E2">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BDF" w14:paraId="00BB1444" w14:textId="77777777">
        <w:trPr>
          <w:tblCellSpacing w:w="15" w:type="dxa"/>
        </w:trPr>
        <w:tc>
          <w:tcPr>
            <w:tcW w:w="0" w:type="auto"/>
            <w:shd w:val="clear" w:color="auto" w:fill="auto"/>
            <w:vAlign w:val="center"/>
          </w:tcPr>
          <w:p w14:paraId="00BB1443" w14:textId="77777777" w:rsidR="00871BDF" w:rsidRDefault="00871BDF">
            <w:pPr>
              <w:rPr>
                <w:rFonts w:ascii="宋体"/>
              </w:rPr>
            </w:pPr>
          </w:p>
        </w:tc>
      </w:tr>
    </w:tbl>
    <w:p w14:paraId="00BB1445" w14:textId="77777777" w:rsidR="00871BDF" w:rsidRDefault="00871B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BDF" w14:paraId="00BB1447" w14:textId="77777777">
        <w:trPr>
          <w:tblCellSpacing w:w="15" w:type="dxa"/>
        </w:trPr>
        <w:tc>
          <w:tcPr>
            <w:tcW w:w="0" w:type="auto"/>
            <w:shd w:val="clear" w:color="auto" w:fill="auto"/>
            <w:vAlign w:val="center"/>
          </w:tcPr>
          <w:p w14:paraId="00BB1446" w14:textId="77777777" w:rsidR="00871BDF" w:rsidRDefault="00871BDF">
            <w:pPr>
              <w:rPr>
                <w:rFonts w:ascii="宋体"/>
              </w:rPr>
            </w:pPr>
          </w:p>
        </w:tc>
      </w:tr>
    </w:tbl>
    <w:p w14:paraId="00BB1448" w14:textId="77777777" w:rsidR="00871BDF" w:rsidRDefault="00871B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BDF" w14:paraId="00BB144A" w14:textId="77777777">
        <w:trPr>
          <w:tblCellSpacing w:w="15" w:type="dxa"/>
        </w:trPr>
        <w:tc>
          <w:tcPr>
            <w:tcW w:w="0" w:type="auto"/>
            <w:shd w:val="clear" w:color="auto" w:fill="auto"/>
            <w:vAlign w:val="center"/>
          </w:tcPr>
          <w:p w14:paraId="00BB1449" w14:textId="77777777" w:rsidR="00871BDF" w:rsidRDefault="00871BDF">
            <w:pPr>
              <w:rPr>
                <w:rFonts w:ascii="宋体"/>
              </w:rPr>
            </w:pPr>
          </w:p>
        </w:tc>
      </w:tr>
    </w:tbl>
    <w:p w14:paraId="00BB144B" w14:textId="77777777" w:rsidR="00871BDF" w:rsidRDefault="00871B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BDF" w14:paraId="00BB144D" w14:textId="77777777">
        <w:trPr>
          <w:tblCellSpacing w:w="15" w:type="dxa"/>
        </w:trPr>
        <w:tc>
          <w:tcPr>
            <w:tcW w:w="0" w:type="auto"/>
            <w:shd w:val="clear" w:color="auto" w:fill="auto"/>
            <w:vAlign w:val="center"/>
          </w:tcPr>
          <w:p w14:paraId="00BB144C" w14:textId="77777777" w:rsidR="00871BDF" w:rsidRDefault="00871BDF">
            <w:pPr>
              <w:rPr>
                <w:rFonts w:ascii="宋体"/>
              </w:rPr>
            </w:pPr>
          </w:p>
        </w:tc>
      </w:tr>
    </w:tbl>
    <w:p w14:paraId="00BB144E" w14:textId="77777777" w:rsidR="00871BDF" w:rsidRDefault="005C5088">
      <w:r>
        <w:rPr>
          <w:rFonts w:ascii="宋体" w:eastAsia="宋体" w:hAnsi="宋体" w:cs="宋体"/>
        </w:rPr>
        <w:t xml:space="preserve">Previous Next </w:t>
      </w:r>
    </w:p>
    <w:p w14:paraId="00BB144F" w14:textId="77777777" w:rsidR="00871BDF" w:rsidRDefault="005C5088">
      <w:pPr>
        <w:pStyle w:val="a3"/>
      </w:pPr>
      <w:r>
        <w:t xml:space="preserve">Nested Facts / </w:t>
      </w:r>
    </w:p>
    <w:p w14:paraId="00BB1450" w14:textId="77777777" w:rsidR="00871BDF" w:rsidRDefault="005C5088">
      <w:r>
        <w:rPr>
          <w:rFonts w:ascii="宋体" w:eastAsia="宋体" w:hAnsi="宋体" w:cs="宋体"/>
        </w:rPr>
        <w:t xml:space="preserve">Previous Next </w:t>
      </w:r>
    </w:p>
    <w:p w14:paraId="00BB1451" w14:textId="77777777" w:rsidR="00871BDF" w:rsidRDefault="005C508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0BB14E3" wp14:editId="00BB14E4">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BDF" w14:paraId="00BB1453" w14:textId="77777777">
        <w:trPr>
          <w:tblCellSpacing w:w="15" w:type="dxa"/>
        </w:trPr>
        <w:tc>
          <w:tcPr>
            <w:tcW w:w="0" w:type="auto"/>
            <w:shd w:val="clear" w:color="auto" w:fill="auto"/>
            <w:vAlign w:val="center"/>
          </w:tcPr>
          <w:p w14:paraId="00BB1452" w14:textId="77777777" w:rsidR="00871BDF" w:rsidRDefault="00871BDF">
            <w:pPr>
              <w:rPr>
                <w:rFonts w:ascii="宋体"/>
              </w:rPr>
            </w:pPr>
          </w:p>
        </w:tc>
      </w:tr>
    </w:tbl>
    <w:p w14:paraId="00BB1454" w14:textId="77777777" w:rsidR="00871BDF" w:rsidRDefault="00871B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BDF" w14:paraId="00BB1456" w14:textId="77777777">
        <w:trPr>
          <w:tblCellSpacing w:w="15" w:type="dxa"/>
        </w:trPr>
        <w:tc>
          <w:tcPr>
            <w:tcW w:w="0" w:type="auto"/>
            <w:shd w:val="clear" w:color="auto" w:fill="auto"/>
            <w:vAlign w:val="center"/>
          </w:tcPr>
          <w:p w14:paraId="00BB1455" w14:textId="77777777" w:rsidR="00871BDF" w:rsidRDefault="00871BDF">
            <w:pPr>
              <w:rPr>
                <w:rFonts w:ascii="宋体"/>
              </w:rPr>
            </w:pPr>
          </w:p>
        </w:tc>
      </w:tr>
    </w:tbl>
    <w:p w14:paraId="00BB1457" w14:textId="77777777" w:rsidR="00871BDF" w:rsidRDefault="00871B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BDF" w14:paraId="00BB1459" w14:textId="77777777">
        <w:trPr>
          <w:tblCellSpacing w:w="15" w:type="dxa"/>
        </w:trPr>
        <w:tc>
          <w:tcPr>
            <w:tcW w:w="0" w:type="auto"/>
            <w:shd w:val="clear" w:color="auto" w:fill="auto"/>
            <w:vAlign w:val="center"/>
          </w:tcPr>
          <w:p w14:paraId="00BB1458" w14:textId="77777777" w:rsidR="00871BDF" w:rsidRDefault="00871BDF">
            <w:pPr>
              <w:rPr>
                <w:rFonts w:ascii="宋体"/>
              </w:rPr>
            </w:pPr>
          </w:p>
        </w:tc>
      </w:tr>
    </w:tbl>
    <w:p w14:paraId="00BB145A" w14:textId="77777777" w:rsidR="00871BDF" w:rsidRDefault="00871BD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71BDF" w14:paraId="00BB145C" w14:textId="77777777">
        <w:trPr>
          <w:tblCellSpacing w:w="15" w:type="dxa"/>
        </w:trPr>
        <w:tc>
          <w:tcPr>
            <w:tcW w:w="0" w:type="auto"/>
            <w:shd w:val="clear" w:color="auto" w:fill="auto"/>
            <w:vAlign w:val="center"/>
          </w:tcPr>
          <w:p w14:paraId="00BB145B" w14:textId="77777777" w:rsidR="00871BDF" w:rsidRDefault="00871BDF">
            <w:pPr>
              <w:rPr>
                <w:rFonts w:ascii="宋体"/>
              </w:rPr>
            </w:pPr>
          </w:p>
        </w:tc>
      </w:tr>
    </w:tbl>
    <w:p w14:paraId="00BB145D" w14:textId="77777777" w:rsidR="00871BDF" w:rsidRDefault="005C5088">
      <w:r>
        <w:rPr>
          <w:rFonts w:ascii="宋体" w:eastAsia="宋体" w:hAnsi="宋体" w:cs="宋体"/>
        </w:rPr>
        <w:t xml:space="preserve">Previous Next </w:t>
      </w:r>
    </w:p>
    <w:p w14:paraId="00BB145E" w14:textId="77777777" w:rsidR="00871BDF" w:rsidRDefault="00871BDF"/>
    <w:sectPr w:rsidR="00871BDF">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64D1F" w14:textId="77777777" w:rsidR="005C5088" w:rsidRDefault="005C5088" w:rsidP="005C5088">
      <w:r>
        <w:separator/>
      </w:r>
    </w:p>
  </w:endnote>
  <w:endnote w:type="continuationSeparator" w:id="0">
    <w:p w14:paraId="76697FAE" w14:textId="77777777" w:rsidR="005C5088" w:rsidRDefault="005C5088" w:rsidP="005C5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0FD9" w14:textId="77777777" w:rsidR="005C5088" w:rsidRDefault="005C5088" w:rsidP="005C5088">
      <w:r>
        <w:separator/>
      </w:r>
    </w:p>
  </w:footnote>
  <w:footnote w:type="continuationSeparator" w:id="0">
    <w:p w14:paraId="4B787313" w14:textId="77777777" w:rsidR="005C5088" w:rsidRDefault="005C5088" w:rsidP="005C50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BF7E32"/>
    <w:rsid w:val="005C5088"/>
    <w:rsid w:val="00871BDF"/>
    <w:rsid w:val="7BBF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BAC795"/>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5C50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C5088"/>
    <w:rPr>
      <w:rFonts w:asciiTheme="minorEastAsia" w:hAnsiTheme="minorEastAsia" w:cs="Times New Roman"/>
      <w:sz w:val="18"/>
      <w:szCs w:val="18"/>
    </w:rPr>
  </w:style>
  <w:style w:type="paragraph" w:styleId="a8">
    <w:name w:val="footer"/>
    <w:basedOn w:val="a"/>
    <w:link w:val="a9"/>
    <w:rsid w:val="005C5088"/>
    <w:pPr>
      <w:tabs>
        <w:tab w:val="center" w:pos="4153"/>
        <w:tab w:val="right" w:pos="8306"/>
      </w:tabs>
      <w:snapToGrid w:val="0"/>
    </w:pPr>
    <w:rPr>
      <w:sz w:val="18"/>
      <w:szCs w:val="18"/>
    </w:rPr>
  </w:style>
  <w:style w:type="character" w:customStyle="1" w:styleId="a9">
    <w:name w:val="页脚 字符"/>
    <w:basedOn w:val="a0"/>
    <w:link w:val="a8"/>
    <w:rsid w:val="005C508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829224/000082922420000078/sbux-20200927.htm" TargetMode="External"/><Relationship Id="rId299" Type="http://schemas.openxmlformats.org/officeDocument/2006/relationships/hyperlink" Target="https://www.sec.gov/Archives/edgar/data/829224/000119312513354873/d591145dex41.htm" TargetMode="External"/><Relationship Id="rId21" Type="http://schemas.openxmlformats.org/officeDocument/2006/relationships/hyperlink" Target="https://www.sec.gov/ix?doc=/Archives/edgar/data/0000829224/000082922420000078/sbux-20200927.htm" TargetMode="External"/><Relationship Id="rId63" Type="http://schemas.openxmlformats.org/officeDocument/2006/relationships/hyperlink" Target="https://www.sec.gov/ix?doc=/Archives/edgar/data/0000829224/000082922420000078/sbux-20200927.htm" TargetMode="External"/><Relationship Id="rId159" Type="http://schemas.openxmlformats.org/officeDocument/2006/relationships/hyperlink" Target="https://www.sec.gov/ix?doc=/Archives/edgar/data/0000829224/000082922420000078/sbux-20200927.htm" TargetMode="External"/><Relationship Id="rId324" Type="http://schemas.openxmlformats.org/officeDocument/2006/relationships/hyperlink" Target="https://www.sec.gov/Archives/edgar/data/829224/000082922419000051/sbux-9292019xexhibit429.htm" TargetMode="External"/><Relationship Id="rId366" Type="http://schemas.openxmlformats.org/officeDocument/2006/relationships/hyperlink" Target="http://www.sec.gov/Archives/edgar/data/829224/000119312517323996/d478673dex101.htm" TargetMode="External"/><Relationship Id="rId170" Type="http://schemas.openxmlformats.org/officeDocument/2006/relationships/hyperlink" Target="https://www.sec.gov/ix?doc=/Archives/edgar/data/0000829224/000082922420000078/sbux-20200927.htm" TargetMode="External"/><Relationship Id="rId226" Type="http://schemas.openxmlformats.org/officeDocument/2006/relationships/hyperlink" Target="https://www.sec.gov/ix?doc=/Archives/edgar/data/0000829224/000082922420000078/sbux-20200927.htm" TargetMode="External"/><Relationship Id="rId433" Type="http://schemas.openxmlformats.org/officeDocument/2006/relationships/hyperlink" Target="https://www.sec.gov/Archives/edgar/data/829224/000082922420000012/sbux-12292019xexhibit1.htm" TargetMode="External"/><Relationship Id="rId268" Type="http://schemas.openxmlformats.org/officeDocument/2006/relationships/hyperlink" Target="http://www.sec.gov/Archives/edgar/data/829224/000119312518245636/d593042dex42.htm" TargetMode="External"/><Relationship Id="rId32" Type="http://schemas.openxmlformats.org/officeDocument/2006/relationships/hyperlink" Target="https://www.sec.gov/ix?doc=/Archives/edgar/data/0000829224/000082922420000078/sbux-20200927.htm" TargetMode="External"/><Relationship Id="rId74" Type="http://schemas.openxmlformats.org/officeDocument/2006/relationships/hyperlink" Target="https://www.sec.gov/ix?doc=/Archives/edgar/data/0000829224/000082922420000078/sbux-20200927.htm" TargetMode="External"/><Relationship Id="rId128" Type="http://schemas.openxmlformats.org/officeDocument/2006/relationships/hyperlink" Target="https://www.sec.gov/ix?doc=/Archives/edgar/data/0000829224/000082922420000078/sbux-20200927.htm" TargetMode="External"/><Relationship Id="rId335" Type="http://schemas.openxmlformats.org/officeDocument/2006/relationships/hyperlink" Target="https://www.sec.gov/Archives/edgar/data/829224/000089102003002898/v95180exv10w9.txt" TargetMode="External"/><Relationship Id="rId377" Type="http://schemas.openxmlformats.org/officeDocument/2006/relationships/hyperlink" Target="https://www.sec.gov/Archives/edgar/data/829224/000119312516664803/d210241dex101.htm" TargetMode="External"/><Relationship Id="rId5" Type="http://schemas.openxmlformats.org/officeDocument/2006/relationships/endnotes" Target="endnotes.xml"/><Relationship Id="rId181" Type="http://schemas.openxmlformats.org/officeDocument/2006/relationships/hyperlink" Target="https://www.sec.gov/ix?doc=/Archives/edgar/data/0000829224/000082922420000078/sbux-20200927.htm" TargetMode="External"/><Relationship Id="rId237" Type="http://schemas.openxmlformats.org/officeDocument/2006/relationships/hyperlink" Target="https://www.sec.gov/Archives/edgar/data/0000829224/000082922420000078/sbux-9272020xexhibit312.htm" TargetMode="External"/><Relationship Id="rId402" Type="http://schemas.openxmlformats.org/officeDocument/2006/relationships/hyperlink" Target="http://www.sec.gov/Archives/edgar/data/829224/000082922417000049/sbux-1012017xexhibit1025.htm" TargetMode="External"/><Relationship Id="rId279" Type="http://schemas.openxmlformats.org/officeDocument/2006/relationships/hyperlink" Target="http://www.sec.gov/Archives/edgar/data/829224/000119312519145447/d652512dex42.htm" TargetMode="External"/><Relationship Id="rId444" Type="http://schemas.openxmlformats.org/officeDocument/2006/relationships/hyperlink" Target="https://www.sec.gov/ix?doc=/Archives/edgar/data/0000829224/000082922420000078/sbux-20200927.htm" TargetMode="External"/><Relationship Id="rId43" Type="http://schemas.openxmlformats.org/officeDocument/2006/relationships/hyperlink" Target="https://www.sec.gov/ix?doc=/Archives/edgar/data/0000829224/000082922420000078/sbux-20200927.htm" TargetMode="External"/><Relationship Id="rId139" Type="http://schemas.openxmlformats.org/officeDocument/2006/relationships/hyperlink" Target="https://www.sec.gov/ix?doc=/Archives/edgar/data/0000829224/000082922420000078/sbux-20200927.htm" TargetMode="External"/><Relationship Id="rId290" Type="http://schemas.openxmlformats.org/officeDocument/2006/relationships/hyperlink" Target="http://www.sec.gov/Archives/edgar/data/829224/000119312520136264/d923805dex42.htm" TargetMode="External"/><Relationship Id="rId304" Type="http://schemas.openxmlformats.org/officeDocument/2006/relationships/hyperlink" Target="http://www.sec.gov/Archives/edgar/data/829224/000119312513359313/d594484dex42.htm" TargetMode="External"/><Relationship Id="rId346" Type="http://schemas.openxmlformats.org/officeDocument/2006/relationships/hyperlink" Target="https://www.sec.gov/Archives/edgar/data/829224/000089102006000033/v16816exv10w1.txt" TargetMode="External"/><Relationship Id="rId388" Type="http://schemas.openxmlformats.org/officeDocument/2006/relationships/hyperlink" Target="http://www.sec.gov/Archives/edgar/data/829224/000082922417000049/sbux-1012017xexhibit1024.htm" TargetMode="External"/><Relationship Id="rId85" Type="http://schemas.openxmlformats.org/officeDocument/2006/relationships/hyperlink" Target="https://www.sec.gov/ix?doc=/Archives/edgar/data/0000829224/000082922420000078/sbux-20200927.htm" TargetMode="External"/><Relationship Id="rId150" Type="http://schemas.openxmlformats.org/officeDocument/2006/relationships/hyperlink" Target="https://www.sec.gov/ix?doc=/Archives/edgar/data/0000829224/000082922420000078/sbux-20200927.htm" TargetMode="External"/><Relationship Id="rId192" Type="http://schemas.openxmlformats.org/officeDocument/2006/relationships/hyperlink" Target="https://www.sec.gov/ix?doc=/Archives/edgar/data/0000829224/000082922420000078/sbux-20200927.htm" TargetMode="External"/><Relationship Id="rId206" Type="http://schemas.openxmlformats.org/officeDocument/2006/relationships/hyperlink" Target="https://www.sec.gov/ix?doc=/Archives/edgar/data/0000829224/000082922420000078/sbux-20200927.htm" TargetMode="External"/><Relationship Id="rId413" Type="http://schemas.openxmlformats.org/officeDocument/2006/relationships/hyperlink" Target="http://www.sec.gov/Archives/edgar/data/829224/000082922417000049/sbux-1012017xexhibit1026.htm" TargetMode="External"/><Relationship Id="rId248" Type="http://schemas.openxmlformats.org/officeDocument/2006/relationships/hyperlink" Target="http://www.sec.gov/Archives/edgar/data/829224/000119312518183697/d596086dex31.htm" TargetMode="External"/><Relationship Id="rId455" Type="http://schemas.openxmlformats.org/officeDocument/2006/relationships/hyperlink" Target="https://www.sec.gov/Archives/edgar/data/0000829224/000082922420000078/sbux-9272020xexhibit32.htm" TargetMode="External"/><Relationship Id="rId12" Type="http://schemas.openxmlformats.org/officeDocument/2006/relationships/hyperlink" Target="https://www.sec.gov/ix?doc=/Archives/edgar/data/0000829224/000082922420000078/sbux-20200927.htm" TargetMode="External"/><Relationship Id="rId108" Type="http://schemas.openxmlformats.org/officeDocument/2006/relationships/hyperlink" Target="https://www.sec.gov/ix?doc=/Archives/edgar/data/0000829224/000082922420000078/sbux-20200927.htm" TargetMode="External"/><Relationship Id="rId315" Type="http://schemas.openxmlformats.org/officeDocument/2006/relationships/hyperlink" Target="http://www.sec.gov/Archives/edgar/data/829224/000119312515219163/d939863dex42.htm" TargetMode="External"/><Relationship Id="rId357" Type="http://schemas.openxmlformats.org/officeDocument/2006/relationships/hyperlink" Target="http://www.sec.gov/Archives/edgar/data/829224/000082922416000062/sbux-3272016xexhibit102.htm" TargetMode="External"/><Relationship Id="rId54" Type="http://schemas.openxmlformats.org/officeDocument/2006/relationships/hyperlink" Target="https://www.sec.gov/ix?doc=/Archives/edgar/data/0000829224/000082922420000078/sbux-20200927.htm" TargetMode="External"/><Relationship Id="rId96" Type="http://schemas.openxmlformats.org/officeDocument/2006/relationships/hyperlink" Target="https://www.sec.gov/ix?doc=/Archives/edgar/data/0000829224/000082922420000078/sbux-20200927.htm" TargetMode="External"/><Relationship Id="rId161" Type="http://schemas.openxmlformats.org/officeDocument/2006/relationships/hyperlink" Target="https://www.sec.gov/ix?doc=/Archives/edgar/data/0000829224/000082922420000078/sbux-20200927.htm" TargetMode="External"/><Relationship Id="rId217" Type="http://schemas.openxmlformats.org/officeDocument/2006/relationships/hyperlink" Target="https://www.sec.gov/ix?doc=/Archives/edgar/data/0000829224/000082922420000078/sbux-20200927.htm" TargetMode="External"/><Relationship Id="rId399" Type="http://schemas.openxmlformats.org/officeDocument/2006/relationships/hyperlink" Target="http://www.sec.gov/Archives/edgar/data/829224/000082922417000049/sbux-1012017xexhibit1025.htm" TargetMode="External"/><Relationship Id="rId259" Type="http://schemas.openxmlformats.org/officeDocument/2006/relationships/hyperlink" Target="http://www.sec.gov/Archives/edgar/data/829224/000119312517350711/d497269dex42.htm" TargetMode="External"/><Relationship Id="rId424" Type="http://schemas.openxmlformats.org/officeDocument/2006/relationships/hyperlink" Target="http://www.sec.gov/Archives/edgar/data/829224/000082922414000041/sbux-9282014xexhibit1033.htm" TargetMode="External"/><Relationship Id="rId23" Type="http://schemas.openxmlformats.org/officeDocument/2006/relationships/hyperlink" Target="https://www.sec.gov/ix?doc=/Archives/edgar/data/0000829224/000082922420000078/sbux-20200927.htm" TargetMode="External"/><Relationship Id="rId119" Type="http://schemas.openxmlformats.org/officeDocument/2006/relationships/hyperlink" Target="https://www.sec.gov/ix?doc=/Archives/edgar/data/0000829224/000082922420000078/sbux-20200927.htm" TargetMode="External"/><Relationship Id="rId270" Type="http://schemas.openxmlformats.org/officeDocument/2006/relationships/hyperlink" Target="http://www.sec.gov/Archives/edgar/data/829224/000119312518245636/d593042dex42.htm" TargetMode="External"/><Relationship Id="rId326" Type="http://schemas.openxmlformats.org/officeDocument/2006/relationships/hyperlink" Target="http://www.sec.gov/Archives/edgar/data/829224/000082922417000036/sbux-722017xexhibit101.htm" TargetMode="External"/><Relationship Id="rId65" Type="http://schemas.openxmlformats.org/officeDocument/2006/relationships/hyperlink" Target="https://www.sec.gov/ix?doc=/Archives/edgar/data/0000829224/000082922420000078/sbux-20200927.htm" TargetMode="External"/><Relationship Id="rId130" Type="http://schemas.openxmlformats.org/officeDocument/2006/relationships/hyperlink" Target="https://www.sec.gov/ix?doc=/Archives/edgar/data/0000829224/000082922420000078/sbux-20200927.htm" TargetMode="External"/><Relationship Id="rId368" Type="http://schemas.openxmlformats.org/officeDocument/2006/relationships/hyperlink" Target="https://www.sec.gov/Archives/edgar/data/829224/000082922420000066/sbux-6282020xexhibit102.htm" TargetMode="External"/><Relationship Id="rId172" Type="http://schemas.openxmlformats.org/officeDocument/2006/relationships/hyperlink" Target="https://www.sec.gov/ix?doc=/Archives/edgar/data/0000829224/000082922420000078/sbux-20200927.htm" TargetMode="External"/><Relationship Id="rId228" Type="http://schemas.openxmlformats.org/officeDocument/2006/relationships/hyperlink" Target="https://www.sec.gov/ix?doc=/Archives/edgar/data/0000829224/000082922420000078/sbux-20200927.htm" TargetMode="External"/><Relationship Id="rId435" Type="http://schemas.openxmlformats.org/officeDocument/2006/relationships/hyperlink" Target="http://www.sec.gov/Archives/edgar/data/829224/000082922417000040/sbux-090617xexhibit101.htm" TargetMode="External"/><Relationship Id="rId281" Type="http://schemas.openxmlformats.org/officeDocument/2006/relationships/hyperlink" Target="http://www.sec.gov/Archives/edgar/data/829224/000119312519145447/d652512dex42.htm" TargetMode="External"/><Relationship Id="rId337" Type="http://schemas.openxmlformats.org/officeDocument/2006/relationships/hyperlink" Target="https://www.sec.gov/Archives/edgar/data/829224/000082922418000052/sbux-09302018xexhibit105.htm" TargetMode="External"/><Relationship Id="rId34" Type="http://schemas.openxmlformats.org/officeDocument/2006/relationships/hyperlink" Target="https://www.sec.gov/ix?doc=/Archives/edgar/data/0000829224/000082922420000078/sbux-20200927.htm" TargetMode="External"/><Relationship Id="rId76" Type="http://schemas.openxmlformats.org/officeDocument/2006/relationships/hyperlink" Target="https://www.sec.gov/ix?doc=/Archives/edgar/data/0000829224/000082922420000078/sbux-20200927.htm" TargetMode="External"/><Relationship Id="rId141" Type="http://schemas.openxmlformats.org/officeDocument/2006/relationships/hyperlink" Target="https://www.sec.gov/ix?doc=/Archives/edgar/data/0000829224/000082922420000078/sbux-20200927.htm" TargetMode="External"/><Relationship Id="rId379" Type="http://schemas.openxmlformats.org/officeDocument/2006/relationships/hyperlink" Target="http://www.sec.gov/Archives/edgar/data/829224/000082922416000083/sbux-1022016xexhibit1021.htm" TargetMode="External"/><Relationship Id="rId7" Type="http://schemas.openxmlformats.org/officeDocument/2006/relationships/hyperlink" Target="https://www.sec.gov/ix?doc=/Archives/edgar/data/0000829224/000082922420000078/sbux-20200927.htm" TargetMode="External"/><Relationship Id="rId183" Type="http://schemas.openxmlformats.org/officeDocument/2006/relationships/hyperlink" Target="https://www.sec.gov/ix?doc=/Archives/edgar/data/0000829224/000082922420000078/sbux-20200927.htm" TargetMode="External"/><Relationship Id="rId239" Type="http://schemas.openxmlformats.org/officeDocument/2006/relationships/hyperlink" Target="https://www.sec.gov/ix?doc=/Archives/edgar/data/0000829224/000082922420000078/sbux-20200927.htm" TargetMode="External"/><Relationship Id="rId390" Type="http://schemas.openxmlformats.org/officeDocument/2006/relationships/hyperlink" Target="https://www.sec.gov/Archives/edgar/data/829224/000082922419000051/sbux-9292019xexhibit1022.htm" TargetMode="External"/><Relationship Id="rId404" Type="http://schemas.openxmlformats.org/officeDocument/2006/relationships/hyperlink" Target="http://www.sec.gov/Archives/edgar/data/829224/000082922418000052/sbux-09302018xexhibit1023.htm" TargetMode="External"/><Relationship Id="rId446" Type="http://schemas.openxmlformats.org/officeDocument/2006/relationships/hyperlink" Target="https://www.sec.gov/Archives/edgar/data/0000829224/000082922420000078/sbux-9272020xexhibit21.htm" TargetMode="External"/><Relationship Id="rId250" Type="http://schemas.openxmlformats.org/officeDocument/2006/relationships/hyperlink" Target="http://www.sec.gov/Archives/edgar/data/829224/000119312516711031/d243558dex41.htm" TargetMode="External"/><Relationship Id="rId292" Type="http://schemas.openxmlformats.org/officeDocument/2006/relationships/hyperlink" Target="http://www.sec.gov/Archives/edgar/data/829224/000119312520136264/d923805dex42.htm" TargetMode="External"/><Relationship Id="rId306" Type="http://schemas.openxmlformats.org/officeDocument/2006/relationships/hyperlink" Target="http://www.sec.gov/Archives/edgar/data/829224/000119312513463151/d638860dex42.htm" TargetMode="External"/><Relationship Id="rId45" Type="http://schemas.openxmlformats.org/officeDocument/2006/relationships/hyperlink" Target="https://www.sec.gov/ix?doc=/Archives/edgar/data/0000829224/000082922420000078/sbux-20200927.htm" TargetMode="External"/><Relationship Id="rId87" Type="http://schemas.openxmlformats.org/officeDocument/2006/relationships/hyperlink" Target="https://www.sec.gov/ix?doc=/Archives/edgar/data/0000829224/000082922420000078/sbux-20200927.htm" TargetMode="External"/><Relationship Id="rId110" Type="http://schemas.openxmlformats.org/officeDocument/2006/relationships/hyperlink" Target="https://www.sec.gov/ix?doc=/Archives/edgar/data/0000829224/000082922420000078/sbux-20200927.htm" TargetMode="External"/><Relationship Id="rId348" Type="http://schemas.openxmlformats.org/officeDocument/2006/relationships/hyperlink" Target="https://www.sec.gov/ix?doc=/Archives/edgar/data/0000829224/000082922420000078/sbux-20200927.htm" TargetMode="External"/><Relationship Id="rId152" Type="http://schemas.openxmlformats.org/officeDocument/2006/relationships/hyperlink" Target="https://www.sec.gov/ix?doc=/Archives/edgar/data/0000829224/000082922420000078/sbux-20200927.htm" TargetMode="External"/><Relationship Id="rId194" Type="http://schemas.openxmlformats.org/officeDocument/2006/relationships/hyperlink" Target="https://www.sec.gov/ix?doc=/Archives/edgar/data/0000829224/000082922420000078/sbux-20200927.htm" TargetMode="External"/><Relationship Id="rId208" Type="http://schemas.openxmlformats.org/officeDocument/2006/relationships/hyperlink" Target="https://www.sec.gov/ix?doc=/Archives/edgar/data/0000829224/000082922420000078/sbux-20200927.htm" TargetMode="External"/><Relationship Id="rId415" Type="http://schemas.openxmlformats.org/officeDocument/2006/relationships/hyperlink" Target="https://www.sec.gov/Archives/edgar/data/829224/000082922419000051/sbux-9292019xexhibit1026.htm" TargetMode="External"/><Relationship Id="rId457" Type="http://schemas.openxmlformats.org/officeDocument/2006/relationships/hyperlink" Target="https://www.sec.gov/ix?doc=/Archives/edgar/data/0000829224/000082922420000078/sbux-20200927.htm" TargetMode="External"/><Relationship Id="rId261" Type="http://schemas.openxmlformats.org/officeDocument/2006/relationships/hyperlink" Target="http://www.sec.gov/Archives/edgar/data/829224/000119312518063481/d487237dex42.htm" TargetMode="External"/><Relationship Id="rId14" Type="http://schemas.openxmlformats.org/officeDocument/2006/relationships/hyperlink" Target="https://www.sec.gov/ix?doc=/Archives/edgar/data/0000829224/000082922420000078/sbux-20200927.htm" TargetMode="External"/><Relationship Id="rId56" Type="http://schemas.openxmlformats.org/officeDocument/2006/relationships/hyperlink" Target="https://www.sec.gov/ix?doc=/Archives/edgar/data/0000829224/000082922420000078/sbux-20200927.htm" TargetMode="External"/><Relationship Id="rId317" Type="http://schemas.openxmlformats.org/officeDocument/2006/relationships/hyperlink" Target="http://www.sec.gov/Archives/edgar/data/829224/000119312516450381/d116634dex42.htm" TargetMode="External"/><Relationship Id="rId359" Type="http://schemas.openxmlformats.org/officeDocument/2006/relationships/hyperlink" Target="http://www.sec.gov/Archives/edgar/data/829224/000082922416000062/sbux-3272016xexhibit102.htm" TargetMode="External"/><Relationship Id="rId98" Type="http://schemas.openxmlformats.org/officeDocument/2006/relationships/hyperlink" Target="https://www.sec.gov/ix?doc=/Archives/edgar/data/0000829224/000082922420000078/sbux-20200927.htm" TargetMode="External"/><Relationship Id="rId121" Type="http://schemas.openxmlformats.org/officeDocument/2006/relationships/hyperlink" Target="https://www.sec.gov/ix?doc=/Archives/edgar/data/0000829224/000082922420000078/sbux-20200927.htm" TargetMode="External"/><Relationship Id="rId163" Type="http://schemas.openxmlformats.org/officeDocument/2006/relationships/hyperlink" Target="https://www.sec.gov/ix?doc=/Archives/edgar/data/0000829224/000082922420000078/sbux-20200927.htm" TargetMode="External"/><Relationship Id="rId219" Type="http://schemas.openxmlformats.org/officeDocument/2006/relationships/hyperlink" Target="https://www.sec.gov/ix?doc=/Archives/edgar/data/0000829224/000082922420000078/sbux-20200927.htm" TargetMode="External"/><Relationship Id="rId370" Type="http://schemas.openxmlformats.org/officeDocument/2006/relationships/hyperlink" Target="http://www.sec.gov/Archives/edgar/data/829224/000082922419000043/sbux-10252019x8xkhtm.htm" TargetMode="External"/><Relationship Id="rId426" Type="http://schemas.openxmlformats.org/officeDocument/2006/relationships/hyperlink" Target="http://www.sec.gov/Archives/edgar/data/829224/000082922414000041/sbux-9282014xexhibit1033.htm" TargetMode="External"/><Relationship Id="rId230" Type="http://schemas.openxmlformats.org/officeDocument/2006/relationships/hyperlink" Target="https://www.sec.gov/ix?doc=/Archives/edgar/data/0000829224/000082922420000078/sbux-20200927.htm" TargetMode="External"/><Relationship Id="rId25" Type="http://schemas.openxmlformats.org/officeDocument/2006/relationships/hyperlink" Target="https://www.sec.gov/ix?doc=/Archives/edgar/data/0000829224/000082922420000078/sbux-20200927.htm" TargetMode="External"/><Relationship Id="rId67" Type="http://schemas.openxmlformats.org/officeDocument/2006/relationships/hyperlink" Target="https://www.sec.gov/ix?doc=/Archives/edgar/data/0000829224/000082922420000078/sbux-20200927.htm" TargetMode="External"/><Relationship Id="rId272" Type="http://schemas.openxmlformats.org/officeDocument/2006/relationships/hyperlink" Target="http://www.sec.gov/Archives/edgar/data/829224/000119312518245636/d593042dex42.htm" TargetMode="External"/><Relationship Id="rId328" Type="http://schemas.openxmlformats.org/officeDocument/2006/relationships/hyperlink" Target="http://www.sec.gov/Archives/edgar/data/829224/000082922419000036/sbux-6302019xexhibit101.htm" TargetMode="External"/><Relationship Id="rId132" Type="http://schemas.openxmlformats.org/officeDocument/2006/relationships/hyperlink" Target="https://www.sec.gov/ix?doc=/Archives/edgar/data/0000829224/000082922420000078/sbux-20200927.htm" TargetMode="External"/><Relationship Id="rId174" Type="http://schemas.openxmlformats.org/officeDocument/2006/relationships/hyperlink" Target="https://www.sec.gov/ix?doc=/Archives/edgar/data/0000829224/000082922420000078/sbux-20200927.htm" TargetMode="External"/><Relationship Id="rId381" Type="http://schemas.openxmlformats.org/officeDocument/2006/relationships/hyperlink" Target="http://www.sec.gov/Archives/edgar/data/829224/000082922416000083/sbux-1022016xexhibit1021.htm" TargetMode="External"/><Relationship Id="rId241" Type="http://schemas.openxmlformats.org/officeDocument/2006/relationships/hyperlink" Target="https://www.sec.gov/ix?doc=/Archives/edgar/data/0000829224/000082922420000078/sbux-20200927.htm" TargetMode="External"/><Relationship Id="rId437" Type="http://schemas.openxmlformats.org/officeDocument/2006/relationships/hyperlink" Target="http://www.sec.gov/Archives/edgar/data/829224/000082922417000040/sbux-090617xexhibit101.htm" TargetMode="External"/><Relationship Id="rId36" Type="http://schemas.openxmlformats.org/officeDocument/2006/relationships/hyperlink" Target="https://www.sec.gov/ix?doc=/Archives/edgar/data/0000829224/000082922420000078/sbux-20200927.htm" TargetMode="External"/><Relationship Id="rId283" Type="http://schemas.openxmlformats.org/officeDocument/2006/relationships/hyperlink" Target="http://www.sec.gov/Archives/edgar/data/829224/000119312520071550/d859206dex42.htm" TargetMode="External"/><Relationship Id="rId339" Type="http://schemas.openxmlformats.org/officeDocument/2006/relationships/hyperlink" Target="https://www.sec.gov/Archives/edgar/data/829224/000089102006000406/v24294exv10w12.txt" TargetMode="External"/><Relationship Id="rId78" Type="http://schemas.openxmlformats.org/officeDocument/2006/relationships/hyperlink" Target="https://www.sec.gov/ix?doc=/Archives/edgar/data/0000829224/000082922420000078/sbux-20200927.htm" TargetMode="External"/><Relationship Id="rId101" Type="http://schemas.openxmlformats.org/officeDocument/2006/relationships/hyperlink" Target="https://www.sec.gov/ix?doc=/Archives/edgar/data/0000829224/000082922420000078/sbux-20200927.htm" TargetMode="External"/><Relationship Id="rId143" Type="http://schemas.openxmlformats.org/officeDocument/2006/relationships/hyperlink" Target="https://www.sec.gov/ix?doc=/Archives/edgar/data/0000829224/000082922420000078/sbux-20200927.htm" TargetMode="External"/><Relationship Id="rId185" Type="http://schemas.openxmlformats.org/officeDocument/2006/relationships/hyperlink" Target="https://www.sec.gov/ix?doc=/Archives/edgar/data/0000829224/000082922420000078/sbux-20200927.htm" TargetMode="External"/><Relationship Id="rId350" Type="http://schemas.openxmlformats.org/officeDocument/2006/relationships/hyperlink" Target="http://www.sec.gov/Archives/edgar/data/829224/000082922418000052/sbux-09302018xexhibit109.htm" TargetMode="External"/><Relationship Id="rId406" Type="http://schemas.openxmlformats.org/officeDocument/2006/relationships/hyperlink" Target="http://www.sec.gov/Archives/edgar/data/829224/000082922418000052/sbux-09302018xexhibit1023.htm" TargetMode="External"/><Relationship Id="rId9" Type="http://schemas.openxmlformats.org/officeDocument/2006/relationships/hyperlink" Target="https://www.sec.gov/ix?doc=/Archives/edgar/data/0000829224/000082922420000078/sbux-20200927.htm" TargetMode="External"/><Relationship Id="rId210" Type="http://schemas.openxmlformats.org/officeDocument/2006/relationships/hyperlink" Target="https://www.sec.gov/ix?doc=/Archives/edgar/data/0000829224/000082922420000078/sbux-20200927.htm" TargetMode="External"/><Relationship Id="rId392" Type="http://schemas.openxmlformats.org/officeDocument/2006/relationships/hyperlink" Target="https://www.sec.gov/Archives/edgar/data/829224/000082922419000051/sbux-9292019xexhibit1022.htm" TargetMode="External"/><Relationship Id="rId448" Type="http://schemas.openxmlformats.org/officeDocument/2006/relationships/hyperlink" Target="https://www.sec.gov/Archives/edgar/data/0000829224/000082922420000078/sbux-9272020xexhibit23.htm" TargetMode="External"/><Relationship Id="rId252" Type="http://schemas.openxmlformats.org/officeDocument/2006/relationships/hyperlink" Target="http://www.sec.gov/Archives/edgar/data/829224/000119312517087865/d345081dex42.htm" TargetMode="External"/><Relationship Id="rId294" Type="http://schemas.openxmlformats.org/officeDocument/2006/relationships/hyperlink" Target="http://www.sec.gov/Archives/edgar/data/829224/000119312520136264/d923805dex42.htm" TargetMode="External"/><Relationship Id="rId308" Type="http://schemas.openxmlformats.org/officeDocument/2006/relationships/hyperlink" Target="http://www.sec.gov/Archives/edgar/data/829224/000119312513463151/d638860dex42.htm" TargetMode="External"/><Relationship Id="rId47" Type="http://schemas.openxmlformats.org/officeDocument/2006/relationships/hyperlink" Target="https://www.sec.gov/ix?doc=/Archives/edgar/data/0000829224/000082922420000078/sbux-20200927.htm" TargetMode="External"/><Relationship Id="rId89" Type="http://schemas.openxmlformats.org/officeDocument/2006/relationships/hyperlink" Target="https://www.sec.gov/ix?doc=/Archives/edgar/data/0000829224/000082922420000078/sbux-20200927.htm" TargetMode="External"/><Relationship Id="rId112" Type="http://schemas.openxmlformats.org/officeDocument/2006/relationships/hyperlink" Target="https://www.sec.gov/ix?doc=/Archives/edgar/data/0000829224/000082922420000078/sbux-20200927.htm" TargetMode="External"/><Relationship Id="rId154" Type="http://schemas.openxmlformats.org/officeDocument/2006/relationships/hyperlink" Target="https://www.sec.gov/ix?doc=/Archives/edgar/data/0000829224/000082922420000078/sbux-20200927.htm" TargetMode="External"/><Relationship Id="rId361" Type="http://schemas.openxmlformats.org/officeDocument/2006/relationships/hyperlink" Target="http://www.sec.gov/Archives/edgar/data/829224/000082922416000062/sbux-3272016xexhibit103.htm" TargetMode="External"/><Relationship Id="rId196" Type="http://schemas.openxmlformats.org/officeDocument/2006/relationships/hyperlink" Target="https://www.sec.gov/ix?doc=/Archives/edgar/data/0000829224/000082922420000078/sbux-20200927.htm" TargetMode="External"/><Relationship Id="rId417" Type="http://schemas.openxmlformats.org/officeDocument/2006/relationships/hyperlink" Target="https://www.sec.gov/Archives/edgar/data/0000829224/000082922420000078/sbux-9272020xex1029.htm" TargetMode="External"/><Relationship Id="rId459" Type="http://schemas.openxmlformats.org/officeDocument/2006/relationships/hyperlink" Target="https://www.sec.gov/ix?doc=/Archives/edgar/data/0000829224/000082922420000078/sbux-20200927.htm" TargetMode="External"/><Relationship Id="rId16" Type="http://schemas.openxmlformats.org/officeDocument/2006/relationships/hyperlink" Target="https://www.sec.gov/ix?doc=/Archives/edgar/data/0000829224/000082922420000078/sbux-20200927.htm" TargetMode="External"/><Relationship Id="rId221" Type="http://schemas.openxmlformats.org/officeDocument/2006/relationships/hyperlink" Target="https://www.sec.gov/ix?doc=/Archives/edgar/data/0000829224/000082922420000078/sbux-20200927.htm" TargetMode="External"/><Relationship Id="rId263" Type="http://schemas.openxmlformats.org/officeDocument/2006/relationships/hyperlink" Target="http://www.sec.gov/Archives/edgar/data/829224/000119312518063481/d487237dex42.htm" TargetMode="External"/><Relationship Id="rId319" Type="http://schemas.openxmlformats.org/officeDocument/2006/relationships/hyperlink" Target="http://www.sec.gov/Archives/edgar/data/829224/000119312516450381/d116634dex42.htm" TargetMode="External"/><Relationship Id="rId58" Type="http://schemas.openxmlformats.org/officeDocument/2006/relationships/hyperlink" Target="https://www.sec.gov/ix?doc=/Archives/edgar/data/0000829224/000082922420000078/sbux-20200927.htm" TargetMode="External"/><Relationship Id="rId123" Type="http://schemas.openxmlformats.org/officeDocument/2006/relationships/hyperlink" Target="https://www.sec.gov/ix?doc=/Archives/edgar/data/0000829224/000082922420000078/sbux-20200927.htm" TargetMode="External"/><Relationship Id="rId330" Type="http://schemas.openxmlformats.org/officeDocument/2006/relationships/hyperlink" Target="http://www.sec.gov/Archives/edgar/data/829224/000119312511024207/dex102.htm" TargetMode="External"/><Relationship Id="rId165" Type="http://schemas.openxmlformats.org/officeDocument/2006/relationships/hyperlink" Target="https://www.sec.gov/ix?doc=/Archives/edgar/data/0000829224/000082922420000078/sbux-20200927.htm" TargetMode="External"/><Relationship Id="rId372" Type="http://schemas.openxmlformats.org/officeDocument/2006/relationships/hyperlink" Target="http://www.sec.gov/Archives/edgar/data/829224/000082922420000066/sbux-6282020xexhibit103.htm" TargetMode="External"/><Relationship Id="rId428" Type="http://schemas.openxmlformats.org/officeDocument/2006/relationships/hyperlink" Target="http://www.sec.gov/Archives/edgar/data/829224/000082922417000021/sbux-422017xexhibit101.htm" TargetMode="External"/><Relationship Id="rId232" Type="http://schemas.openxmlformats.org/officeDocument/2006/relationships/hyperlink" Target="https://www.sec.gov/ix?doc=/Archives/edgar/data/0000829224/000082922420000078/sbux-20200927.htm" TargetMode="External"/><Relationship Id="rId274" Type="http://schemas.openxmlformats.org/officeDocument/2006/relationships/hyperlink" Target="http://www.sec.gov/Archives/edgar/data/829224/000119312518245636/d593042dex42.htm" TargetMode="External"/><Relationship Id="rId27" Type="http://schemas.openxmlformats.org/officeDocument/2006/relationships/hyperlink" Target="https://www.sec.gov/ix?doc=/Archives/edgar/data/0000829224/000082922420000078/sbux-20200927.htm" TargetMode="External"/><Relationship Id="rId69" Type="http://schemas.openxmlformats.org/officeDocument/2006/relationships/hyperlink" Target="https://www.sec.gov/ix?doc=/Archives/edgar/data/0000829224/000082922420000078/sbux-20200927.htm" TargetMode="External"/><Relationship Id="rId134" Type="http://schemas.openxmlformats.org/officeDocument/2006/relationships/hyperlink" Target="https://www.sec.gov/ix?doc=/Archives/edgar/data/0000829224/000082922420000078/sbux-20200927.htm" TargetMode="External"/><Relationship Id="rId80" Type="http://schemas.openxmlformats.org/officeDocument/2006/relationships/hyperlink" Target="https://www.sec.gov/ix?doc=/Archives/edgar/data/0000829224/000082922420000078/sbux-20200927.htm" TargetMode="External"/><Relationship Id="rId176" Type="http://schemas.openxmlformats.org/officeDocument/2006/relationships/hyperlink" Target="https://www.sec.gov/ix?doc=/Archives/edgar/data/0000829224/000082922420000078/sbux-20200927.htm" TargetMode="External"/><Relationship Id="rId341" Type="http://schemas.openxmlformats.org/officeDocument/2006/relationships/hyperlink" Target="https://www.sec.gov/Archives/edgar/data/829224/000082922418000052/sbux-09302018xexhibit107.htm" TargetMode="External"/><Relationship Id="rId383" Type="http://schemas.openxmlformats.org/officeDocument/2006/relationships/hyperlink" Target="http://www.sec.gov/Archives/edgar/data/829224/000082922416000083/sbux-1022016xexhibit1021.htm" TargetMode="External"/><Relationship Id="rId439" Type="http://schemas.openxmlformats.org/officeDocument/2006/relationships/hyperlink" Target="https://www.sec.gov/Archives/edgar/data/829224/000082922420000012/sbux-12292019xexhibit11.htm" TargetMode="External"/><Relationship Id="rId201" Type="http://schemas.openxmlformats.org/officeDocument/2006/relationships/hyperlink" Target="https://www.sec.gov/ix?doc=/Archives/edgar/data/0000829224/000082922420000078/sbux-20200927.htm" TargetMode="External"/><Relationship Id="rId243" Type="http://schemas.openxmlformats.org/officeDocument/2006/relationships/hyperlink" Target="http://www.sec.gov/Archives/edgar/data/829224/000119312518154644/d555051dex21.htm" TargetMode="External"/><Relationship Id="rId285" Type="http://schemas.openxmlformats.org/officeDocument/2006/relationships/hyperlink" Target="http://www.sec.gov/Archives/edgar/data/829224/000119312520071550/d859206dex42.htm" TargetMode="External"/><Relationship Id="rId450" Type="http://schemas.openxmlformats.org/officeDocument/2006/relationships/hyperlink" Target="https://www.sec.gov/ix?doc=/Archives/edgar/data/0000829224/000082922420000078/sbux-20200927.htm" TargetMode="External"/><Relationship Id="rId38" Type="http://schemas.openxmlformats.org/officeDocument/2006/relationships/hyperlink" Target="https://www.sec.gov/ix?doc=/Archives/edgar/data/0000829224/000082922420000078/sbux-20200927.htm" TargetMode="External"/><Relationship Id="rId103" Type="http://schemas.openxmlformats.org/officeDocument/2006/relationships/hyperlink" Target="https://www.sec.gov/ix?doc=/Archives/edgar/data/0000829224/000082922420000078/sbux-20200927.htm" TargetMode="External"/><Relationship Id="rId310" Type="http://schemas.openxmlformats.org/officeDocument/2006/relationships/hyperlink" Target="http://www.sec.gov/Archives/edgar/data/829224/000119312515219163/d939863dex42.htm" TargetMode="External"/><Relationship Id="rId91" Type="http://schemas.openxmlformats.org/officeDocument/2006/relationships/hyperlink" Target="https://www.sec.gov/ix?doc=/Archives/edgar/data/0000829224/000082922420000078/sbux-20200927.htm" TargetMode="External"/><Relationship Id="rId145" Type="http://schemas.openxmlformats.org/officeDocument/2006/relationships/hyperlink" Target="https://www.sec.gov/ix?doc=/Archives/edgar/data/0000829224/000082922420000078/sbux-20200927.htm" TargetMode="External"/><Relationship Id="rId187" Type="http://schemas.openxmlformats.org/officeDocument/2006/relationships/hyperlink" Target="https://www.sec.gov/ix?doc=/Archives/edgar/data/0000829224/000082922420000078/sbux-20200927.htm" TargetMode="External"/><Relationship Id="rId352" Type="http://schemas.openxmlformats.org/officeDocument/2006/relationships/hyperlink" Target="http://www.sec.gov/Archives/edgar/data/829224/000082922418000052/sbux-09302018xexhibit109.htm" TargetMode="External"/><Relationship Id="rId394" Type="http://schemas.openxmlformats.org/officeDocument/2006/relationships/hyperlink" Target="https://www.sec.gov/Archives/edgar/data/0000829224/000082922420000078/sbux-9272020xex1023.htm" TargetMode="External"/><Relationship Id="rId408" Type="http://schemas.openxmlformats.org/officeDocument/2006/relationships/hyperlink" Target="http://www.sec.gov/Archives/edgar/data/829224/000082922417000049/sbux-1012017xexhibit1026.htm" TargetMode="External"/><Relationship Id="rId212" Type="http://schemas.openxmlformats.org/officeDocument/2006/relationships/hyperlink" Target="https://www.sec.gov/ix?doc=/Archives/edgar/data/0000829224/000082922420000078/sbux-20200927.htm" TargetMode="External"/><Relationship Id="rId254" Type="http://schemas.openxmlformats.org/officeDocument/2006/relationships/hyperlink" Target="http://www.sec.gov/Archives/edgar/data/829224/000119312517087865/d345081dex42.htm" TargetMode="External"/><Relationship Id="rId49" Type="http://schemas.openxmlformats.org/officeDocument/2006/relationships/hyperlink" Target="https://www.sec.gov/ix?doc=/Archives/edgar/data/0000829224/000082922420000078/sbux-20200927.htm" TargetMode="External"/><Relationship Id="rId114" Type="http://schemas.openxmlformats.org/officeDocument/2006/relationships/hyperlink" Target="https://www.sec.gov/ix?doc=/Archives/edgar/data/0000829224/000082922420000078/sbux-20200927.htm" TargetMode="External"/><Relationship Id="rId296" Type="http://schemas.openxmlformats.org/officeDocument/2006/relationships/hyperlink" Target="http://www.sec.gov/Archives/edgar/data/829224/000119312520136264/d923805dex42.htm" TargetMode="External"/><Relationship Id="rId461" Type="http://schemas.openxmlformats.org/officeDocument/2006/relationships/theme" Target="theme/theme1.xml"/><Relationship Id="rId60" Type="http://schemas.openxmlformats.org/officeDocument/2006/relationships/hyperlink" Target="https://www.sec.gov/ix?doc=/Archives/edgar/data/0000829224/000082922420000078/sbux-20200927.htm" TargetMode="External"/><Relationship Id="rId156" Type="http://schemas.openxmlformats.org/officeDocument/2006/relationships/hyperlink" Target="https://www.sec.gov/ix?doc=/Archives/edgar/data/0000829224/000082922420000078/sbux-20200927.htm" TargetMode="External"/><Relationship Id="rId198" Type="http://schemas.openxmlformats.org/officeDocument/2006/relationships/hyperlink" Target="https://www.sec.gov/ix?doc=/Archives/edgar/data/0000829224/000082922420000078/sbux-20200927.htm" TargetMode="External"/><Relationship Id="rId321" Type="http://schemas.openxmlformats.org/officeDocument/2006/relationships/hyperlink" Target="http://www.sec.gov/Archives/edgar/data/829224/000119312516591921/d193458dex44.htm" TargetMode="External"/><Relationship Id="rId363" Type="http://schemas.openxmlformats.org/officeDocument/2006/relationships/hyperlink" Target="http://www.sec.gov/Archives/edgar/data/829224/000082922416000062/sbux-3272016xexhibit103.htm" TargetMode="External"/><Relationship Id="rId419" Type="http://schemas.openxmlformats.org/officeDocument/2006/relationships/hyperlink" Target="http://www.sec.gov/Archives/edgar/data/829224/000095012310007737/v54197exv10w3.htm" TargetMode="External"/><Relationship Id="rId223" Type="http://schemas.openxmlformats.org/officeDocument/2006/relationships/hyperlink" Target="https://www.sec.gov/ix?doc=/Archives/edgar/data/0000829224/000082922420000078/sbux-20200927.htm" TargetMode="External"/><Relationship Id="rId430" Type="http://schemas.openxmlformats.org/officeDocument/2006/relationships/hyperlink" Target="http://www.sec.gov/Archives/edgar/data/829224/000082922417000021/sbux-422017xexhibit101.htm" TargetMode="External"/><Relationship Id="rId18" Type="http://schemas.openxmlformats.org/officeDocument/2006/relationships/hyperlink" Target="https://www.sec.gov/ix?doc=/Archives/edgar/data/0000829224/000082922420000078/sbux-20200927.htm" TargetMode="External"/><Relationship Id="rId265" Type="http://schemas.openxmlformats.org/officeDocument/2006/relationships/hyperlink" Target="http://www.sec.gov/Archives/edgar/data/829224/000119312518063481/d487237dex42.htm" TargetMode="External"/><Relationship Id="rId125" Type="http://schemas.openxmlformats.org/officeDocument/2006/relationships/hyperlink" Target="https://www.sec.gov/ix?doc=/Archives/edgar/data/0000829224/000082922420000078/sbux-20200927.htm" TargetMode="External"/><Relationship Id="rId167" Type="http://schemas.openxmlformats.org/officeDocument/2006/relationships/hyperlink" Target="https://www.sec.gov/ix?doc=/Archives/edgar/data/0000829224/000082922420000078/sbux-20200927.htm" TargetMode="External"/><Relationship Id="rId332" Type="http://schemas.openxmlformats.org/officeDocument/2006/relationships/hyperlink" Target="https://www.sec.gov/ix?doc=/Archives/edgar/data/0000829224/000082922420000078/sbux-20200927.htm" TargetMode="External"/><Relationship Id="rId374" Type="http://schemas.openxmlformats.org/officeDocument/2006/relationships/hyperlink" Target="https://www.sec.gov/Archives/edgar/data/829224/000119312520253371/d88866dex101.htm" TargetMode="External"/><Relationship Id="rId71" Type="http://schemas.openxmlformats.org/officeDocument/2006/relationships/hyperlink" Target="https://www.sec.gov/ix?doc=/Archives/edgar/data/0000829224/000082922420000078/sbux-20200927.htm" TargetMode="External"/><Relationship Id="rId234" Type="http://schemas.openxmlformats.org/officeDocument/2006/relationships/hyperlink" Target="https://www.sec.gov/ix?doc=/Archives/edgar/data/0000829224/000082922420000078/sbux-20200927.htm" TargetMode="External"/><Relationship Id="rId2" Type="http://schemas.openxmlformats.org/officeDocument/2006/relationships/settings" Target="settings.xml"/><Relationship Id="rId29" Type="http://schemas.openxmlformats.org/officeDocument/2006/relationships/hyperlink" Target="https://www.sec.gov/ix?doc=/Archives/edgar/data/0000829224/000082922420000078/sbux-20200927.htm" TargetMode="External"/><Relationship Id="rId276" Type="http://schemas.openxmlformats.org/officeDocument/2006/relationships/hyperlink" Target="http://www.sec.gov/Archives/edgar/data/829224/000119312519145447/d652512dex42.htm" TargetMode="External"/><Relationship Id="rId441" Type="http://schemas.openxmlformats.org/officeDocument/2006/relationships/hyperlink" Target="http://www.sec.gov/Archives/edgar/data/829224/000119312518295222/d636620dex101.htm" TargetMode="External"/><Relationship Id="rId40" Type="http://schemas.openxmlformats.org/officeDocument/2006/relationships/hyperlink" Target="https://www.sec.gov/ix?doc=/Archives/edgar/data/0000829224/000082922420000078/sbux-20200927.htm" TargetMode="External"/><Relationship Id="rId115" Type="http://schemas.openxmlformats.org/officeDocument/2006/relationships/hyperlink" Target="https://www.sec.gov/ix?doc=/Archives/edgar/data/0000829224/000082922420000078/sbux-20200927.htm" TargetMode="External"/><Relationship Id="rId136" Type="http://schemas.openxmlformats.org/officeDocument/2006/relationships/hyperlink" Target="https://www.sec.gov/ix?doc=/Archives/edgar/data/0000829224/000082922420000078/sbux-20200927.htm" TargetMode="External"/><Relationship Id="rId157" Type="http://schemas.openxmlformats.org/officeDocument/2006/relationships/hyperlink" Target="https://www.sec.gov/ix?doc=/Archives/edgar/data/0000829224/000082922420000078/sbux-20200927.htm" TargetMode="External"/><Relationship Id="rId178" Type="http://schemas.openxmlformats.org/officeDocument/2006/relationships/hyperlink" Target="https://www.sec.gov/ix?doc=/Archives/edgar/data/0000829224/000082922420000078/sbux-20200927.htm" TargetMode="External"/><Relationship Id="rId301" Type="http://schemas.openxmlformats.org/officeDocument/2006/relationships/hyperlink" Target="https://www.sec.gov/ix?doc=/Archives/edgar/data/0000829224/000082922420000078/sbux-20200927.htm" TargetMode="External"/><Relationship Id="rId322" Type="http://schemas.openxmlformats.org/officeDocument/2006/relationships/hyperlink" Target="http://www.sec.gov/Archives/edgar/data/829224/000119312516591921/d193458dex44.htm" TargetMode="External"/><Relationship Id="rId343" Type="http://schemas.openxmlformats.org/officeDocument/2006/relationships/hyperlink" Target="https://www.sec.gov/Archives/edgar/data/829224/000082922418000052/sbux-09302018xexhibit107.htm" TargetMode="External"/><Relationship Id="rId364" Type="http://schemas.openxmlformats.org/officeDocument/2006/relationships/hyperlink" Target="http://www.sec.gov/Archives/edgar/data/829224/000082922416000062/sbux-3272016xexhibit103.htm" TargetMode="External"/><Relationship Id="rId61" Type="http://schemas.openxmlformats.org/officeDocument/2006/relationships/hyperlink" Target="https://www.sec.gov/ix?doc=/Archives/edgar/data/0000829224/000082922420000078/sbux-20200927.htm" TargetMode="External"/><Relationship Id="rId82" Type="http://schemas.openxmlformats.org/officeDocument/2006/relationships/hyperlink" Target="https://www.sec.gov/ix?doc=/Archives/edgar/data/0000829224/000082922420000078/sbux-20200927.htm" TargetMode="External"/><Relationship Id="rId199" Type="http://schemas.openxmlformats.org/officeDocument/2006/relationships/hyperlink" Target="https://www.sec.gov/ix?doc=/Archives/edgar/data/0000829224/000082922420000078/sbux-20200927.htm" TargetMode="External"/><Relationship Id="rId203" Type="http://schemas.openxmlformats.org/officeDocument/2006/relationships/hyperlink" Target="https://www.sec.gov/ix?doc=/Archives/edgar/data/0000829224/000082922420000078/sbux-20200927.htm" TargetMode="External"/><Relationship Id="rId385" Type="http://schemas.openxmlformats.org/officeDocument/2006/relationships/hyperlink" Target="http://www.sec.gov/Archives/edgar/data/829224/000082922417000049/sbux-1012017xexhibit1024.htm" TargetMode="External"/><Relationship Id="rId19" Type="http://schemas.openxmlformats.org/officeDocument/2006/relationships/hyperlink" Target="https://www.sec.gov/ix?doc=/Archives/edgar/data/0000829224/000082922420000078/sbux-20200927.htm" TargetMode="External"/><Relationship Id="rId224" Type="http://schemas.openxmlformats.org/officeDocument/2006/relationships/hyperlink" Target="https://www.sec.gov/ix?doc=/Archives/edgar/data/0000829224/000082922420000078/sbux-20200927.htm" TargetMode="External"/><Relationship Id="rId245" Type="http://schemas.openxmlformats.org/officeDocument/2006/relationships/hyperlink" Target="http://www.sec.gov/Archives/edgar/data/829224/000082922415000017/sbux-3292015xexhibit31.htm" TargetMode="External"/><Relationship Id="rId266" Type="http://schemas.openxmlformats.org/officeDocument/2006/relationships/hyperlink" Target="http://www.sec.gov/Archives/edgar/data/829224/000119312518063481/d487237dex42.htm" TargetMode="External"/><Relationship Id="rId287" Type="http://schemas.openxmlformats.org/officeDocument/2006/relationships/hyperlink" Target="http://www.sec.gov/Archives/edgar/data/829224/000119312520071550/d859206dex42.htm" TargetMode="External"/><Relationship Id="rId410" Type="http://schemas.openxmlformats.org/officeDocument/2006/relationships/hyperlink" Target="http://www.sec.gov/Archives/edgar/data/829224/000082922417000049/sbux-1012017xexhibit1026.htm" TargetMode="External"/><Relationship Id="rId431" Type="http://schemas.openxmlformats.org/officeDocument/2006/relationships/hyperlink" Target="http://www.sec.gov/Archives/edgar/data/829224/000082922417000021/sbux-422017xexhibit101.htm" TargetMode="External"/><Relationship Id="rId452" Type="http://schemas.openxmlformats.org/officeDocument/2006/relationships/hyperlink" Target="https://www.sec.gov/Archives/edgar/data/0000829224/000082922420000078/sbux-9272020xexhibit311.htm" TargetMode="External"/><Relationship Id="rId30" Type="http://schemas.openxmlformats.org/officeDocument/2006/relationships/hyperlink" Target="https://www.sec.gov/ix?doc=/Archives/edgar/data/0000829224/000082922420000078/sbux-20200927.htm" TargetMode="External"/><Relationship Id="rId105" Type="http://schemas.openxmlformats.org/officeDocument/2006/relationships/hyperlink" Target="https://www.sec.gov/ix?doc=/Archives/edgar/data/0000829224/000082922420000078/sbux-20200927.htm" TargetMode="External"/><Relationship Id="rId126" Type="http://schemas.openxmlformats.org/officeDocument/2006/relationships/hyperlink" Target="https://www.sec.gov/ix?doc=/Archives/edgar/data/0000829224/000082922420000078/sbux-20200927.htm" TargetMode="External"/><Relationship Id="rId147" Type="http://schemas.openxmlformats.org/officeDocument/2006/relationships/hyperlink" Target="https://www.sec.gov/ix?doc=/Archives/edgar/data/0000829224/000082922420000078/sbux-20200927.htm" TargetMode="External"/><Relationship Id="rId168" Type="http://schemas.openxmlformats.org/officeDocument/2006/relationships/hyperlink" Target="https://www.sec.gov/ix?doc=/Archives/edgar/data/0000829224/000082922420000078/sbux-20200927.htm" TargetMode="External"/><Relationship Id="rId312" Type="http://schemas.openxmlformats.org/officeDocument/2006/relationships/hyperlink" Target="http://www.sec.gov/Archives/edgar/data/829224/000119312515219163/d939863dex42.htm" TargetMode="External"/><Relationship Id="rId333" Type="http://schemas.openxmlformats.org/officeDocument/2006/relationships/hyperlink" Target="https://www.sec.gov/Archives/edgar/data/829224/000082922420000066/sbux-6282020xexhibit101.htm" TargetMode="External"/><Relationship Id="rId354" Type="http://schemas.openxmlformats.org/officeDocument/2006/relationships/hyperlink" Target="http://www.sec.gov/Archives/edgar/data/829224/000082922416000083/sbux-1022016xexhibit1014.htm" TargetMode="External"/><Relationship Id="rId51" Type="http://schemas.openxmlformats.org/officeDocument/2006/relationships/hyperlink" Target="https://www.sec.gov/ix?doc=/Archives/edgar/data/0000829224/000082922420000078/sbux-20200927.htm" TargetMode="External"/><Relationship Id="rId72" Type="http://schemas.openxmlformats.org/officeDocument/2006/relationships/hyperlink" Target="https://www.sec.gov/ix?doc=/Archives/edgar/data/0000829224/000082922420000078/sbux-20200927.htm" TargetMode="External"/><Relationship Id="rId93" Type="http://schemas.openxmlformats.org/officeDocument/2006/relationships/hyperlink" Target="https://www.sec.gov/ix?doc=/Archives/edgar/data/0000829224/000082922420000078/sbux-20200927.htm" TargetMode="External"/><Relationship Id="rId189" Type="http://schemas.openxmlformats.org/officeDocument/2006/relationships/hyperlink" Target="https://www.sec.gov/ix?doc=/Archives/edgar/data/0000829224/000082922420000078/sbux-20200927.htm" TargetMode="External"/><Relationship Id="rId375" Type="http://schemas.openxmlformats.org/officeDocument/2006/relationships/hyperlink" Target="https://www.sec.gov/Archives/edgar/data/829224/000119312520253371/d88866dex101.htm" TargetMode="External"/><Relationship Id="rId396" Type="http://schemas.openxmlformats.org/officeDocument/2006/relationships/hyperlink" Target="https://www.sec.gov/Archives/edgar/data/0000829224/000082922420000078/sbux-9272020xex1024.htm" TargetMode="External"/><Relationship Id="rId3" Type="http://schemas.openxmlformats.org/officeDocument/2006/relationships/webSettings" Target="webSettings.xml"/><Relationship Id="rId214" Type="http://schemas.openxmlformats.org/officeDocument/2006/relationships/hyperlink" Target="https://www.sec.gov/ix?doc=/Archives/edgar/data/0000829224/000082922420000078/sbux-20200927.htm" TargetMode="External"/><Relationship Id="rId235" Type="http://schemas.openxmlformats.org/officeDocument/2006/relationships/hyperlink" Target="https://www.sec.gov/Archives/edgar/data/0000829224/000082922420000078/sbux-9272020xexhibit311.htm" TargetMode="External"/><Relationship Id="rId256" Type="http://schemas.openxmlformats.org/officeDocument/2006/relationships/hyperlink" Target="http://www.sec.gov/Archives/edgar/data/829224/000119312517350711/d497269dex42.htm" TargetMode="External"/><Relationship Id="rId277" Type="http://schemas.openxmlformats.org/officeDocument/2006/relationships/hyperlink" Target="http://www.sec.gov/Archives/edgar/data/829224/000119312519145447/d652512dex42.htm" TargetMode="External"/><Relationship Id="rId298" Type="http://schemas.openxmlformats.org/officeDocument/2006/relationships/hyperlink" Target="https://www.sec.gov/Archives/edgar/data/829224/000119312513354873/d591145dex41.htm" TargetMode="External"/><Relationship Id="rId400" Type="http://schemas.openxmlformats.org/officeDocument/2006/relationships/hyperlink" Target="http://www.sec.gov/Archives/edgar/data/829224/000082922417000049/sbux-1012017xexhibit1025.htm" TargetMode="External"/><Relationship Id="rId421" Type="http://schemas.openxmlformats.org/officeDocument/2006/relationships/hyperlink" Target="http://www.sec.gov/Archives/edgar/data/829224/000095012310007737/v54197exv10w3.htm" TargetMode="External"/><Relationship Id="rId442" Type="http://schemas.openxmlformats.org/officeDocument/2006/relationships/hyperlink" Target="http://www.sec.gov/Archives/edgar/data/829224/000119312518295222/d636620dex101.htm" TargetMode="External"/><Relationship Id="rId116" Type="http://schemas.openxmlformats.org/officeDocument/2006/relationships/hyperlink" Target="https://www.sec.gov/ix?doc=/Archives/edgar/data/0000829224/000082922420000078/sbux-20200927.htm" TargetMode="External"/><Relationship Id="rId137" Type="http://schemas.openxmlformats.org/officeDocument/2006/relationships/hyperlink" Target="https://www.sec.gov/ix?doc=/Archives/edgar/data/0000829224/000082922420000078/sbux-20200927.htm" TargetMode="External"/><Relationship Id="rId158" Type="http://schemas.openxmlformats.org/officeDocument/2006/relationships/hyperlink" Target="https://www.sec.gov/ix?doc=/Archives/edgar/data/0000829224/000082922420000078/sbux-20200927.htm" TargetMode="External"/><Relationship Id="rId302" Type="http://schemas.openxmlformats.org/officeDocument/2006/relationships/hyperlink" Target="http://www.sec.gov/Archives/edgar/data/829224/000119312513359313/d594484dex42.htm" TargetMode="External"/><Relationship Id="rId323" Type="http://schemas.openxmlformats.org/officeDocument/2006/relationships/hyperlink" Target="http://www.sec.gov/Archives/edgar/data/829224/000119312516591921/d193458dex44.htm" TargetMode="External"/><Relationship Id="rId344" Type="http://schemas.openxmlformats.org/officeDocument/2006/relationships/hyperlink" Target="https://www.sec.gov/Archives/edgar/data/829224/000082922418000052/sbux-09302018xexhibit107.htm" TargetMode="External"/><Relationship Id="rId20" Type="http://schemas.openxmlformats.org/officeDocument/2006/relationships/hyperlink" Target="https://www.sec.gov/ix?doc=/Archives/edgar/data/0000829224/000082922420000078/sbux-20200927.htm" TargetMode="External"/><Relationship Id="rId41" Type="http://schemas.openxmlformats.org/officeDocument/2006/relationships/hyperlink" Target="https://www.sec.gov/ix?doc=/Archives/edgar/data/0000829224/000082922420000078/sbux-20200927.htm" TargetMode="External"/><Relationship Id="rId62" Type="http://schemas.openxmlformats.org/officeDocument/2006/relationships/hyperlink" Target="https://www.sec.gov/ix?doc=/Archives/edgar/data/0000829224/000082922420000078/sbux-20200927.htm" TargetMode="External"/><Relationship Id="rId83" Type="http://schemas.openxmlformats.org/officeDocument/2006/relationships/hyperlink" Target="https://www.sec.gov/ix?doc=/Archives/edgar/data/0000829224/000082922420000078/sbux-20200927.htm" TargetMode="External"/><Relationship Id="rId179" Type="http://schemas.openxmlformats.org/officeDocument/2006/relationships/hyperlink" Target="https://www.sec.gov/ix?doc=/Archives/edgar/data/0000829224/000082922420000078/sbux-20200927.htm" TargetMode="External"/><Relationship Id="rId365" Type="http://schemas.openxmlformats.org/officeDocument/2006/relationships/hyperlink" Target="https://www.sec.gov/Archives/edgar/data/829224/000119312517323996/d478673dex101.htm" TargetMode="External"/><Relationship Id="rId386" Type="http://schemas.openxmlformats.org/officeDocument/2006/relationships/hyperlink" Target="http://www.sec.gov/Archives/edgar/data/829224/000082922417000049/sbux-1012017xexhibit1024.htm" TargetMode="External"/><Relationship Id="rId190" Type="http://schemas.openxmlformats.org/officeDocument/2006/relationships/hyperlink" Target="https://www.sec.gov/ix?doc=/Archives/edgar/data/0000829224/000082922420000078/sbux-20200927.htm" TargetMode="External"/><Relationship Id="rId204" Type="http://schemas.openxmlformats.org/officeDocument/2006/relationships/hyperlink" Target="https://www.sec.gov/ix?doc=/Archives/edgar/data/0000829224/000082922420000078/sbux-20200927.htm" TargetMode="External"/><Relationship Id="rId225" Type="http://schemas.openxmlformats.org/officeDocument/2006/relationships/hyperlink" Target="https://www.sec.gov/ix?doc=/Archives/edgar/data/0000829224/000082922420000078/sbux-20200927.htm" TargetMode="External"/><Relationship Id="rId246" Type="http://schemas.openxmlformats.org/officeDocument/2006/relationships/hyperlink" Target="http://www.sec.gov/Archives/edgar/data/829224/000082922415000017/sbux-3292015xexhibit31.htm" TargetMode="External"/><Relationship Id="rId267" Type="http://schemas.openxmlformats.org/officeDocument/2006/relationships/hyperlink" Target="http://www.sec.gov/Archives/edgar/data/829224/000119312518245636/d593042dex42.htm" TargetMode="External"/><Relationship Id="rId288" Type="http://schemas.openxmlformats.org/officeDocument/2006/relationships/hyperlink" Target="http://www.sec.gov/Archives/edgar/data/829224/000119312520071550/d859206dex42.htm" TargetMode="External"/><Relationship Id="rId411" Type="http://schemas.openxmlformats.org/officeDocument/2006/relationships/hyperlink" Target="http://www.sec.gov/Archives/edgar/data/829224/000082922417000049/sbux-1012017xexhibit1026.htm" TargetMode="External"/><Relationship Id="rId432" Type="http://schemas.openxmlformats.org/officeDocument/2006/relationships/hyperlink" Target="https://www.sec.gov/Archives/edgar/data/829224/000082922420000012/sbux-12292019xexhibit1.htm" TargetMode="External"/><Relationship Id="rId453" Type="http://schemas.openxmlformats.org/officeDocument/2006/relationships/hyperlink" Target="https://www.sec.gov/Archives/edgar/data/0000829224/000082922420000078/sbux-9272020xexhibit312.htm" TargetMode="External"/><Relationship Id="rId106" Type="http://schemas.openxmlformats.org/officeDocument/2006/relationships/hyperlink" Target="https://www.sec.gov/ix?doc=/Archives/edgar/data/0000829224/000082922420000078/sbux-20200927.htm" TargetMode="External"/><Relationship Id="rId127" Type="http://schemas.openxmlformats.org/officeDocument/2006/relationships/hyperlink" Target="https://www.sec.gov/ix?doc=/Archives/edgar/data/0000829224/000082922420000078/sbux-20200927.htm" TargetMode="External"/><Relationship Id="rId313" Type="http://schemas.openxmlformats.org/officeDocument/2006/relationships/hyperlink" Target="http://www.sec.gov/Archives/edgar/data/829224/000119312515219163/d939863dex42.htm" TargetMode="External"/><Relationship Id="rId10" Type="http://schemas.openxmlformats.org/officeDocument/2006/relationships/hyperlink" Target="https://www.sec.gov/ix?doc=/Archives/edgar/data/0000829224/000082922420000078/sbux-20200927.htm" TargetMode="External"/><Relationship Id="rId31" Type="http://schemas.openxmlformats.org/officeDocument/2006/relationships/hyperlink" Target="https://www.sec.gov/ix?doc=/Archives/edgar/data/0000829224/000082922420000078/sbux-20200927.htm" TargetMode="External"/><Relationship Id="rId52" Type="http://schemas.openxmlformats.org/officeDocument/2006/relationships/hyperlink" Target="https://www.sec.gov/ix?doc=/Archives/edgar/data/0000829224/000082922420000078/sbux-20200927.htm" TargetMode="External"/><Relationship Id="rId73" Type="http://schemas.openxmlformats.org/officeDocument/2006/relationships/hyperlink" Target="https://www.sec.gov/ix?doc=/Archives/edgar/data/0000829224/000082922420000078/sbux-20200927.htm" TargetMode="External"/><Relationship Id="rId94" Type="http://schemas.openxmlformats.org/officeDocument/2006/relationships/hyperlink" Target="https://www.sec.gov/ix?doc=/Archives/edgar/data/0000829224/000082922420000078/sbux-20200927.htm" TargetMode="External"/><Relationship Id="rId148" Type="http://schemas.openxmlformats.org/officeDocument/2006/relationships/hyperlink" Target="https://www.sec.gov/ix?doc=/Archives/edgar/data/0000829224/000082922420000078/sbux-20200927.htm" TargetMode="External"/><Relationship Id="rId169" Type="http://schemas.openxmlformats.org/officeDocument/2006/relationships/hyperlink" Target="https://www.sec.gov/ix?doc=/Archives/edgar/data/0000829224/000082922420000078/sbux-20200927.htm" TargetMode="External"/><Relationship Id="rId334" Type="http://schemas.openxmlformats.org/officeDocument/2006/relationships/hyperlink" Target="https://www.sec.gov/Archives/edgar/data/829224/000082922420000066/sbux-6282020xexhibit101.htm" TargetMode="External"/><Relationship Id="rId355" Type="http://schemas.openxmlformats.org/officeDocument/2006/relationships/hyperlink" Target="http://www.sec.gov/Archives/edgar/data/829224/000082922416000083/sbux-1022016xexhibit1014.htm" TargetMode="External"/><Relationship Id="rId376" Type="http://schemas.openxmlformats.org/officeDocument/2006/relationships/hyperlink" Target="https://www.sec.gov/Archives/edgar/data/829224/000119312516664803/d210241dex101.htm" TargetMode="External"/><Relationship Id="rId397" Type="http://schemas.openxmlformats.org/officeDocument/2006/relationships/hyperlink" Target="https://www.sec.gov/Archives/edgar/data/0000829224/000082922420000078/sbux-9272020xex1024.htm" TargetMode="External"/><Relationship Id="rId4" Type="http://schemas.openxmlformats.org/officeDocument/2006/relationships/footnotes" Target="footnotes.xml"/><Relationship Id="rId180" Type="http://schemas.openxmlformats.org/officeDocument/2006/relationships/hyperlink" Target="https://www.sec.gov/ix?doc=/Archives/edgar/data/0000829224/000082922420000078/sbux-20200927.htm" TargetMode="External"/><Relationship Id="rId215" Type="http://schemas.openxmlformats.org/officeDocument/2006/relationships/hyperlink" Target="https://www.sec.gov/ix?doc=/Archives/edgar/data/0000829224/000082922420000078/sbux-20200927.htm" TargetMode="External"/><Relationship Id="rId236" Type="http://schemas.openxmlformats.org/officeDocument/2006/relationships/hyperlink" Target="https://www.sec.gov/Archives/edgar/data/0000829224/000082922420000078/sbux-9272020xexhibit311.htm" TargetMode="External"/><Relationship Id="rId257" Type="http://schemas.openxmlformats.org/officeDocument/2006/relationships/hyperlink" Target="http://www.sec.gov/Archives/edgar/data/829224/000119312517350711/d497269dex42.htm" TargetMode="External"/><Relationship Id="rId278" Type="http://schemas.openxmlformats.org/officeDocument/2006/relationships/hyperlink" Target="http://www.sec.gov/Archives/edgar/data/829224/000119312519145447/d652512dex42.htm" TargetMode="External"/><Relationship Id="rId401" Type="http://schemas.openxmlformats.org/officeDocument/2006/relationships/hyperlink" Target="http://www.sec.gov/Archives/edgar/data/829224/000082922417000049/sbux-1012017xexhibit1025.htm" TargetMode="External"/><Relationship Id="rId422" Type="http://schemas.openxmlformats.org/officeDocument/2006/relationships/hyperlink" Target="http://www.sec.gov/Archives/edgar/data/829224/000095012310007737/v54197exv10w3.htm" TargetMode="External"/><Relationship Id="rId443" Type="http://schemas.openxmlformats.org/officeDocument/2006/relationships/hyperlink" Target="http://www.sec.gov/Archives/edgar/data/829224/000119312518295222/d636620dex101.htm" TargetMode="External"/><Relationship Id="rId303" Type="http://schemas.openxmlformats.org/officeDocument/2006/relationships/hyperlink" Target="http://www.sec.gov/Archives/edgar/data/829224/000119312513359313/d594484dex42.htm" TargetMode="External"/><Relationship Id="rId42" Type="http://schemas.openxmlformats.org/officeDocument/2006/relationships/hyperlink" Target="https://www.sec.gov/ix?doc=/Archives/edgar/data/0000829224/000082922420000078/sbux-20200927.htm" TargetMode="External"/><Relationship Id="rId84" Type="http://schemas.openxmlformats.org/officeDocument/2006/relationships/hyperlink" Target="https://www.sec.gov/ix?doc=/Archives/edgar/data/0000829224/000082922420000078/sbux-20200927.htm" TargetMode="External"/><Relationship Id="rId138" Type="http://schemas.openxmlformats.org/officeDocument/2006/relationships/hyperlink" Target="https://www.sec.gov/ix?doc=/Archives/edgar/data/0000829224/000082922420000078/sbux-20200927.htm" TargetMode="External"/><Relationship Id="rId345" Type="http://schemas.openxmlformats.org/officeDocument/2006/relationships/hyperlink" Target="http://www.sec.gov/Archives/edgar/data/829224/000082922418000052/sbux-09302018xexhibit107.htm" TargetMode="External"/><Relationship Id="rId387" Type="http://schemas.openxmlformats.org/officeDocument/2006/relationships/hyperlink" Target="http://www.sec.gov/Archives/edgar/data/829224/000082922417000049/sbux-1012017xexhibit1024.htm" TargetMode="External"/><Relationship Id="rId191" Type="http://schemas.openxmlformats.org/officeDocument/2006/relationships/hyperlink" Target="https://www.sec.gov/ix?doc=/Archives/edgar/data/0000829224/000082922420000078/sbux-20200927.htm" TargetMode="External"/><Relationship Id="rId205" Type="http://schemas.openxmlformats.org/officeDocument/2006/relationships/hyperlink" Target="https://www.sec.gov/ix?doc=/Archives/edgar/data/0000829224/000082922420000078/sbux-20200927.htm" TargetMode="External"/><Relationship Id="rId247" Type="http://schemas.openxmlformats.org/officeDocument/2006/relationships/hyperlink" Target="http://www.sec.gov/Archives/edgar/data/829224/000119312518183697/d596086dex31.htm" TargetMode="External"/><Relationship Id="rId412" Type="http://schemas.openxmlformats.org/officeDocument/2006/relationships/hyperlink" Target="http://www.sec.gov/Archives/edgar/data/829224/000082922417000049/sbux-1012017xexhibit1026.htm" TargetMode="External"/><Relationship Id="rId107" Type="http://schemas.openxmlformats.org/officeDocument/2006/relationships/hyperlink" Target="https://www.sec.gov/ix?doc=/Archives/edgar/data/0000829224/000082922420000078/sbux-20200927.htm" TargetMode="External"/><Relationship Id="rId289" Type="http://schemas.openxmlformats.org/officeDocument/2006/relationships/hyperlink" Target="http://www.sec.gov/Archives/edgar/data/829224/000119312520071550/d859206dex42.htm" TargetMode="External"/><Relationship Id="rId454" Type="http://schemas.openxmlformats.org/officeDocument/2006/relationships/hyperlink" Target="https://www.sec.gov/Archives/edgar/data/0000829224/000082922420000078/sbux-9272020xexhibit312.htm" TargetMode="External"/><Relationship Id="rId11" Type="http://schemas.openxmlformats.org/officeDocument/2006/relationships/hyperlink" Target="https://www.sec.gov/ix?doc=/Archives/edgar/data/0000829224/000082922420000078/sbux-20200927.htm" TargetMode="External"/><Relationship Id="rId53" Type="http://schemas.openxmlformats.org/officeDocument/2006/relationships/hyperlink" Target="https://www.sec.gov/ix?doc=/Archives/edgar/data/0000829224/000082922420000078/sbux-20200927.htm" TargetMode="External"/><Relationship Id="rId149" Type="http://schemas.openxmlformats.org/officeDocument/2006/relationships/hyperlink" Target="https://www.sec.gov/ix?doc=/Archives/edgar/data/0000829224/000082922420000078/sbux-20200927.htm" TargetMode="External"/><Relationship Id="rId314" Type="http://schemas.openxmlformats.org/officeDocument/2006/relationships/hyperlink" Target="http://www.sec.gov/Archives/edgar/data/829224/000119312515219163/d939863dex42.htm" TargetMode="External"/><Relationship Id="rId356" Type="http://schemas.openxmlformats.org/officeDocument/2006/relationships/hyperlink" Target="http://www.sec.gov/Archives/edgar/data/829224/000082922416000083/sbux-1022016xexhibit1014.htm" TargetMode="External"/><Relationship Id="rId398" Type="http://schemas.openxmlformats.org/officeDocument/2006/relationships/hyperlink" Target="http://www.sec.gov/Archives/edgar/data/829224/000082922417000049/sbux-1012017xexhibit1025.htm" TargetMode="External"/><Relationship Id="rId95" Type="http://schemas.openxmlformats.org/officeDocument/2006/relationships/hyperlink" Target="https://www.sec.gov/ix?doc=/Archives/edgar/data/0000829224/000082922420000078/sbux-20200927.htm" TargetMode="External"/><Relationship Id="rId160" Type="http://schemas.openxmlformats.org/officeDocument/2006/relationships/hyperlink" Target="https://www.sec.gov/ix?doc=/Archives/edgar/data/0000829224/000082922420000078/sbux-20200927.htm" TargetMode="External"/><Relationship Id="rId216" Type="http://schemas.openxmlformats.org/officeDocument/2006/relationships/hyperlink" Target="https://www.sec.gov/ix?doc=/Archives/edgar/data/0000829224/000082922420000078/sbux-20200927.htm" TargetMode="External"/><Relationship Id="rId423" Type="http://schemas.openxmlformats.org/officeDocument/2006/relationships/hyperlink" Target="http://www.sec.gov/Archives/edgar/data/829224/000095012310007737/v54197exv10w3.htm" TargetMode="External"/><Relationship Id="rId258" Type="http://schemas.openxmlformats.org/officeDocument/2006/relationships/hyperlink" Target="http://www.sec.gov/Archives/edgar/data/829224/000119312517350711/d497269dex42.htm" TargetMode="External"/><Relationship Id="rId22" Type="http://schemas.openxmlformats.org/officeDocument/2006/relationships/hyperlink" Target="https://www.sec.gov/ix?doc=/Archives/edgar/data/0000829224/000082922420000078/sbux-20200927.htm" TargetMode="External"/><Relationship Id="rId64" Type="http://schemas.openxmlformats.org/officeDocument/2006/relationships/hyperlink" Target="https://www.sec.gov/ix?doc=/Archives/edgar/data/0000829224/000082922420000078/sbux-20200927.htm" TargetMode="External"/><Relationship Id="rId118" Type="http://schemas.openxmlformats.org/officeDocument/2006/relationships/hyperlink" Target="https://www.sec.gov/ix?doc=/Archives/edgar/data/0000829224/000082922420000078/sbux-20200927.htm" TargetMode="External"/><Relationship Id="rId325" Type="http://schemas.openxmlformats.org/officeDocument/2006/relationships/hyperlink" Target="http://www.sec.gov/Archives/edgar/data/829224/000082922419000051/sbux-9292019xexhibit429.htm" TargetMode="External"/><Relationship Id="rId367" Type="http://schemas.openxmlformats.org/officeDocument/2006/relationships/hyperlink" Target="https://www.sec.gov/Archives/edgar/data/829224/000082922420000066/sbux-6282020xexhibit102.htm" TargetMode="External"/><Relationship Id="rId171" Type="http://schemas.openxmlformats.org/officeDocument/2006/relationships/hyperlink" Target="https://www.sec.gov/ix?doc=/Archives/edgar/data/0000829224/000082922420000078/sbux-20200927.htm" TargetMode="External"/><Relationship Id="rId227" Type="http://schemas.openxmlformats.org/officeDocument/2006/relationships/hyperlink" Target="https://www.sec.gov/ix?doc=/Archives/edgar/data/0000829224/000082922420000078/sbux-20200927.htm" TargetMode="External"/><Relationship Id="rId269" Type="http://schemas.openxmlformats.org/officeDocument/2006/relationships/hyperlink" Target="http://www.sec.gov/Archives/edgar/data/829224/000119312518245636/d593042dex42.htm" TargetMode="External"/><Relationship Id="rId434" Type="http://schemas.openxmlformats.org/officeDocument/2006/relationships/hyperlink" Target="http://www.sec.gov/Archives/edgar/data/829224/000082922417000040/sbux-090617xexhibit101.htm" TargetMode="External"/><Relationship Id="rId33" Type="http://schemas.openxmlformats.org/officeDocument/2006/relationships/hyperlink" Target="https://www.sec.gov/ix?doc=/Archives/edgar/data/0000829224/000082922420000078/sbux-20200927.htm" TargetMode="External"/><Relationship Id="rId129" Type="http://schemas.openxmlformats.org/officeDocument/2006/relationships/hyperlink" Target="https://www.sec.gov/ix?doc=/Archives/edgar/data/0000829224/000082922420000078/sbux-20200927.htm" TargetMode="External"/><Relationship Id="rId280" Type="http://schemas.openxmlformats.org/officeDocument/2006/relationships/hyperlink" Target="http://www.sec.gov/Archives/edgar/data/829224/000119312519145447/d652512dex42.htm" TargetMode="External"/><Relationship Id="rId336" Type="http://schemas.openxmlformats.org/officeDocument/2006/relationships/hyperlink" Target="http://www.sec.gov/Archives/edgar/data/829224/000089102003002898/v95180exv10w9.txt" TargetMode="External"/><Relationship Id="rId75" Type="http://schemas.openxmlformats.org/officeDocument/2006/relationships/hyperlink" Target="https://www.sec.gov/ix?doc=/Archives/edgar/data/0000829224/000082922420000078/sbux-20200927.htm" TargetMode="External"/><Relationship Id="rId140" Type="http://schemas.openxmlformats.org/officeDocument/2006/relationships/hyperlink" Target="https://www.sec.gov/ix?doc=/Archives/edgar/data/0000829224/000082922420000078/sbux-20200927.htm" TargetMode="External"/><Relationship Id="rId182" Type="http://schemas.openxmlformats.org/officeDocument/2006/relationships/hyperlink" Target="https://www.sec.gov/ix?doc=/Archives/edgar/data/0000829224/000082922420000078/sbux-20200927.htm" TargetMode="External"/><Relationship Id="rId378" Type="http://schemas.openxmlformats.org/officeDocument/2006/relationships/hyperlink" Target="http://www.sec.gov/Archives/edgar/data/829224/000119312516664803/d210241dex101.htm" TargetMode="External"/><Relationship Id="rId403" Type="http://schemas.openxmlformats.org/officeDocument/2006/relationships/hyperlink" Target="http://www.sec.gov/Archives/edgar/data/829224/000082922418000052/sbux-09302018xexhibit1023.htm" TargetMode="External"/><Relationship Id="rId238" Type="http://schemas.openxmlformats.org/officeDocument/2006/relationships/hyperlink" Target="https://www.sec.gov/ix?doc=/Archives/edgar/data/0000829224/000082922420000078/sbux-20200927.htm" TargetMode="External"/><Relationship Id="rId445" Type="http://schemas.openxmlformats.org/officeDocument/2006/relationships/hyperlink" Target="https://www.sec.gov/Archives/edgar/data/0000829224/000082922420000078/sbux-9272020xexhibit21.htm" TargetMode="External"/><Relationship Id="rId291" Type="http://schemas.openxmlformats.org/officeDocument/2006/relationships/hyperlink" Target="http://www.sec.gov/Archives/edgar/data/829224/000119312520136264/d923805dex42.htm" TargetMode="External"/><Relationship Id="rId305" Type="http://schemas.openxmlformats.org/officeDocument/2006/relationships/hyperlink" Target="http://www.sec.gov/Archives/edgar/data/829224/000119312513359313/d594484dex42.htm" TargetMode="External"/><Relationship Id="rId347" Type="http://schemas.openxmlformats.org/officeDocument/2006/relationships/hyperlink" Target="http://www.sec.gov/Archives/edgar/data/829224/000089102006000033/v16816exv10w1.txt" TargetMode="External"/><Relationship Id="rId44" Type="http://schemas.openxmlformats.org/officeDocument/2006/relationships/hyperlink" Target="https://www.sec.gov/ix?doc=/Archives/edgar/data/0000829224/000082922420000078/sbux-20200927.htm" TargetMode="External"/><Relationship Id="rId86" Type="http://schemas.openxmlformats.org/officeDocument/2006/relationships/hyperlink" Target="https://www.sec.gov/ix?doc=/Archives/edgar/data/0000829224/000082922420000078/sbux-20200927.htm" TargetMode="External"/><Relationship Id="rId151" Type="http://schemas.openxmlformats.org/officeDocument/2006/relationships/hyperlink" Target="https://www.sec.gov/ix?doc=/Archives/edgar/data/0000829224/000082922420000078/sbux-20200927.htm" TargetMode="External"/><Relationship Id="rId389" Type="http://schemas.openxmlformats.org/officeDocument/2006/relationships/hyperlink" Target="https://www.sec.gov/Archives/edgar/data/829224/000082922419000051/sbux-9292019xexhibit1022.htm" TargetMode="External"/><Relationship Id="rId193" Type="http://schemas.openxmlformats.org/officeDocument/2006/relationships/hyperlink" Target="https://www.sec.gov/ix?doc=/Archives/edgar/data/0000829224/000082922420000078/sbux-20200927.htm" TargetMode="External"/><Relationship Id="rId207" Type="http://schemas.openxmlformats.org/officeDocument/2006/relationships/hyperlink" Target="https://www.sec.gov/ix?doc=/Archives/edgar/data/0000829224/000082922420000078/sbux-20200927.htm" TargetMode="External"/><Relationship Id="rId249" Type="http://schemas.openxmlformats.org/officeDocument/2006/relationships/hyperlink" Target="http://www.sec.gov/Archives/edgar/data/829224/000119312516711031/d243558dex41.htm" TargetMode="External"/><Relationship Id="rId414" Type="http://schemas.openxmlformats.org/officeDocument/2006/relationships/hyperlink" Target="https://www.sec.gov/Archives/edgar/data/829224/000082922419000051/sbux-9292019xexhibit1026.htm" TargetMode="External"/><Relationship Id="rId456" Type="http://schemas.openxmlformats.org/officeDocument/2006/relationships/hyperlink" Target="https://www.sec.gov/Archives/edgar/data/0000829224/000082922420000078/sbux-9272020xexhibit32.htm" TargetMode="External"/><Relationship Id="rId13" Type="http://schemas.openxmlformats.org/officeDocument/2006/relationships/hyperlink" Target="https://www.sec.gov/ix?doc=/Archives/edgar/data/0000829224/000082922420000078/sbux-20200927.htm" TargetMode="External"/><Relationship Id="rId109" Type="http://schemas.openxmlformats.org/officeDocument/2006/relationships/hyperlink" Target="https://www.sec.gov/ix?doc=/Archives/edgar/data/0000829224/000082922420000078/sbux-20200927.htm" TargetMode="External"/><Relationship Id="rId260" Type="http://schemas.openxmlformats.org/officeDocument/2006/relationships/hyperlink" Target="http://www.sec.gov/Archives/edgar/data/829224/000119312517350711/d497269dex42.htm" TargetMode="External"/><Relationship Id="rId316" Type="http://schemas.openxmlformats.org/officeDocument/2006/relationships/hyperlink" Target="http://www.sec.gov/Archives/edgar/data/829224/000119312516450381/d116634dex42.htm" TargetMode="External"/><Relationship Id="rId55" Type="http://schemas.openxmlformats.org/officeDocument/2006/relationships/hyperlink" Target="https://www.sec.gov/ix?doc=/Archives/edgar/data/0000829224/000082922420000078/sbux-20200927.htm" TargetMode="External"/><Relationship Id="rId97" Type="http://schemas.openxmlformats.org/officeDocument/2006/relationships/hyperlink" Target="https://www.sec.gov/ix?doc=/Archives/edgar/data/0000829224/000082922420000078/sbux-20200927.htm" TargetMode="External"/><Relationship Id="rId120" Type="http://schemas.openxmlformats.org/officeDocument/2006/relationships/hyperlink" Target="https://www.sec.gov/ix?doc=/Archives/edgar/data/0000829224/000082922420000078/sbux-20200927.htm" TargetMode="External"/><Relationship Id="rId358" Type="http://schemas.openxmlformats.org/officeDocument/2006/relationships/hyperlink" Target="http://www.sec.gov/Archives/edgar/data/829224/000082922416000062/sbux-3272016xexhibit102.htm" TargetMode="External"/><Relationship Id="rId162" Type="http://schemas.openxmlformats.org/officeDocument/2006/relationships/hyperlink" Target="https://www.sec.gov/ix?doc=/Archives/edgar/data/0000829224/000082922420000078/sbux-20200927.htm" TargetMode="External"/><Relationship Id="rId218" Type="http://schemas.openxmlformats.org/officeDocument/2006/relationships/hyperlink" Target="https://www.sec.gov/ix?doc=/Archives/edgar/data/0000829224/000082922420000078/sbux-20200927.htm" TargetMode="External"/><Relationship Id="rId425" Type="http://schemas.openxmlformats.org/officeDocument/2006/relationships/hyperlink" Target="http://www.sec.gov/Archives/edgar/data/829224/000082922414000041/sbux-9282014xexhibit1033.htm" TargetMode="External"/><Relationship Id="rId271" Type="http://schemas.openxmlformats.org/officeDocument/2006/relationships/hyperlink" Target="https://www.sec.gov/ix?doc=/Archives/edgar/data/0000829224/000082922420000078/sbux-20200927.htm" TargetMode="External"/><Relationship Id="rId24" Type="http://schemas.openxmlformats.org/officeDocument/2006/relationships/hyperlink" Target="https://www.sec.gov/ix?doc=/Archives/edgar/data/0000829224/000082922420000078/sbux-20200927.htm" TargetMode="External"/><Relationship Id="rId66" Type="http://schemas.openxmlformats.org/officeDocument/2006/relationships/hyperlink" Target="https://www.sec.gov/ix?doc=/Archives/edgar/data/0000829224/000082922420000078/sbux-20200927.htm" TargetMode="External"/><Relationship Id="rId131" Type="http://schemas.openxmlformats.org/officeDocument/2006/relationships/hyperlink" Target="https://www.sec.gov/ix?doc=/Archives/edgar/data/0000829224/000082922420000078/sbux-20200927.htm" TargetMode="External"/><Relationship Id="rId327" Type="http://schemas.openxmlformats.org/officeDocument/2006/relationships/hyperlink" Target="http://www.sec.gov/Archives/edgar/data/829224/000082922417000036/sbux-722017xexhibit101.htm" TargetMode="External"/><Relationship Id="rId369" Type="http://schemas.openxmlformats.org/officeDocument/2006/relationships/hyperlink" Target="https://www.sec.gov/Archives/edgar/data/829224/000082922419000043/sbux-10252019x8xkhtm.htm" TargetMode="External"/><Relationship Id="rId173" Type="http://schemas.openxmlformats.org/officeDocument/2006/relationships/hyperlink" Target="https://www.sec.gov/ix?doc=/Archives/edgar/data/0000829224/000082922420000078/sbux-20200927.htm" TargetMode="External"/><Relationship Id="rId229" Type="http://schemas.openxmlformats.org/officeDocument/2006/relationships/hyperlink" Target="https://www.sec.gov/ix?doc=/Archives/edgar/data/0000829224/000082922420000078/sbux-20200927.htm" TargetMode="External"/><Relationship Id="rId380" Type="http://schemas.openxmlformats.org/officeDocument/2006/relationships/hyperlink" Target="http://www.sec.gov/Archives/edgar/data/829224/000082922416000083/sbux-1022016xexhibit1021.htm" TargetMode="External"/><Relationship Id="rId436" Type="http://schemas.openxmlformats.org/officeDocument/2006/relationships/hyperlink" Target="http://www.sec.gov/Archives/edgar/data/829224/000082922417000040/sbux-090617xexhibit101.htm" TargetMode="External"/><Relationship Id="rId240" Type="http://schemas.openxmlformats.org/officeDocument/2006/relationships/hyperlink" Target="https://www.sec.gov/ix?doc=/Archives/edgar/data/0000829224/000082922420000078/sbux-20200927.htm" TargetMode="External"/><Relationship Id="rId35" Type="http://schemas.openxmlformats.org/officeDocument/2006/relationships/hyperlink" Target="https://www.sec.gov/ix?doc=/Archives/edgar/data/0000829224/000082922420000078/sbux-20200927.htm" TargetMode="External"/><Relationship Id="rId77" Type="http://schemas.openxmlformats.org/officeDocument/2006/relationships/hyperlink" Target="https://www.sec.gov/ix?doc=/Archives/edgar/data/0000829224/000082922420000078/sbux-20200927.htm" TargetMode="External"/><Relationship Id="rId100" Type="http://schemas.openxmlformats.org/officeDocument/2006/relationships/hyperlink" Target="https://www.sec.gov/ix?doc=/Archives/edgar/data/0000829224/000082922420000078/sbux-20200927.htm" TargetMode="External"/><Relationship Id="rId282" Type="http://schemas.openxmlformats.org/officeDocument/2006/relationships/hyperlink" Target="http://www.sec.gov/Archives/edgar/data/829224/000119312520071550/d859206dex42.htm" TargetMode="External"/><Relationship Id="rId338" Type="http://schemas.openxmlformats.org/officeDocument/2006/relationships/hyperlink" Target="http://www.sec.gov/Archives/edgar/data/829224/000082922418000052/sbux-09302018xexhibit105.htm" TargetMode="External"/><Relationship Id="rId8" Type="http://schemas.openxmlformats.org/officeDocument/2006/relationships/hyperlink" Target="https://www.sec.gov/ix?doc=/Archives/edgar/data/0000829224/000082922420000078/sbux-20200927.htm" TargetMode="External"/><Relationship Id="rId142" Type="http://schemas.openxmlformats.org/officeDocument/2006/relationships/hyperlink" Target="https://www.sec.gov/ix?doc=/Archives/edgar/data/0000829224/000082922420000078/sbux-20200927.htm" TargetMode="External"/><Relationship Id="rId184" Type="http://schemas.openxmlformats.org/officeDocument/2006/relationships/hyperlink" Target="https://www.sec.gov/ix?doc=/Archives/edgar/data/0000829224/000082922420000078/sbux-20200927.htm" TargetMode="External"/><Relationship Id="rId391" Type="http://schemas.openxmlformats.org/officeDocument/2006/relationships/hyperlink" Target="https://www.sec.gov/Archives/edgar/data/829224/000082922419000051/sbux-9292019xexhibit1022.htm" TargetMode="External"/><Relationship Id="rId405" Type="http://schemas.openxmlformats.org/officeDocument/2006/relationships/hyperlink" Target="http://www.sec.gov/Archives/edgar/data/829224/000082922418000052/sbux-09302018xexhibit1023.htm" TargetMode="External"/><Relationship Id="rId447" Type="http://schemas.openxmlformats.org/officeDocument/2006/relationships/hyperlink" Target="https://www.sec.gov/Archives/edgar/data/0000829224/000082922420000078/sbux-9272020xexhibit23.htm" TargetMode="External"/><Relationship Id="rId251" Type="http://schemas.openxmlformats.org/officeDocument/2006/relationships/hyperlink" Target="http://www.sec.gov/Archives/edgar/data/829224/000119312517087865/d345081dex42.htm" TargetMode="External"/><Relationship Id="rId46" Type="http://schemas.openxmlformats.org/officeDocument/2006/relationships/hyperlink" Target="https://www.sec.gov/ix?doc=/Archives/edgar/data/0000829224/000082922420000078/sbux-20200927.htm" TargetMode="External"/><Relationship Id="rId293" Type="http://schemas.openxmlformats.org/officeDocument/2006/relationships/hyperlink" Target="http://www.sec.gov/Archives/edgar/data/829224/000119312520136264/d923805dex42.htm" TargetMode="External"/><Relationship Id="rId307" Type="http://schemas.openxmlformats.org/officeDocument/2006/relationships/hyperlink" Target="http://www.sec.gov/Archives/edgar/data/829224/000119312513463151/d638860dex42.htm" TargetMode="External"/><Relationship Id="rId349" Type="http://schemas.openxmlformats.org/officeDocument/2006/relationships/hyperlink" Target="http://www.sec.gov/Archives/edgar/data/829224/000082922418000052/sbux-09302018xexhibit109.htm" TargetMode="External"/><Relationship Id="rId88" Type="http://schemas.openxmlformats.org/officeDocument/2006/relationships/hyperlink" Target="https://www.sec.gov/ix?doc=/Archives/edgar/data/0000829224/000082922420000078/sbux-20200927.htm" TargetMode="External"/><Relationship Id="rId111" Type="http://schemas.openxmlformats.org/officeDocument/2006/relationships/hyperlink" Target="https://www.sec.gov/ix?doc=/Archives/edgar/data/0000829224/000082922420000078/sbux-20200927.htm" TargetMode="External"/><Relationship Id="rId153" Type="http://schemas.openxmlformats.org/officeDocument/2006/relationships/hyperlink" Target="https://www.sec.gov/ix?doc=/Archives/edgar/data/0000829224/000082922420000078/sbux-20200927.htm" TargetMode="External"/><Relationship Id="rId195" Type="http://schemas.openxmlformats.org/officeDocument/2006/relationships/hyperlink" Target="https://www.sec.gov/ix?doc=/Archives/edgar/data/0000829224/000082922420000078/sbux-20200927.htm" TargetMode="External"/><Relationship Id="rId209" Type="http://schemas.openxmlformats.org/officeDocument/2006/relationships/hyperlink" Target="https://www.sec.gov/ix?doc=/Archives/edgar/data/0000829224/000082922420000078/sbux-20200927.htm" TargetMode="External"/><Relationship Id="rId360" Type="http://schemas.openxmlformats.org/officeDocument/2006/relationships/hyperlink" Target="http://www.sec.gov/Archives/edgar/data/829224/000082922416000062/sbux-3272016xexhibit102.htm" TargetMode="External"/><Relationship Id="rId416" Type="http://schemas.openxmlformats.org/officeDocument/2006/relationships/hyperlink" Target="https://www.sec.gov/Archives/edgar/data/0000829224/000082922420000078/sbux-9272020xex1029.htm" TargetMode="External"/><Relationship Id="rId220" Type="http://schemas.openxmlformats.org/officeDocument/2006/relationships/hyperlink" Target="https://www.sec.gov/ix?doc=/Archives/edgar/data/0000829224/000082922420000078/sbux-20200927.htm" TargetMode="External"/><Relationship Id="rId458" Type="http://schemas.openxmlformats.org/officeDocument/2006/relationships/hyperlink" Target="https://www.sec.gov/ix?doc=/Archives/edgar/data/0000829224/000082922420000078/sbux-20200927.htm" TargetMode="External"/><Relationship Id="rId15" Type="http://schemas.openxmlformats.org/officeDocument/2006/relationships/hyperlink" Target="https://www.sec.gov/ix?doc=/Archives/edgar/data/0000829224/000082922420000078/sbux-20200927.htm" TargetMode="External"/><Relationship Id="rId57" Type="http://schemas.openxmlformats.org/officeDocument/2006/relationships/hyperlink" Target="https://www.sec.gov/ix?doc=/Archives/edgar/data/0000829224/000082922420000078/sbux-20200927.htm" TargetMode="External"/><Relationship Id="rId262" Type="http://schemas.openxmlformats.org/officeDocument/2006/relationships/hyperlink" Target="http://www.sec.gov/Archives/edgar/data/829224/000119312518063481/d487237dex42.htm" TargetMode="External"/><Relationship Id="rId318" Type="http://schemas.openxmlformats.org/officeDocument/2006/relationships/hyperlink" Target="http://www.sec.gov/Archives/edgar/data/829224/000119312516450381/d116634dex42.htm" TargetMode="External"/><Relationship Id="rId99" Type="http://schemas.openxmlformats.org/officeDocument/2006/relationships/hyperlink" Target="https://www.sec.gov/ix?doc=/Archives/edgar/data/0000829224/000082922420000078/sbux-20200927.htm" TargetMode="External"/><Relationship Id="rId122" Type="http://schemas.openxmlformats.org/officeDocument/2006/relationships/hyperlink" Target="https://www.sec.gov/ix?doc=/Archives/edgar/data/0000829224/000082922420000078/sbux-20200927.htm" TargetMode="External"/><Relationship Id="rId164" Type="http://schemas.openxmlformats.org/officeDocument/2006/relationships/hyperlink" Target="https://www.sec.gov/ix?doc=/Archives/edgar/data/0000829224/000082922420000078/sbux-20200927.htm" TargetMode="External"/><Relationship Id="rId371" Type="http://schemas.openxmlformats.org/officeDocument/2006/relationships/hyperlink" Target="http://www.sec.gov/Archives/edgar/data/829224/000082922420000066/sbux-6282020xexhibit103.htm" TargetMode="External"/><Relationship Id="rId427" Type="http://schemas.openxmlformats.org/officeDocument/2006/relationships/hyperlink" Target="http://www.sec.gov/Archives/edgar/data/829224/000082922414000041/sbux-9282014xexhibit1033.htm" TargetMode="External"/><Relationship Id="rId26" Type="http://schemas.openxmlformats.org/officeDocument/2006/relationships/hyperlink" Target="https://www.sec.gov/ix?doc=/Archives/edgar/data/0000829224/000082922420000078/sbux-20200927.htm" TargetMode="External"/><Relationship Id="rId231" Type="http://schemas.openxmlformats.org/officeDocument/2006/relationships/hyperlink" Target="https://www.sec.gov/ix?doc=/Archives/edgar/data/0000829224/000082922420000078/sbux-20200927.htm" TargetMode="External"/><Relationship Id="rId273" Type="http://schemas.openxmlformats.org/officeDocument/2006/relationships/hyperlink" Target="http://www.sec.gov/Archives/edgar/data/829224/000119312518245636/d593042dex42.htm" TargetMode="External"/><Relationship Id="rId329" Type="http://schemas.openxmlformats.org/officeDocument/2006/relationships/hyperlink" Target="http://www.sec.gov/Archives/edgar/data/829224/000082922419000036/sbux-6302019xexhibit101.htm" TargetMode="External"/><Relationship Id="rId68" Type="http://schemas.openxmlformats.org/officeDocument/2006/relationships/hyperlink" Target="https://www.sec.gov/ix?doc=/Archives/edgar/data/0000829224/000082922420000078/sbux-20200927.htm" TargetMode="External"/><Relationship Id="rId133" Type="http://schemas.openxmlformats.org/officeDocument/2006/relationships/hyperlink" Target="https://www.sec.gov/ix?doc=/Archives/edgar/data/0000829224/000082922420000078/sbux-20200927.htm" TargetMode="External"/><Relationship Id="rId175" Type="http://schemas.openxmlformats.org/officeDocument/2006/relationships/hyperlink" Target="https://www.sec.gov/ix?doc=/Archives/edgar/data/0000829224/000082922420000078/sbux-20200927.htm" TargetMode="External"/><Relationship Id="rId340" Type="http://schemas.openxmlformats.org/officeDocument/2006/relationships/hyperlink" Target="http://www.sec.gov/Archives/edgar/data/829224/000089102006000406/v24294exv10w12.txt" TargetMode="External"/><Relationship Id="rId200" Type="http://schemas.openxmlformats.org/officeDocument/2006/relationships/hyperlink" Target="https://www.sec.gov/ix?doc=/Archives/edgar/data/0000829224/000082922420000078/sbux-20200927.htm" TargetMode="External"/><Relationship Id="rId382" Type="http://schemas.openxmlformats.org/officeDocument/2006/relationships/hyperlink" Target="http://www.sec.gov/Archives/edgar/data/829224/000082922416000083/sbux-1022016xexhibit1021.htm" TargetMode="External"/><Relationship Id="rId438" Type="http://schemas.openxmlformats.org/officeDocument/2006/relationships/hyperlink" Target="https://www.sec.gov/Archives/edgar/data/829224/000082922420000012/sbux-12292019xexhibit11.htm" TargetMode="External"/><Relationship Id="rId242" Type="http://schemas.openxmlformats.org/officeDocument/2006/relationships/hyperlink" Target="https://www.sec.gov/ix?doc=/Archives/edgar/data/0000829224/000082922420000078/sbux-20200927.htm" TargetMode="External"/><Relationship Id="rId284" Type="http://schemas.openxmlformats.org/officeDocument/2006/relationships/hyperlink" Target="http://www.sec.gov/Archives/edgar/data/829224/000119312520071550/d859206dex42.htm" TargetMode="External"/><Relationship Id="rId37" Type="http://schemas.openxmlformats.org/officeDocument/2006/relationships/hyperlink" Target="https://www.sec.gov/ix?doc=/Archives/edgar/data/0000829224/000082922420000078/sbux-20200927.htm" TargetMode="External"/><Relationship Id="rId79" Type="http://schemas.openxmlformats.org/officeDocument/2006/relationships/hyperlink" Target="https://www.sec.gov/ix?doc=/Archives/edgar/data/0000829224/000082922420000078/sbux-20200927.htm" TargetMode="External"/><Relationship Id="rId102" Type="http://schemas.openxmlformats.org/officeDocument/2006/relationships/hyperlink" Target="https://www.sec.gov/ix?doc=/Archives/edgar/data/0000829224/000082922420000078/sbux-20200927.htm" TargetMode="External"/><Relationship Id="rId144" Type="http://schemas.openxmlformats.org/officeDocument/2006/relationships/hyperlink" Target="https://www.sec.gov/ix?doc=/Archives/edgar/data/0000829224/000082922420000078/sbux-20200927.htm" TargetMode="External"/><Relationship Id="rId90" Type="http://schemas.openxmlformats.org/officeDocument/2006/relationships/hyperlink" Target="https://www.sec.gov/ix?doc=/Archives/edgar/data/0000829224/000082922420000078/sbux-20200927.htm" TargetMode="External"/><Relationship Id="rId186" Type="http://schemas.openxmlformats.org/officeDocument/2006/relationships/hyperlink" Target="https://www.sec.gov/ix?doc=/Archives/edgar/data/0000829224/000082922420000078/sbux-20200927.htm" TargetMode="External"/><Relationship Id="rId351" Type="http://schemas.openxmlformats.org/officeDocument/2006/relationships/hyperlink" Target="http://www.sec.gov/Archives/edgar/data/829224/000082922418000052/sbux-09302018xexhibit109.htm" TargetMode="External"/><Relationship Id="rId393" Type="http://schemas.openxmlformats.org/officeDocument/2006/relationships/hyperlink" Target="https://www.sec.gov/Archives/edgar/data/829224/000082922419000051/sbux-9292019xexhibit1022.htm" TargetMode="External"/><Relationship Id="rId407" Type="http://schemas.openxmlformats.org/officeDocument/2006/relationships/hyperlink" Target="http://www.sec.gov/Archives/edgar/data/829224/000082922417000049/sbux-1012017xexhibit1026.htm" TargetMode="External"/><Relationship Id="rId449" Type="http://schemas.openxmlformats.org/officeDocument/2006/relationships/hyperlink" Target="https://www.sec.gov/ix?doc=/Archives/edgar/data/0000829224/000082922420000078/sbux-20200927.htm" TargetMode="External"/><Relationship Id="rId211" Type="http://schemas.openxmlformats.org/officeDocument/2006/relationships/hyperlink" Target="https://www.sec.gov/ix?doc=/Archives/edgar/data/0000829224/000082922420000078/sbux-20200927.htm" TargetMode="External"/><Relationship Id="rId253" Type="http://schemas.openxmlformats.org/officeDocument/2006/relationships/hyperlink" Target="http://www.sec.gov/Archives/edgar/data/829224/000119312517087865/d345081dex42.htm" TargetMode="External"/><Relationship Id="rId295" Type="http://schemas.openxmlformats.org/officeDocument/2006/relationships/hyperlink" Target="http://www.sec.gov/Archives/edgar/data/829224/000119312520136264/d923805dex42.htm" TargetMode="External"/><Relationship Id="rId309" Type="http://schemas.openxmlformats.org/officeDocument/2006/relationships/hyperlink" Target="http://www.sec.gov/Archives/edgar/data/829224/000119312513463151/d638860dex42.htm" TargetMode="External"/><Relationship Id="rId460" Type="http://schemas.openxmlformats.org/officeDocument/2006/relationships/fontTable" Target="fontTable.xml"/><Relationship Id="rId48" Type="http://schemas.openxmlformats.org/officeDocument/2006/relationships/hyperlink" Target="https://www.sec.gov/ix?doc=/Archives/edgar/data/0000829224/000082922420000078/sbux-20200927.htm" TargetMode="External"/><Relationship Id="rId113" Type="http://schemas.openxmlformats.org/officeDocument/2006/relationships/hyperlink" Target="https://www.sec.gov/ix?doc=/Archives/edgar/data/0000829224/000082922420000078/sbux-20200927.htm" TargetMode="External"/><Relationship Id="rId320" Type="http://schemas.openxmlformats.org/officeDocument/2006/relationships/hyperlink" Target="http://www.sec.gov/Archives/edgar/data/829224/000119312516591921/d193458dex44.htm" TargetMode="External"/><Relationship Id="rId155" Type="http://schemas.openxmlformats.org/officeDocument/2006/relationships/hyperlink" Target="https://www.sec.gov/ix?doc=/Archives/edgar/data/0000829224/000082922420000078/sbux-20200927.htm" TargetMode="External"/><Relationship Id="rId197" Type="http://schemas.openxmlformats.org/officeDocument/2006/relationships/hyperlink" Target="https://www.sec.gov/ix?doc=/Archives/edgar/data/0000829224/000082922420000078/sbux-20200927.htm" TargetMode="External"/><Relationship Id="rId362" Type="http://schemas.openxmlformats.org/officeDocument/2006/relationships/hyperlink" Target="http://www.sec.gov/Archives/edgar/data/829224/000082922416000062/sbux-3272016xexhibit103.htm" TargetMode="External"/><Relationship Id="rId418" Type="http://schemas.openxmlformats.org/officeDocument/2006/relationships/hyperlink" Target="https://www.sec.gov/ix?doc=/Archives/edgar/data/0000829224/000082922420000078/sbux-20200927.htm" TargetMode="External"/><Relationship Id="rId222" Type="http://schemas.openxmlformats.org/officeDocument/2006/relationships/hyperlink" Target="https://www.sec.gov/ix?doc=/Archives/edgar/data/0000829224/000082922420000078/sbux-20200927.htm" TargetMode="External"/><Relationship Id="rId264" Type="http://schemas.openxmlformats.org/officeDocument/2006/relationships/hyperlink" Target="http://www.sec.gov/Archives/edgar/data/829224/000119312518063481/d487237dex42.htm" TargetMode="External"/><Relationship Id="rId17" Type="http://schemas.openxmlformats.org/officeDocument/2006/relationships/hyperlink" Target="https://www.sec.gov/ix?doc=/Archives/edgar/data/0000829224/000082922420000078/sbux-20200927.htm" TargetMode="External"/><Relationship Id="rId59" Type="http://schemas.openxmlformats.org/officeDocument/2006/relationships/hyperlink" Target="https://www.sec.gov/ix?doc=/Archives/edgar/data/0000829224/000082922420000078/sbux-20200927.htm" TargetMode="External"/><Relationship Id="rId124" Type="http://schemas.openxmlformats.org/officeDocument/2006/relationships/hyperlink" Target="https://www.sec.gov/ix?doc=/Archives/edgar/data/0000829224/000082922420000078/sbux-20200927.htm" TargetMode="External"/><Relationship Id="rId70" Type="http://schemas.openxmlformats.org/officeDocument/2006/relationships/hyperlink" Target="https://www.sec.gov/ix?doc=/Archives/edgar/data/0000829224/000082922420000078/sbux-20200927.htm" TargetMode="External"/><Relationship Id="rId166" Type="http://schemas.openxmlformats.org/officeDocument/2006/relationships/hyperlink" Target="https://www.sec.gov/ix?doc=/Archives/edgar/data/0000829224/000082922420000078/sbux-20200927.htm" TargetMode="External"/><Relationship Id="rId331" Type="http://schemas.openxmlformats.org/officeDocument/2006/relationships/hyperlink" Target="http://www.sec.gov/Archives/edgar/data/829224/000119312511024207/dex102.htm" TargetMode="External"/><Relationship Id="rId373" Type="http://schemas.openxmlformats.org/officeDocument/2006/relationships/hyperlink" Target="https://www.sec.gov/ix?doc=/Archives/edgar/data/0000829224/000082922420000078/sbux-20200927.htm" TargetMode="External"/><Relationship Id="rId429" Type="http://schemas.openxmlformats.org/officeDocument/2006/relationships/hyperlink" Target="http://www.sec.gov/Archives/edgar/data/829224/000082922417000021/sbux-422017xexhibit101.htm" TargetMode="External"/><Relationship Id="rId1" Type="http://schemas.openxmlformats.org/officeDocument/2006/relationships/styles" Target="styles.xml"/><Relationship Id="rId233" Type="http://schemas.openxmlformats.org/officeDocument/2006/relationships/hyperlink" Target="https://www.sec.gov/ix?doc=/Archives/edgar/data/0000829224/000082922420000078/sbux-20200927.htm" TargetMode="External"/><Relationship Id="rId440" Type="http://schemas.openxmlformats.org/officeDocument/2006/relationships/hyperlink" Target="http://www.sec.gov/Archives/edgar/data/829224/000119312518295222/d636620dex101.htm" TargetMode="External"/><Relationship Id="rId28" Type="http://schemas.openxmlformats.org/officeDocument/2006/relationships/hyperlink" Target="https://www.sec.gov/ix?doc=/Archives/edgar/data/0000829224/000082922420000078/sbux-20200927.htm" TargetMode="External"/><Relationship Id="rId275" Type="http://schemas.openxmlformats.org/officeDocument/2006/relationships/hyperlink" Target="http://www.sec.gov/Archives/edgar/data/829224/000119312518245636/d593042dex42.htm" TargetMode="External"/><Relationship Id="rId300" Type="http://schemas.openxmlformats.org/officeDocument/2006/relationships/hyperlink" Target="http://www.sec.gov/Archives/edgar/data/829224/000119312513354873/d591145dex41.htm" TargetMode="External"/><Relationship Id="rId81" Type="http://schemas.openxmlformats.org/officeDocument/2006/relationships/hyperlink" Target="https://www.sec.gov/ix?doc=/Archives/edgar/data/0000829224/000082922420000078/sbux-20200927.htm" TargetMode="External"/><Relationship Id="rId135" Type="http://schemas.openxmlformats.org/officeDocument/2006/relationships/hyperlink" Target="https://www.sec.gov/ix?doc=/Archives/edgar/data/0000829224/000082922420000078/sbux-20200927.htm" TargetMode="External"/><Relationship Id="rId177" Type="http://schemas.openxmlformats.org/officeDocument/2006/relationships/hyperlink" Target="https://www.sec.gov/ix?doc=/Archives/edgar/data/0000829224/000082922420000078/sbux-20200927.htm" TargetMode="External"/><Relationship Id="rId342" Type="http://schemas.openxmlformats.org/officeDocument/2006/relationships/hyperlink" Target="https://www.sec.gov/Archives/edgar/data/829224/000082922418000052/sbux-09302018xexhibit107.htm" TargetMode="External"/><Relationship Id="rId384" Type="http://schemas.openxmlformats.org/officeDocument/2006/relationships/hyperlink" Target="http://www.sec.gov/Archives/edgar/data/829224/000082922417000049/sbux-1012017xexhibit1024.htm" TargetMode="External"/><Relationship Id="rId202" Type="http://schemas.openxmlformats.org/officeDocument/2006/relationships/hyperlink" Target="https://www.sec.gov/ix?doc=/Archives/edgar/data/0000829224/000082922420000078/sbux-20200927.htm" TargetMode="External"/><Relationship Id="rId244" Type="http://schemas.openxmlformats.org/officeDocument/2006/relationships/hyperlink" Target="http://www.sec.gov/Archives/edgar/data/829224/000119312518154644/d555051dex21.htm" TargetMode="External"/><Relationship Id="rId39" Type="http://schemas.openxmlformats.org/officeDocument/2006/relationships/hyperlink" Target="https://www.sec.gov/ix?doc=/Archives/edgar/data/0000829224/000082922420000078/sbux-20200927.htm" TargetMode="External"/><Relationship Id="rId286" Type="http://schemas.openxmlformats.org/officeDocument/2006/relationships/hyperlink" Target="http://www.sec.gov/Archives/edgar/data/829224/000119312520071550/d859206dex42.htm" TargetMode="External"/><Relationship Id="rId451" Type="http://schemas.openxmlformats.org/officeDocument/2006/relationships/hyperlink" Target="https://www.sec.gov/Archives/edgar/data/0000829224/000082922420000078/sbux-9272020xexhibit311.htm" TargetMode="External"/><Relationship Id="rId50" Type="http://schemas.openxmlformats.org/officeDocument/2006/relationships/hyperlink" Target="https://www.sec.gov/ix?doc=/Archives/edgar/data/0000829224/000082922420000078/sbux-20200927.htm" TargetMode="External"/><Relationship Id="rId104" Type="http://schemas.openxmlformats.org/officeDocument/2006/relationships/hyperlink" Target="https://www.sec.gov/ix?doc=/Archives/edgar/data/0000829224/000082922420000078/sbux-20200927.htm" TargetMode="External"/><Relationship Id="rId146" Type="http://schemas.openxmlformats.org/officeDocument/2006/relationships/hyperlink" Target="https://www.sec.gov/ix?doc=/Archives/edgar/data/0000829224/000082922420000078/sbux-20200927.htm" TargetMode="External"/><Relationship Id="rId188" Type="http://schemas.openxmlformats.org/officeDocument/2006/relationships/hyperlink" Target="https://www.sec.gov/ix?doc=/Archives/edgar/data/0000829224/000082922420000078/sbux-20200927.htm" TargetMode="External"/><Relationship Id="rId311" Type="http://schemas.openxmlformats.org/officeDocument/2006/relationships/hyperlink" Target="http://www.sec.gov/Archives/edgar/data/829224/000119312515219163/d939863dex42.htm" TargetMode="External"/><Relationship Id="rId353" Type="http://schemas.openxmlformats.org/officeDocument/2006/relationships/hyperlink" Target="http://www.sec.gov/Archives/edgar/data/829224/000082922416000083/sbux-1022016xexhibit1014.htm" TargetMode="External"/><Relationship Id="rId395" Type="http://schemas.openxmlformats.org/officeDocument/2006/relationships/hyperlink" Target="https://www.sec.gov/Archives/edgar/data/0000829224/000082922420000078/sbux-9272020xex1023.htm" TargetMode="External"/><Relationship Id="rId409" Type="http://schemas.openxmlformats.org/officeDocument/2006/relationships/hyperlink" Target="http://www.sec.gov/Archives/edgar/data/829224/000082922417000049/sbux-1012017xexhibit1026.htm" TargetMode="External"/><Relationship Id="rId92" Type="http://schemas.openxmlformats.org/officeDocument/2006/relationships/hyperlink" Target="https://www.sec.gov/ix?doc=/Archives/edgar/data/0000829224/000082922420000078/sbux-20200927.htm" TargetMode="External"/><Relationship Id="rId213" Type="http://schemas.openxmlformats.org/officeDocument/2006/relationships/hyperlink" Target="https://www.sec.gov/ix?doc=/Archives/edgar/data/0000829224/000082922420000078/sbux-20200927.htm" TargetMode="External"/><Relationship Id="rId420" Type="http://schemas.openxmlformats.org/officeDocument/2006/relationships/hyperlink" Target="http://www.sec.gov/Archives/edgar/data/829224/000095012310007737/v54197exv10w3.htm" TargetMode="External"/><Relationship Id="rId255" Type="http://schemas.openxmlformats.org/officeDocument/2006/relationships/hyperlink" Target="http://www.sec.gov/Archives/edgar/data/829224/000119312517350711/d497269dex42.htm" TargetMode="External"/><Relationship Id="rId297" Type="http://schemas.openxmlformats.org/officeDocument/2006/relationships/hyperlink" Target="http://www.sec.gov/Archives/edgar/data/829224/000119312520136264/d923805dex4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66432</Words>
  <Characters>378664</Characters>
  <Application>Microsoft Office Word</Application>
  <DocSecurity>0</DocSecurity>
  <Lines>3155</Lines>
  <Paragraphs>888</Paragraphs>
  <ScaleCrop>false</ScaleCrop>
  <Company/>
  <LinksUpToDate>false</LinksUpToDate>
  <CharactersWithSpaces>444208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2023-02-11T23:02:00Z</dcterms:created>
  <dcterms:modified xsi:type="dcterms:W3CDTF">2023-02-13T11:30:00Z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455C1E5898594CF410AEE7639DC16588</vt:lpwstr>
  </property>
</Properties>
</file>